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660001" w14:textId="114FA389" w:rsidR="00996419" w:rsidRPr="00994120" w:rsidRDefault="00996419" w:rsidP="00994120">
      <w:pPr>
        <w:pStyle w:val="MDPI11articletype"/>
      </w:pPr>
      <w:r w:rsidRPr="00994120">
        <w:t>Article</w:t>
      </w:r>
    </w:p>
    <w:p w14:paraId="7C1B1840" w14:textId="77777777" w:rsidR="00996419" w:rsidRPr="009B7DB0" w:rsidRDefault="00641B60" w:rsidP="00994120">
      <w:pPr>
        <w:pStyle w:val="MDPI12title"/>
        <w:rPr>
          <w:color w:val="auto"/>
        </w:rPr>
      </w:pPr>
      <w:r w:rsidRPr="009B7DB0">
        <w:rPr>
          <w:color w:val="auto"/>
        </w:rPr>
        <w:t>Association between arthritis and migraine: a US nationally representative study including 2,649 adults</w:t>
      </w:r>
    </w:p>
    <w:p w14:paraId="367E530D" w14:textId="7F4340F4" w:rsidR="00996419" w:rsidRPr="009B7DB0" w:rsidRDefault="00641B60" w:rsidP="00994120">
      <w:pPr>
        <w:pStyle w:val="MDPI13authornames"/>
        <w:rPr>
          <w:color w:val="auto"/>
        </w:rPr>
      </w:pPr>
      <w:r w:rsidRPr="009B7DB0">
        <w:rPr>
          <w:color w:val="auto"/>
        </w:rPr>
        <w:t>Louis Jacob</w:t>
      </w:r>
      <w:r w:rsidRPr="009B7DB0">
        <w:rPr>
          <w:color w:val="auto"/>
          <w:vertAlign w:val="superscript"/>
        </w:rPr>
        <w:t>1,2*</w:t>
      </w:r>
      <w:r w:rsidRPr="009B7DB0">
        <w:rPr>
          <w:color w:val="auto"/>
        </w:rPr>
        <w:t>, Jae Il Shin</w:t>
      </w:r>
      <w:r w:rsidRPr="009B7DB0">
        <w:rPr>
          <w:color w:val="auto"/>
          <w:vertAlign w:val="superscript"/>
        </w:rPr>
        <w:t>3</w:t>
      </w:r>
      <w:r w:rsidRPr="009B7DB0">
        <w:rPr>
          <w:color w:val="auto"/>
        </w:rPr>
        <w:t>, Guillermo F López-Sánchez</w:t>
      </w:r>
      <w:r w:rsidRPr="009B7DB0">
        <w:rPr>
          <w:color w:val="auto"/>
          <w:vertAlign w:val="superscript"/>
        </w:rPr>
        <w:t>4</w:t>
      </w:r>
      <w:r w:rsidRPr="009B7DB0">
        <w:rPr>
          <w:color w:val="auto"/>
        </w:rPr>
        <w:t>, Josep Maria Haro</w:t>
      </w:r>
      <w:r w:rsidRPr="009B7DB0">
        <w:rPr>
          <w:color w:val="auto"/>
          <w:vertAlign w:val="superscript"/>
        </w:rPr>
        <w:t>1</w:t>
      </w:r>
      <w:r w:rsidRPr="009B7DB0">
        <w:rPr>
          <w:color w:val="auto"/>
        </w:rPr>
        <w:t>, Ai Koyanagi</w:t>
      </w:r>
      <w:r w:rsidRPr="009B7DB0">
        <w:rPr>
          <w:color w:val="auto"/>
          <w:vertAlign w:val="superscript"/>
        </w:rPr>
        <w:t>1,5</w:t>
      </w:r>
      <w:r w:rsidRPr="009B7DB0">
        <w:rPr>
          <w:color w:val="auto"/>
        </w:rPr>
        <w:t xml:space="preserve">, Jong </w:t>
      </w:r>
      <w:proofErr w:type="spellStart"/>
      <w:r w:rsidRPr="009B7DB0">
        <w:rPr>
          <w:color w:val="auto"/>
        </w:rPr>
        <w:t>Yeob</w:t>
      </w:r>
      <w:proofErr w:type="spellEnd"/>
      <w:r w:rsidRPr="009B7DB0">
        <w:rPr>
          <w:color w:val="auto"/>
        </w:rPr>
        <w:t xml:space="preserve"> Kim</w:t>
      </w:r>
      <w:r w:rsidRPr="009B7DB0">
        <w:rPr>
          <w:color w:val="auto"/>
          <w:vertAlign w:val="superscript"/>
        </w:rPr>
        <w:t>6</w:t>
      </w:r>
      <w:r w:rsidRPr="009B7DB0">
        <w:rPr>
          <w:color w:val="auto"/>
        </w:rPr>
        <w:t>, Jae Han Kim</w:t>
      </w:r>
      <w:r w:rsidRPr="009B7DB0">
        <w:rPr>
          <w:color w:val="auto"/>
          <w:vertAlign w:val="superscript"/>
        </w:rPr>
        <w:t>6</w:t>
      </w:r>
      <w:r w:rsidRPr="009B7DB0">
        <w:rPr>
          <w:color w:val="auto"/>
        </w:rPr>
        <w:t>, Hans Oh</w:t>
      </w:r>
      <w:r w:rsidRPr="009B7DB0">
        <w:rPr>
          <w:color w:val="auto"/>
          <w:vertAlign w:val="superscript"/>
        </w:rPr>
        <w:t>7</w:t>
      </w:r>
      <w:r w:rsidR="00994120" w:rsidRPr="009B7DB0">
        <w:rPr>
          <w:color w:val="auto"/>
        </w:rPr>
        <w:t xml:space="preserve"> and </w:t>
      </w:r>
      <w:r w:rsidRPr="009B7DB0">
        <w:rPr>
          <w:color w:val="auto"/>
        </w:rPr>
        <w:t>Lee Smith</w:t>
      </w:r>
      <w:r w:rsidRPr="009B7DB0">
        <w:rPr>
          <w:color w:val="auto"/>
          <w:vertAlign w:val="superscript"/>
        </w:rPr>
        <w:t>8</w:t>
      </w:r>
    </w:p>
    <w:p w14:paraId="2744E0AE" w14:textId="75A69EF1" w:rsidR="00996419" w:rsidRPr="009B7DB0" w:rsidRDefault="00996419" w:rsidP="00994120">
      <w:pPr>
        <w:pStyle w:val="MDPI16affiliation"/>
        <w:rPr>
          <w:color w:val="auto"/>
        </w:rPr>
      </w:pPr>
      <w:r w:rsidRPr="009B7DB0">
        <w:rPr>
          <w:color w:val="auto"/>
          <w:vertAlign w:val="superscript"/>
        </w:rPr>
        <w:t>1</w:t>
      </w:r>
      <w:r w:rsidRPr="009B7DB0">
        <w:rPr>
          <w:color w:val="auto"/>
        </w:rPr>
        <w:tab/>
      </w:r>
      <w:r w:rsidR="0079083E" w:rsidRPr="009B7DB0">
        <w:rPr>
          <w:color w:val="auto"/>
        </w:rPr>
        <w:t xml:space="preserve">Research and Development Unit, </w:t>
      </w:r>
      <w:proofErr w:type="spellStart"/>
      <w:r w:rsidR="0079083E" w:rsidRPr="009B7DB0">
        <w:rPr>
          <w:color w:val="auto"/>
        </w:rPr>
        <w:t>Parc</w:t>
      </w:r>
      <w:proofErr w:type="spellEnd"/>
      <w:r w:rsidR="0079083E" w:rsidRPr="009B7DB0">
        <w:rPr>
          <w:color w:val="auto"/>
        </w:rPr>
        <w:t xml:space="preserve"> </w:t>
      </w:r>
      <w:proofErr w:type="spellStart"/>
      <w:r w:rsidR="0079083E" w:rsidRPr="009B7DB0">
        <w:rPr>
          <w:color w:val="auto"/>
        </w:rPr>
        <w:t>Sanitari</w:t>
      </w:r>
      <w:proofErr w:type="spellEnd"/>
      <w:r w:rsidR="0079083E" w:rsidRPr="009B7DB0">
        <w:rPr>
          <w:color w:val="auto"/>
        </w:rPr>
        <w:t xml:space="preserve"> </w:t>
      </w:r>
      <w:proofErr w:type="spellStart"/>
      <w:r w:rsidR="0079083E" w:rsidRPr="009B7DB0">
        <w:rPr>
          <w:color w:val="auto"/>
        </w:rPr>
        <w:t>Sant</w:t>
      </w:r>
      <w:proofErr w:type="spellEnd"/>
      <w:r w:rsidR="0079083E" w:rsidRPr="009B7DB0">
        <w:rPr>
          <w:color w:val="auto"/>
        </w:rPr>
        <w:t xml:space="preserve"> Joan de </w:t>
      </w:r>
      <w:proofErr w:type="spellStart"/>
      <w:r w:rsidR="0079083E" w:rsidRPr="009B7DB0">
        <w:rPr>
          <w:color w:val="auto"/>
        </w:rPr>
        <w:t>Déu</w:t>
      </w:r>
      <w:proofErr w:type="spellEnd"/>
      <w:r w:rsidR="0079083E" w:rsidRPr="009B7DB0">
        <w:rPr>
          <w:color w:val="auto"/>
        </w:rPr>
        <w:t xml:space="preserve">, CIBERSAM, </w:t>
      </w:r>
      <w:proofErr w:type="spellStart"/>
      <w:r w:rsidR="0079083E" w:rsidRPr="009B7DB0">
        <w:rPr>
          <w:color w:val="auto"/>
        </w:rPr>
        <w:t>Universitat</w:t>
      </w:r>
      <w:proofErr w:type="spellEnd"/>
      <w:r w:rsidR="0079083E" w:rsidRPr="009B7DB0">
        <w:rPr>
          <w:color w:val="auto"/>
        </w:rPr>
        <w:t xml:space="preserve"> de Barcelona, Barcelona 08830, Spain</w:t>
      </w:r>
      <w:r w:rsidRPr="009B7DB0">
        <w:rPr>
          <w:color w:val="auto"/>
        </w:rPr>
        <w:t xml:space="preserve">; </w:t>
      </w:r>
      <w:hyperlink r:id="rId7" w:history="1">
        <w:r w:rsidR="0079083E" w:rsidRPr="009B7DB0">
          <w:rPr>
            <w:rStyle w:val="Hyperlink"/>
            <w:color w:val="auto"/>
            <w:u w:val="none"/>
          </w:rPr>
          <w:t>louis.jacob.contacts@gmail.com</w:t>
        </w:r>
      </w:hyperlink>
      <w:r w:rsidR="00584246" w:rsidRPr="009B7DB0">
        <w:rPr>
          <w:rStyle w:val="Hyperlink"/>
          <w:color w:val="auto"/>
          <w:u w:val="none"/>
        </w:rPr>
        <w:t xml:space="preserve"> (L.J.)</w:t>
      </w:r>
      <w:r w:rsidR="0079083E" w:rsidRPr="009B7DB0">
        <w:rPr>
          <w:color w:val="auto"/>
        </w:rPr>
        <w:t xml:space="preserve">, </w:t>
      </w:r>
      <w:hyperlink r:id="rId8" w:history="1">
        <w:r w:rsidR="0079083E" w:rsidRPr="009B7DB0">
          <w:rPr>
            <w:rStyle w:val="Hyperlink"/>
            <w:color w:val="auto"/>
            <w:u w:val="none"/>
          </w:rPr>
          <w:t>a.koyanagi@pssjd.org</w:t>
        </w:r>
      </w:hyperlink>
      <w:r w:rsidR="0079083E" w:rsidRPr="009B7DB0">
        <w:rPr>
          <w:color w:val="auto"/>
        </w:rPr>
        <w:t xml:space="preserve"> </w:t>
      </w:r>
      <w:r w:rsidR="00490594" w:rsidRPr="009B7DB0">
        <w:rPr>
          <w:color w:val="auto"/>
        </w:rPr>
        <w:t>(A.K.)</w:t>
      </w:r>
      <w:r w:rsidR="00537760" w:rsidRPr="009B7DB0">
        <w:rPr>
          <w:color w:val="auto"/>
        </w:rPr>
        <w:t xml:space="preserve"> </w:t>
      </w:r>
      <w:r w:rsidR="0079083E" w:rsidRPr="009B7DB0">
        <w:rPr>
          <w:color w:val="auto"/>
        </w:rPr>
        <w:t xml:space="preserve">and </w:t>
      </w:r>
      <w:hyperlink r:id="rId9" w:history="1">
        <w:r w:rsidR="0079083E" w:rsidRPr="009B7DB0">
          <w:rPr>
            <w:rStyle w:val="Hyperlink"/>
            <w:color w:val="auto"/>
            <w:u w:val="none"/>
          </w:rPr>
          <w:t>jmharo@pssjd.org</w:t>
        </w:r>
      </w:hyperlink>
      <w:r w:rsidR="00490594" w:rsidRPr="009B7DB0">
        <w:rPr>
          <w:rStyle w:val="Hyperlink"/>
          <w:color w:val="auto"/>
          <w:u w:val="none"/>
        </w:rPr>
        <w:t xml:space="preserve"> (J.</w:t>
      </w:r>
      <w:r w:rsidR="008120B1" w:rsidRPr="009B7DB0">
        <w:rPr>
          <w:rStyle w:val="Hyperlink"/>
          <w:color w:val="auto"/>
          <w:u w:val="none"/>
        </w:rPr>
        <w:t>M.H.)</w:t>
      </w:r>
      <w:r w:rsidR="0079083E" w:rsidRPr="009B7DB0">
        <w:rPr>
          <w:color w:val="auto"/>
        </w:rPr>
        <w:t xml:space="preserve"> </w:t>
      </w:r>
    </w:p>
    <w:p w14:paraId="186C4D94" w14:textId="77777777" w:rsidR="0079083E" w:rsidRPr="009B7DB0" w:rsidRDefault="00996419" w:rsidP="00994120">
      <w:pPr>
        <w:pStyle w:val="MDPI16affiliation"/>
        <w:rPr>
          <w:color w:val="auto"/>
        </w:rPr>
      </w:pPr>
      <w:r w:rsidRPr="009B7DB0">
        <w:rPr>
          <w:color w:val="auto"/>
          <w:vertAlign w:val="superscript"/>
        </w:rPr>
        <w:t>2</w:t>
      </w:r>
      <w:r w:rsidRPr="009B7DB0">
        <w:rPr>
          <w:color w:val="auto"/>
        </w:rPr>
        <w:tab/>
      </w:r>
      <w:r w:rsidR="0079083E" w:rsidRPr="009B7DB0">
        <w:rPr>
          <w:color w:val="auto"/>
        </w:rPr>
        <w:t>Faculty of Medicine, University of Versailles Saint-Quentin-</w:t>
      </w:r>
      <w:proofErr w:type="spellStart"/>
      <w:r w:rsidR="0079083E" w:rsidRPr="009B7DB0">
        <w:rPr>
          <w:color w:val="auto"/>
        </w:rPr>
        <w:t>en</w:t>
      </w:r>
      <w:proofErr w:type="spellEnd"/>
      <w:r w:rsidR="0079083E" w:rsidRPr="009B7DB0">
        <w:rPr>
          <w:color w:val="auto"/>
        </w:rPr>
        <w:t xml:space="preserve">-Yvelines, </w:t>
      </w:r>
      <w:proofErr w:type="spellStart"/>
      <w:r w:rsidR="0079083E" w:rsidRPr="009B7DB0">
        <w:rPr>
          <w:color w:val="auto"/>
        </w:rPr>
        <w:t>Montigny</w:t>
      </w:r>
      <w:proofErr w:type="spellEnd"/>
      <w:r w:rsidR="0079083E" w:rsidRPr="009B7DB0">
        <w:rPr>
          <w:color w:val="auto"/>
        </w:rPr>
        <w:t>-le-</w:t>
      </w:r>
      <w:proofErr w:type="spellStart"/>
      <w:r w:rsidR="0079083E" w:rsidRPr="009B7DB0">
        <w:rPr>
          <w:color w:val="auto"/>
        </w:rPr>
        <w:t>Bretonneux</w:t>
      </w:r>
      <w:proofErr w:type="spellEnd"/>
      <w:r w:rsidR="0079083E" w:rsidRPr="009B7DB0">
        <w:rPr>
          <w:color w:val="auto"/>
        </w:rPr>
        <w:t xml:space="preserve"> 78180, France </w:t>
      </w:r>
    </w:p>
    <w:p w14:paraId="0DE8DC7E" w14:textId="21F97DB7" w:rsidR="0079083E" w:rsidRPr="009B7DB0" w:rsidRDefault="0079083E" w:rsidP="00994120">
      <w:pPr>
        <w:pStyle w:val="MDPI16affiliation"/>
        <w:rPr>
          <w:color w:val="auto"/>
        </w:rPr>
      </w:pPr>
      <w:r w:rsidRPr="009B7DB0">
        <w:rPr>
          <w:color w:val="auto"/>
          <w:vertAlign w:val="superscript"/>
        </w:rPr>
        <w:t>3</w:t>
      </w:r>
      <w:r w:rsidRPr="009B7DB0">
        <w:rPr>
          <w:color w:val="auto"/>
        </w:rPr>
        <w:tab/>
        <w:t xml:space="preserve">Department of Pediatrics, Yonsei University College of Medicine, Seoul, Republic of Korea; </w:t>
      </w:r>
      <w:hyperlink r:id="rId10" w:history="1">
        <w:r w:rsidRPr="009B7DB0">
          <w:rPr>
            <w:rStyle w:val="Hyperlink"/>
            <w:color w:val="auto"/>
            <w:szCs w:val="20"/>
            <w:u w:val="none"/>
          </w:rPr>
          <w:t>SHINJI@yuhs.ac</w:t>
        </w:r>
      </w:hyperlink>
      <w:r w:rsidR="00FF0585" w:rsidRPr="009B7DB0">
        <w:rPr>
          <w:color w:val="auto"/>
        </w:rPr>
        <w:t xml:space="preserve"> (J.I.S.)</w:t>
      </w:r>
    </w:p>
    <w:p w14:paraId="395F8A51" w14:textId="5E329508" w:rsidR="0079083E" w:rsidRPr="009B7DB0" w:rsidRDefault="0079083E" w:rsidP="00994120">
      <w:pPr>
        <w:pStyle w:val="MDPI16affiliation"/>
        <w:rPr>
          <w:color w:val="auto"/>
        </w:rPr>
      </w:pPr>
      <w:r w:rsidRPr="009B7DB0">
        <w:rPr>
          <w:color w:val="auto"/>
          <w:vertAlign w:val="superscript"/>
        </w:rPr>
        <w:t>4</w:t>
      </w:r>
      <w:r w:rsidR="00824D97" w:rsidRPr="009B7DB0">
        <w:rPr>
          <w:color w:val="auto"/>
        </w:rPr>
        <w:tab/>
        <w:t xml:space="preserve">Vision and Eye Research Institute, School of Medicine, Faculty of Health, Education, Medicine and Social Care, Anglia Ruskin University-Cambridge Campus, Cambridge, United Kingdom; </w:t>
      </w:r>
      <w:hyperlink r:id="rId11" w:history="1">
        <w:r w:rsidR="00824D97" w:rsidRPr="009B7DB0">
          <w:rPr>
            <w:rStyle w:val="Hyperlink"/>
            <w:color w:val="auto"/>
            <w:szCs w:val="20"/>
            <w:u w:val="none"/>
          </w:rPr>
          <w:t>Guillermo.Lopez-Sanchez@aru.ac.uk</w:t>
        </w:r>
      </w:hyperlink>
      <w:r w:rsidR="000938E5" w:rsidRPr="009B7DB0">
        <w:rPr>
          <w:color w:val="auto"/>
        </w:rPr>
        <w:t xml:space="preserve"> (G.F.L.S</w:t>
      </w:r>
      <w:r w:rsidR="003A2577" w:rsidRPr="009B7DB0">
        <w:rPr>
          <w:color w:val="auto"/>
        </w:rPr>
        <w:t>.</w:t>
      </w:r>
      <w:r w:rsidR="000938E5" w:rsidRPr="009B7DB0">
        <w:rPr>
          <w:color w:val="auto"/>
        </w:rPr>
        <w:t>)</w:t>
      </w:r>
    </w:p>
    <w:p w14:paraId="214A1647" w14:textId="77777777" w:rsidR="0079083E" w:rsidRPr="009B7DB0" w:rsidRDefault="0079083E" w:rsidP="00994120">
      <w:pPr>
        <w:pStyle w:val="MDPI16affiliation"/>
        <w:rPr>
          <w:color w:val="auto"/>
        </w:rPr>
      </w:pPr>
      <w:r w:rsidRPr="009B7DB0">
        <w:rPr>
          <w:color w:val="auto"/>
          <w:vertAlign w:val="superscript"/>
        </w:rPr>
        <w:t>5</w:t>
      </w:r>
      <w:r w:rsidR="003348F4" w:rsidRPr="009B7DB0">
        <w:rPr>
          <w:color w:val="auto"/>
        </w:rPr>
        <w:tab/>
      </w:r>
      <w:r w:rsidRPr="009B7DB0">
        <w:rPr>
          <w:color w:val="auto"/>
        </w:rPr>
        <w:t xml:space="preserve">ICREA, Pg. </w:t>
      </w:r>
      <w:proofErr w:type="spellStart"/>
      <w:r w:rsidRPr="009B7DB0">
        <w:rPr>
          <w:color w:val="auto"/>
        </w:rPr>
        <w:t>Lluis</w:t>
      </w:r>
      <w:proofErr w:type="spellEnd"/>
      <w:r w:rsidRPr="009B7DB0">
        <w:rPr>
          <w:color w:val="auto"/>
        </w:rPr>
        <w:t xml:space="preserve"> </w:t>
      </w:r>
      <w:proofErr w:type="spellStart"/>
      <w:r w:rsidRPr="009B7DB0">
        <w:rPr>
          <w:color w:val="auto"/>
        </w:rPr>
        <w:t>Companys</w:t>
      </w:r>
      <w:proofErr w:type="spellEnd"/>
      <w:r w:rsidRPr="009B7DB0">
        <w:rPr>
          <w:color w:val="auto"/>
        </w:rPr>
        <w:t xml:space="preserve"> 23, Barcelona, Spain</w:t>
      </w:r>
    </w:p>
    <w:p w14:paraId="324554E5" w14:textId="6086E48F" w:rsidR="0079083E" w:rsidRPr="009B7DB0" w:rsidRDefault="0079083E" w:rsidP="00994120">
      <w:pPr>
        <w:pStyle w:val="MDPI16affiliation"/>
        <w:rPr>
          <w:color w:val="auto"/>
        </w:rPr>
      </w:pPr>
      <w:r w:rsidRPr="009B7DB0">
        <w:rPr>
          <w:color w:val="auto"/>
          <w:vertAlign w:val="superscript"/>
        </w:rPr>
        <w:t>6</w:t>
      </w:r>
      <w:r w:rsidR="003348F4" w:rsidRPr="009B7DB0">
        <w:rPr>
          <w:color w:val="auto"/>
        </w:rPr>
        <w:tab/>
      </w:r>
      <w:r w:rsidRPr="009B7DB0">
        <w:rPr>
          <w:color w:val="auto"/>
        </w:rPr>
        <w:t>Yonsei University College of Medicine, Seoul, Republic of Korea</w:t>
      </w:r>
      <w:r w:rsidR="003348F4" w:rsidRPr="009B7DB0">
        <w:rPr>
          <w:color w:val="auto"/>
        </w:rPr>
        <w:t xml:space="preserve">; </w:t>
      </w:r>
      <w:hyperlink r:id="rId12" w:history="1">
        <w:r w:rsidR="003348F4" w:rsidRPr="009B7DB0">
          <w:rPr>
            <w:rStyle w:val="Hyperlink"/>
            <w:color w:val="auto"/>
            <w:szCs w:val="20"/>
            <w:u w:val="none"/>
          </w:rPr>
          <w:t>crossing96@yonsei.ac.kr</w:t>
        </w:r>
      </w:hyperlink>
      <w:r w:rsidR="008D555E" w:rsidRPr="009B7DB0">
        <w:rPr>
          <w:rStyle w:val="Hyperlink"/>
          <w:color w:val="auto"/>
          <w:szCs w:val="20"/>
          <w:u w:val="none"/>
        </w:rPr>
        <w:t xml:space="preserve"> (J.Y.K</w:t>
      </w:r>
      <w:r w:rsidR="003A2577" w:rsidRPr="009B7DB0">
        <w:rPr>
          <w:rStyle w:val="Hyperlink"/>
          <w:color w:val="auto"/>
          <w:szCs w:val="20"/>
          <w:u w:val="none"/>
        </w:rPr>
        <w:t>.</w:t>
      </w:r>
      <w:r w:rsidR="008D555E" w:rsidRPr="009B7DB0">
        <w:rPr>
          <w:rStyle w:val="Hyperlink"/>
          <w:color w:val="auto"/>
          <w:szCs w:val="20"/>
          <w:u w:val="none"/>
        </w:rPr>
        <w:t>)</w:t>
      </w:r>
      <w:r w:rsidR="003348F4" w:rsidRPr="009B7DB0">
        <w:rPr>
          <w:color w:val="auto"/>
        </w:rPr>
        <w:t xml:space="preserve"> and </w:t>
      </w:r>
      <w:hyperlink r:id="rId13" w:history="1">
        <w:r w:rsidR="003348F4" w:rsidRPr="009B7DB0">
          <w:rPr>
            <w:rStyle w:val="Hyperlink"/>
            <w:color w:val="auto"/>
            <w:szCs w:val="20"/>
            <w:u w:val="none"/>
          </w:rPr>
          <w:t>jaehan0605@yonsei.ac.kr</w:t>
        </w:r>
      </w:hyperlink>
      <w:r w:rsidR="008D555E" w:rsidRPr="009B7DB0">
        <w:rPr>
          <w:rStyle w:val="Hyperlink"/>
          <w:color w:val="auto"/>
          <w:szCs w:val="20"/>
          <w:u w:val="none"/>
        </w:rPr>
        <w:t xml:space="preserve"> (J.H.K</w:t>
      </w:r>
      <w:r w:rsidR="003A2577" w:rsidRPr="009B7DB0">
        <w:rPr>
          <w:rStyle w:val="Hyperlink"/>
          <w:color w:val="auto"/>
          <w:szCs w:val="20"/>
          <w:u w:val="none"/>
        </w:rPr>
        <w:t>.</w:t>
      </w:r>
      <w:r w:rsidR="008D555E" w:rsidRPr="009B7DB0">
        <w:rPr>
          <w:rStyle w:val="Hyperlink"/>
          <w:color w:val="auto"/>
          <w:szCs w:val="20"/>
          <w:u w:val="none"/>
        </w:rPr>
        <w:t>)</w:t>
      </w:r>
      <w:r w:rsidR="003348F4" w:rsidRPr="009B7DB0">
        <w:rPr>
          <w:color w:val="auto"/>
        </w:rPr>
        <w:t xml:space="preserve"> </w:t>
      </w:r>
    </w:p>
    <w:p w14:paraId="28D6AA63" w14:textId="0FD4F9BD" w:rsidR="0079083E" w:rsidRPr="009B7DB0" w:rsidRDefault="0079083E" w:rsidP="0095489F">
      <w:pPr>
        <w:pStyle w:val="MDPI16affiliation"/>
        <w:rPr>
          <w:color w:val="auto"/>
        </w:rPr>
      </w:pPr>
      <w:r w:rsidRPr="009B7DB0">
        <w:rPr>
          <w:color w:val="auto"/>
          <w:vertAlign w:val="superscript"/>
        </w:rPr>
        <w:t>7</w:t>
      </w:r>
      <w:r w:rsidR="003348F4" w:rsidRPr="009B7DB0">
        <w:rPr>
          <w:color w:val="auto"/>
        </w:rPr>
        <w:tab/>
      </w:r>
      <w:r w:rsidRPr="009B7DB0">
        <w:rPr>
          <w:color w:val="auto"/>
        </w:rPr>
        <w:t xml:space="preserve">University of Southern California, Suzanne </w:t>
      </w:r>
      <w:proofErr w:type="spellStart"/>
      <w:r w:rsidRPr="009B7DB0">
        <w:rPr>
          <w:color w:val="auto"/>
        </w:rPr>
        <w:t>Dworak</w:t>
      </w:r>
      <w:proofErr w:type="spellEnd"/>
      <w:r w:rsidRPr="009B7DB0">
        <w:rPr>
          <w:color w:val="auto"/>
        </w:rPr>
        <w:t xml:space="preserve"> Peck School of Social Work, 1149 South Hill Street suite 1422, Los Angeles, CA 90015, USA</w:t>
      </w:r>
      <w:r w:rsidR="003348F4" w:rsidRPr="009B7DB0">
        <w:rPr>
          <w:color w:val="auto"/>
        </w:rPr>
        <w:t xml:space="preserve">; </w:t>
      </w:r>
      <w:hyperlink r:id="rId14" w:history="1">
        <w:r w:rsidR="003348F4" w:rsidRPr="009B7DB0">
          <w:rPr>
            <w:rStyle w:val="Hyperlink"/>
            <w:color w:val="auto"/>
            <w:szCs w:val="20"/>
            <w:u w:val="none"/>
          </w:rPr>
          <w:t>hansoh@gmail.com</w:t>
        </w:r>
      </w:hyperlink>
      <w:r w:rsidR="00093D00" w:rsidRPr="009B7DB0">
        <w:rPr>
          <w:color w:val="auto"/>
        </w:rPr>
        <w:t xml:space="preserve"> (H.O</w:t>
      </w:r>
      <w:r w:rsidR="003A2577" w:rsidRPr="009B7DB0">
        <w:rPr>
          <w:color w:val="auto"/>
        </w:rPr>
        <w:t>.</w:t>
      </w:r>
      <w:r w:rsidR="00093D00" w:rsidRPr="009B7DB0">
        <w:rPr>
          <w:color w:val="auto"/>
        </w:rPr>
        <w:t>)</w:t>
      </w:r>
    </w:p>
    <w:p w14:paraId="4E535F99" w14:textId="5A23F7EC" w:rsidR="00996419" w:rsidRPr="009B7DB0" w:rsidRDefault="0079083E" w:rsidP="0095489F">
      <w:pPr>
        <w:pStyle w:val="MDPI16affiliation"/>
        <w:rPr>
          <w:color w:val="auto"/>
        </w:rPr>
      </w:pPr>
      <w:r w:rsidRPr="009B7DB0">
        <w:rPr>
          <w:color w:val="auto"/>
          <w:vertAlign w:val="superscript"/>
        </w:rPr>
        <w:t>8</w:t>
      </w:r>
      <w:r w:rsidR="003348F4" w:rsidRPr="009B7DB0">
        <w:rPr>
          <w:color w:val="auto"/>
        </w:rPr>
        <w:tab/>
      </w:r>
      <w:r w:rsidRPr="009B7DB0">
        <w:rPr>
          <w:color w:val="auto"/>
        </w:rPr>
        <w:t>The Cambridge Centre for Sport and Exercise Sciences, Anglia Ruskin University, Cambridge, UK</w:t>
      </w:r>
      <w:r w:rsidR="003348F4" w:rsidRPr="009B7DB0">
        <w:rPr>
          <w:color w:val="auto"/>
        </w:rPr>
        <w:t xml:space="preserve">; </w:t>
      </w:r>
      <w:hyperlink r:id="rId15" w:history="1">
        <w:r w:rsidR="003348F4" w:rsidRPr="009B7DB0">
          <w:rPr>
            <w:rStyle w:val="Hyperlink"/>
            <w:color w:val="auto"/>
            <w:szCs w:val="20"/>
            <w:u w:val="none"/>
          </w:rPr>
          <w:t>lee.smith@anglia.ac.uk</w:t>
        </w:r>
      </w:hyperlink>
      <w:r w:rsidR="00A772B3" w:rsidRPr="009B7DB0">
        <w:rPr>
          <w:color w:val="auto"/>
        </w:rPr>
        <w:t xml:space="preserve"> (L.S.)</w:t>
      </w:r>
    </w:p>
    <w:p w14:paraId="6F873CEE" w14:textId="77777777" w:rsidR="00996419" w:rsidRPr="009B7DB0" w:rsidRDefault="00996419" w:rsidP="0095489F">
      <w:pPr>
        <w:pStyle w:val="MDPI16affiliation"/>
        <w:rPr>
          <w:color w:val="auto"/>
          <w:lang w:val="fr-FR"/>
        </w:rPr>
      </w:pPr>
      <w:r w:rsidRPr="009B7DB0">
        <w:rPr>
          <w:b/>
          <w:color w:val="auto"/>
          <w:lang w:val="fr-FR"/>
        </w:rPr>
        <w:t>*</w:t>
      </w:r>
      <w:r w:rsidRPr="009B7DB0">
        <w:rPr>
          <w:color w:val="auto"/>
          <w:lang w:val="fr-FR"/>
        </w:rPr>
        <w:tab/>
      </w:r>
      <w:proofErr w:type="spellStart"/>
      <w:r w:rsidRPr="009B7DB0">
        <w:rPr>
          <w:color w:val="auto"/>
          <w:lang w:val="fr-FR"/>
        </w:rPr>
        <w:t>Correspondence</w:t>
      </w:r>
      <w:proofErr w:type="spellEnd"/>
      <w:r w:rsidRPr="009B7DB0">
        <w:rPr>
          <w:color w:val="auto"/>
          <w:lang w:val="fr-FR"/>
        </w:rPr>
        <w:t>:</w:t>
      </w:r>
      <w:r w:rsidR="008A449D" w:rsidRPr="009B7DB0">
        <w:rPr>
          <w:color w:val="auto"/>
          <w:lang w:val="fr-FR"/>
        </w:rPr>
        <w:t xml:space="preserve"> Dr. Louis Jacob;</w:t>
      </w:r>
      <w:r w:rsidRPr="009B7DB0">
        <w:rPr>
          <w:color w:val="auto"/>
          <w:lang w:val="fr-FR"/>
        </w:rPr>
        <w:t xml:space="preserve"> </w:t>
      </w:r>
      <w:hyperlink r:id="rId16" w:history="1">
        <w:r w:rsidR="000F2720" w:rsidRPr="009B7DB0">
          <w:rPr>
            <w:rStyle w:val="Hyperlink"/>
            <w:color w:val="auto"/>
            <w:u w:val="none"/>
            <w:lang w:val="fr-FR"/>
          </w:rPr>
          <w:t>louis.jacob.contacts@gmail.com</w:t>
        </w:r>
      </w:hyperlink>
      <w:r w:rsidRPr="009B7DB0">
        <w:rPr>
          <w:color w:val="auto"/>
          <w:lang w:val="fr-FR"/>
        </w:rPr>
        <w:t xml:space="preserve">; </w:t>
      </w:r>
      <w:r w:rsidR="00853B85" w:rsidRPr="009B7DB0">
        <w:rPr>
          <w:color w:val="auto"/>
          <w:lang w:val="fr-FR"/>
        </w:rPr>
        <w:t>Tel.:</w:t>
      </w:r>
      <w:r w:rsidR="000F2720" w:rsidRPr="009B7DB0">
        <w:rPr>
          <w:color w:val="auto"/>
          <w:lang w:val="fr-FR"/>
        </w:rPr>
        <w:t xml:space="preserve"> +33-6-27-88-37-06</w:t>
      </w:r>
    </w:p>
    <w:p w14:paraId="32397A30" w14:textId="77777777" w:rsidR="00996419" w:rsidRPr="009B7DB0" w:rsidRDefault="00996419" w:rsidP="00994120">
      <w:pPr>
        <w:pStyle w:val="MDPI14history"/>
        <w:rPr>
          <w:color w:val="auto"/>
        </w:rPr>
      </w:pPr>
      <w:r w:rsidRPr="009B7DB0">
        <w:rPr>
          <w:color w:val="auto"/>
        </w:rPr>
        <w:t xml:space="preserve">Received: </w:t>
      </w:r>
      <w:r w:rsidR="008A449D" w:rsidRPr="009B7DB0">
        <w:rPr>
          <w:color w:val="auto"/>
        </w:rPr>
        <w:t>November 11, 2020</w:t>
      </w:r>
      <w:r w:rsidRPr="009B7DB0">
        <w:rPr>
          <w:color w:val="auto"/>
        </w:rPr>
        <w:t>; Accepted: date; Published: date</w:t>
      </w:r>
    </w:p>
    <w:p w14:paraId="62114380" w14:textId="77F252C1" w:rsidR="00996419" w:rsidRPr="009B7DB0" w:rsidRDefault="00996419" w:rsidP="0095489F">
      <w:pPr>
        <w:pStyle w:val="MDPI17abstract"/>
        <w:rPr>
          <w:color w:val="auto"/>
        </w:rPr>
      </w:pPr>
      <w:r w:rsidRPr="009B7DB0">
        <w:rPr>
          <w:b/>
          <w:color w:val="auto"/>
        </w:rPr>
        <w:t xml:space="preserve">Abstract: </w:t>
      </w:r>
      <w:r w:rsidR="00955424" w:rsidRPr="009B7DB0">
        <w:rPr>
          <w:color w:val="auto"/>
        </w:rPr>
        <w:t>This study aimed to investigate the cross-sectional association between arthritis and migraine in a large representative sample of the US adult population. The study used data from adults who participated in the RAND American Life Panel (ALP). Arthritis</w:t>
      </w:r>
      <w:r w:rsidR="00917192" w:rsidRPr="009B7DB0">
        <w:rPr>
          <w:color w:val="auto"/>
        </w:rPr>
        <w:t xml:space="preserve"> (excluding rheumatoid arthritis)</w:t>
      </w:r>
      <w:r w:rsidR="00955424" w:rsidRPr="009B7DB0">
        <w:rPr>
          <w:color w:val="auto"/>
        </w:rPr>
        <w:t xml:space="preserve"> and migraine were </w:t>
      </w:r>
      <w:r w:rsidR="00A63526" w:rsidRPr="009B7DB0">
        <w:rPr>
          <w:color w:val="auto"/>
        </w:rPr>
        <w:t>self-reported</w:t>
      </w:r>
      <w:r w:rsidR="00955424" w:rsidRPr="009B7DB0">
        <w:rPr>
          <w:color w:val="auto"/>
        </w:rPr>
        <w:t>. Control variables included sex, age, ethnicity, marital status, education, employment, annual family income, stroke, epilepsy, coronary artery disease, asthma, depression, anxiety, bipolar disorder, and alcohol dependence. The association between arthritis and migraine was investigated using multivariable logistic regression models, while sex and age interaction analyses were also conducted. This study included 2,649 adults (51.7% women; mean [</w:t>
      </w:r>
      <w:r w:rsidR="0067231B" w:rsidRPr="009B7DB0">
        <w:rPr>
          <w:color w:val="auto"/>
        </w:rPr>
        <w:t>SD</w:t>
      </w:r>
      <w:r w:rsidR="00955424" w:rsidRPr="009B7DB0">
        <w:rPr>
          <w:color w:val="auto"/>
        </w:rPr>
        <w:t xml:space="preserve">] age 50.6 [15.9] years). The prevalence of migraine was 10.7% in the </w:t>
      </w:r>
      <w:r w:rsidR="00A63526" w:rsidRPr="009B7DB0">
        <w:rPr>
          <w:color w:val="auto"/>
        </w:rPr>
        <w:t>sample</w:t>
      </w:r>
      <w:r w:rsidR="00955424" w:rsidRPr="009B7DB0">
        <w:rPr>
          <w:color w:val="auto"/>
        </w:rPr>
        <w:t xml:space="preserve">. After adjusting for several potential confounders, there was a </w:t>
      </w:r>
      <w:r w:rsidR="00A63526" w:rsidRPr="009B7DB0">
        <w:rPr>
          <w:color w:val="auto"/>
        </w:rPr>
        <w:t>significant</w:t>
      </w:r>
      <w:r w:rsidR="00955424" w:rsidRPr="009B7DB0">
        <w:rPr>
          <w:color w:val="auto"/>
        </w:rPr>
        <w:t xml:space="preserve"> association between arthritis and migraine (OR=1.8</w:t>
      </w:r>
      <w:r w:rsidR="00272022" w:rsidRPr="009B7DB0">
        <w:rPr>
          <w:color w:val="auto"/>
        </w:rPr>
        <w:t>3</w:t>
      </w:r>
      <w:r w:rsidR="00955424" w:rsidRPr="009B7DB0">
        <w:rPr>
          <w:color w:val="auto"/>
        </w:rPr>
        <w:t>, 95% CI=1.2</w:t>
      </w:r>
      <w:r w:rsidR="00D1611F" w:rsidRPr="009B7DB0">
        <w:rPr>
          <w:color w:val="auto"/>
        </w:rPr>
        <w:t>0</w:t>
      </w:r>
      <w:r w:rsidR="00955424" w:rsidRPr="009B7DB0">
        <w:rPr>
          <w:color w:val="auto"/>
        </w:rPr>
        <w:t>-2.</w:t>
      </w:r>
      <w:r w:rsidR="00D1611F" w:rsidRPr="009B7DB0">
        <w:rPr>
          <w:color w:val="auto"/>
        </w:rPr>
        <w:t>81</w:t>
      </w:r>
      <w:r w:rsidR="00955424" w:rsidRPr="009B7DB0">
        <w:rPr>
          <w:color w:val="auto"/>
        </w:rPr>
        <w:t xml:space="preserve">). </w:t>
      </w:r>
      <w:r w:rsidR="00423277" w:rsidRPr="009B7DB0">
        <w:rPr>
          <w:color w:val="auto"/>
        </w:rPr>
        <w:t>Further sensitivity analyses revealed that</w:t>
      </w:r>
      <w:r w:rsidR="00955424" w:rsidRPr="009B7DB0">
        <w:rPr>
          <w:color w:val="auto"/>
        </w:rPr>
        <w:t xml:space="preserve"> the association was significant in women, adults aged ≤45 years and those aged &gt;65 years. The mere fact that arthritis and migraine may coexist is problematic, as this could lead to an important medical and economic burden. Therefore, strategies should be implemented to reduce the cooccurrence of these two chronic conditions.</w:t>
      </w:r>
    </w:p>
    <w:p w14:paraId="4B576AF4" w14:textId="4D324977" w:rsidR="00996419" w:rsidRPr="009B7DB0" w:rsidRDefault="0095489F" w:rsidP="0095489F">
      <w:pPr>
        <w:pStyle w:val="MDPI18keywords"/>
        <w:rPr>
          <w:color w:val="auto"/>
        </w:rPr>
      </w:pPr>
      <w:r w:rsidRPr="009B7DB0">
        <w:rPr>
          <w:b/>
          <w:color w:val="auto"/>
        </w:rPr>
        <w:t>Keywords:</w:t>
      </w:r>
      <w:r w:rsidR="00996419" w:rsidRPr="009B7DB0">
        <w:rPr>
          <w:b/>
          <w:color w:val="auto"/>
        </w:rPr>
        <w:t xml:space="preserve"> </w:t>
      </w:r>
      <w:r w:rsidR="00AE16CF" w:rsidRPr="009B7DB0">
        <w:rPr>
          <w:color w:val="auto"/>
        </w:rPr>
        <w:t xml:space="preserve">arthritis; migraine; cross-sectional study; United States </w:t>
      </w:r>
    </w:p>
    <w:p w14:paraId="73AEEA3B" w14:textId="77777777" w:rsidR="00996419" w:rsidRPr="009B7DB0" w:rsidRDefault="00996419" w:rsidP="0095489F">
      <w:pPr>
        <w:pStyle w:val="MDPI19line"/>
        <w:pBdr>
          <w:bottom w:val="single" w:sz="4" w:space="1" w:color="000000"/>
        </w:pBdr>
        <w:adjustRightInd w:val="0"/>
        <w:snapToGrid w:val="0"/>
        <w:spacing w:after="480"/>
        <w:rPr>
          <w:color w:val="auto"/>
        </w:rPr>
      </w:pPr>
    </w:p>
    <w:p w14:paraId="185CC03D" w14:textId="37D99969" w:rsidR="00996419" w:rsidRPr="009B7DB0" w:rsidRDefault="0095489F" w:rsidP="0095489F">
      <w:pPr>
        <w:pStyle w:val="MDPI21heading1"/>
        <w:rPr>
          <w:color w:val="auto"/>
        </w:rPr>
      </w:pPr>
      <w:r w:rsidRPr="009B7DB0">
        <w:rPr>
          <w:color w:val="auto"/>
          <w:lang w:eastAsia="zh-CN"/>
        </w:rPr>
        <w:t xml:space="preserve">1. </w:t>
      </w:r>
      <w:r w:rsidR="00996419" w:rsidRPr="009B7DB0">
        <w:rPr>
          <w:color w:val="auto"/>
        </w:rPr>
        <w:t>Introduction</w:t>
      </w:r>
    </w:p>
    <w:p w14:paraId="39479FBB" w14:textId="3F2E6390" w:rsidR="00AE16CF" w:rsidRPr="009B7DB0" w:rsidRDefault="00AE16CF" w:rsidP="000D6A19">
      <w:pPr>
        <w:pStyle w:val="MDPI31text"/>
        <w:rPr>
          <w:color w:val="auto"/>
        </w:rPr>
      </w:pPr>
      <w:r w:rsidRPr="009B7DB0">
        <w:rPr>
          <w:color w:val="auto"/>
        </w:rPr>
        <w:t xml:space="preserve">Osteoarthritis is a degenerative joint </w:t>
      </w:r>
      <w:r w:rsidR="00444E03" w:rsidRPr="009B7DB0">
        <w:rPr>
          <w:color w:val="auto"/>
        </w:rPr>
        <w:t xml:space="preserve">and age-related </w:t>
      </w:r>
      <w:r w:rsidR="007D026F" w:rsidRPr="009B7DB0">
        <w:rPr>
          <w:color w:val="auto"/>
        </w:rPr>
        <w:t xml:space="preserve">disorder affecting </w:t>
      </w:r>
      <w:r w:rsidRPr="009B7DB0">
        <w:rPr>
          <w:color w:val="auto"/>
        </w:rPr>
        <w:t>the articular cartilage.</w:t>
      </w:r>
      <w:r w:rsidR="00444E03" w:rsidRPr="009B7DB0">
        <w:rPr>
          <w:color w:val="auto"/>
        </w:rPr>
        <w:t xml:space="preserve"> </w:t>
      </w:r>
      <w:r w:rsidR="004F4F4E" w:rsidRPr="009B7DB0">
        <w:rPr>
          <w:color w:val="auto"/>
        </w:rPr>
        <w:t xml:space="preserve">Most frequently affected joints are </w:t>
      </w:r>
      <w:r w:rsidRPr="009B7DB0">
        <w:rPr>
          <w:color w:val="auto"/>
        </w:rPr>
        <w:t xml:space="preserve">the knees, hips, fingers, and </w:t>
      </w:r>
      <w:r w:rsidR="00374919" w:rsidRPr="009B7DB0">
        <w:rPr>
          <w:color w:val="auto"/>
        </w:rPr>
        <w:t>the lumbar spine</w:t>
      </w:r>
      <w:r w:rsidRPr="009B7DB0">
        <w:rPr>
          <w:color w:val="auto"/>
        </w:rPr>
        <w:t xml:space="preserve"> [1]. </w:t>
      </w:r>
      <w:r w:rsidR="00B267CC" w:rsidRPr="009B7DB0">
        <w:rPr>
          <w:color w:val="auto"/>
        </w:rPr>
        <w:t>T</w:t>
      </w:r>
      <w:r w:rsidR="00EB1815" w:rsidRPr="009B7DB0">
        <w:rPr>
          <w:color w:val="auto"/>
        </w:rPr>
        <w:t xml:space="preserve">he </w:t>
      </w:r>
      <w:r w:rsidR="00B267CC" w:rsidRPr="009B7DB0">
        <w:rPr>
          <w:color w:val="auto"/>
        </w:rPr>
        <w:t xml:space="preserve">worldwide </w:t>
      </w:r>
      <w:r w:rsidR="00EB1815" w:rsidRPr="009B7DB0">
        <w:rPr>
          <w:color w:val="auto"/>
        </w:rPr>
        <w:lastRenderedPageBreak/>
        <w:t xml:space="preserve">prevalence of symptomatic osteoarthritis is 9.6% and 18.0% in men and women aged </w:t>
      </w:r>
      <w:r w:rsidR="000345A7" w:rsidRPr="009B7DB0">
        <w:rPr>
          <w:color w:val="auto"/>
        </w:rPr>
        <w:t>&gt;</w:t>
      </w:r>
      <w:r w:rsidR="00EB1815" w:rsidRPr="009B7DB0">
        <w:rPr>
          <w:color w:val="auto"/>
        </w:rPr>
        <w:t>60 years, respectively</w:t>
      </w:r>
      <w:r w:rsidRPr="009B7DB0">
        <w:rPr>
          <w:color w:val="auto"/>
        </w:rPr>
        <w:t xml:space="preserve"> [1]. Other less common forms of arthritis </w:t>
      </w:r>
      <w:r w:rsidR="00D317EE" w:rsidRPr="009B7DB0">
        <w:rPr>
          <w:color w:val="auto"/>
        </w:rPr>
        <w:t>are</w:t>
      </w:r>
      <w:r w:rsidRPr="009B7DB0">
        <w:rPr>
          <w:color w:val="auto"/>
        </w:rPr>
        <w:t xml:space="preserve"> </w:t>
      </w:r>
      <w:r w:rsidR="00D317EE" w:rsidRPr="009B7DB0">
        <w:rPr>
          <w:color w:val="auto"/>
        </w:rPr>
        <w:t xml:space="preserve">rheumatoid arthritis, </w:t>
      </w:r>
      <w:r w:rsidRPr="009B7DB0">
        <w:rPr>
          <w:color w:val="auto"/>
        </w:rPr>
        <w:t>gout and lupus [2].</w:t>
      </w:r>
      <w:r w:rsidR="00A60608" w:rsidRPr="009B7DB0">
        <w:rPr>
          <w:color w:val="auto"/>
        </w:rPr>
        <w:t xml:space="preserve"> </w:t>
      </w:r>
      <w:r w:rsidR="00F31BA6" w:rsidRPr="009B7DB0">
        <w:rPr>
          <w:color w:val="auto"/>
        </w:rPr>
        <w:t>More than 54</w:t>
      </w:r>
      <w:r w:rsidR="00A60608" w:rsidRPr="009B7DB0">
        <w:rPr>
          <w:color w:val="auto"/>
        </w:rPr>
        <w:t xml:space="preserve"> million people</w:t>
      </w:r>
      <w:r w:rsidR="000D6A19" w:rsidRPr="009B7DB0">
        <w:rPr>
          <w:color w:val="auto"/>
        </w:rPr>
        <w:t xml:space="preserve"> are affected by arthritis</w:t>
      </w:r>
      <w:r w:rsidR="00A60608" w:rsidRPr="009B7DB0">
        <w:rPr>
          <w:color w:val="auto"/>
        </w:rPr>
        <w:t xml:space="preserve"> in the United States, </w:t>
      </w:r>
      <w:r w:rsidR="005729BE" w:rsidRPr="009B7DB0">
        <w:rPr>
          <w:color w:val="auto"/>
        </w:rPr>
        <w:t xml:space="preserve">and this accounts for 23% of the adult population [2]. </w:t>
      </w:r>
      <w:r w:rsidR="00145285" w:rsidRPr="009B7DB0">
        <w:rPr>
          <w:color w:val="auto"/>
        </w:rPr>
        <w:t>Arthritis</w:t>
      </w:r>
      <w:r w:rsidRPr="009B7DB0">
        <w:rPr>
          <w:color w:val="auto"/>
        </w:rPr>
        <w:t xml:space="preserve"> is </w:t>
      </w:r>
      <w:r w:rsidR="00C409CE" w:rsidRPr="009B7DB0">
        <w:rPr>
          <w:color w:val="auto"/>
        </w:rPr>
        <w:t>one of the major causes</w:t>
      </w:r>
      <w:r w:rsidRPr="009B7DB0">
        <w:rPr>
          <w:color w:val="auto"/>
        </w:rPr>
        <w:t xml:space="preserve"> of work disability</w:t>
      </w:r>
      <w:r w:rsidR="008B4FC9" w:rsidRPr="009B7DB0">
        <w:rPr>
          <w:color w:val="auto"/>
        </w:rPr>
        <w:t xml:space="preserve"> in this country</w:t>
      </w:r>
      <w:r w:rsidR="003143B0" w:rsidRPr="009B7DB0">
        <w:rPr>
          <w:color w:val="auto"/>
        </w:rPr>
        <w:t>,</w:t>
      </w:r>
      <w:r w:rsidR="005725EB" w:rsidRPr="009B7DB0">
        <w:rPr>
          <w:color w:val="auto"/>
        </w:rPr>
        <w:t xml:space="preserve"> with t</w:t>
      </w:r>
      <w:r w:rsidRPr="009B7DB0">
        <w:rPr>
          <w:color w:val="auto"/>
        </w:rPr>
        <w:t xml:space="preserve">he </w:t>
      </w:r>
      <w:r w:rsidR="005725EB" w:rsidRPr="009B7DB0">
        <w:rPr>
          <w:color w:val="auto"/>
        </w:rPr>
        <w:t xml:space="preserve">related </w:t>
      </w:r>
      <w:r w:rsidRPr="009B7DB0">
        <w:rPr>
          <w:color w:val="auto"/>
        </w:rPr>
        <w:t xml:space="preserve">cost </w:t>
      </w:r>
      <w:r w:rsidR="005725EB" w:rsidRPr="009B7DB0">
        <w:rPr>
          <w:color w:val="auto"/>
        </w:rPr>
        <w:t>overreaching</w:t>
      </w:r>
      <w:r w:rsidRPr="009B7DB0">
        <w:rPr>
          <w:color w:val="auto"/>
        </w:rPr>
        <w:t xml:space="preserve"> $</w:t>
      </w:r>
      <w:r w:rsidR="005725EB" w:rsidRPr="009B7DB0">
        <w:rPr>
          <w:color w:val="auto"/>
        </w:rPr>
        <w:t>303</w:t>
      </w:r>
      <w:r w:rsidRPr="009B7DB0">
        <w:rPr>
          <w:color w:val="auto"/>
        </w:rPr>
        <w:t xml:space="preserve"> billion </w:t>
      </w:r>
      <w:r w:rsidR="00157FE8" w:rsidRPr="009B7DB0">
        <w:rPr>
          <w:color w:val="auto"/>
        </w:rPr>
        <w:t>per</w:t>
      </w:r>
      <w:r w:rsidR="009700D4" w:rsidRPr="009B7DB0">
        <w:rPr>
          <w:color w:val="auto"/>
        </w:rPr>
        <w:t xml:space="preserve"> year</w:t>
      </w:r>
      <w:r w:rsidRPr="009B7DB0">
        <w:rPr>
          <w:color w:val="auto"/>
        </w:rPr>
        <w:t xml:space="preserve"> [2]. </w:t>
      </w:r>
    </w:p>
    <w:p w14:paraId="0BC78BEC" w14:textId="47D6254D" w:rsidR="00AE16CF" w:rsidRPr="009B7DB0" w:rsidRDefault="00AE16CF" w:rsidP="009E45E9">
      <w:pPr>
        <w:pStyle w:val="MDPI31text"/>
        <w:rPr>
          <w:color w:val="auto"/>
        </w:rPr>
      </w:pPr>
      <w:r w:rsidRPr="009B7DB0">
        <w:rPr>
          <w:color w:val="auto"/>
        </w:rPr>
        <w:t>Each arthritis type exhibits unique symptoms but common symptoms of them include joint pain,</w:t>
      </w:r>
      <w:r w:rsidR="006D32C5" w:rsidRPr="009B7DB0">
        <w:rPr>
          <w:color w:val="auto"/>
        </w:rPr>
        <w:t xml:space="preserve"> joint inflammation, limitation of joint mobility</w:t>
      </w:r>
      <w:r w:rsidR="00BB3420" w:rsidRPr="009B7DB0">
        <w:rPr>
          <w:color w:val="auto"/>
        </w:rPr>
        <w:t xml:space="preserve">, </w:t>
      </w:r>
      <w:r w:rsidRPr="009B7DB0">
        <w:rPr>
          <w:color w:val="auto"/>
        </w:rPr>
        <w:t>warm red skin over the effected joint</w:t>
      </w:r>
      <w:r w:rsidR="00DC17CE" w:rsidRPr="009B7DB0">
        <w:rPr>
          <w:color w:val="auto"/>
        </w:rPr>
        <w:t>,</w:t>
      </w:r>
      <w:r w:rsidRPr="009B7DB0">
        <w:rPr>
          <w:color w:val="auto"/>
        </w:rPr>
        <w:t xml:space="preserve"> and </w:t>
      </w:r>
      <w:r w:rsidR="00DC17CE" w:rsidRPr="009B7DB0">
        <w:rPr>
          <w:color w:val="auto"/>
        </w:rPr>
        <w:t xml:space="preserve">muscle </w:t>
      </w:r>
      <w:r w:rsidRPr="009B7DB0">
        <w:rPr>
          <w:color w:val="auto"/>
        </w:rPr>
        <w:t xml:space="preserve">weakness [3]. Importantly, </w:t>
      </w:r>
      <w:r w:rsidR="00217FE6" w:rsidRPr="009B7DB0">
        <w:rPr>
          <w:color w:val="auto"/>
        </w:rPr>
        <w:t xml:space="preserve">arthritis-attributable activity limitations affect 45.4% of older adults </w:t>
      </w:r>
      <w:r w:rsidR="00C409CE" w:rsidRPr="009B7DB0">
        <w:rPr>
          <w:color w:val="auto"/>
        </w:rPr>
        <w:t>suffering from</w:t>
      </w:r>
      <w:r w:rsidR="00217FE6" w:rsidRPr="009B7DB0">
        <w:rPr>
          <w:color w:val="auto"/>
        </w:rPr>
        <w:t xml:space="preserve"> arthritis, </w:t>
      </w:r>
      <w:r w:rsidR="00F961D4" w:rsidRPr="009B7DB0">
        <w:rPr>
          <w:color w:val="auto"/>
        </w:rPr>
        <w:t>and</w:t>
      </w:r>
      <w:r w:rsidR="00217FE6" w:rsidRPr="009B7DB0">
        <w:rPr>
          <w:color w:val="auto"/>
        </w:rPr>
        <w:t xml:space="preserve"> around 25% of </w:t>
      </w:r>
      <w:r w:rsidR="00F961D4" w:rsidRPr="009B7DB0">
        <w:rPr>
          <w:color w:val="auto"/>
        </w:rPr>
        <w:t>these adults</w:t>
      </w:r>
      <w:r w:rsidR="00217FE6" w:rsidRPr="009B7DB0">
        <w:rPr>
          <w:color w:val="auto"/>
        </w:rPr>
        <w:t xml:space="preserve"> </w:t>
      </w:r>
      <w:r w:rsidR="00D04D3F" w:rsidRPr="009B7DB0">
        <w:rPr>
          <w:color w:val="auto"/>
        </w:rPr>
        <w:t xml:space="preserve">also </w:t>
      </w:r>
      <w:r w:rsidR="00217FE6" w:rsidRPr="009B7DB0">
        <w:rPr>
          <w:color w:val="auto"/>
        </w:rPr>
        <w:t>report severe pain</w:t>
      </w:r>
      <w:r w:rsidRPr="009B7DB0">
        <w:rPr>
          <w:color w:val="auto"/>
        </w:rPr>
        <w:t xml:space="preserve"> [4]. </w:t>
      </w:r>
      <w:r w:rsidR="009E45E9" w:rsidRPr="009B7DB0">
        <w:rPr>
          <w:color w:val="auto"/>
        </w:rPr>
        <w:t xml:space="preserve">These arthritis-related impairments and limitations have been found to negatively impact </w:t>
      </w:r>
      <w:r w:rsidRPr="009B7DB0">
        <w:rPr>
          <w:color w:val="auto"/>
        </w:rPr>
        <w:t xml:space="preserve">mental health and health-related quality of life [4]. </w:t>
      </w:r>
    </w:p>
    <w:p w14:paraId="014F9F0D" w14:textId="5F7ACD63" w:rsidR="00AE16CF" w:rsidRPr="009B7DB0" w:rsidRDefault="009E45E9" w:rsidP="00103715">
      <w:pPr>
        <w:pStyle w:val="MDPI31text"/>
        <w:rPr>
          <w:color w:val="auto"/>
        </w:rPr>
      </w:pPr>
      <w:r w:rsidRPr="009B7DB0">
        <w:rPr>
          <w:color w:val="auto"/>
        </w:rPr>
        <w:t xml:space="preserve">Another </w:t>
      </w:r>
      <w:r w:rsidR="00AE16CF" w:rsidRPr="009B7DB0">
        <w:rPr>
          <w:color w:val="auto"/>
        </w:rPr>
        <w:t xml:space="preserve">health outcome that arthritis may be associated with is migraine. Migraine is characterized by a moderate or severe headache </w:t>
      </w:r>
      <w:r w:rsidR="007219BE" w:rsidRPr="009B7DB0">
        <w:rPr>
          <w:color w:val="auto"/>
        </w:rPr>
        <w:t xml:space="preserve">lateralized to one side of the head, </w:t>
      </w:r>
      <w:r w:rsidR="00014AFD" w:rsidRPr="009B7DB0">
        <w:rPr>
          <w:color w:val="auto"/>
        </w:rPr>
        <w:t>which can also involve nausea, vomiting and photo- or phonophobia</w:t>
      </w:r>
      <w:r w:rsidR="00AE16CF" w:rsidRPr="009B7DB0">
        <w:rPr>
          <w:color w:val="auto"/>
        </w:rPr>
        <w:t xml:space="preserve"> [5]. It has been reported that migraine can </w:t>
      </w:r>
      <w:r w:rsidR="005F0B0C" w:rsidRPr="009B7DB0">
        <w:rPr>
          <w:color w:val="auto"/>
        </w:rPr>
        <w:t>lead to</w:t>
      </w:r>
      <w:r w:rsidR="00AE16CF" w:rsidRPr="009B7DB0">
        <w:rPr>
          <w:color w:val="auto"/>
        </w:rPr>
        <w:t xml:space="preserve"> substantial levels of disability</w:t>
      </w:r>
      <w:r w:rsidR="00103715" w:rsidRPr="009B7DB0">
        <w:rPr>
          <w:color w:val="auto"/>
        </w:rPr>
        <w:t>,</w:t>
      </w:r>
      <w:r w:rsidR="00AE16CF" w:rsidRPr="009B7DB0">
        <w:rPr>
          <w:color w:val="auto"/>
        </w:rPr>
        <w:t xml:space="preserve"> </w:t>
      </w:r>
      <w:r w:rsidR="00103715" w:rsidRPr="009B7DB0">
        <w:rPr>
          <w:color w:val="auto"/>
        </w:rPr>
        <w:t>while it</w:t>
      </w:r>
      <w:r w:rsidR="00AE16CF" w:rsidRPr="009B7DB0">
        <w:rPr>
          <w:color w:val="auto"/>
        </w:rPr>
        <w:t xml:space="preserve"> </w:t>
      </w:r>
      <w:r w:rsidR="00094C5B" w:rsidRPr="009B7DB0">
        <w:rPr>
          <w:color w:val="auto"/>
        </w:rPr>
        <w:t>coexists</w:t>
      </w:r>
      <w:r w:rsidR="00103715" w:rsidRPr="009B7DB0">
        <w:rPr>
          <w:color w:val="auto"/>
        </w:rPr>
        <w:t xml:space="preserve"> with a wide range of other disorders</w:t>
      </w:r>
      <w:r w:rsidR="00AE16CF" w:rsidRPr="009B7DB0">
        <w:rPr>
          <w:color w:val="auto"/>
        </w:rPr>
        <w:t xml:space="preserve"> [6]. In a recent study of 1,750 migraine patients, </w:t>
      </w:r>
      <w:r w:rsidR="00D27E55" w:rsidRPr="009B7DB0">
        <w:rPr>
          <w:color w:val="auto"/>
        </w:rPr>
        <w:t>frequent migraine triggers</w:t>
      </w:r>
      <w:r w:rsidR="00AE16CF" w:rsidRPr="009B7DB0">
        <w:rPr>
          <w:color w:val="auto"/>
        </w:rPr>
        <w:t xml:space="preserve"> were stress (79.7%), hormones in women (65.1%), not eating (57.3%), weather (53.2%), </w:t>
      </w:r>
      <w:r w:rsidR="00A46D0D" w:rsidRPr="009B7DB0">
        <w:rPr>
          <w:color w:val="auto"/>
        </w:rPr>
        <w:t xml:space="preserve">disturbed </w:t>
      </w:r>
      <w:r w:rsidR="00AE16CF" w:rsidRPr="009B7DB0">
        <w:rPr>
          <w:color w:val="auto"/>
        </w:rPr>
        <w:t>sleep (49.8%), perfume</w:t>
      </w:r>
      <w:r w:rsidR="00745B84" w:rsidRPr="009B7DB0">
        <w:rPr>
          <w:color w:val="auto"/>
        </w:rPr>
        <w:t>/</w:t>
      </w:r>
      <w:r w:rsidR="00E041F6" w:rsidRPr="009B7DB0">
        <w:rPr>
          <w:color w:val="auto"/>
        </w:rPr>
        <w:t>odor</w:t>
      </w:r>
      <w:r w:rsidR="00AE16CF" w:rsidRPr="009B7DB0">
        <w:rPr>
          <w:color w:val="auto"/>
        </w:rPr>
        <w:t xml:space="preserve"> (43.7%), </w:t>
      </w:r>
      <w:r w:rsidR="00322A6A" w:rsidRPr="009B7DB0">
        <w:rPr>
          <w:color w:val="auto"/>
        </w:rPr>
        <w:t>cervical</w:t>
      </w:r>
      <w:r w:rsidR="00AE16CF" w:rsidRPr="009B7DB0">
        <w:rPr>
          <w:color w:val="auto"/>
        </w:rPr>
        <w:t xml:space="preserve"> pain (38.4%), lights (38.1%), alcohol (37.8%), smoke (35.7%), late</w:t>
      </w:r>
      <w:r w:rsidR="00905922" w:rsidRPr="009B7DB0">
        <w:rPr>
          <w:color w:val="auto"/>
        </w:rPr>
        <w:t xml:space="preserve"> bedtime</w:t>
      </w:r>
      <w:r w:rsidR="00AE16CF" w:rsidRPr="009B7DB0">
        <w:rPr>
          <w:color w:val="auto"/>
        </w:rPr>
        <w:t xml:space="preserve"> (32.0%), heat (30.3%), food (26.9%), exercise (22.1%), and sexual activity (5.2%) [7]. Interestingly, some of these triggers have also been associated with arthritis. For example, those with arthritis have reported sleep disturbance [8], stress and distress [9] as well as neck pain [10]. Moreover, exercise is a recommended non-pharmacological treatment option for those with arthritis but as highlighted above, it is also a trigger for migraine [11].  Finally, the prescription of analgesic drugs is frequent in patients with osteoarthritis [12], and the use of these drugs may worsen headaches [13]. However, to date, only few studies have examined the association between arthritis and migraine [14,15]. </w:t>
      </w:r>
    </w:p>
    <w:p w14:paraId="66955FAE" w14:textId="77777777" w:rsidR="00AE16CF" w:rsidRPr="009B7DB0" w:rsidRDefault="00AE16CF" w:rsidP="0095489F">
      <w:pPr>
        <w:pStyle w:val="MDPI31text"/>
        <w:rPr>
          <w:b/>
          <w:color w:val="auto"/>
        </w:rPr>
      </w:pPr>
      <w:r w:rsidRPr="009B7DB0">
        <w:rPr>
          <w:color w:val="auto"/>
        </w:rPr>
        <w:t xml:space="preserve">Therefore, the aim of the present study was to investigate the association between arthritis and migraine in a large representative sample of American adults. The hypothesis of this study was that arthritis is positively and significantly associated with migraine. Given that there are also important sex and age differences in the epidemiology of arthritis and migraine [16–19], it was further speculated that the relationship between these two chronic disorders would vary between men and women and between younger and older adults. </w:t>
      </w:r>
    </w:p>
    <w:p w14:paraId="0B848BA1" w14:textId="0E437C3D" w:rsidR="00996419" w:rsidRPr="009B7DB0" w:rsidRDefault="0095489F" w:rsidP="0095489F">
      <w:pPr>
        <w:pStyle w:val="MDPI21heading1"/>
        <w:rPr>
          <w:color w:val="auto"/>
        </w:rPr>
      </w:pPr>
      <w:r w:rsidRPr="009B7DB0">
        <w:rPr>
          <w:color w:val="auto"/>
          <w:lang w:eastAsia="zh-CN"/>
        </w:rPr>
        <w:t xml:space="preserve">2. </w:t>
      </w:r>
      <w:r w:rsidR="00996419" w:rsidRPr="009B7DB0">
        <w:rPr>
          <w:color w:val="auto"/>
          <w:lang w:eastAsia="en-US"/>
        </w:rPr>
        <w:t>Experimental Section</w:t>
      </w:r>
    </w:p>
    <w:p w14:paraId="76ED5043" w14:textId="35F6953B" w:rsidR="0085108D" w:rsidRPr="009B7DB0" w:rsidRDefault="00C0107C" w:rsidP="00C0107C">
      <w:pPr>
        <w:pStyle w:val="MDPI22heading2"/>
        <w:rPr>
          <w:color w:val="auto"/>
        </w:rPr>
      </w:pPr>
      <w:r w:rsidRPr="009B7DB0">
        <w:rPr>
          <w:color w:val="auto"/>
        </w:rPr>
        <w:t xml:space="preserve">2.1. </w:t>
      </w:r>
      <w:r w:rsidR="0085108D" w:rsidRPr="009B7DB0">
        <w:rPr>
          <w:color w:val="auto"/>
        </w:rPr>
        <w:t>Study participants</w:t>
      </w:r>
    </w:p>
    <w:p w14:paraId="092D2410" w14:textId="7430593E" w:rsidR="0085108D" w:rsidRPr="009B7DB0" w:rsidRDefault="0085108D" w:rsidP="00C0107C">
      <w:pPr>
        <w:pStyle w:val="MDPI31text"/>
        <w:rPr>
          <w:b/>
          <w:color w:val="auto"/>
        </w:rPr>
      </w:pPr>
      <w:r w:rsidRPr="009B7DB0">
        <w:rPr>
          <w:color w:val="auto"/>
        </w:rPr>
        <w:t xml:space="preserve">This study used data from adults who participated in the RAND American Life Panel (ALP) [20]. The ALP is a US nationally representative panel of more than 6,000 individuals aged ≥18 years from around 4,500 households who have been interviewed on a regular basis via </w:t>
      </w:r>
      <w:r w:rsidR="00E12136" w:rsidRPr="009B7DB0">
        <w:rPr>
          <w:color w:val="auto"/>
        </w:rPr>
        <w:t>I</w:t>
      </w:r>
      <w:r w:rsidRPr="009B7DB0">
        <w:rPr>
          <w:color w:val="auto"/>
        </w:rPr>
        <w:t>nternet since 2006. In 2019, 2,657 adults participated in the Health and Functional Capacity Survey, and 2,649 of them were included in the present study (eight participants were excluded because of complete missing data in sociodemographic variables). Sampling weights were constructed to account for non-response and the probability of being selected using population distributions from the CPS Annual Social and Economic Supplement administered in March each year [20]. The study sample was representative of the US civilian and residential population aged ≥18 years. Finally, all participants gave their consent, and this research was approved by the RAND’s Human Subjects Protection Committee [21].</w:t>
      </w:r>
    </w:p>
    <w:p w14:paraId="23CD27E5" w14:textId="627EA6E7" w:rsidR="0085108D" w:rsidRPr="009B7DB0" w:rsidRDefault="00C0107C" w:rsidP="00C0107C">
      <w:pPr>
        <w:pStyle w:val="MDPI22heading2"/>
        <w:rPr>
          <w:color w:val="auto"/>
        </w:rPr>
      </w:pPr>
      <w:r w:rsidRPr="009B7DB0">
        <w:rPr>
          <w:color w:val="auto"/>
        </w:rPr>
        <w:t xml:space="preserve">2.1. </w:t>
      </w:r>
      <w:r w:rsidR="0085108D" w:rsidRPr="009B7DB0">
        <w:rPr>
          <w:color w:val="auto"/>
        </w:rPr>
        <w:t>Measures</w:t>
      </w:r>
    </w:p>
    <w:p w14:paraId="10804ADF" w14:textId="593B735D" w:rsidR="0085108D" w:rsidRPr="009B7DB0" w:rsidRDefault="0085108D" w:rsidP="007F44AC">
      <w:pPr>
        <w:pStyle w:val="MDPI31text"/>
        <w:rPr>
          <w:color w:val="auto"/>
        </w:rPr>
      </w:pPr>
      <w:r w:rsidRPr="009B7DB0">
        <w:rPr>
          <w:color w:val="auto"/>
        </w:rPr>
        <w:t xml:space="preserve">Arthritis (independent variable). In 2019, participants were asked the following </w:t>
      </w:r>
      <w:r w:rsidR="007F44AC" w:rsidRPr="009B7DB0">
        <w:rPr>
          <w:color w:val="auto"/>
        </w:rPr>
        <w:t xml:space="preserve">two </w:t>
      </w:r>
      <w:r w:rsidRPr="009B7DB0">
        <w:rPr>
          <w:color w:val="auto"/>
        </w:rPr>
        <w:t>yes-no question</w:t>
      </w:r>
      <w:r w:rsidR="007F44AC" w:rsidRPr="009B7DB0">
        <w:rPr>
          <w:color w:val="auto"/>
        </w:rPr>
        <w:t>s</w:t>
      </w:r>
      <w:r w:rsidRPr="009B7DB0">
        <w:rPr>
          <w:color w:val="auto"/>
        </w:rPr>
        <w:t>: “Do you suffer from arthritis?”</w:t>
      </w:r>
      <w:r w:rsidR="007F44AC" w:rsidRPr="009B7DB0">
        <w:rPr>
          <w:color w:val="auto"/>
        </w:rPr>
        <w:t xml:space="preserve"> and “Do you suffer from rheumatoid arthritis?”. In order to increase the relative prevalence of osteoarthritis among participants with arthritis, individuals </w:t>
      </w:r>
      <w:r w:rsidR="007F44AC" w:rsidRPr="009B7DB0">
        <w:rPr>
          <w:color w:val="auto"/>
        </w:rPr>
        <w:lastRenderedPageBreak/>
        <w:t xml:space="preserve">reporting rheumatoid arthritis were excluded from the arthritis group. </w:t>
      </w:r>
      <w:r w:rsidRPr="009B7DB0">
        <w:rPr>
          <w:color w:val="auto"/>
        </w:rPr>
        <w:t xml:space="preserve">Previous research has showed that self-reported arthritis is validated in the general population [22]. </w:t>
      </w:r>
    </w:p>
    <w:p w14:paraId="24C4F5DA" w14:textId="77777777" w:rsidR="0085108D" w:rsidRPr="009B7DB0" w:rsidRDefault="0085108D" w:rsidP="00C0107C">
      <w:pPr>
        <w:pStyle w:val="MDPI31text"/>
        <w:rPr>
          <w:b/>
          <w:color w:val="auto"/>
        </w:rPr>
      </w:pPr>
      <w:r w:rsidRPr="009B7DB0">
        <w:rPr>
          <w:color w:val="auto"/>
        </w:rPr>
        <w:t xml:space="preserve">Migraine (dependent variable). Given that self-reported migraine is highly and positively correlated with clinical migraine [23], in 2019, migraine was assessed with the question: “Do you suffer from migraine?” (yes and no answers). </w:t>
      </w:r>
    </w:p>
    <w:p w14:paraId="33185F73" w14:textId="77777777" w:rsidR="0085108D" w:rsidRPr="009B7DB0" w:rsidRDefault="0085108D" w:rsidP="00C0107C">
      <w:pPr>
        <w:pStyle w:val="MDPI31text"/>
        <w:rPr>
          <w:b/>
          <w:color w:val="auto"/>
        </w:rPr>
      </w:pPr>
      <w:r w:rsidRPr="009B7DB0">
        <w:rPr>
          <w:color w:val="auto"/>
        </w:rPr>
        <w:t>Control variables. The present study included sex (male and female), age (in years), ethnicity (White/Caucasian and Other), marital status (single/separated/divorced/widowed and married/in a domestic partnership), education (≤primary/secondary and ≥tertiary), employment (yes and no), annual family income (&lt;$20,000, $20,000-&lt;$40,000, $40,000-&lt;$60,000, $60,000-&lt;$75,000, and ≥$75,000), stroke (yes and no), epilepsy (yes and no), coronary artery disease (yes and no), asthma (yes and no), depression (yes and no), anxiety (yes and no), bipolar disorder (yes and no), and alcohol dependence (yes and no). All control variables were assessed in 2019 except employment which was assessed in 2017 and 2018. Furthermore, there were missing data in other sociodemographic variables for around 10.5% of the sample, and these missing observations were filled in using data obtained in 2017 and 2018.</w:t>
      </w:r>
    </w:p>
    <w:p w14:paraId="49127B8B" w14:textId="71C873DF" w:rsidR="0085108D" w:rsidRPr="009B7DB0" w:rsidRDefault="00C0107C" w:rsidP="00C0107C">
      <w:pPr>
        <w:pStyle w:val="MDPI22heading2"/>
        <w:rPr>
          <w:color w:val="auto"/>
        </w:rPr>
      </w:pPr>
      <w:r w:rsidRPr="009B7DB0">
        <w:rPr>
          <w:color w:val="auto"/>
        </w:rPr>
        <w:t xml:space="preserve">2.1. </w:t>
      </w:r>
      <w:r w:rsidR="0085108D" w:rsidRPr="009B7DB0">
        <w:rPr>
          <w:color w:val="auto"/>
        </w:rPr>
        <w:t>Statistical analyses</w:t>
      </w:r>
    </w:p>
    <w:p w14:paraId="651A693F" w14:textId="0E130C16" w:rsidR="0085108D" w:rsidRPr="009B7DB0" w:rsidRDefault="0085108D" w:rsidP="00C0107C">
      <w:pPr>
        <w:pStyle w:val="MDPI31text"/>
        <w:rPr>
          <w:b/>
          <w:color w:val="auto"/>
        </w:rPr>
      </w:pPr>
      <w:r w:rsidRPr="009B7DB0">
        <w:rPr>
          <w:color w:val="auto"/>
        </w:rPr>
        <w:t xml:space="preserve">Differences in the sample characteristics </w:t>
      </w:r>
      <w:r w:rsidR="0004514F" w:rsidRPr="009B7DB0">
        <w:rPr>
          <w:color w:val="auto"/>
        </w:rPr>
        <w:t>by arthritis and migraine status</w:t>
      </w:r>
      <w:r w:rsidR="00661A08" w:rsidRPr="009B7DB0">
        <w:rPr>
          <w:color w:val="auto"/>
        </w:rPr>
        <w:t xml:space="preserve"> </w:t>
      </w:r>
      <w:r w:rsidRPr="009B7DB0">
        <w:rPr>
          <w:color w:val="auto"/>
        </w:rPr>
        <w:t>were assessed by chi-squared tests for all variables except age (t-test</w:t>
      </w:r>
      <w:r w:rsidR="00787EA3" w:rsidRPr="009B7DB0">
        <w:rPr>
          <w:color w:val="auto"/>
        </w:rPr>
        <w:t>s</w:t>
      </w:r>
      <w:r w:rsidRPr="009B7DB0">
        <w:rPr>
          <w:color w:val="auto"/>
        </w:rPr>
        <w:t>). The prevalence of migraine was also studied in the overall population and in sex and age subgroups. The association between arthritis (independent variable) and migraine (dependent variable) was further analyzed in the overall population using a logistic regression model adjusted for several potential confounders (sex, age, ethnicity, marital status, education, employment, annual family income, stroke, epilepsy, coronary artery disease, asthma, depression, anxiety, bipolar disorder, and alcohol dependence). After conducting interaction analyses by including the product terms of arthritis X sex and arthritis X age in the regression model, the relationship between arthritis and migraine was also investigated in sex- and age- stratified samples (men, women, adults aged ≤45 years, those aged 46-65 years, and those aged &gt;65 years). The results from the logistic regression analyses are presented as odds ratios (ORs) and 95% confidence intervals (CIs). There were missing data only for employment (0.4%; N=10) and annual family income (0.2%; N=4), and complete-case analysis was carried out. The sample weighting was taken into account in all analyses. P-values &lt;0.05 were considered statistically significant. All analyses were performed with R 3.6.2 (The R Foundation) [24].</w:t>
      </w:r>
    </w:p>
    <w:p w14:paraId="4144895A" w14:textId="09B92302" w:rsidR="00996419" w:rsidRPr="009B7DB0" w:rsidRDefault="00EF61F4" w:rsidP="00EF61F4">
      <w:pPr>
        <w:pStyle w:val="MDPI21heading1"/>
        <w:rPr>
          <w:color w:val="auto"/>
        </w:rPr>
      </w:pPr>
      <w:r w:rsidRPr="009B7DB0">
        <w:rPr>
          <w:color w:val="auto"/>
        </w:rPr>
        <w:t xml:space="preserve">3. </w:t>
      </w:r>
      <w:r w:rsidR="00996419" w:rsidRPr="009B7DB0">
        <w:rPr>
          <w:color w:val="auto"/>
        </w:rPr>
        <w:t>Results</w:t>
      </w:r>
    </w:p>
    <w:p w14:paraId="6AE40E84" w14:textId="1F1BB2E5" w:rsidR="00790181" w:rsidRPr="009B7DB0" w:rsidRDefault="00766346" w:rsidP="00EF61F4">
      <w:pPr>
        <w:pStyle w:val="MDPI31text"/>
        <w:rPr>
          <w:color w:val="auto"/>
        </w:rPr>
      </w:pPr>
      <w:r w:rsidRPr="009B7DB0">
        <w:rPr>
          <w:color w:val="auto"/>
        </w:rPr>
        <w:t xml:space="preserve">This study included 2,649 adults (51.7% women; mean [standard deviation] age 50.6 [15.9] years; Table 1). There were </w:t>
      </w:r>
      <w:r w:rsidR="0062481B" w:rsidRPr="009B7DB0">
        <w:rPr>
          <w:color w:val="auto"/>
        </w:rPr>
        <w:t>796</w:t>
      </w:r>
      <w:r w:rsidRPr="009B7DB0">
        <w:rPr>
          <w:color w:val="auto"/>
        </w:rPr>
        <w:t xml:space="preserve"> participants with and 1,8</w:t>
      </w:r>
      <w:r w:rsidR="0062481B" w:rsidRPr="009B7DB0">
        <w:rPr>
          <w:color w:val="auto"/>
        </w:rPr>
        <w:t>53</w:t>
      </w:r>
      <w:r w:rsidRPr="009B7DB0">
        <w:rPr>
          <w:color w:val="auto"/>
        </w:rPr>
        <w:t xml:space="preserve"> participants without arthritis. Female sex, older age, no employment, coronary artery disease, asthma, depression, and anxiety were more frequent in people with arthritis. The prevalence of migraine was 10.7% in the overall population, and this prevalence was significantly higher in women and younger adults than in men and older adults, respectively (Figure 1). The results of the regression analyses are displayed in Figure 2. After adjusting for several potential confounders (sex, age, ethnicity, marital status, education, employment, annual family income, stroke, epilepsy, coronary artery disease, asthma, depression, anxiety, bipolar disorder, and alcohol dependence), there was a positive and significant association between arthritis and migraine (OR=1.8</w:t>
      </w:r>
      <w:r w:rsidR="00530241" w:rsidRPr="009B7DB0">
        <w:rPr>
          <w:color w:val="auto"/>
        </w:rPr>
        <w:t>3</w:t>
      </w:r>
      <w:r w:rsidRPr="009B7DB0">
        <w:rPr>
          <w:color w:val="auto"/>
        </w:rPr>
        <w:t>, 95% CI=1.2</w:t>
      </w:r>
      <w:r w:rsidR="008D5867" w:rsidRPr="009B7DB0">
        <w:rPr>
          <w:color w:val="auto"/>
        </w:rPr>
        <w:t>0</w:t>
      </w:r>
      <w:r w:rsidRPr="009B7DB0">
        <w:rPr>
          <w:color w:val="auto"/>
        </w:rPr>
        <w:t>-2.</w:t>
      </w:r>
      <w:r w:rsidR="00A03271" w:rsidRPr="009B7DB0">
        <w:rPr>
          <w:color w:val="auto"/>
        </w:rPr>
        <w:t>81</w:t>
      </w:r>
      <w:r w:rsidRPr="009B7DB0">
        <w:rPr>
          <w:color w:val="auto"/>
        </w:rPr>
        <w:t xml:space="preserve">). Interaction analyses showed that sex </w:t>
      </w:r>
      <w:r w:rsidR="00224A22" w:rsidRPr="009B7DB0">
        <w:rPr>
          <w:color w:val="auto"/>
        </w:rPr>
        <w:t>tended to be a</w:t>
      </w:r>
      <w:r w:rsidRPr="009B7DB0">
        <w:rPr>
          <w:color w:val="auto"/>
        </w:rPr>
        <w:t xml:space="preserve"> significant effect modifier in the arthritis-migraine relationship</w:t>
      </w:r>
      <w:r w:rsidR="00224A22" w:rsidRPr="009B7DB0">
        <w:rPr>
          <w:color w:val="auto"/>
        </w:rPr>
        <w:t xml:space="preserve"> (p-value=0.058)</w:t>
      </w:r>
      <w:r w:rsidRPr="009B7DB0">
        <w:rPr>
          <w:color w:val="auto"/>
        </w:rPr>
        <w:t>, and the association was only significant in women (OR=2.</w:t>
      </w:r>
      <w:r w:rsidR="006F76EC" w:rsidRPr="009B7DB0">
        <w:rPr>
          <w:color w:val="auto"/>
        </w:rPr>
        <w:t>33</w:t>
      </w:r>
      <w:r w:rsidRPr="009B7DB0">
        <w:rPr>
          <w:color w:val="auto"/>
        </w:rPr>
        <w:t>, 95% CI=1.</w:t>
      </w:r>
      <w:r w:rsidR="006F76EC" w:rsidRPr="009B7DB0">
        <w:rPr>
          <w:color w:val="auto"/>
        </w:rPr>
        <w:t>44</w:t>
      </w:r>
      <w:r w:rsidRPr="009B7DB0">
        <w:rPr>
          <w:color w:val="auto"/>
        </w:rPr>
        <w:t>-</w:t>
      </w:r>
      <w:r w:rsidR="006F76EC" w:rsidRPr="009B7DB0">
        <w:rPr>
          <w:color w:val="auto"/>
        </w:rPr>
        <w:t>3.77</w:t>
      </w:r>
      <w:r w:rsidRPr="009B7DB0">
        <w:rPr>
          <w:color w:val="auto"/>
        </w:rPr>
        <w:t xml:space="preserve">). Age </w:t>
      </w:r>
      <w:r w:rsidR="005536F1" w:rsidRPr="009B7DB0">
        <w:rPr>
          <w:color w:val="auto"/>
        </w:rPr>
        <w:t>further</w:t>
      </w:r>
      <w:r w:rsidRPr="009B7DB0">
        <w:rPr>
          <w:color w:val="auto"/>
        </w:rPr>
        <w:t xml:space="preserve"> modified the association between arthritis and migraine which was found to be significant in adults aged ≤45 years (OR=3.</w:t>
      </w:r>
      <w:r w:rsidR="005536F1" w:rsidRPr="009B7DB0">
        <w:rPr>
          <w:color w:val="auto"/>
        </w:rPr>
        <w:t>12</w:t>
      </w:r>
      <w:r w:rsidRPr="009B7DB0">
        <w:rPr>
          <w:color w:val="auto"/>
        </w:rPr>
        <w:t>, 95% CI=1.</w:t>
      </w:r>
      <w:r w:rsidR="005536F1" w:rsidRPr="009B7DB0">
        <w:rPr>
          <w:color w:val="auto"/>
        </w:rPr>
        <w:t>36</w:t>
      </w:r>
      <w:r w:rsidRPr="009B7DB0">
        <w:rPr>
          <w:color w:val="auto"/>
        </w:rPr>
        <w:t>-7.</w:t>
      </w:r>
      <w:r w:rsidR="005536F1" w:rsidRPr="009B7DB0">
        <w:rPr>
          <w:color w:val="auto"/>
        </w:rPr>
        <w:t>17</w:t>
      </w:r>
      <w:r w:rsidRPr="009B7DB0">
        <w:rPr>
          <w:color w:val="auto"/>
        </w:rPr>
        <w:t>) and aged &gt;65 years (OR=</w:t>
      </w:r>
      <w:r w:rsidR="005536F1" w:rsidRPr="009B7DB0">
        <w:rPr>
          <w:color w:val="auto"/>
        </w:rPr>
        <w:t>2.87</w:t>
      </w:r>
      <w:r w:rsidRPr="009B7DB0">
        <w:rPr>
          <w:color w:val="auto"/>
        </w:rPr>
        <w:t>, 95% CI=1.</w:t>
      </w:r>
      <w:r w:rsidR="009C086B" w:rsidRPr="009B7DB0">
        <w:rPr>
          <w:color w:val="auto"/>
        </w:rPr>
        <w:t>12</w:t>
      </w:r>
      <w:r w:rsidRPr="009B7DB0">
        <w:rPr>
          <w:color w:val="auto"/>
        </w:rPr>
        <w:t>-</w:t>
      </w:r>
      <w:r w:rsidR="00AB5597" w:rsidRPr="009B7DB0">
        <w:rPr>
          <w:color w:val="auto"/>
        </w:rPr>
        <w:t>7.37</w:t>
      </w:r>
      <w:r w:rsidRPr="009B7DB0">
        <w:rPr>
          <w:color w:val="auto"/>
        </w:rPr>
        <w:t>).</w:t>
      </w:r>
    </w:p>
    <w:p w14:paraId="55218C22" w14:textId="77777777" w:rsidR="00790181" w:rsidRPr="009B7DB0" w:rsidRDefault="00790181">
      <w:pPr>
        <w:spacing w:line="240" w:lineRule="auto"/>
        <w:jc w:val="left"/>
        <w:rPr>
          <w:rFonts w:ascii="Palatino Linotype" w:hAnsi="Palatino Linotype"/>
          <w:snapToGrid w:val="0"/>
          <w:color w:val="auto"/>
          <w:sz w:val="20"/>
          <w:szCs w:val="22"/>
          <w:lang w:bidi="en-US"/>
        </w:rPr>
      </w:pPr>
      <w:r w:rsidRPr="009B7DB0">
        <w:rPr>
          <w:color w:val="auto"/>
        </w:rPr>
        <w:br w:type="page"/>
      </w:r>
    </w:p>
    <w:p w14:paraId="6368BE95" w14:textId="77777777" w:rsidR="00766346" w:rsidRPr="009B7DB0" w:rsidRDefault="00766346" w:rsidP="00EF61F4">
      <w:pPr>
        <w:pStyle w:val="MDPI31text"/>
        <w:rPr>
          <w:i/>
          <w:color w:val="auto"/>
        </w:rPr>
      </w:pPr>
    </w:p>
    <w:p w14:paraId="4A0DDFA7" w14:textId="7255E9D2" w:rsidR="00A123E9" w:rsidRPr="009B7DB0" w:rsidRDefault="00EF61F4" w:rsidP="00EF61F4">
      <w:pPr>
        <w:pStyle w:val="MDPI41tablecaption"/>
        <w:jc w:val="center"/>
        <w:rPr>
          <w:color w:val="auto"/>
        </w:rPr>
      </w:pPr>
      <w:r w:rsidRPr="009B7DB0">
        <w:rPr>
          <w:b/>
          <w:bCs/>
          <w:color w:val="auto"/>
        </w:rPr>
        <w:t>Table 1.</w:t>
      </w:r>
      <w:r w:rsidR="00A123E9" w:rsidRPr="009B7DB0">
        <w:rPr>
          <w:b/>
          <w:bCs/>
          <w:color w:val="auto"/>
        </w:rPr>
        <w:t xml:space="preserve"> </w:t>
      </w:r>
      <w:r w:rsidR="00A123E9" w:rsidRPr="009B7DB0">
        <w:rPr>
          <w:color w:val="auto"/>
        </w:rPr>
        <w:t xml:space="preserve">Sample characteristics (overall and by arthritis </w:t>
      </w:r>
      <w:r w:rsidR="00481D83" w:rsidRPr="009B7DB0">
        <w:rPr>
          <w:color w:val="auto"/>
        </w:rPr>
        <w:t xml:space="preserve">and migraine </w:t>
      </w:r>
      <w:r w:rsidR="00A123E9" w:rsidRPr="009B7DB0">
        <w:rPr>
          <w:color w:val="auto"/>
        </w:rPr>
        <w:t>status)</w:t>
      </w:r>
      <w:r w:rsidRPr="009B7DB0">
        <w:rPr>
          <w:color w:val="auto"/>
        </w:rPr>
        <w:t>.</w:t>
      </w:r>
    </w:p>
    <w:tbl>
      <w:tblPr>
        <w:tblStyle w:val="TableGrid"/>
        <w:tblW w:w="6044" w:type="pct"/>
        <w:jc w:val="center"/>
        <w:tblLook w:val="04A0" w:firstRow="1" w:lastRow="0" w:firstColumn="1" w:lastColumn="0" w:noHBand="0" w:noVBand="1"/>
      </w:tblPr>
      <w:tblGrid>
        <w:gridCol w:w="233"/>
        <w:gridCol w:w="1255"/>
        <w:gridCol w:w="3124"/>
        <w:gridCol w:w="981"/>
        <w:gridCol w:w="981"/>
        <w:gridCol w:w="847"/>
        <w:gridCol w:w="721"/>
        <w:gridCol w:w="981"/>
        <w:gridCol w:w="847"/>
        <w:gridCol w:w="721"/>
      </w:tblGrid>
      <w:tr w:rsidR="009B7DB0" w:rsidRPr="009B7DB0" w14:paraId="5C7B8025" w14:textId="43119D8B" w:rsidTr="00634642">
        <w:trPr>
          <w:jc w:val="center"/>
        </w:trPr>
        <w:tc>
          <w:tcPr>
            <w:tcW w:w="696" w:type="pct"/>
            <w:gridSpan w:val="2"/>
            <w:vMerge w:val="restart"/>
            <w:tcBorders>
              <w:top w:val="single" w:sz="8" w:space="0" w:color="auto"/>
              <w:left w:val="nil"/>
              <w:bottom w:val="nil"/>
              <w:right w:val="nil"/>
            </w:tcBorders>
            <w:shd w:val="clear" w:color="auto" w:fill="auto"/>
            <w:vAlign w:val="center"/>
          </w:tcPr>
          <w:p w14:paraId="1149F3B2" w14:textId="77777777"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r w:rsidRPr="009B7DB0">
              <w:rPr>
                <w:rFonts w:ascii="Palatino Linotype" w:hAnsi="Palatino Linotype"/>
                <w:b/>
                <w:bCs/>
                <w:color w:val="auto"/>
                <w:sz w:val="18"/>
              </w:rPr>
              <w:t>Characteristics</w:t>
            </w:r>
          </w:p>
        </w:tc>
        <w:tc>
          <w:tcPr>
            <w:tcW w:w="1461" w:type="pct"/>
            <w:vMerge w:val="restart"/>
            <w:tcBorders>
              <w:top w:val="single" w:sz="8" w:space="0" w:color="auto"/>
              <w:left w:val="nil"/>
              <w:bottom w:val="nil"/>
              <w:right w:val="nil"/>
            </w:tcBorders>
            <w:shd w:val="clear" w:color="auto" w:fill="auto"/>
            <w:vAlign w:val="center"/>
          </w:tcPr>
          <w:p w14:paraId="5D16A7F6" w14:textId="77777777"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r w:rsidRPr="009B7DB0">
              <w:rPr>
                <w:rFonts w:ascii="Palatino Linotype" w:hAnsi="Palatino Linotype"/>
                <w:b/>
                <w:bCs/>
                <w:color w:val="auto"/>
                <w:sz w:val="18"/>
              </w:rPr>
              <w:t>Category</w:t>
            </w:r>
          </w:p>
        </w:tc>
        <w:tc>
          <w:tcPr>
            <w:tcW w:w="459" w:type="pct"/>
            <w:vMerge w:val="restart"/>
            <w:tcBorders>
              <w:top w:val="single" w:sz="8" w:space="0" w:color="auto"/>
              <w:left w:val="nil"/>
              <w:bottom w:val="nil"/>
              <w:right w:val="nil"/>
            </w:tcBorders>
            <w:shd w:val="clear" w:color="auto" w:fill="auto"/>
            <w:vAlign w:val="center"/>
          </w:tcPr>
          <w:p w14:paraId="49368054" w14:textId="77777777"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r w:rsidRPr="009B7DB0">
              <w:rPr>
                <w:rFonts w:ascii="Palatino Linotype" w:hAnsi="Palatino Linotype"/>
                <w:b/>
                <w:bCs/>
                <w:color w:val="auto"/>
                <w:sz w:val="18"/>
              </w:rPr>
              <w:t>Overall (N=2,649)</w:t>
            </w:r>
          </w:p>
        </w:tc>
        <w:tc>
          <w:tcPr>
            <w:tcW w:w="855" w:type="pct"/>
            <w:gridSpan w:val="2"/>
            <w:tcBorders>
              <w:top w:val="single" w:sz="8" w:space="0" w:color="auto"/>
              <w:left w:val="nil"/>
              <w:bottom w:val="nil"/>
              <w:right w:val="nil"/>
            </w:tcBorders>
            <w:shd w:val="clear" w:color="auto" w:fill="auto"/>
            <w:vAlign w:val="center"/>
          </w:tcPr>
          <w:p w14:paraId="4AE5E8F0" w14:textId="77777777"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r w:rsidRPr="009B7DB0">
              <w:rPr>
                <w:rFonts w:ascii="Palatino Linotype" w:hAnsi="Palatino Linotype"/>
                <w:b/>
                <w:bCs/>
                <w:color w:val="auto"/>
                <w:sz w:val="18"/>
              </w:rPr>
              <w:t>Arthritis</w:t>
            </w:r>
          </w:p>
        </w:tc>
        <w:tc>
          <w:tcPr>
            <w:tcW w:w="337" w:type="pct"/>
            <w:vMerge w:val="restart"/>
            <w:tcBorders>
              <w:top w:val="single" w:sz="8" w:space="0" w:color="auto"/>
              <w:left w:val="nil"/>
              <w:bottom w:val="nil"/>
              <w:right w:val="nil"/>
            </w:tcBorders>
            <w:shd w:val="clear" w:color="auto" w:fill="auto"/>
            <w:vAlign w:val="center"/>
          </w:tcPr>
          <w:p w14:paraId="71261188" w14:textId="77777777"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r w:rsidRPr="009B7DB0">
              <w:rPr>
                <w:rFonts w:ascii="Palatino Linotype" w:hAnsi="Palatino Linotype"/>
                <w:b/>
                <w:bCs/>
                <w:color w:val="auto"/>
                <w:sz w:val="18"/>
              </w:rPr>
              <w:t>P-value</w:t>
            </w:r>
            <w:r w:rsidRPr="009B7DB0">
              <w:rPr>
                <w:rFonts w:ascii="Palatino Linotype" w:hAnsi="Palatino Linotype"/>
                <w:b/>
                <w:bCs/>
                <w:color w:val="auto"/>
                <w:sz w:val="18"/>
                <w:vertAlign w:val="superscript"/>
              </w:rPr>
              <w:t>1</w:t>
            </w:r>
          </w:p>
        </w:tc>
        <w:tc>
          <w:tcPr>
            <w:tcW w:w="855" w:type="pct"/>
            <w:gridSpan w:val="2"/>
            <w:tcBorders>
              <w:top w:val="single" w:sz="8" w:space="0" w:color="auto"/>
              <w:left w:val="nil"/>
              <w:bottom w:val="nil"/>
              <w:right w:val="nil"/>
            </w:tcBorders>
            <w:vAlign w:val="center"/>
          </w:tcPr>
          <w:p w14:paraId="36EC402A" w14:textId="0F5B7D0F" w:rsidR="00562B58" w:rsidRPr="009B7DB0" w:rsidRDefault="00562B58" w:rsidP="008206CF">
            <w:pPr>
              <w:autoSpaceDE w:val="0"/>
              <w:autoSpaceDN w:val="0"/>
              <w:adjustRightInd w:val="0"/>
              <w:snapToGrid w:val="0"/>
              <w:spacing w:line="240" w:lineRule="auto"/>
              <w:jc w:val="center"/>
              <w:rPr>
                <w:rFonts w:ascii="Palatino Linotype" w:hAnsi="Palatino Linotype"/>
                <w:b/>
                <w:bCs/>
                <w:color w:val="auto"/>
                <w:sz w:val="18"/>
              </w:rPr>
            </w:pPr>
            <w:r w:rsidRPr="009B7DB0">
              <w:rPr>
                <w:rFonts w:ascii="Palatino Linotype" w:hAnsi="Palatino Linotype"/>
                <w:b/>
                <w:bCs/>
                <w:color w:val="auto"/>
                <w:sz w:val="18"/>
              </w:rPr>
              <w:t>Migraine</w:t>
            </w:r>
          </w:p>
        </w:tc>
        <w:tc>
          <w:tcPr>
            <w:tcW w:w="337" w:type="pct"/>
            <w:vMerge w:val="restart"/>
            <w:tcBorders>
              <w:top w:val="single" w:sz="8" w:space="0" w:color="auto"/>
              <w:left w:val="nil"/>
              <w:right w:val="nil"/>
            </w:tcBorders>
            <w:vAlign w:val="center"/>
          </w:tcPr>
          <w:p w14:paraId="15D5C8DF" w14:textId="3966A17A" w:rsidR="00562B58" w:rsidRPr="009B7DB0" w:rsidRDefault="00562B58" w:rsidP="008206CF">
            <w:pPr>
              <w:autoSpaceDE w:val="0"/>
              <w:autoSpaceDN w:val="0"/>
              <w:adjustRightInd w:val="0"/>
              <w:snapToGrid w:val="0"/>
              <w:spacing w:line="240" w:lineRule="auto"/>
              <w:jc w:val="center"/>
              <w:rPr>
                <w:rFonts w:ascii="Palatino Linotype" w:hAnsi="Palatino Linotype"/>
                <w:b/>
                <w:bCs/>
                <w:color w:val="auto"/>
                <w:sz w:val="18"/>
              </w:rPr>
            </w:pPr>
            <w:r w:rsidRPr="009B7DB0">
              <w:rPr>
                <w:rFonts w:ascii="Palatino Linotype" w:hAnsi="Palatino Linotype"/>
                <w:b/>
                <w:bCs/>
                <w:color w:val="auto"/>
                <w:sz w:val="18"/>
              </w:rPr>
              <w:t>P-value</w:t>
            </w:r>
            <w:r w:rsidRPr="009B7DB0">
              <w:rPr>
                <w:rFonts w:ascii="Palatino Linotype" w:hAnsi="Palatino Linotype"/>
                <w:b/>
                <w:bCs/>
                <w:color w:val="auto"/>
                <w:sz w:val="18"/>
                <w:vertAlign w:val="superscript"/>
              </w:rPr>
              <w:t>1</w:t>
            </w:r>
          </w:p>
        </w:tc>
      </w:tr>
      <w:tr w:rsidR="009B7DB0" w:rsidRPr="009B7DB0" w14:paraId="3DB9768E" w14:textId="4587D1A7" w:rsidTr="00634642">
        <w:trPr>
          <w:jc w:val="center"/>
        </w:trPr>
        <w:tc>
          <w:tcPr>
            <w:tcW w:w="696" w:type="pct"/>
            <w:gridSpan w:val="2"/>
            <w:vMerge/>
            <w:tcBorders>
              <w:top w:val="nil"/>
              <w:left w:val="nil"/>
              <w:bottom w:val="single" w:sz="4" w:space="0" w:color="auto"/>
              <w:right w:val="nil"/>
            </w:tcBorders>
            <w:shd w:val="clear" w:color="auto" w:fill="auto"/>
            <w:vAlign w:val="center"/>
          </w:tcPr>
          <w:p w14:paraId="08F00175" w14:textId="77777777"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p>
        </w:tc>
        <w:tc>
          <w:tcPr>
            <w:tcW w:w="1461" w:type="pct"/>
            <w:vMerge/>
            <w:tcBorders>
              <w:top w:val="nil"/>
              <w:left w:val="nil"/>
              <w:bottom w:val="single" w:sz="4" w:space="0" w:color="auto"/>
              <w:right w:val="nil"/>
            </w:tcBorders>
            <w:shd w:val="clear" w:color="auto" w:fill="auto"/>
            <w:vAlign w:val="center"/>
          </w:tcPr>
          <w:p w14:paraId="7A749C33" w14:textId="77777777"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p>
        </w:tc>
        <w:tc>
          <w:tcPr>
            <w:tcW w:w="459" w:type="pct"/>
            <w:vMerge/>
            <w:tcBorders>
              <w:top w:val="nil"/>
              <w:left w:val="nil"/>
              <w:bottom w:val="single" w:sz="4" w:space="0" w:color="auto"/>
              <w:right w:val="nil"/>
            </w:tcBorders>
            <w:shd w:val="clear" w:color="auto" w:fill="auto"/>
            <w:vAlign w:val="center"/>
          </w:tcPr>
          <w:p w14:paraId="6699414B" w14:textId="77777777"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p>
        </w:tc>
        <w:tc>
          <w:tcPr>
            <w:tcW w:w="459" w:type="pct"/>
            <w:tcBorders>
              <w:top w:val="nil"/>
              <w:left w:val="nil"/>
              <w:bottom w:val="single" w:sz="4" w:space="0" w:color="auto"/>
              <w:right w:val="nil"/>
            </w:tcBorders>
            <w:shd w:val="clear" w:color="auto" w:fill="auto"/>
            <w:vAlign w:val="center"/>
          </w:tcPr>
          <w:p w14:paraId="206AC253" w14:textId="456DE99D"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r w:rsidRPr="009B7DB0">
              <w:rPr>
                <w:rFonts w:ascii="Palatino Linotype" w:hAnsi="Palatino Linotype"/>
                <w:b/>
                <w:bCs/>
                <w:color w:val="auto"/>
                <w:sz w:val="18"/>
              </w:rPr>
              <w:t>No (N=1,853)</w:t>
            </w:r>
          </w:p>
        </w:tc>
        <w:tc>
          <w:tcPr>
            <w:tcW w:w="396" w:type="pct"/>
            <w:tcBorders>
              <w:top w:val="nil"/>
              <w:left w:val="nil"/>
              <w:bottom w:val="single" w:sz="4" w:space="0" w:color="auto"/>
              <w:right w:val="nil"/>
            </w:tcBorders>
            <w:shd w:val="clear" w:color="auto" w:fill="auto"/>
            <w:vAlign w:val="center"/>
          </w:tcPr>
          <w:p w14:paraId="3AADA918" w14:textId="131A398C"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r w:rsidRPr="009B7DB0">
              <w:rPr>
                <w:rFonts w:ascii="Palatino Linotype" w:hAnsi="Palatino Linotype"/>
                <w:b/>
                <w:bCs/>
                <w:color w:val="auto"/>
                <w:sz w:val="18"/>
              </w:rPr>
              <w:t>Yes (N=796)</w:t>
            </w:r>
          </w:p>
        </w:tc>
        <w:tc>
          <w:tcPr>
            <w:tcW w:w="337" w:type="pct"/>
            <w:vMerge/>
            <w:tcBorders>
              <w:top w:val="nil"/>
              <w:left w:val="nil"/>
              <w:bottom w:val="single" w:sz="4" w:space="0" w:color="auto"/>
              <w:right w:val="nil"/>
            </w:tcBorders>
            <w:shd w:val="clear" w:color="auto" w:fill="auto"/>
            <w:vAlign w:val="center"/>
          </w:tcPr>
          <w:p w14:paraId="333CC760" w14:textId="77777777" w:rsidR="00562B58" w:rsidRPr="009B7DB0" w:rsidRDefault="00562B58"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single" w:sz="4" w:space="0" w:color="auto"/>
              <w:right w:val="nil"/>
            </w:tcBorders>
          </w:tcPr>
          <w:p w14:paraId="02CF56C0" w14:textId="232CC688"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r w:rsidRPr="009B7DB0">
              <w:rPr>
                <w:rFonts w:ascii="Palatino Linotype" w:hAnsi="Palatino Linotype"/>
                <w:b/>
                <w:bCs/>
                <w:color w:val="auto"/>
                <w:sz w:val="18"/>
              </w:rPr>
              <w:t>No</w:t>
            </w:r>
            <w:r w:rsidR="006F03CB" w:rsidRPr="009B7DB0">
              <w:rPr>
                <w:rFonts w:ascii="Palatino Linotype" w:hAnsi="Palatino Linotype"/>
                <w:b/>
                <w:bCs/>
                <w:color w:val="auto"/>
                <w:sz w:val="18"/>
              </w:rPr>
              <w:t xml:space="preserve"> (N=</w:t>
            </w:r>
            <w:r w:rsidR="00672067" w:rsidRPr="009B7DB0">
              <w:rPr>
                <w:rFonts w:ascii="Palatino Linotype" w:hAnsi="Palatino Linotype"/>
                <w:b/>
                <w:bCs/>
                <w:color w:val="auto"/>
                <w:sz w:val="18"/>
              </w:rPr>
              <w:t>2,377</w:t>
            </w:r>
            <w:r w:rsidR="006F03CB" w:rsidRPr="009B7DB0">
              <w:rPr>
                <w:rFonts w:ascii="Palatino Linotype" w:hAnsi="Palatino Linotype"/>
                <w:b/>
                <w:bCs/>
                <w:color w:val="auto"/>
                <w:sz w:val="18"/>
              </w:rPr>
              <w:t>)</w:t>
            </w:r>
          </w:p>
        </w:tc>
        <w:tc>
          <w:tcPr>
            <w:tcW w:w="396" w:type="pct"/>
            <w:tcBorders>
              <w:top w:val="nil"/>
              <w:left w:val="nil"/>
              <w:bottom w:val="single" w:sz="4" w:space="0" w:color="auto"/>
              <w:right w:val="nil"/>
            </w:tcBorders>
          </w:tcPr>
          <w:p w14:paraId="10CBBE14" w14:textId="77103B4D" w:rsidR="00562B58" w:rsidRPr="009B7DB0" w:rsidRDefault="00562B58" w:rsidP="00EF61F4">
            <w:pPr>
              <w:autoSpaceDE w:val="0"/>
              <w:autoSpaceDN w:val="0"/>
              <w:adjustRightInd w:val="0"/>
              <w:snapToGrid w:val="0"/>
              <w:spacing w:line="240" w:lineRule="auto"/>
              <w:jc w:val="center"/>
              <w:rPr>
                <w:rFonts w:ascii="Palatino Linotype" w:hAnsi="Palatino Linotype"/>
                <w:b/>
                <w:bCs/>
                <w:color w:val="auto"/>
                <w:sz w:val="18"/>
              </w:rPr>
            </w:pPr>
            <w:r w:rsidRPr="009B7DB0">
              <w:rPr>
                <w:rFonts w:ascii="Palatino Linotype" w:hAnsi="Palatino Linotype"/>
                <w:b/>
                <w:bCs/>
                <w:color w:val="auto"/>
                <w:sz w:val="18"/>
              </w:rPr>
              <w:t>Yes</w:t>
            </w:r>
            <w:r w:rsidR="00672067" w:rsidRPr="009B7DB0">
              <w:rPr>
                <w:rFonts w:ascii="Palatino Linotype" w:hAnsi="Palatino Linotype"/>
                <w:b/>
                <w:bCs/>
                <w:color w:val="auto"/>
                <w:sz w:val="18"/>
              </w:rPr>
              <w:t xml:space="preserve"> (N=</w:t>
            </w:r>
            <w:r w:rsidR="00D80FE1" w:rsidRPr="009B7DB0">
              <w:rPr>
                <w:rFonts w:ascii="Palatino Linotype" w:hAnsi="Palatino Linotype"/>
                <w:b/>
                <w:bCs/>
                <w:color w:val="auto"/>
                <w:sz w:val="18"/>
              </w:rPr>
              <w:t>272</w:t>
            </w:r>
            <w:r w:rsidR="00672067" w:rsidRPr="009B7DB0">
              <w:rPr>
                <w:rFonts w:ascii="Palatino Linotype" w:hAnsi="Palatino Linotype"/>
                <w:b/>
                <w:bCs/>
                <w:color w:val="auto"/>
                <w:sz w:val="18"/>
              </w:rPr>
              <w:t>)</w:t>
            </w:r>
          </w:p>
        </w:tc>
        <w:tc>
          <w:tcPr>
            <w:tcW w:w="337" w:type="pct"/>
            <w:vMerge/>
            <w:tcBorders>
              <w:left w:val="nil"/>
              <w:bottom w:val="single" w:sz="4" w:space="0" w:color="auto"/>
              <w:right w:val="nil"/>
            </w:tcBorders>
          </w:tcPr>
          <w:p w14:paraId="0682C7D1" w14:textId="77777777" w:rsidR="00562B58" w:rsidRPr="009B7DB0" w:rsidRDefault="00562B58" w:rsidP="00EF61F4">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2216D31F" w14:textId="62384FBA" w:rsidTr="00BD2373">
        <w:trPr>
          <w:gridBefore w:val="1"/>
          <w:wBefore w:w="109" w:type="pct"/>
          <w:jc w:val="center"/>
        </w:trPr>
        <w:tc>
          <w:tcPr>
            <w:tcW w:w="587" w:type="pct"/>
            <w:vMerge w:val="restart"/>
            <w:tcBorders>
              <w:left w:val="nil"/>
              <w:bottom w:val="nil"/>
              <w:right w:val="nil"/>
            </w:tcBorders>
            <w:shd w:val="clear" w:color="auto" w:fill="auto"/>
            <w:vAlign w:val="center"/>
          </w:tcPr>
          <w:p w14:paraId="0F0606C5" w14:textId="77777777"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Sex</w:t>
            </w:r>
          </w:p>
        </w:tc>
        <w:tc>
          <w:tcPr>
            <w:tcW w:w="1461" w:type="pct"/>
            <w:tcBorders>
              <w:left w:val="nil"/>
              <w:bottom w:val="nil"/>
              <w:right w:val="nil"/>
            </w:tcBorders>
            <w:shd w:val="clear" w:color="auto" w:fill="auto"/>
            <w:vAlign w:val="center"/>
          </w:tcPr>
          <w:p w14:paraId="753E7D98" w14:textId="77777777"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Male</w:t>
            </w:r>
          </w:p>
        </w:tc>
        <w:tc>
          <w:tcPr>
            <w:tcW w:w="459" w:type="pct"/>
            <w:tcBorders>
              <w:left w:val="nil"/>
              <w:bottom w:val="nil"/>
              <w:right w:val="nil"/>
            </w:tcBorders>
            <w:shd w:val="clear" w:color="auto" w:fill="auto"/>
            <w:vAlign w:val="center"/>
          </w:tcPr>
          <w:p w14:paraId="79651BBD" w14:textId="77777777"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48.3</w:t>
            </w:r>
          </w:p>
        </w:tc>
        <w:tc>
          <w:tcPr>
            <w:tcW w:w="459" w:type="pct"/>
            <w:tcBorders>
              <w:left w:val="nil"/>
              <w:bottom w:val="nil"/>
              <w:right w:val="nil"/>
            </w:tcBorders>
            <w:shd w:val="clear" w:color="auto" w:fill="auto"/>
            <w:vAlign w:val="center"/>
          </w:tcPr>
          <w:p w14:paraId="36E614AD" w14:textId="39932F2F"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51.2</w:t>
            </w:r>
          </w:p>
        </w:tc>
        <w:tc>
          <w:tcPr>
            <w:tcW w:w="396" w:type="pct"/>
            <w:tcBorders>
              <w:left w:val="nil"/>
              <w:bottom w:val="nil"/>
              <w:right w:val="nil"/>
            </w:tcBorders>
            <w:shd w:val="clear" w:color="auto" w:fill="auto"/>
            <w:vAlign w:val="center"/>
          </w:tcPr>
          <w:p w14:paraId="33B403CB" w14:textId="362F4EE3"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39.2</w:t>
            </w:r>
          </w:p>
        </w:tc>
        <w:tc>
          <w:tcPr>
            <w:tcW w:w="337" w:type="pct"/>
            <w:vMerge w:val="restart"/>
            <w:tcBorders>
              <w:left w:val="nil"/>
              <w:bottom w:val="nil"/>
              <w:right w:val="nil"/>
            </w:tcBorders>
            <w:shd w:val="clear" w:color="auto" w:fill="auto"/>
            <w:vAlign w:val="center"/>
          </w:tcPr>
          <w:p w14:paraId="1C025F83" w14:textId="2E10F9A4"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0.001</w:t>
            </w:r>
          </w:p>
        </w:tc>
        <w:tc>
          <w:tcPr>
            <w:tcW w:w="459" w:type="pct"/>
            <w:tcBorders>
              <w:left w:val="nil"/>
              <w:bottom w:val="nil"/>
              <w:right w:val="nil"/>
            </w:tcBorders>
            <w:vAlign w:val="center"/>
          </w:tcPr>
          <w:p w14:paraId="1361F25E" w14:textId="317D701E" w:rsidR="0022132C" w:rsidRPr="009B7DB0" w:rsidRDefault="0022132C"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51.2</w:t>
            </w:r>
          </w:p>
        </w:tc>
        <w:tc>
          <w:tcPr>
            <w:tcW w:w="396" w:type="pct"/>
            <w:tcBorders>
              <w:left w:val="nil"/>
              <w:bottom w:val="nil"/>
              <w:right w:val="nil"/>
            </w:tcBorders>
            <w:vAlign w:val="center"/>
          </w:tcPr>
          <w:p w14:paraId="247B20AF" w14:textId="296A9AC5" w:rsidR="0022132C" w:rsidRPr="009B7DB0" w:rsidRDefault="0022132C"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24.2</w:t>
            </w:r>
          </w:p>
        </w:tc>
        <w:tc>
          <w:tcPr>
            <w:tcW w:w="337" w:type="pct"/>
            <w:vMerge w:val="restart"/>
            <w:tcBorders>
              <w:left w:val="nil"/>
              <w:right w:val="nil"/>
            </w:tcBorders>
            <w:vAlign w:val="center"/>
          </w:tcPr>
          <w:p w14:paraId="25577241" w14:textId="3D76045A" w:rsidR="0022132C" w:rsidRPr="009B7DB0" w:rsidRDefault="0022132C"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&lt;0.001</w:t>
            </w:r>
          </w:p>
        </w:tc>
      </w:tr>
      <w:tr w:rsidR="009B7DB0" w:rsidRPr="009B7DB0" w14:paraId="19F290E1" w14:textId="26C6FFBB" w:rsidTr="00BD2373">
        <w:trPr>
          <w:gridBefore w:val="1"/>
          <w:wBefore w:w="109" w:type="pct"/>
          <w:jc w:val="center"/>
        </w:trPr>
        <w:tc>
          <w:tcPr>
            <w:tcW w:w="587" w:type="pct"/>
            <w:vMerge/>
            <w:tcBorders>
              <w:top w:val="nil"/>
              <w:left w:val="nil"/>
              <w:bottom w:val="nil"/>
              <w:right w:val="nil"/>
            </w:tcBorders>
            <w:shd w:val="clear" w:color="auto" w:fill="auto"/>
            <w:vAlign w:val="center"/>
          </w:tcPr>
          <w:p w14:paraId="60AE1E62" w14:textId="77777777"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12D07271" w14:textId="77777777"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Female</w:t>
            </w:r>
          </w:p>
        </w:tc>
        <w:tc>
          <w:tcPr>
            <w:tcW w:w="459" w:type="pct"/>
            <w:tcBorders>
              <w:top w:val="nil"/>
              <w:left w:val="nil"/>
              <w:bottom w:val="nil"/>
              <w:right w:val="nil"/>
            </w:tcBorders>
            <w:shd w:val="clear" w:color="auto" w:fill="auto"/>
            <w:vAlign w:val="center"/>
          </w:tcPr>
          <w:p w14:paraId="61C30E8C" w14:textId="77777777"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51.7</w:t>
            </w:r>
          </w:p>
        </w:tc>
        <w:tc>
          <w:tcPr>
            <w:tcW w:w="459" w:type="pct"/>
            <w:tcBorders>
              <w:top w:val="nil"/>
              <w:left w:val="nil"/>
              <w:bottom w:val="nil"/>
              <w:right w:val="nil"/>
            </w:tcBorders>
            <w:shd w:val="clear" w:color="auto" w:fill="auto"/>
            <w:vAlign w:val="center"/>
          </w:tcPr>
          <w:p w14:paraId="1312053A" w14:textId="1D66D93D"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48.8</w:t>
            </w:r>
          </w:p>
        </w:tc>
        <w:tc>
          <w:tcPr>
            <w:tcW w:w="396" w:type="pct"/>
            <w:tcBorders>
              <w:top w:val="nil"/>
              <w:left w:val="nil"/>
              <w:bottom w:val="nil"/>
              <w:right w:val="nil"/>
            </w:tcBorders>
            <w:shd w:val="clear" w:color="auto" w:fill="auto"/>
            <w:vAlign w:val="center"/>
          </w:tcPr>
          <w:p w14:paraId="355F38EB" w14:textId="19FE43D0"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60.8</w:t>
            </w:r>
          </w:p>
        </w:tc>
        <w:tc>
          <w:tcPr>
            <w:tcW w:w="337" w:type="pct"/>
            <w:vMerge/>
            <w:tcBorders>
              <w:top w:val="nil"/>
              <w:left w:val="nil"/>
              <w:bottom w:val="nil"/>
              <w:right w:val="nil"/>
            </w:tcBorders>
            <w:shd w:val="clear" w:color="auto" w:fill="auto"/>
            <w:vAlign w:val="center"/>
          </w:tcPr>
          <w:p w14:paraId="211767B7" w14:textId="77777777" w:rsidR="0022132C" w:rsidRPr="009B7DB0" w:rsidRDefault="0022132C"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040D29E1" w14:textId="7DC6DB61" w:rsidR="0022132C" w:rsidRPr="009B7DB0" w:rsidRDefault="0022132C"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48.8</w:t>
            </w:r>
          </w:p>
        </w:tc>
        <w:tc>
          <w:tcPr>
            <w:tcW w:w="396" w:type="pct"/>
            <w:tcBorders>
              <w:top w:val="nil"/>
              <w:left w:val="nil"/>
              <w:bottom w:val="nil"/>
              <w:right w:val="nil"/>
            </w:tcBorders>
            <w:vAlign w:val="center"/>
          </w:tcPr>
          <w:p w14:paraId="2EEB8C83" w14:textId="211216DF" w:rsidR="0022132C" w:rsidRPr="009B7DB0" w:rsidRDefault="0022132C"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75.8</w:t>
            </w:r>
          </w:p>
        </w:tc>
        <w:tc>
          <w:tcPr>
            <w:tcW w:w="337" w:type="pct"/>
            <w:vMerge/>
            <w:tcBorders>
              <w:left w:val="nil"/>
              <w:bottom w:val="nil"/>
              <w:right w:val="nil"/>
            </w:tcBorders>
            <w:vAlign w:val="center"/>
          </w:tcPr>
          <w:p w14:paraId="3B4D73CA" w14:textId="77777777" w:rsidR="0022132C" w:rsidRPr="009B7DB0" w:rsidRDefault="0022132C"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350D8B6E" w14:textId="255FD178" w:rsidTr="00BD2373">
        <w:trPr>
          <w:gridBefore w:val="1"/>
          <w:wBefore w:w="109" w:type="pct"/>
          <w:jc w:val="center"/>
        </w:trPr>
        <w:tc>
          <w:tcPr>
            <w:tcW w:w="587" w:type="pct"/>
            <w:tcBorders>
              <w:top w:val="nil"/>
              <w:left w:val="nil"/>
              <w:bottom w:val="nil"/>
              <w:right w:val="nil"/>
            </w:tcBorders>
            <w:shd w:val="clear" w:color="auto" w:fill="auto"/>
            <w:vAlign w:val="center"/>
          </w:tcPr>
          <w:p w14:paraId="09ACC076" w14:textId="77777777" w:rsidR="003024CC" w:rsidRPr="009B7DB0" w:rsidRDefault="003024CC" w:rsidP="00EF61F4">
            <w:pPr>
              <w:autoSpaceDE w:val="0"/>
              <w:autoSpaceDN w:val="0"/>
              <w:adjustRightInd w:val="0"/>
              <w:snapToGrid w:val="0"/>
              <w:spacing w:line="240" w:lineRule="auto"/>
              <w:jc w:val="center"/>
              <w:rPr>
                <w:rFonts w:ascii="Palatino Linotype" w:hAnsi="Palatino Linotype"/>
                <w:color w:val="auto"/>
                <w:sz w:val="18"/>
                <w:lang w:eastAsia="ko-KR"/>
              </w:rPr>
            </w:pPr>
            <w:r w:rsidRPr="009B7DB0">
              <w:rPr>
                <w:rFonts w:ascii="Palatino Linotype" w:hAnsi="Palatino Linotype"/>
                <w:color w:val="auto"/>
                <w:sz w:val="18"/>
              </w:rPr>
              <w:t>Age</w:t>
            </w:r>
            <w:r w:rsidRPr="009B7DB0">
              <w:rPr>
                <w:rFonts w:ascii="Palatino Linotype" w:hAnsi="Palatino Linotype"/>
                <w:color w:val="auto"/>
                <w:sz w:val="18"/>
                <w:lang w:eastAsia="ko-KR"/>
              </w:rPr>
              <w:t xml:space="preserve"> (years)</w:t>
            </w:r>
          </w:p>
        </w:tc>
        <w:tc>
          <w:tcPr>
            <w:tcW w:w="1461" w:type="pct"/>
            <w:tcBorders>
              <w:top w:val="nil"/>
              <w:left w:val="nil"/>
              <w:bottom w:val="nil"/>
              <w:right w:val="nil"/>
            </w:tcBorders>
            <w:shd w:val="clear" w:color="auto" w:fill="auto"/>
            <w:vAlign w:val="center"/>
          </w:tcPr>
          <w:p w14:paraId="4360359A" w14:textId="77777777" w:rsidR="003024CC" w:rsidRPr="009B7DB0" w:rsidRDefault="003024C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Mean (standard deviation)</w:t>
            </w:r>
          </w:p>
        </w:tc>
        <w:tc>
          <w:tcPr>
            <w:tcW w:w="459" w:type="pct"/>
            <w:tcBorders>
              <w:top w:val="nil"/>
              <w:left w:val="nil"/>
              <w:bottom w:val="nil"/>
              <w:right w:val="nil"/>
            </w:tcBorders>
            <w:shd w:val="clear" w:color="auto" w:fill="auto"/>
            <w:vAlign w:val="center"/>
          </w:tcPr>
          <w:p w14:paraId="5CF51A67" w14:textId="77777777" w:rsidR="003024CC" w:rsidRPr="009B7DB0" w:rsidRDefault="003024C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50.6 (15.9)</w:t>
            </w:r>
          </w:p>
        </w:tc>
        <w:tc>
          <w:tcPr>
            <w:tcW w:w="459" w:type="pct"/>
            <w:tcBorders>
              <w:top w:val="nil"/>
              <w:left w:val="nil"/>
              <w:bottom w:val="nil"/>
              <w:right w:val="nil"/>
            </w:tcBorders>
            <w:shd w:val="clear" w:color="auto" w:fill="auto"/>
            <w:vAlign w:val="center"/>
          </w:tcPr>
          <w:p w14:paraId="4202C9DE" w14:textId="127CDCCD" w:rsidR="003024CC" w:rsidRPr="009B7DB0" w:rsidRDefault="003024C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47.</w:t>
            </w:r>
            <w:r w:rsidR="0022132C" w:rsidRPr="009B7DB0">
              <w:rPr>
                <w:rFonts w:ascii="Palatino Linotype" w:hAnsi="Palatino Linotype"/>
                <w:color w:val="auto"/>
                <w:sz w:val="18"/>
              </w:rPr>
              <w:t>3</w:t>
            </w:r>
            <w:r w:rsidRPr="009B7DB0">
              <w:rPr>
                <w:rFonts w:ascii="Palatino Linotype" w:hAnsi="Palatino Linotype"/>
                <w:color w:val="auto"/>
                <w:sz w:val="18"/>
              </w:rPr>
              <w:t xml:space="preserve"> (15.</w:t>
            </w:r>
            <w:r w:rsidR="002B21DE" w:rsidRPr="009B7DB0">
              <w:rPr>
                <w:rFonts w:ascii="Palatino Linotype" w:hAnsi="Palatino Linotype"/>
                <w:color w:val="auto"/>
                <w:sz w:val="18"/>
              </w:rPr>
              <w:t>1</w:t>
            </w:r>
            <w:r w:rsidRPr="009B7DB0">
              <w:rPr>
                <w:rFonts w:ascii="Palatino Linotype" w:hAnsi="Palatino Linotype"/>
                <w:color w:val="auto"/>
                <w:sz w:val="18"/>
              </w:rPr>
              <w:t>)</w:t>
            </w:r>
          </w:p>
        </w:tc>
        <w:tc>
          <w:tcPr>
            <w:tcW w:w="396" w:type="pct"/>
            <w:tcBorders>
              <w:top w:val="nil"/>
              <w:left w:val="nil"/>
              <w:bottom w:val="nil"/>
              <w:right w:val="nil"/>
            </w:tcBorders>
            <w:shd w:val="clear" w:color="auto" w:fill="auto"/>
            <w:vAlign w:val="center"/>
          </w:tcPr>
          <w:p w14:paraId="00072B6F" w14:textId="2A453EA4" w:rsidR="003024CC" w:rsidRPr="009B7DB0" w:rsidRDefault="003024C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60.9 (13.</w:t>
            </w:r>
            <w:r w:rsidR="00E35611" w:rsidRPr="009B7DB0">
              <w:rPr>
                <w:rFonts w:ascii="Palatino Linotype" w:hAnsi="Palatino Linotype"/>
                <w:color w:val="auto"/>
                <w:sz w:val="18"/>
              </w:rPr>
              <w:t>9</w:t>
            </w:r>
            <w:r w:rsidRPr="009B7DB0">
              <w:rPr>
                <w:rFonts w:ascii="Palatino Linotype" w:hAnsi="Palatino Linotype"/>
                <w:color w:val="auto"/>
                <w:sz w:val="18"/>
              </w:rPr>
              <w:t>)</w:t>
            </w:r>
          </w:p>
        </w:tc>
        <w:tc>
          <w:tcPr>
            <w:tcW w:w="337" w:type="pct"/>
            <w:tcBorders>
              <w:top w:val="nil"/>
              <w:left w:val="nil"/>
              <w:bottom w:val="nil"/>
              <w:right w:val="nil"/>
            </w:tcBorders>
            <w:shd w:val="clear" w:color="auto" w:fill="auto"/>
            <w:vAlign w:val="center"/>
          </w:tcPr>
          <w:p w14:paraId="2E19F660" w14:textId="77777777" w:rsidR="003024CC" w:rsidRPr="009B7DB0" w:rsidRDefault="003024C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&lt;0.001</w:t>
            </w:r>
          </w:p>
        </w:tc>
        <w:tc>
          <w:tcPr>
            <w:tcW w:w="459" w:type="pct"/>
            <w:tcBorders>
              <w:top w:val="nil"/>
              <w:left w:val="nil"/>
              <w:bottom w:val="nil"/>
              <w:right w:val="nil"/>
            </w:tcBorders>
            <w:vAlign w:val="center"/>
          </w:tcPr>
          <w:p w14:paraId="58FE5BB7" w14:textId="4553A5A6" w:rsidR="003024CC" w:rsidRPr="009B7DB0" w:rsidRDefault="007A366D"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51.3 (16.1)</w:t>
            </w:r>
          </w:p>
        </w:tc>
        <w:tc>
          <w:tcPr>
            <w:tcW w:w="396" w:type="pct"/>
            <w:tcBorders>
              <w:top w:val="nil"/>
              <w:left w:val="nil"/>
              <w:bottom w:val="nil"/>
              <w:right w:val="nil"/>
            </w:tcBorders>
            <w:vAlign w:val="center"/>
          </w:tcPr>
          <w:p w14:paraId="75EC917F" w14:textId="5B152D30" w:rsidR="003024CC" w:rsidRPr="009B7DB0" w:rsidRDefault="007A366D"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44.7 (13.1)</w:t>
            </w:r>
          </w:p>
        </w:tc>
        <w:tc>
          <w:tcPr>
            <w:tcW w:w="337" w:type="pct"/>
            <w:tcBorders>
              <w:top w:val="nil"/>
              <w:left w:val="nil"/>
              <w:bottom w:val="nil"/>
              <w:right w:val="nil"/>
            </w:tcBorders>
            <w:vAlign w:val="center"/>
          </w:tcPr>
          <w:p w14:paraId="67F3AE33" w14:textId="50FB93E2" w:rsidR="003024CC" w:rsidRPr="009B7DB0" w:rsidRDefault="007A366D"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&lt;0.001</w:t>
            </w:r>
          </w:p>
        </w:tc>
      </w:tr>
      <w:tr w:rsidR="009B7DB0" w:rsidRPr="009B7DB0" w14:paraId="418F2737" w14:textId="0A6ED0EB" w:rsidTr="00BD2373">
        <w:trPr>
          <w:gridBefore w:val="1"/>
          <w:wBefore w:w="109" w:type="pct"/>
          <w:jc w:val="center"/>
        </w:trPr>
        <w:tc>
          <w:tcPr>
            <w:tcW w:w="587" w:type="pct"/>
            <w:vMerge w:val="restart"/>
            <w:tcBorders>
              <w:top w:val="nil"/>
              <w:left w:val="nil"/>
              <w:bottom w:val="nil"/>
              <w:right w:val="nil"/>
            </w:tcBorders>
            <w:shd w:val="clear" w:color="auto" w:fill="auto"/>
            <w:vAlign w:val="center"/>
          </w:tcPr>
          <w:p w14:paraId="63AAD82B" w14:textId="77777777"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Ethnicity</w:t>
            </w:r>
          </w:p>
        </w:tc>
        <w:tc>
          <w:tcPr>
            <w:tcW w:w="1461" w:type="pct"/>
            <w:tcBorders>
              <w:top w:val="nil"/>
              <w:left w:val="nil"/>
              <w:bottom w:val="nil"/>
              <w:right w:val="nil"/>
            </w:tcBorders>
            <w:shd w:val="clear" w:color="auto" w:fill="auto"/>
            <w:vAlign w:val="center"/>
          </w:tcPr>
          <w:p w14:paraId="2C33E854" w14:textId="77777777"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White/Caucasian</w:t>
            </w:r>
          </w:p>
        </w:tc>
        <w:tc>
          <w:tcPr>
            <w:tcW w:w="459" w:type="pct"/>
            <w:tcBorders>
              <w:top w:val="nil"/>
              <w:left w:val="nil"/>
              <w:bottom w:val="nil"/>
              <w:right w:val="nil"/>
            </w:tcBorders>
            <w:shd w:val="clear" w:color="auto" w:fill="auto"/>
            <w:vAlign w:val="center"/>
          </w:tcPr>
          <w:p w14:paraId="5E6497E9" w14:textId="77777777"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72.9</w:t>
            </w:r>
          </w:p>
        </w:tc>
        <w:tc>
          <w:tcPr>
            <w:tcW w:w="459" w:type="pct"/>
            <w:tcBorders>
              <w:top w:val="nil"/>
              <w:left w:val="nil"/>
              <w:bottom w:val="nil"/>
              <w:right w:val="nil"/>
            </w:tcBorders>
            <w:shd w:val="clear" w:color="auto" w:fill="auto"/>
            <w:vAlign w:val="center"/>
          </w:tcPr>
          <w:p w14:paraId="5424A4BA" w14:textId="50F6F8F9"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71.1</w:t>
            </w:r>
          </w:p>
        </w:tc>
        <w:tc>
          <w:tcPr>
            <w:tcW w:w="396" w:type="pct"/>
            <w:tcBorders>
              <w:top w:val="nil"/>
              <w:left w:val="nil"/>
              <w:bottom w:val="nil"/>
              <w:right w:val="nil"/>
            </w:tcBorders>
            <w:shd w:val="clear" w:color="auto" w:fill="auto"/>
            <w:vAlign w:val="center"/>
          </w:tcPr>
          <w:p w14:paraId="1CD060AB" w14:textId="3E696244"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78.8</w:t>
            </w:r>
          </w:p>
        </w:tc>
        <w:tc>
          <w:tcPr>
            <w:tcW w:w="337" w:type="pct"/>
            <w:vMerge w:val="restart"/>
            <w:tcBorders>
              <w:top w:val="nil"/>
              <w:left w:val="nil"/>
              <w:bottom w:val="nil"/>
              <w:right w:val="nil"/>
            </w:tcBorders>
            <w:shd w:val="clear" w:color="auto" w:fill="auto"/>
            <w:vAlign w:val="center"/>
          </w:tcPr>
          <w:p w14:paraId="01194595" w14:textId="68B82063"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0.054</w:t>
            </w:r>
          </w:p>
        </w:tc>
        <w:tc>
          <w:tcPr>
            <w:tcW w:w="459" w:type="pct"/>
            <w:tcBorders>
              <w:top w:val="nil"/>
              <w:left w:val="nil"/>
              <w:bottom w:val="nil"/>
              <w:right w:val="nil"/>
            </w:tcBorders>
            <w:vAlign w:val="center"/>
          </w:tcPr>
          <w:p w14:paraId="02BAC8AE" w14:textId="29B54773" w:rsidR="00634642" w:rsidRPr="009B7DB0" w:rsidRDefault="00634642"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72.8</w:t>
            </w:r>
          </w:p>
        </w:tc>
        <w:tc>
          <w:tcPr>
            <w:tcW w:w="396" w:type="pct"/>
            <w:tcBorders>
              <w:top w:val="nil"/>
              <w:left w:val="nil"/>
              <w:bottom w:val="nil"/>
              <w:right w:val="nil"/>
            </w:tcBorders>
            <w:vAlign w:val="center"/>
          </w:tcPr>
          <w:p w14:paraId="2355E0C0" w14:textId="6CE32884" w:rsidR="00634642" w:rsidRPr="009B7DB0" w:rsidRDefault="00634642"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73.9</w:t>
            </w:r>
          </w:p>
        </w:tc>
        <w:tc>
          <w:tcPr>
            <w:tcW w:w="337" w:type="pct"/>
            <w:vMerge w:val="restart"/>
            <w:tcBorders>
              <w:top w:val="nil"/>
              <w:left w:val="nil"/>
              <w:right w:val="nil"/>
            </w:tcBorders>
            <w:vAlign w:val="center"/>
          </w:tcPr>
          <w:p w14:paraId="58517A8C" w14:textId="16D1BC64" w:rsidR="00634642" w:rsidRPr="009B7DB0" w:rsidRDefault="00634642"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0.792</w:t>
            </w:r>
          </w:p>
        </w:tc>
      </w:tr>
      <w:tr w:rsidR="009B7DB0" w:rsidRPr="009B7DB0" w14:paraId="641A25B3" w14:textId="48D72905" w:rsidTr="00BD2373">
        <w:trPr>
          <w:gridBefore w:val="1"/>
          <w:wBefore w:w="109" w:type="pct"/>
          <w:jc w:val="center"/>
        </w:trPr>
        <w:tc>
          <w:tcPr>
            <w:tcW w:w="587" w:type="pct"/>
            <w:vMerge/>
            <w:tcBorders>
              <w:top w:val="nil"/>
              <w:left w:val="nil"/>
              <w:bottom w:val="nil"/>
              <w:right w:val="nil"/>
            </w:tcBorders>
            <w:shd w:val="clear" w:color="auto" w:fill="auto"/>
            <w:vAlign w:val="center"/>
          </w:tcPr>
          <w:p w14:paraId="2BE04AC4" w14:textId="77777777"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56A101B7" w14:textId="77777777"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Other</w:t>
            </w:r>
          </w:p>
        </w:tc>
        <w:tc>
          <w:tcPr>
            <w:tcW w:w="459" w:type="pct"/>
            <w:tcBorders>
              <w:top w:val="nil"/>
              <w:left w:val="nil"/>
              <w:bottom w:val="nil"/>
              <w:right w:val="nil"/>
            </w:tcBorders>
            <w:shd w:val="clear" w:color="auto" w:fill="auto"/>
            <w:vAlign w:val="center"/>
          </w:tcPr>
          <w:p w14:paraId="79CBB260" w14:textId="77777777"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27.1</w:t>
            </w:r>
          </w:p>
        </w:tc>
        <w:tc>
          <w:tcPr>
            <w:tcW w:w="459" w:type="pct"/>
            <w:tcBorders>
              <w:top w:val="nil"/>
              <w:left w:val="nil"/>
              <w:bottom w:val="nil"/>
              <w:right w:val="nil"/>
            </w:tcBorders>
            <w:shd w:val="clear" w:color="auto" w:fill="auto"/>
            <w:vAlign w:val="center"/>
          </w:tcPr>
          <w:p w14:paraId="16871878" w14:textId="7047331B"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28.9</w:t>
            </w:r>
          </w:p>
        </w:tc>
        <w:tc>
          <w:tcPr>
            <w:tcW w:w="396" w:type="pct"/>
            <w:tcBorders>
              <w:top w:val="nil"/>
              <w:left w:val="nil"/>
              <w:bottom w:val="nil"/>
              <w:right w:val="nil"/>
            </w:tcBorders>
            <w:shd w:val="clear" w:color="auto" w:fill="auto"/>
            <w:vAlign w:val="center"/>
          </w:tcPr>
          <w:p w14:paraId="57C2765B" w14:textId="325D2906"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21.2</w:t>
            </w:r>
          </w:p>
        </w:tc>
        <w:tc>
          <w:tcPr>
            <w:tcW w:w="337" w:type="pct"/>
            <w:vMerge/>
            <w:tcBorders>
              <w:top w:val="nil"/>
              <w:left w:val="nil"/>
              <w:bottom w:val="nil"/>
              <w:right w:val="nil"/>
            </w:tcBorders>
            <w:shd w:val="clear" w:color="auto" w:fill="auto"/>
            <w:vAlign w:val="center"/>
          </w:tcPr>
          <w:p w14:paraId="5A4354D4" w14:textId="77777777" w:rsidR="00634642" w:rsidRPr="009B7DB0" w:rsidRDefault="00634642"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795DE539" w14:textId="27F5A231" w:rsidR="00634642" w:rsidRPr="009B7DB0" w:rsidRDefault="00634642"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27.2</w:t>
            </w:r>
          </w:p>
        </w:tc>
        <w:tc>
          <w:tcPr>
            <w:tcW w:w="396" w:type="pct"/>
            <w:tcBorders>
              <w:top w:val="nil"/>
              <w:left w:val="nil"/>
              <w:bottom w:val="nil"/>
              <w:right w:val="nil"/>
            </w:tcBorders>
            <w:vAlign w:val="center"/>
          </w:tcPr>
          <w:p w14:paraId="6AA3814B" w14:textId="2FD25281" w:rsidR="00634642" w:rsidRPr="009B7DB0" w:rsidRDefault="00634642"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26.1</w:t>
            </w:r>
          </w:p>
        </w:tc>
        <w:tc>
          <w:tcPr>
            <w:tcW w:w="337" w:type="pct"/>
            <w:vMerge/>
            <w:tcBorders>
              <w:left w:val="nil"/>
              <w:bottom w:val="nil"/>
              <w:right w:val="nil"/>
            </w:tcBorders>
            <w:vAlign w:val="center"/>
          </w:tcPr>
          <w:p w14:paraId="014D8EB2" w14:textId="77777777" w:rsidR="00634642" w:rsidRPr="009B7DB0" w:rsidRDefault="00634642"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45AA4973" w14:textId="1767E908" w:rsidTr="00BD2373">
        <w:trPr>
          <w:gridBefore w:val="1"/>
          <w:wBefore w:w="109" w:type="pct"/>
          <w:jc w:val="center"/>
        </w:trPr>
        <w:tc>
          <w:tcPr>
            <w:tcW w:w="587" w:type="pct"/>
            <w:vMerge w:val="restart"/>
            <w:tcBorders>
              <w:top w:val="nil"/>
              <w:left w:val="nil"/>
              <w:bottom w:val="nil"/>
              <w:right w:val="nil"/>
            </w:tcBorders>
            <w:shd w:val="clear" w:color="auto" w:fill="auto"/>
            <w:vAlign w:val="center"/>
          </w:tcPr>
          <w:p w14:paraId="5A253851" w14:textId="77777777"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Marital status</w:t>
            </w:r>
          </w:p>
        </w:tc>
        <w:tc>
          <w:tcPr>
            <w:tcW w:w="1461" w:type="pct"/>
            <w:tcBorders>
              <w:top w:val="nil"/>
              <w:left w:val="nil"/>
              <w:bottom w:val="nil"/>
              <w:right w:val="nil"/>
            </w:tcBorders>
            <w:shd w:val="clear" w:color="auto" w:fill="auto"/>
            <w:vAlign w:val="center"/>
          </w:tcPr>
          <w:p w14:paraId="60EE51AB" w14:textId="77777777"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Single/separated/divorced/widowed</w:t>
            </w:r>
          </w:p>
        </w:tc>
        <w:tc>
          <w:tcPr>
            <w:tcW w:w="459" w:type="pct"/>
            <w:tcBorders>
              <w:top w:val="nil"/>
              <w:left w:val="nil"/>
              <w:bottom w:val="nil"/>
              <w:right w:val="nil"/>
            </w:tcBorders>
            <w:shd w:val="clear" w:color="auto" w:fill="auto"/>
            <w:vAlign w:val="center"/>
          </w:tcPr>
          <w:p w14:paraId="31BFE995" w14:textId="77777777"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41.0</w:t>
            </w:r>
          </w:p>
        </w:tc>
        <w:tc>
          <w:tcPr>
            <w:tcW w:w="459" w:type="pct"/>
            <w:tcBorders>
              <w:top w:val="nil"/>
              <w:left w:val="nil"/>
              <w:bottom w:val="nil"/>
              <w:right w:val="nil"/>
            </w:tcBorders>
            <w:shd w:val="clear" w:color="auto" w:fill="auto"/>
            <w:vAlign w:val="center"/>
          </w:tcPr>
          <w:p w14:paraId="2A70D884" w14:textId="319DB239"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40.0</w:t>
            </w:r>
          </w:p>
        </w:tc>
        <w:tc>
          <w:tcPr>
            <w:tcW w:w="396" w:type="pct"/>
            <w:tcBorders>
              <w:top w:val="nil"/>
              <w:left w:val="nil"/>
              <w:bottom w:val="nil"/>
              <w:right w:val="nil"/>
            </w:tcBorders>
            <w:shd w:val="clear" w:color="auto" w:fill="auto"/>
            <w:vAlign w:val="center"/>
          </w:tcPr>
          <w:p w14:paraId="462EFC32" w14:textId="3701252A"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43.9</w:t>
            </w:r>
          </w:p>
        </w:tc>
        <w:tc>
          <w:tcPr>
            <w:tcW w:w="337" w:type="pct"/>
            <w:vMerge w:val="restart"/>
            <w:tcBorders>
              <w:top w:val="nil"/>
              <w:left w:val="nil"/>
              <w:bottom w:val="nil"/>
              <w:right w:val="nil"/>
            </w:tcBorders>
            <w:shd w:val="clear" w:color="auto" w:fill="auto"/>
            <w:vAlign w:val="center"/>
          </w:tcPr>
          <w:p w14:paraId="138DE581" w14:textId="02B6F5A2"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0.278</w:t>
            </w:r>
          </w:p>
        </w:tc>
        <w:tc>
          <w:tcPr>
            <w:tcW w:w="459" w:type="pct"/>
            <w:tcBorders>
              <w:top w:val="nil"/>
              <w:left w:val="nil"/>
              <w:bottom w:val="nil"/>
              <w:right w:val="nil"/>
            </w:tcBorders>
            <w:vAlign w:val="center"/>
          </w:tcPr>
          <w:p w14:paraId="1D5C9EFA" w14:textId="6BDE775D" w:rsidR="00BD2373" w:rsidRPr="009B7DB0" w:rsidRDefault="00BD2373"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40.6</w:t>
            </w:r>
          </w:p>
        </w:tc>
        <w:tc>
          <w:tcPr>
            <w:tcW w:w="396" w:type="pct"/>
            <w:tcBorders>
              <w:top w:val="nil"/>
              <w:left w:val="nil"/>
              <w:bottom w:val="nil"/>
              <w:right w:val="nil"/>
            </w:tcBorders>
            <w:vAlign w:val="center"/>
          </w:tcPr>
          <w:p w14:paraId="3A3BAF19" w14:textId="39DF97D4" w:rsidR="00BD2373" w:rsidRPr="009B7DB0" w:rsidRDefault="00BD2373"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44.3</w:t>
            </w:r>
          </w:p>
        </w:tc>
        <w:tc>
          <w:tcPr>
            <w:tcW w:w="337" w:type="pct"/>
            <w:vMerge w:val="restart"/>
            <w:tcBorders>
              <w:top w:val="nil"/>
              <w:left w:val="nil"/>
              <w:right w:val="nil"/>
            </w:tcBorders>
            <w:vAlign w:val="center"/>
          </w:tcPr>
          <w:p w14:paraId="08638B63" w14:textId="1DEB5976" w:rsidR="00BD2373" w:rsidRPr="009B7DB0" w:rsidRDefault="00BD2373"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0.446</w:t>
            </w:r>
          </w:p>
        </w:tc>
      </w:tr>
      <w:tr w:rsidR="009B7DB0" w:rsidRPr="009B7DB0" w14:paraId="3D42F503" w14:textId="6DE70BC6" w:rsidTr="00BD2373">
        <w:trPr>
          <w:gridBefore w:val="1"/>
          <w:wBefore w:w="109" w:type="pct"/>
          <w:jc w:val="center"/>
        </w:trPr>
        <w:tc>
          <w:tcPr>
            <w:tcW w:w="587" w:type="pct"/>
            <w:vMerge/>
            <w:tcBorders>
              <w:top w:val="nil"/>
              <w:left w:val="nil"/>
              <w:bottom w:val="nil"/>
              <w:right w:val="nil"/>
            </w:tcBorders>
            <w:shd w:val="clear" w:color="auto" w:fill="auto"/>
            <w:vAlign w:val="center"/>
          </w:tcPr>
          <w:p w14:paraId="30D09479" w14:textId="77777777"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4CDCBBAD" w14:textId="77777777"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Married/in a domestic partnership</w:t>
            </w:r>
          </w:p>
        </w:tc>
        <w:tc>
          <w:tcPr>
            <w:tcW w:w="459" w:type="pct"/>
            <w:tcBorders>
              <w:top w:val="nil"/>
              <w:left w:val="nil"/>
              <w:bottom w:val="nil"/>
              <w:right w:val="nil"/>
            </w:tcBorders>
            <w:shd w:val="clear" w:color="auto" w:fill="auto"/>
            <w:vAlign w:val="center"/>
          </w:tcPr>
          <w:p w14:paraId="4B18ADE5" w14:textId="77777777"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59.0</w:t>
            </w:r>
          </w:p>
        </w:tc>
        <w:tc>
          <w:tcPr>
            <w:tcW w:w="459" w:type="pct"/>
            <w:tcBorders>
              <w:top w:val="nil"/>
              <w:left w:val="nil"/>
              <w:bottom w:val="nil"/>
              <w:right w:val="nil"/>
            </w:tcBorders>
            <w:shd w:val="clear" w:color="auto" w:fill="auto"/>
            <w:vAlign w:val="center"/>
          </w:tcPr>
          <w:p w14:paraId="0CD40010" w14:textId="4BFD196C"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60.0</w:t>
            </w:r>
          </w:p>
        </w:tc>
        <w:tc>
          <w:tcPr>
            <w:tcW w:w="396" w:type="pct"/>
            <w:tcBorders>
              <w:top w:val="nil"/>
              <w:left w:val="nil"/>
              <w:bottom w:val="nil"/>
              <w:right w:val="nil"/>
            </w:tcBorders>
            <w:shd w:val="clear" w:color="auto" w:fill="auto"/>
            <w:vAlign w:val="center"/>
          </w:tcPr>
          <w:p w14:paraId="3C131F6F" w14:textId="5CA06BA4"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56.1</w:t>
            </w:r>
          </w:p>
        </w:tc>
        <w:tc>
          <w:tcPr>
            <w:tcW w:w="337" w:type="pct"/>
            <w:vMerge/>
            <w:tcBorders>
              <w:top w:val="nil"/>
              <w:left w:val="nil"/>
              <w:bottom w:val="nil"/>
              <w:right w:val="nil"/>
            </w:tcBorders>
            <w:shd w:val="clear" w:color="auto" w:fill="auto"/>
            <w:vAlign w:val="center"/>
          </w:tcPr>
          <w:p w14:paraId="44A9B2F3" w14:textId="77777777" w:rsidR="00BD2373" w:rsidRPr="009B7DB0" w:rsidRDefault="00BD2373"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43D96C82" w14:textId="74EACCE9" w:rsidR="00BD2373" w:rsidRPr="009B7DB0" w:rsidRDefault="00BD2373"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59.4</w:t>
            </w:r>
          </w:p>
        </w:tc>
        <w:tc>
          <w:tcPr>
            <w:tcW w:w="396" w:type="pct"/>
            <w:tcBorders>
              <w:top w:val="nil"/>
              <w:left w:val="nil"/>
              <w:bottom w:val="nil"/>
              <w:right w:val="nil"/>
            </w:tcBorders>
            <w:vAlign w:val="center"/>
          </w:tcPr>
          <w:p w14:paraId="40C2AF50" w14:textId="49030C2E" w:rsidR="00BD2373" w:rsidRPr="009B7DB0" w:rsidRDefault="00BD2373"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55.7</w:t>
            </w:r>
          </w:p>
        </w:tc>
        <w:tc>
          <w:tcPr>
            <w:tcW w:w="337" w:type="pct"/>
            <w:vMerge/>
            <w:tcBorders>
              <w:left w:val="nil"/>
              <w:bottom w:val="nil"/>
              <w:right w:val="nil"/>
            </w:tcBorders>
            <w:vAlign w:val="center"/>
          </w:tcPr>
          <w:p w14:paraId="53BB92F7" w14:textId="77777777" w:rsidR="00BD2373" w:rsidRPr="009B7DB0" w:rsidRDefault="00BD2373"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5E8B1CCA" w14:textId="5E0202D8" w:rsidTr="0004424C">
        <w:trPr>
          <w:gridBefore w:val="1"/>
          <w:wBefore w:w="109" w:type="pct"/>
          <w:jc w:val="center"/>
        </w:trPr>
        <w:tc>
          <w:tcPr>
            <w:tcW w:w="587" w:type="pct"/>
            <w:vMerge w:val="restart"/>
            <w:tcBorders>
              <w:top w:val="nil"/>
              <w:left w:val="nil"/>
              <w:bottom w:val="nil"/>
              <w:right w:val="nil"/>
            </w:tcBorders>
            <w:shd w:val="clear" w:color="auto" w:fill="auto"/>
            <w:vAlign w:val="center"/>
          </w:tcPr>
          <w:p w14:paraId="4CBE3AAC" w14:textId="77777777"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Education</w:t>
            </w:r>
          </w:p>
        </w:tc>
        <w:tc>
          <w:tcPr>
            <w:tcW w:w="1461" w:type="pct"/>
            <w:tcBorders>
              <w:top w:val="nil"/>
              <w:left w:val="nil"/>
              <w:bottom w:val="nil"/>
              <w:right w:val="nil"/>
            </w:tcBorders>
            <w:shd w:val="clear" w:color="auto" w:fill="auto"/>
            <w:vAlign w:val="center"/>
          </w:tcPr>
          <w:p w14:paraId="38DDB65F" w14:textId="77777777"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≤Primary/secondary</w:t>
            </w:r>
          </w:p>
        </w:tc>
        <w:tc>
          <w:tcPr>
            <w:tcW w:w="459" w:type="pct"/>
            <w:tcBorders>
              <w:top w:val="nil"/>
              <w:left w:val="nil"/>
              <w:bottom w:val="nil"/>
              <w:right w:val="nil"/>
            </w:tcBorders>
            <w:shd w:val="clear" w:color="auto" w:fill="auto"/>
            <w:vAlign w:val="center"/>
          </w:tcPr>
          <w:p w14:paraId="2CAA24D8" w14:textId="77777777"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38.4</w:t>
            </w:r>
          </w:p>
        </w:tc>
        <w:tc>
          <w:tcPr>
            <w:tcW w:w="459" w:type="pct"/>
            <w:tcBorders>
              <w:top w:val="nil"/>
              <w:left w:val="nil"/>
              <w:bottom w:val="nil"/>
              <w:right w:val="nil"/>
            </w:tcBorders>
            <w:shd w:val="clear" w:color="auto" w:fill="auto"/>
            <w:vAlign w:val="center"/>
          </w:tcPr>
          <w:p w14:paraId="16542D24" w14:textId="607A52D5"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36.8</w:t>
            </w:r>
          </w:p>
        </w:tc>
        <w:tc>
          <w:tcPr>
            <w:tcW w:w="396" w:type="pct"/>
            <w:tcBorders>
              <w:top w:val="nil"/>
              <w:left w:val="nil"/>
              <w:bottom w:val="nil"/>
              <w:right w:val="nil"/>
            </w:tcBorders>
            <w:shd w:val="clear" w:color="auto" w:fill="auto"/>
            <w:vAlign w:val="center"/>
          </w:tcPr>
          <w:p w14:paraId="36547A2C" w14:textId="7BF66A96"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43.2</w:t>
            </w:r>
          </w:p>
        </w:tc>
        <w:tc>
          <w:tcPr>
            <w:tcW w:w="337" w:type="pct"/>
            <w:vMerge w:val="restart"/>
            <w:tcBorders>
              <w:top w:val="nil"/>
              <w:left w:val="nil"/>
              <w:bottom w:val="nil"/>
              <w:right w:val="nil"/>
            </w:tcBorders>
            <w:shd w:val="clear" w:color="auto" w:fill="auto"/>
            <w:vAlign w:val="center"/>
          </w:tcPr>
          <w:p w14:paraId="61DFB762" w14:textId="50BEEB24"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0.098</w:t>
            </w:r>
          </w:p>
        </w:tc>
        <w:tc>
          <w:tcPr>
            <w:tcW w:w="459" w:type="pct"/>
            <w:tcBorders>
              <w:top w:val="nil"/>
              <w:left w:val="nil"/>
              <w:bottom w:val="nil"/>
              <w:right w:val="nil"/>
            </w:tcBorders>
            <w:vAlign w:val="center"/>
          </w:tcPr>
          <w:p w14:paraId="1FE3F61A" w14:textId="1938B7D2" w:rsidR="008B29A1" w:rsidRPr="009B7DB0" w:rsidRDefault="008B29A1"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39.3</w:t>
            </w:r>
          </w:p>
        </w:tc>
        <w:tc>
          <w:tcPr>
            <w:tcW w:w="396" w:type="pct"/>
            <w:tcBorders>
              <w:top w:val="nil"/>
              <w:left w:val="nil"/>
              <w:bottom w:val="nil"/>
              <w:right w:val="nil"/>
            </w:tcBorders>
            <w:vAlign w:val="center"/>
          </w:tcPr>
          <w:p w14:paraId="468945CA" w14:textId="75F63FA2" w:rsidR="008B29A1" w:rsidRPr="009B7DB0" w:rsidRDefault="008B29A1"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30.3</w:t>
            </w:r>
          </w:p>
        </w:tc>
        <w:tc>
          <w:tcPr>
            <w:tcW w:w="337" w:type="pct"/>
            <w:vMerge w:val="restart"/>
            <w:tcBorders>
              <w:top w:val="nil"/>
              <w:left w:val="nil"/>
              <w:right w:val="nil"/>
            </w:tcBorders>
            <w:vAlign w:val="center"/>
          </w:tcPr>
          <w:p w14:paraId="0E33EEA4" w14:textId="17523568" w:rsidR="008B29A1" w:rsidRPr="009B7DB0" w:rsidRDefault="008B29A1"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0.096</w:t>
            </w:r>
          </w:p>
        </w:tc>
      </w:tr>
      <w:tr w:rsidR="009B7DB0" w:rsidRPr="009B7DB0" w14:paraId="1E1CF1B0" w14:textId="7956B8B4" w:rsidTr="0004424C">
        <w:trPr>
          <w:gridBefore w:val="1"/>
          <w:wBefore w:w="109" w:type="pct"/>
          <w:jc w:val="center"/>
        </w:trPr>
        <w:tc>
          <w:tcPr>
            <w:tcW w:w="587" w:type="pct"/>
            <w:vMerge/>
            <w:tcBorders>
              <w:top w:val="nil"/>
              <w:left w:val="nil"/>
              <w:bottom w:val="nil"/>
              <w:right w:val="nil"/>
            </w:tcBorders>
            <w:shd w:val="clear" w:color="auto" w:fill="auto"/>
            <w:vAlign w:val="center"/>
          </w:tcPr>
          <w:p w14:paraId="19DC6AB2" w14:textId="77777777"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37F5E510" w14:textId="77777777"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≥Tertiary</w:t>
            </w:r>
          </w:p>
        </w:tc>
        <w:tc>
          <w:tcPr>
            <w:tcW w:w="459" w:type="pct"/>
            <w:tcBorders>
              <w:top w:val="nil"/>
              <w:left w:val="nil"/>
              <w:bottom w:val="nil"/>
              <w:right w:val="nil"/>
            </w:tcBorders>
            <w:shd w:val="clear" w:color="auto" w:fill="auto"/>
            <w:vAlign w:val="center"/>
          </w:tcPr>
          <w:p w14:paraId="6F616BB4" w14:textId="77777777"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61.6</w:t>
            </w:r>
          </w:p>
        </w:tc>
        <w:tc>
          <w:tcPr>
            <w:tcW w:w="459" w:type="pct"/>
            <w:tcBorders>
              <w:top w:val="nil"/>
              <w:left w:val="nil"/>
              <w:bottom w:val="nil"/>
              <w:right w:val="nil"/>
            </w:tcBorders>
            <w:shd w:val="clear" w:color="auto" w:fill="auto"/>
            <w:vAlign w:val="center"/>
          </w:tcPr>
          <w:p w14:paraId="076DD0E1" w14:textId="5EFCA88E"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63.2</w:t>
            </w:r>
          </w:p>
        </w:tc>
        <w:tc>
          <w:tcPr>
            <w:tcW w:w="396" w:type="pct"/>
            <w:tcBorders>
              <w:top w:val="nil"/>
              <w:left w:val="nil"/>
              <w:bottom w:val="nil"/>
              <w:right w:val="nil"/>
            </w:tcBorders>
            <w:shd w:val="clear" w:color="auto" w:fill="auto"/>
            <w:vAlign w:val="center"/>
          </w:tcPr>
          <w:p w14:paraId="1AF2FE37" w14:textId="0F894585"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56.8</w:t>
            </w:r>
          </w:p>
        </w:tc>
        <w:tc>
          <w:tcPr>
            <w:tcW w:w="337" w:type="pct"/>
            <w:vMerge/>
            <w:tcBorders>
              <w:top w:val="nil"/>
              <w:left w:val="nil"/>
              <w:bottom w:val="nil"/>
              <w:right w:val="nil"/>
            </w:tcBorders>
            <w:shd w:val="clear" w:color="auto" w:fill="auto"/>
            <w:vAlign w:val="center"/>
          </w:tcPr>
          <w:p w14:paraId="770F397A" w14:textId="77777777" w:rsidR="008B29A1" w:rsidRPr="009B7DB0" w:rsidRDefault="008B29A1"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494D174B" w14:textId="316D30EF" w:rsidR="008B29A1" w:rsidRPr="009B7DB0" w:rsidRDefault="008B29A1"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60.7</w:t>
            </w:r>
          </w:p>
        </w:tc>
        <w:tc>
          <w:tcPr>
            <w:tcW w:w="396" w:type="pct"/>
            <w:tcBorders>
              <w:top w:val="nil"/>
              <w:left w:val="nil"/>
              <w:bottom w:val="nil"/>
              <w:right w:val="nil"/>
            </w:tcBorders>
            <w:vAlign w:val="center"/>
          </w:tcPr>
          <w:p w14:paraId="16A71A26" w14:textId="4BB1EA07" w:rsidR="008B29A1" w:rsidRPr="009B7DB0" w:rsidRDefault="008B29A1"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69.7</w:t>
            </w:r>
          </w:p>
        </w:tc>
        <w:tc>
          <w:tcPr>
            <w:tcW w:w="337" w:type="pct"/>
            <w:vMerge/>
            <w:tcBorders>
              <w:left w:val="nil"/>
              <w:bottom w:val="nil"/>
              <w:right w:val="nil"/>
            </w:tcBorders>
            <w:vAlign w:val="center"/>
          </w:tcPr>
          <w:p w14:paraId="0EF8DB43" w14:textId="77777777" w:rsidR="008B29A1" w:rsidRPr="009B7DB0" w:rsidRDefault="008B29A1"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24F559B4" w14:textId="7C005534" w:rsidTr="00F26BD2">
        <w:trPr>
          <w:gridBefore w:val="1"/>
          <w:wBefore w:w="109" w:type="pct"/>
          <w:jc w:val="center"/>
        </w:trPr>
        <w:tc>
          <w:tcPr>
            <w:tcW w:w="587" w:type="pct"/>
            <w:vMerge w:val="restart"/>
            <w:tcBorders>
              <w:top w:val="nil"/>
              <w:left w:val="nil"/>
              <w:bottom w:val="nil"/>
              <w:right w:val="nil"/>
            </w:tcBorders>
            <w:shd w:val="clear" w:color="auto" w:fill="auto"/>
            <w:vAlign w:val="center"/>
          </w:tcPr>
          <w:p w14:paraId="5770A3DC" w14:textId="77777777"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Employment</w:t>
            </w:r>
          </w:p>
        </w:tc>
        <w:tc>
          <w:tcPr>
            <w:tcW w:w="1461" w:type="pct"/>
            <w:tcBorders>
              <w:top w:val="nil"/>
              <w:left w:val="nil"/>
              <w:bottom w:val="nil"/>
              <w:right w:val="nil"/>
            </w:tcBorders>
            <w:shd w:val="clear" w:color="auto" w:fill="auto"/>
            <w:vAlign w:val="center"/>
          </w:tcPr>
          <w:p w14:paraId="174B0E3C" w14:textId="77777777"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No</w:t>
            </w:r>
          </w:p>
        </w:tc>
        <w:tc>
          <w:tcPr>
            <w:tcW w:w="459" w:type="pct"/>
            <w:tcBorders>
              <w:top w:val="nil"/>
              <w:left w:val="nil"/>
              <w:bottom w:val="nil"/>
              <w:right w:val="nil"/>
            </w:tcBorders>
            <w:shd w:val="clear" w:color="auto" w:fill="auto"/>
            <w:vAlign w:val="center"/>
          </w:tcPr>
          <w:p w14:paraId="356DC912" w14:textId="77777777"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42.0</w:t>
            </w:r>
          </w:p>
        </w:tc>
        <w:tc>
          <w:tcPr>
            <w:tcW w:w="459" w:type="pct"/>
            <w:tcBorders>
              <w:top w:val="nil"/>
              <w:left w:val="nil"/>
              <w:bottom w:val="nil"/>
              <w:right w:val="nil"/>
            </w:tcBorders>
            <w:shd w:val="clear" w:color="auto" w:fill="auto"/>
            <w:vAlign w:val="center"/>
          </w:tcPr>
          <w:p w14:paraId="4FC796FF" w14:textId="34AE311D"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35.9</w:t>
            </w:r>
          </w:p>
        </w:tc>
        <w:tc>
          <w:tcPr>
            <w:tcW w:w="396" w:type="pct"/>
            <w:tcBorders>
              <w:top w:val="nil"/>
              <w:left w:val="nil"/>
              <w:bottom w:val="nil"/>
              <w:right w:val="nil"/>
            </w:tcBorders>
            <w:shd w:val="clear" w:color="auto" w:fill="auto"/>
            <w:vAlign w:val="center"/>
          </w:tcPr>
          <w:p w14:paraId="36F89E36" w14:textId="76CA3174"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61.4</w:t>
            </w:r>
          </w:p>
        </w:tc>
        <w:tc>
          <w:tcPr>
            <w:tcW w:w="337" w:type="pct"/>
            <w:vMerge w:val="restart"/>
            <w:tcBorders>
              <w:top w:val="nil"/>
              <w:left w:val="nil"/>
              <w:bottom w:val="nil"/>
              <w:right w:val="nil"/>
            </w:tcBorders>
            <w:shd w:val="clear" w:color="auto" w:fill="auto"/>
            <w:vAlign w:val="center"/>
          </w:tcPr>
          <w:p w14:paraId="7ADA54D5" w14:textId="77777777"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&lt;0.001</w:t>
            </w:r>
          </w:p>
        </w:tc>
        <w:tc>
          <w:tcPr>
            <w:tcW w:w="459" w:type="pct"/>
            <w:tcBorders>
              <w:top w:val="nil"/>
              <w:left w:val="nil"/>
              <w:bottom w:val="nil"/>
              <w:right w:val="nil"/>
            </w:tcBorders>
            <w:vAlign w:val="center"/>
          </w:tcPr>
          <w:p w14:paraId="248C00E2" w14:textId="1BA7EAC1" w:rsidR="0007166A" w:rsidRPr="009B7DB0" w:rsidRDefault="0007166A"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42.2</w:t>
            </w:r>
          </w:p>
        </w:tc>
        <w:tc>
          <w:tcPr>
            <w:tcW w:w="396" w:type="pct"/>
            <w:tcBorders>
              <w:top w:val="nil"/>
              <w:left w:val="nil"/>
              <w:bottom w:val="nil"/>
              <w:right w:val="nil"/>
            </w:tcBorders>
            <w:vAlign w:val="center"/>
          </w:tcPr>
          <w:p w14:paraId="3840E14E" w14:textId="4E928625" w:rsidR="0007166A" w:rsidRPr="009B7DB0" w:rsidRDefault="0007166A"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40.2</w:t>
            </w:r>
          </w:p>
        </w:tc>
        <w:tc>
          <w:tcPr>
            <w:tcW w:w="337" w:type="pct"/>
            <w:vMerge w:val="restart"/>
            <w:tcBorders>
              <w:top w:val="nil"/>
              <w:left w:val="nil"/>
              <w:right w:val="nil"/>
            </w:tcBorders>
            <w:vAlign w:val="center"/>
          </w:tcPr>
          <w:p w14:paraId="33D1B11D" w14:textId="5EBFE3D1" w:rsidR="0007166A" w:rsidRPr="009B7DB0" w:rsidRDefault="000D4261"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0.688</w:t>
            </w:r>
          </w:p>
        </w:tc>
      </w:tr>
      <w:tr w:rsidR="009B7DB0" w:rsidRPr="009B7DB0" w14:paraId="23093B12" w14:textId="0E847DE1" w:rsidTr="00F26BD2">
        <w:trPr>
          <w:gridBefore w:val="1"/>
          <w:wBefore w:w="109" w:type="pct"/>
          <w:jc w:val="center"/>
        </w:trPr>
        <w:tc>
          <w:tcPr>
            <w:tcW w:w="587" w:type="pct"/>
            <w:vMerge/>
            <w:tcBorders>
              <w:top w:val="nil"/>
              <w:left w:val="nil"/>
              <w:bottom w:val="nil"/>
              <w:right w:val="nil"/>
            </w:tcBorders>
            <w:shd w:val="clear" w:color="auto" w:fill="auto"/>
            <w:vAlign w:val="center"/>
          </w:tcPr>
          <w:p w14:paraId="737F1EA3" w14:textId="77777777"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6EC741A8" w14:textId="77777777"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Yes</w:t>
            </w:r>
          </w:p>
        </w:tc>
        <w:tc>
          <w:tcPr>
            <w:tcW w:w="459" w:type="pct"/>
            <w:tcBorders>
              <w:top w:val="nil"/>
              <w:left w:val="nil"/>
              <w:bottom w:val="nil"/>
              <w:right w:val="nil"/>
            </w:tcBorders>
            <w:shd w:val="clear" w:color="auto" w:fill="auto"/>
            <w:vAlign w:val="center"/>
          </w:tcPr>
          <w:p w14:paraId="6D2EC057" w14:textId="77777777"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58.0</w:t>
            </w:r>
          </w:p>
        </w:tc>
        <w:tc>
          <w:tcPr>
            <w:tcW w:w="459" w:type="pct"/>
            <w:tcBorders>
              <w:top w:val="nil"/>
              <w:left w:val="nil"/>
              <w:bottom w:val="nil"/>
              <w:right w:val="nil"/>
            </w:tcBorders>
            <w:shd w:val="clear" w:color="auto" w:fill="auto"/>
            <w:vAlign w:val="center"/>
          </w:tcPr>
          <w:p w14:paraId="3595C29E" w14:textId="03AC5811"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64.1</w:t>
            </w:r>
          </w:p>
        </w:tc>
        <w:tc>
          <w:tcPr>
            <w:tcW w:w="396" w:type="pct"/>
            <w:tcBorders>
              <w:top w:val="nil"/>
              <w:left w:val="nil"/>
              <w:bottom w:val="nil"/>
              <w:right w:val="nil"/>
            </w:tcBorders>
            <w:shd w:val="clear" w:color="auto" w:fill="auto"/>
            <w:vAlign w:val="center"/>
          </w:tcPr>
          <w:p w14:paraId="4D57E85C" w14:textId="105B2334"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38.6</w:t>
            </w:r>
          </w:p>
        </w:tc>
        <w:tc>
          <w:tcPr>
            <w:tcW w:w="337" w:type="pct"/>
            <w:vMerge/>
            <w:tcBorders>
              <w:top w:val="nil"/>
              <w:left w:val="nil"/>
              <w:bottom w:val="nil"/>
              <w:right w:val="nil"/>
            </w:tcBorders>
            <w:shd w:val="clear" w:color="auto" w:fill="auto"/>
            <w:vAlign w:val="center"/>
          </w:tcPr>
          <w:p w14:paraId="4079FDC5" w14:textId="77777777" w:rsidR="0007166A" w:rsidRPr="009B7DB0" w:rsidRDefault="0007166A"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77E08E7D" w14:textId="04577DA8" w:rsidR="0007166A" w:rsidRPr="009B7DB0" w:rsidRDefault="0007166A"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57.8</w:t>
            </w:r>
          </w:p>
        </w:tc>
        <w:tc>
          <w:tcPr>
            <w:tcW w:w="396" w:type="pct"/>
            <w:tcBorders>
              <w:top w:val="nil"/>
              <w:left w:val="nil"/>
              <w:bottom w:val="nil"/>
              <w:right w:val="nil"/>
            </w:tcBorders>
            <w:vAlign w:val="center"/>
          </w:tcPr>
          <w:p w14:paraId="05BE4F96" w14:textId="4861A064" w:rsidR="0007166A" w:rsidRPr="009B7DB0" w:rsidRDefault="0007166A"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59.8</w:t>
            </w:r>
          </w:p>
        </w:tc>
        <w:tc>
          <w:tcPr>
            <w:tcW w:w="337" w:type="pct"/>
            <w:vMerge/>
            <w:tcBorders>
              <w:left w:val="nil"/>
              <w:bottom w:val="nil"/>
              <w:right w:val="nil"/>
            </w:tcBorders>
            <w:vAlign w:val="center"/>
          </w:tcPr>
          <w:p w14:paraId="0BDDDA23" w14:textId="77777777" w:rsidR="0007166A" w:rsidRPr="009B7DB0" w:rsidRDefault="0007166A"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4224F9A0" w14:textId="5906296F" w:rsidTr="005F7AEF">
        <w:trPr>
          <w:gridBefore w:val="1"/>
          <w:wBefore w:w="109" w:type="pct"/>
          <w:jc w:val="center"/>
        </w:trPr>
        <w:tc>
          <w:tcPr>
            <w:tcW w:w="587" w:type="pct"/>
            <w:vMerge w:val="restart"/>
            <w:tcBorders>
              <w:top w:val="nil"/>
              <w:left w:val="nil"/>
              <w:bottom w:val="nil"/>
              <w:right w:val="nil"/>
            </w:tcBorders>
            <w:shd w:val="clear" w:color="auto" w:fill="auto"/>
            <w:vAlign w:val="center"/>
          </w:tcPr>
          <w:p w14:paraId="342BE679"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Annual family income</w:t>
            </w:r>
          </w:p>
        </w:tc>
        <w:tc>
          <w:tcPr>
            <w:tcW w:w="1461" w:type="pct"/>
            <w:tcBorders>
              <w:top w:val="nil"/>
              <w:left w:val="nil"/>
              <w:bottom w:val="nil"/>
              <w:right w:val="nil"/>
            </w:tcBorders>
            <w:shd w:val="clear" w:color="auto" w:fill="auto"/>
            <w:vAlign w:val="center"/>
          </w:tcPr>
          <w:p w14:paraId="13358DFF"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&lt;$20,000</w:t>
            </w:r>
          </w:p>
        </w:tc>
        <w:tc>
          <w:tcPr>
            <w:tcW w:w="459" w:type="pct"/>
            <w:tcBorders>
              <w:top w:val="nil"/>
              <w:left w:val="nil"/>
              <w:bottom w:val="nil"/>
              <w:right w:val="nil"/>
            </w:tcBorders>
            <w:shd w:val="clear" w:color="auto" w:fill="auto"/>
            <w:vAlign w:val="center"/>
          </w:tcPr>
          <w:p w14:paraId="0895218B"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14.1</w:t>
            </w:r>
          </w:p>
        </w:tc>
        <w:tc>
          <w:tcPr>
            <w:tcW w:w="459" w:type="pct"/>
            <w:tcBorders>
              <w:top w:val="nil"/>
              <w:left w:val="nil"/>
              <w:bottom w:val="nil"/>
              <w:right w:val="nil"/>
            </w:tcBorders>
            <w:shd w:val="clear" w:color="auto" w:fill="auto"/>
            <w:vAlign w:val="center"/>
          </w:tcPr>
          <w:p w14:paraId="5C3483EC" w14:textId="3CD53E31"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14.4</w:t>
            </w:r>
          </w:p>
        </w:tc>
        <w:tc>
          <w:tcPr>
            <w:tcW w:w="396" w:type="pct"/>
            <w:tcBorders>
              <w:top w:val="nil"/>
              <w:left w:val="nil"/>
              <w:bottom w:val="nil"/>
              <w:right w:val="nil"/>
            </w:tcBorders>
            <w:shd w:val="clear" w:color="auto" w:fill="auto"/>
            <w:vAlign w:val="center"/>
          </w:tcPr>
          <w:p w14:paraId="65B5D7F0" w14:textId="021ADE9E"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13.0</w:t>
            </w:r>
          </w:p>
        </w:tc>
        <w:tc>
          <w:tcPr>
            <w:tcW w:w="337" w:type="pct"/>
            <w:vMerge w:val="restart"/>
            <w:tcBorders>
              <w:top w:val="nil"/>
              <w:left w:val="nil"/>
              <w:bottom w:val="nil"/>
              <w:right w:val="nil"/>
            </w:tcBorders>
            <w:shd w:val="clear" w:color="auto" w:fill="auto"/>
            <w:vAlign w:val="center"/>
          </w:tcPr>
          <w:p w14:paraId="0C29FEE9" w14:textId="3A75B109"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0.538</w:t>
            </w:r>
          </w:p>
        </w:tc>
        <w:tc>
          <w:tcPr>
            <w:tcW w:w="459" w:type="pct"/>
            <w:tcBorders>
              <w:top w:val="nil"/>
              <w:left w:val="nil"/>
              <w:bottom w:val="nil"/>
              <w:right w:val="nil"/>
            </w:tcBorders>
            <w:vAlign w:val="center"/>
          </w:tcPr>
          <w:p w14:paraId="02E3C49F" w14:textId="370C959E"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13.9</w:t>
            </w:r>
          </w:p>
        </w:tc>
        <w:tc>
          <w:tcPr>
            <w:tcW w:w="396" w:type="pct"/>
            <w:tcBorders>
              <w:top w:val="nil"/>
              <w:left w:val="nil"/>
              <w:bottom w:val="nil"/>
              <w:right w:val="nil"/>
            </w:tcBorders>
            <w:vAlign w:val="center"/>
          </w:tcPr>
          <w:p w14:paraId="23CAF73E" w14:textId="14E5CF89"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15.2</w:t>
            </w:r>
          </w:p>
        </w:tc>
        <w:tc>
          <w:tcPr>
            <w:tcW w:w="337" w:type="pct"/>
            <w:vMerge w:val="restart"/>
            <w:tcBorders>
              <w:top w:val="nil"/>
              <w:left w:val="nil"/>
              <w:right w:val="nil"/>
            </w:tcBorders>
            <w:vAlign w:val="center"/>
          </w:tcPr>
          <w:p w14:paraId="5C70746B" w14:textId="6EB6FBC6"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0.909</w:t>
            </w:r>
          </w:p>
        </w:tc>
      </w:tr>
      <w:tr w:rsidR="009B7DB0" w:rsidRPr="009B7DB0" w14:paraId="59BBA215" w14:textId="612F18B1" w:rsidTr="005F7AEF">
        <w:trPr>
          <w:gridBefore w:val="1"/>
          <w:wBefore w:w="109" w:type="pct"/>
          <w:jc w:val="center"/>
        </w:trPr>
        <w:tc>
          <w:tcPr>
            <w:tcW w:w="587" w:type="pct"/>
            <w:vMerge/>
            <w:tcBorders>
              <w:top w:val="nil"/>
              <w:left w:val="nil"/>
              <w:bottom w:val="nil"/>
              <w:right w:val="nil"/>
            </w:tcBorders>
            <w:shd w:val="clear" w:color="auto" w:fill="auto"/>
            <w:vAlign w:val="center"/>
          </w:tcPr>
          <w:p w14:paraId="1F8945D2"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704842D5"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$20,000-&lt;$40,000</w:t>
            </w:r>
          </w:p>
        </w:tc>
        <w:tc>
          <w:tcPr>
            <w:tcW w:w="459" w:type="pct"/>
            <w:tcBorders>
              <w:top w:val="nil"/>
              <w:left w:val="nil"/>
              <w:bottom w:val="nil"/>
              <w:right w:val="nil"/>
            </w:tcBorders>
            <w:shd w:val="clear" w:color="auto" w:fill="auto"/>
            <w:vAlign w:val="center"/>
          </w:tcPr>
          <w:p w14:paraId="1F38D267"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19.2</w:t>
            </w:r>
          </w:p>
        </w:tc>
        <w:tc>
          <w:tcPr>
            <w:tcW w:w="459" w:type="pct"/>
            <w:tcBorders>
              <w:top w:val="nil"/>
              <w:left w:val="nil"/>
              <w:bottom w:val="nil"/>
              <w:right w:val="nil"/>
            </w:tcBorders>
            <w:shd w:val="clear" w:color="auto" w:fill="auto"/>
            <w:vAlign w:val="center"/>
          </w:tcPr>
          <w:p w14:paraId="61EC77FB"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18.3</w:t>
            </w:r>
          </w:p>
        </w:tc>
        <w:tc>
          <w:tcPr>
            <w:tcW w:w="396" w:type="pct"/>
            <w:tcBorders>
              <w:top w:val="nil"/>
              <w:left w:val="nil"/>
              <w:bottom w:val="nil"/>
              <w:right w:val="nil"/>
            </w:tcBorders>
            <w:shd w:val="clear" w:color="auto" w:fill="auto"/>
            <w:vAlign w:val="center"/>
          </w:tcPr>
          <w:p w14:paraId="47C3CBB9" w14:textId="7D55C90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21.9</w:t>
            </w:r>
          </w:p>
        </w:tc>
        <w:tc>
          <w:tcPr>
            <w:tcW w:w="337" w:type="pct"/>
            <w:vMerge/>
            <w:tcBorders>
              <w:top w:val="nil"/>
              <w:left w:val="nil"/>
              <w:bottom w:val="nil"/>
              <w:right w:val="nil"/>
            </w:tcBorders>
            <w:shd w:val="clear" w:color="auto" w:fill="auto"/>
            <w:vAlign w:val="center"/>
          </w:tcPr>
          <w:p w14:paraId="3D6B557E"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09FF7B15" w14:textId="06DD22F2"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19.5</w:t>
            </w:r>
          </w:p>
        </w:tc>
        <w:tc>
          <w:tcPr>
            <w:tcW w:w="396" w:type="pct"/>
            <w:tcBorders>
              <w:top w:val="nil"/>
              <w:left w:val="nil"/>
              <w:bottom w:val="nil"/>
              <w:right w:val="nil"/>
            </w:tcBorders>
            <w:vAlign w:val="center"/>
          </w:tcPr>
          <w:p w14:paraId="72C83769" w14:textId="481A6E3D"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16.2</w:t>
            </w:r>
          </w:p>
        </w:tc>
        <w:tc>
          <w:tcPr>
            <w:tcW w:w="337" w:type="pct"/>
            <w:vMerge/>
            <w:tcBorders>
              <w:left w:val="nil"/>
              <w:right w:val="nil"/>
            </w:tcBorders>
            <w:vAlign w:val="center"/>
          </w:tcPr>
          <w:p w14:paraId="66D326C0" w14:textId="77777777"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76A0C8AB" w14:textId="4D827588" w:rsidTr="005F7AEF">
        <w:trPr>
          <w:gridBefore w:val="1"/>
          <w:wBefore w:w="109" w:type="pct"/>
          <w:jc w:val="center"/>
        </w:trPr>
        <w:tc>
          <w:tcPr>
            <w:tcW w:w="587" w:type="pct"/>
            <w:vMerge/>
            <w:tcBorders>
              <w:top w:val="nil"/>
              <w:left w:val="nil"/>
              <w:bottom w:val="nil"/>
              <w:right w:val="nil"/>
            </w:tcBorders>
            <w:shd w:val="clear" w:color="auto" w:fill="auto"/>
            <w:vAlign w:val="center"/>
          </w:tcPr>
          <w:p w14:paraId="0E45DB45"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28F99F2A"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$40,000-&lt;$60,000</w:t>
            </w:r>
          </w:p>
        </w:tc>
        <w:tc>
          <w:tcPr>
            <w:tcW w:w="459" w:type="pct"/>
            <w:tcBorders>
              <w:top w:val="nil"/>
              <w:left w:val="nil"/>
              <w:bottom w:val="nil"/>
              <w:right w:val="nil"/>
            </w:tcBorders>
            <w:shd w:val="clear" w:color="auto" w:fill="auto"/>
            <w:vAlign w:val="center"/>
          </w:tcPr>
          <w:p w14:paraId="0B5BD179"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16.4</w:t>
            </w:r>
          </w:p>
        </w:tc>
        <w:tc>
          <w:tcPr>
            <w:tcW w:w="459" w:type="pct"/>
            <w:tcBorders>
              <w:top w:val="nil"/>
              <w:left w:val="nil"/>
              <w:bottom w:val="nil"/>
              <w:right w:val="nil"/>
            </w:tcBorders>
            <w:shd w:val="clear" w:color="auto" w:fill="auto"/>
            <w:vAlign w:val="center"/>
          </w:tcPr>
          <w:p w14:paraId="5C7FBFCF"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15.8</w:t>
            </w:r>
          </w:p>
        </w:tc>
        <w:tc>
          <w:tcPr>
            <w:tcW w:w="396" w:type="pct"/>
            <w:tcBorders>
              <w:top w:val="nil"/>
              <w:left w:val="nil"/>
              <w:bottom w:val="nil"/>
              <w:right w:val="nil"/>
            </w:tcBorders>
            <w:shd w:val="clear" w:color="auto" w:fill="auto"/>
            <w:vAlign w:val="center"/>
          </w:tcPr>
          <w:p w14:paraId="2BEE5286"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18.1</w:t>
            </w:r>
          </w:p>
        </w:tc>
        <w:tc>
          <w:tcPr>
            <w:tcW w:w="337" w:type="pct"/>
            <w:vMerge/>
            <w:tcBorders>
              <w:top w:val="nil"/>
              <w:left w:val="nil"/>
              <w:bottom w:val="nil"/>
              <w:right w:val="nil"/>
            </w:tcBorders>
            <w:shd w:val="clear" w:color="auto" w:fill="auto"/>
            <w:vAlign w:val="center"/>
          </w:tcPr>
          <w:p w14:paraId="70E0AEDA"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06D10116" w14:textId="52A1B9F5"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16.2</w:t>
            </w:r>
          </w:p>
        </w:tc>
        <w:tc>
          <w:tcPr>
            <w:tcW w:w="396" w:type="pct"/>
            <w:tcBorders>
              <w:top w:val="nil"/>
              <w:left w:val="nil"/>
              <w:bottom w:val="nil"/>
              <w:right w:val="nil"/>
            </w:tcBorders>
            <w:vAlign w:val="center"/>
          </w:tcPr>
          <w:p w14:paraId="2D4CD09A" w14:textId="5D850168"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18.1</w:t>
            </w:r>
          </w:p>
        </w:tc>
        <w:tc>
          <w:tcPr>
            <w:tcW w:w="337" w:type="pct"/>
            <w:vMerge/>
            <w:tcBorders>
              <w:left w:val="nil"/>
              <w:right w:val="nil"/>
            </w:tcBorders>
            <w:vAlign w:val="center"/>
          </w:tcPr>
          <w:p w14:paraId="20E3BDD2" w14:textId="77777777"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44F73F36" w14:textId="5BF5EBD7" w:rsidTr="005F7AEF">
        <w:trPr>
          <w:gridBefore w:val="1"/>
          <w:wBefore w:w="109" w:type="pct"/>
          <w:jc w:val="center"/>
        </w:trPr>
        <w:tc>
          <w:tcPr>
            <w:tcW w:w="587" w:type="pct"/>
            <w:vMerge/>
            <w:tcBorders>
              <w:top w:val="nil"/>
              <w:left w:val="nil"/>
              <w:bottom w:val="nil"/>
              <w:right w:val="nil"/>
            </w:tcBorders>
            <w:shd w:val="clear" w:color="auto" w:fill="auto"/>
            <w:vAlign w:val="center"/>
          </w:tcPr>
          <w:p w14:paraId="113F427B"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42E633FD"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$60,000-&lt;$75,000</w:t>
            </w:r>
          </w:p>
        </w:tc>
        <w:tc>
          <w:tcPr>
            <w:tcW w:w="459" w:type="pct"/>
            <w:tcBorders>
              <w:top w:val="nil"/>
              <w:left w:val="nil"/>
              <w:bottom w:val="nil"/>
              <w:right w:val="nil"/>
            </w:tcBorders>
            <w:shd w:val="clear" w:color="auto" w:fill="auto"/>
            <w:vAlign w:val="center"/>
          </w:tcPr>
          <w:p w14:paraId="14653972"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13.4</w:t>
            </w:r>
          </w:p>
        </w:tc>
        <w:tc>
          <w:tcPr>
            <w:tcW w:w="459" w:type="pct"/>
            <w:tcBorders>
              <w:top w:val="nil"/>
              <w:left w:val="nil"/>
              <w:bottom w:val="nil"/>
              <w:right w:val="nil"/>
            </w:tcBorders>
            <w:shd w:val="clear" w:color="auto" w:fill="auto"/>
            <w:vAlign w:val="center"/>
          </w:tcPr>
          <w:p w14:paraId="0A59774D" w14:textId="6384F0CD"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13.5</w:t>
            </w:r>
          </w:p>
        </w:tc>
        <w:tc>
          <w:tcPr>
            <w:tcW w:w="396" w:type="pct"/>
            <w:tcBorders>
              <w:top w:val="nil"/>
              <w:left w:val="nil"/>
              <w:bottom w:val="nil"/>
              <w:right w:val="nil"/>
            </w:tcBorders>
            <w:shd w:val="clear" w:color="auto" w:fill="auto"/>
            <w:vAlign w:val="center"/>
          </w:tcPr>
          <w:p w14:paraId="254270E2" w14:textId="405E5B76"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12.8</w:t>
            </w:r>
          </w:p>
        </w:tc>
        <w:tc>
          <w:tcPr>
            <w:tcW w:w="337" w:type="pct"/>
            <w:vMerge/>
            <w:tcBorders>
              <w:top w:val="nil"/>
              <w:left w:val="nil"/>
              <w:bottom w:val="nil"/>
              <w:right w:val="nil"/>
            </w:tcBorders>
            <w:shd w:val="clear" w:color="auto" w:fill="auto"/>
            <w:vAlign w:val="center"/>
          </w:tcPr>
          <w:p w14:paraId="00F15284"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388DA306" w14:textId="196CE299"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13.4</w:t>
            </w:r>
          </w:p>
        </w:tc>
        <w:tc>
          <w:tcPr>
            <w:tcW w:w="396" w:type="pct"/>
            <w:tcBorders>
              <w:top w:val="nil"/>
              <w:left w:val="nil"/>
              <w:bottom w:val="nil"/>
              <w:right w:val="nil"/>
            </w:tcBorders>
            <w:vAlign w:val="center"/>
          </w:tcPr>
          <w:p w14:paraId="432B7ADB" w14:textId="08D5369F"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13.2</w:t>
            </w:r>
          </w:p>
        </w:tc>
        <w:tc>
          <w:tcPr>
            <w:tcW w:w="337" w:type="pct"/>
            <w:vMerge/>
            <w:tcBorders>
              <w:left w:val="nil"/>
              <w:right w:val="nil"/>
            </w:tcBorders>
            <w:vAlign w:val="center"/>
          </w:tcPr>
          <w:p w14:paraId="04658D0C" w14:textId="77777777"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14AEBD93" w14:textId="46E0B517" w:rsidTr="005F7AEF">
        <w:trPr>
          <w:gridBefore w:val="1"/>
          <w:wBefore w:w="109" w:type="pct"/>
          <w:jc w:val="center"/>
        </w:trPr>
        <w:tc>
          <w:tcPr>
            <w:tcW w:w="587" w:type="pct"/>
            <w:vMerge/>
            <w:tcBorders>
              <w:top w:val="nil"/>
              <w:left w:val="nil"/>
              <w:bottom w:val="nil"/>
              <w:right w:val="nil"/>
            </w:tcBorders>
            <w:shd w:val="clear" w:color="auto" w:fill="auto"/>
            <w:vAlign w:val="center"/>
          </w:tcPr>
          <w:p w14:paraId="5C40C95E"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3C79FCC8"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≥$75,000</w:t>
            </w:r>
          </w:p>
        </w:tc>
        <w:tc>
          <w:tcPr>
            <w:tcW w:w="459" w:type="pct"/>
            <w:tcBorders>
              <w:top w:val="nil"/>
              <w:left w:val="nil"/>
              <w:bottom w:val="nil"/>
              <w:right w:val="nil"/>
            </w:tcBorders>
            <w:shd w:val="clear" w:color="auto" w:fill="auto"/>
            <w:vAlign w:val="center"/>
          </w:tcPr>
          <w:p w14:paraId="2EE35222"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37.0</w:t>
            </w:r>
          </w:p>
        </w:tc>
        <w:tc>
          <w:tcPr>
            <w:tcW w:w="459" w:type="pct"/>
            <w:tcBorders>
              <w:top w:val="nil"/>
              <w:left w:val="nil"/>
              <w:bottom w:val="nil"/>
              <w:right w:val="nil"/>
            </w:tcBorders>
            <w:shd w:val="clear" w:color="auto" w:fill="auto"/>
            <w:vAlign w:val="center"/>
          </w:tcPr>
          <w:p w14:paraId="61D2B525" w14:textId="187F6F2B"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37.9</w:t>
            </w:r>
          </w:p>
        </w:tc>
        <w:tc>
          <w:tcPr>
            <w:tcW w:w="396" w:type="pct"/>
            <w:tcBorders>
              <w:top w:val="nil"/>
              <w:left w:val="nil"/>
              <w:bottom w:val="nil"/>
              <w:right w:val="nil"/>
            </w:tcBorders>
            <w:shd w:val="clear" w:color="auto" w:fill="auto"/>
            <w:vAlign w:val="center"/>
          </w:tcPr>
          <w:p w14:paraId="6B7C41A0" w14:textId="5528699C"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34.2</w:t>
            </w:r>
          </w:p>
        </w:tc>
        <w:tc>
          <w:tcPr>
            <w:tcW w:w="337" w:type="pct"/>
            <w:vMerge/>
            <w:tcBorders>
              <w:top w:val="nil"/>
              <w:left w:val="nil"/>
              <w:bottom w:val="nil"/>
              <w:right w:val="nil"/>
            </w:tcBorders>
            <w:shd w:val="clear" w:color="auto" w:fill="auto"/>
            <w:vAlign w:val="center"/>
          </w:tcPr>
          <w:p w14:paraId="18EE9AA0" w14:textId="77777777" w:rsidR="00FE2E54" w:rsidRPr="009B7DB0" w:rsidRDefault="00FE2E54"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0C49ACD3" w14:textId="16C4FB33"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37.0</w:t>
            </w:r>
          </w:p>
        </w:tc>
        <w:tc>
          <w:tcPr>
            <w:tcW w:w="396" w:type="pct"/>
            <w:tcBorders>
              <w:top w:val="nil"/>
              <w:left w:val="nil"/>
              <w:bottom w:val="nil"/>
              <w:right w:val="nil"/>
            </w:tcBorders>
            <w:vAlign w:val="center"/>
          </w:tcPr>
          <w:p w14:paraId="1E0AC693" w14:textId="79BF1CEC"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37.3</w:t>
            </w:r>
          </w:p>
        </w:tc>
        <w:tc>
          <w:tcPr>
            <w:tcW w:w="337" w:type="pct"/>
            <w:vMerge/>
            <w:tcBorders>
              <w:left w:val="nil"/>
              <w:bottom w:val="nil"/>
              <w:right w:val="nil"/>
            </w:tcBorders>
            <w:vAlign w:val="center"/>
          </w:tcPr>
          <w:p w14:paraId="359001E2" w14:textId="77777777" w:rsidR="00FE2E54" w:rsidRPr="009B7DB0" w:rsidRDefault="00FE2E54"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2F01FC5B" w14:textId="70A4FC5D" w:rsidTr="004B5851">
        <w:trPr>
          <w:gridBefore w:val="1"/>
          <w:wBefore w:w="109" w:type="pct"/>
          <w:jc w:val="center"/>
        </w:trPr>
        <w:tc>
          <w:tcPr>
            <w:tcW w:w="587" w:type="pct"/>
            <w:vMerge w:val="restart"/>
            <w:tcBorders>
              <w:top w:val="nil"/>
              <w:left w:val="nil"/>
              <w:bottom w:val="nil"/>
              <w:right w:val="nil"/>
            </w:tcBorders>
            <w:shd w:val="clear" w:color="auto" w:fill="auto"/>
            <w:vAlign w:val="center"/>
          </w:tcPr>
          <w:p w14:paraId="0EAB74E4" w14:textId="77777777"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Stroke</w:t>
            </w:r>
          </w:p>
        </w:tc>
        <w:tc>
          <w:tcPr>
            <w:tcW w:w="1461" w:type="pct"/>
            <w:tcBorders>
              <w:top w:val="nil"/>
              <w:left w:val="nil"/>
              <w:bottom w:val="nil"/>
              <w:right w:val="nil"/>
            </w:tcBorders>
            <w:shd w:val="clear" w:color="auto" w:fill="auto"/>
            <w:vAlign w:val="center"/>
          </w:tcPr>
          <w:p w14:paraId="62B0030D" w14:textId="77777777"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 xml:space="preserve">No </w:t>
            </w:r>
          </w:p>
        </w:tc>
        <w:tc>
          <w:tcPr>
            <w:tcW w:w="459" w:type="pct"/>
            <w:tcBorders>
              <w:top w:val="nil"/>
              <w:left w:val="nil"/>
              <w:bottom w:val="nil"/>
              <w:right w:val="nil"/>
            </w:tcBorders>
            <w:shd w:val="clear" w:color="auto" w:fill="auto"/>
            <w:vAlign w:val="center"/>
          </w:tcPr>
          <w:p w14:paraId="1571FAB8" w14:textId="77777777"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99.1</w:t>
            </w:r>
          </w:p>
        </w:tc>
        <w:tc>
          <w:tcPr>
            <w:tcW w:w="459" w:type="pct"/>
            <w:tcBorders>
              <w:top w:val="nil"/>
              <w:left w:val="nil"/>
              <w:bottom w:val="nil"/>
              <w:right w:val="nil"/>
            </w:tcBorders>
            <w:shd w:val="clear" w:color="auto" w:fill="auto"/>
            <w:vAlign w:val="center"/>
          </w:tcPr>
          <w:p w14:paraId="50AC1506" w14:textId="196D952B"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99.2</w:t>
            </w:r>
          </w:p>
        </w:tc>
        <w:tc>
          <w:tcPr>
            <w:tcW w:w="396" w:type="pct"/>
            <w:tcBorders>
              <w:top w:val="nil"/>
              <w:left w:val="nil"/>
              <w:bottom w:val="nil"/>
              <w:right w:val="nil"/>
            </w:tcBorders>
            <w:shd w:val="clear" w:color="auto" w:fill="auto"/>
            <w:vAlign w:val="center"/>
          </w:tcPr>
          <w:p w14:paraId="74AF5926" w14:textId="3320E486"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98.6</w:t>
            </w:r>
          </w:p>
        </w:tc>
        <w:tc>
          <w:tcPr>
            <w:tcW w:w="337" w:type="pct"/>
            <w:vMerge w:val="restart"/>
            <w:tcBorders>
              <w:top w:val="nil"/>
              <w:left w:val="nil"/>
              <w:bottom w:val="nil"/>
              <w:right w:val="nil"/>
            </w:tcBorders>
            <w:shd w:val="clear" w:color="auto" w:fill="auto"/>
            <w:vAlign w:val="center"/>
          </w:tcPr>
          <w:p w14:paraId="05FBFC12" w14:textId="188247C6"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0.110</w:t>
            </w:r>
          </w:p>
        </w:tc>
        <w:tc>
          <w:tcPr>
            <w:tcW w:w="459" w:type="pct"/>
            <w:tcBorders>
              <w:top w:val="nil"/>
              <w:left w:val="nil"/>
              <w:bottom w:val="nil"/>
              <w:right w:val="nil"/>
            </w:tcBorders>
            <w:vAlign w:val="center"/>
          </w:tcPr>
          <w:p w14:paraId="6B45A401" w14:textId="2966C10E" w:rsidR="0024521D" w:rsidRPr="009B7DB0" w:rsidRDefault="0024521D"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99.2</w:t>
            </w:r>
          </w:p>
        </w:tc>
        <w:tc>
          <w:tcPr>
            <w:tcW w:w="396" w:type="pct"/>
            <w:tcBorders>
              <w:top w:val="nil"/>
              <w:left w:val="nil"/>
              <w:bottom w:val="nil"/>
              <w:right w:val="nil"/>
            </w:tcBorders>
            <w:vAlign w:val="center"/>
          </w:tcPr>
          <w:p w14:paraId="6510FA21" w14:textId="6B8FE412" w:rsidR="0024521D" w:rsidRPr="009B7DB0" w:rsidRDefault="0024521D"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98.2</w:t>
            </w:r>
          </w:p>
        </w:tc>
        <w:tc>
          <w:tcPr>
            <w:tcW w:w="337" w:type="pct"/>
            <w:vMerge w:val="restart"/>
            <w:tcBorders>
              <w:top w:val="nil"/>
              <w:left w:val="nil"/>
              <w:right w:val="nil"/>
            </w:tcBorders>
            <w:vAlign w:val="center"/>
          </w:tcPr>
          <w:p w14:paraId="04725DA5" w14:textId="73CE1169" w:rsidR="0024521D" w:rsidRPr="009B7DB0" w:rsidRDefault="0024521D"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0.093</w:t>
            </w:r>
          </w:p>
        </w:tc>
      </w:tr>
      <w:tr w:rsidR="009B7DB0" w:rsidRPr="009B7DB0" w14:paraId="71DF325C" w14:textId="327F3F1C" w:rsidTr="004B5851">
        <w:trPr>
          <w:gridBefore w:val="1"/>
          <w:wBefore w:w="109" w:type="pct"/>
          <w:jc w:val="center"/>
        </w:trPr>
        <w:tc>
          <w:tcPr>
            <w:tcW w:w="587" w:type="pct"/>
            <w:vMerge/>
            <w:tcBorders>
              <w:top w:val="nil"/>
              <w:left w:val="nil"/>
              <w:bottom w:val="nil"/>
              <w:right w:val="nil"/>
            </w:tcBorders>
            <w:shd w:val="clear" w:color="auto" w:fill="auto"/>
            <w:vAlign w:val="center"/>
          </w:tcPr>
          <w:p w14:paraId="7A3B0346" w14:textId="77777777"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44F99AED" w14:textId="77777777"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Yes</w:t>
            </w:r>
          </w:p>
        </w:tc>
        <w:tc>
          <w:tcPr>
            <w:tcW w:w="459" w:type="pct"/>
            <w:tcBorders>
              <w:top w:val="nil"/>
              <w:left w:val="nil"/>
              <w:bottom w:val="nil"/>
              <w:right w:val="nil"/>
            </w:tcBorders>
            <w:shd w:val="clear" w:color="auto" w:fill="auto"/>
            <w:vAlign w:val="center"/>
          </w:tcPr>
          <w:p w14:paraId="36B951BC" w14:textId="77777777"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0.9</w:t>
            </w:r>
          </w:p>
        </w:tc>
        <w:tc>
          <w:tcPr>
            <w:tcW w:w="459" w:type="pct"/>
            <w:tcBorders>
              <w:top w:val="nil"/>
              <w:left w:val="nil"/>
              <w:bottom w:val="nil"/>
              <w:right w:val="nil"/>
            </w:tcBorders>
            <w:shd w:val="clear" w:color="auto" w:fill="auto"/>
            <w:vAlign w:val="center"/>
          </w:tcPr>
          <w:p w14:paraId="7E8178C1" w14:textId="51B07D34"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0.8</w:t>
            </w:r>
          </w:p>
        </w:tc>
        <w:tc>
          <w:tcPr>
            <w:tcW w:w="396" w:type="pct"/>
            <w:tcBorders>
              <w:top w:val="nil"/>
              <w:left w:val="nil"/>
              <w:bottom w:val="nil"/>
              <w:right w:val="nil"/>
            </w:tcBorders>
            <w:shd w:val="clear" w:color="auto" w:fill="auto"/>
            <w:vAlign w:val="center"/>
          </w:tcPr>
          <w:p w14:paraId="48026DB0" w14:textId="5FE05906"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1.4</w:t>
            </w:r>
          </w:p>
        </w:tc>
        <w:tc>
          <w:tcPr>
            <w:tcW w:w="337" w:type="pct"/>
            <w:vMerge/>
            <w:tcBorders>
              <w:top w:val="nil"/>
              <w:left w:val="nil"/>
              <w:bottom w:val="nil"/>
              <w:right w:val="nil"/>
            </w:tcBorders>
            <w:shd w:val="clear" w:color="auto" w:fill="auto"/>
            <w:vAlign w:val="center"/>
          </w:tcPr>
          <w:p w14:paraId="2036D03B" w14:textId="77777777" w:rsidR="0024521D" w:rsidRPr="009B7DB0" w:rsidRDefault="0024521D"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5FE805A3" w14:textId="3066D299" w:rsidR="0024521D" w:rsidRPr="009B7DB0" w:rsidRDefault="0024521D"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0.8</w:t>
            </w:r>
          </w:p>
        </w:tc>
        <w:tc>
          <w:tcPr>
            <w:tcW w:w="396" w:type="pct"/>
            <w:tcBorders>
              <w:top w:val="nil"/>
              <w:left w:val="nil"/>
              <w:bottom w:val="nil"/>
              <w:right w:val="nil"/>
            </w:tcBorders>
            <w:vAlign w:val="center"/>
          </w:tcPr>
          <w:p w14:paraId="016BB47F" w14:textId="2E10B824" w:rsidR="0024521D" w:rsidRPr="009B7DB0" w:rsidRDefault="0024521D"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1.8</w:t>
            </w:r>
          </w:p>
        </w:tc>
        <w:tc>
          <w:tcPr>
            <w:tcW w:w="337" w:type="pct"/>
            <w:vMerge/>
            <w:tcBorders>
              <w:left w:val="nil"/>
              <w:bottom w:val="nil"/>
              <w:right w:val="nil"/>
            </w:tcBorders>
            <w:vAlign w:val="center"/>
          </w:tcPr>
          <w:p w14:paraId="56A4E98A" w14:textId="77777777" w:rsidR="0024521D" w:rsidRPr="009B7DB0" w:rsidRDefault="0024521D"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4CE2633F" w14:textId="0FA04135" w:rsidTr="00C2479C">
        <w:trPr>
          <w:gridBefore w:val="1"/>
          <w:wBefore w:w="109" w:type="pct"/>
          <w:jc w:val="center"/>
        </w:trPr>
        <w:tc>
          <w:tcPr>
            <w:tcW w:w="587" w:type="pct"/>
            <w:vMerge w:val="restart"/>
            <w:tcBorders>
              <w:top w:val="nil"/>
              <w:left w:val="nil"/>
              <w:bottom w:val="nil"/>
              <w:right w:val="nil"/>
            </w:tcBorders>
            <w:shd w:val="clear" w:color="auto" w:fill="auto"/>
            <w:vAlign w:val="center"/>
          </w:tcPr>
          <w:p w14:paraId="1A9BE5D7" w14:textId="77777777"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Epilepsy</w:t>
            </w:r>
          </w:p>
        </w:tc>
        <w:tc>
          <w:tcPr>
            <w:tcW w:w="1461" w:type="pct"/>
            <w:tcBorders>
              <w:top w:val="nil"/>
              <w:left w:val="nil"/>
              <w:bottom w:val="nil"/>
              <w:right w:val="nil"/>
            </w:tcBorders>
            <w:shd w:val="clear" w:color="auto" w:fill="auto"/>
            <w:vAlign w:val="center"/>
          </w:tcPr>
          <w:p w14:paraId="69CD2AAA" w14:textId="77777777"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 xml:space="preserve">No </w:t>
            </w:r>
          </w:p>
        </w:tc>
        <w:tc>
          <w:tcPr>
            <w:tcW w:w="459" w:type="pct"/>
            <w:tcBorders>
              <w:top w:val="nil"/>
              <w:left w:val="nil"/>
              <w:bottom w:val="nil"/>
              <w:right w:val="nil"/>
            </w:tcBorders>
            <w:shd w:val="clear" w:color="auto" w:fill="auto"/>
            <w:vAlign w:val="center"/>
          </w:tcPr>
          <w:p w14:paraId="7EEAB97C" w14:textId="77777777"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99.5</w:t>
            </w:r>
          </w:p>
        </w:tc>
        <w:tc>
          <w:tcPr>
            <w:tcW w:w="459" w:type="pct"/>
            <w:tcBorders>
              <w:top w:val="nil"/>
              <w:left w:val="nil"/>
              <w:bottom w:val="nil"/>
              <w:right w:val="nil"/>
            </w:tcBorders>
            <w:shd w:val="clear" w:color="auto" w:fill="auto"/>
            <w:vAlign w:val="center"/>
          </w:tcPr>
          <w:p w14:paraId="0DDAC24F" w14:textId="52D747DC"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99.5</w:t>
            </w:r>
          </w:p>
        </w:tc>
        <w:tc>
          <w:tcPr>
            <w:tcW w:w="396" w:type="pct"/>
            <w:tcBorders>
              <w:top w:val="nil"/>
              <w:left w:val="nil"/>
              <w:bottom w:val="nil"/>
              <w:right w:val="nil"/>
            </w:tcBorders>
            <w:shd w:val="clear" w:color="auto" w:fill="auto"/>
            <w:vAlign w:val="center"/>
          </w:tcPr>
          <w:p w14:paraId="1C5D18B5" w14:textId="77777777"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99.8</w:t>
            </w:r>
          </w:p>
        </w:tc>
        <w:tc>
          <w:tcPr>
            <w:tcW w:w="337" w:type="pct"/>
            <w:vMerge w:val="restart"/>
            <w:tcBorders>
              <w:top w:val="nil"/>
              <w:left w:val="nil"/>
              <w:bottom w:val="nil"/>
              <w:right w:val="nil"/>
            </w:tcBorders>
            <w:shd w:val="clear" w:color="auto" w:fill="auto"/>
            <w:vAlign w:val="center"/>
          </w:tcPr>
          <w:p w14:paraId="3A89A096" w14:textId="705A2309"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0.269</w:t>
            </w:r>
          </w:p>
        </w:tc>
        <w:tc>
          <w:tcPr>
            <w:tcW w:w="459" w:type="pct"/>
            <w:tcBorders>
              <w:top w:val="nil"/>
              <w:left w:val="nil"/>
              <w:bottom w:val="nil"/>
              <w:right w:val="nil"/>
            </w:tcBorders>
            <w:vAlign w:val="center"/>
          </w:tcPr>
          <w:p w14:paraId="54C13A18" w14:textId="766813E6" w:rsidR="00F3322F" w:rsidRPr="009B7DB0" w:rsidRDefault="00F3322F"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99.7</w:t>
            </w:r>
          </w:p>
        </w:tc>
        <w:tc>
          <w:tcPr>
            <w:tcW w:w="396" w:type="pct"/>
            <w:tcBorders>
              <w:top w:val="nil"/>
              <w:left w:val="nil"/>
              <w:bottom w:val="nil"/>
              <w:right w:val="nil"/>
            </w:tcBorders>
            <w:vAlign w:val="center"/>
          </w:tcPr>
          <w:p w14:paraId="19829478" w14:textId="2E28EA8C" w:rsidR="00F3322F" w:rsidRPr="009B7DB0" w:rsidRDefault="00F3322F"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98.3</w:t>
            </w:r>
          </w:p>
        </w:tc>
        <w:tc>
          <w:tcPr>
            <w:tcW w:w="337" w:type="pct"/>
            <w:vMerge w:val="restart"/>
            <w:tcBorders>
              <w:top w:val="nil"/>
              <w:left w:val="nil"/>
              <w:right w:val="nil"/>
            </w:tcBorders>
            <w:vAlign w:val="center"/>
          </w:tcPr>
          <w:p w14:paraId="11F23B37" w14:textId="7AF87AE4" w:rsidR="00F3322F" w:rsidRPr="009B7DB0" w:rsidRDefault="00F3322F"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0.029</w:t>
            </w:r>
          </w:p>
        </w:tc>
      </w:tr>
      <w:tr w:rsidR="009B7DB0" w:rsidRPr="009B7DB0" w14:paraId="77F3F0E8" w14:textId="14D65FDC" w:rsidTr="00C2479C">
        <w:trPr>
          <w:gridBefore w:val="1"/>
          <w:wBefore w:w="109" w:type="pct"/>
          <w:jc w:val="center"/>
        </w:trPr>
        <w:tc>
          <w:tcPr>
            <w:tcW w:w="587" w:type="pct"/>
            <w:vMerge/>
            <w:tcBorders>
              <w:top w:val="nil"/>
              <w:left w:val="nil"/>
              <w:bottom w:val="nil"/>
              <w:right w:val="nil"/>
            </w:tcBorders>
            <w:shd w:val="clear" w:color="auto" w:fill="auto"/>
            <w:vAlign w:val="center"/>
          </w:tcPr>
          <w:p w14:paraId="2406500A" w14:textId="77777777"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2139558B" w14:textId="77777777"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Yes</w:t>
            </w:r>
          </w:p>
        </w:tc>
        <w:tc>
          <w:tcPr>
            <w:tcW w:w="459" w:type="pct"/>
            <w:tcBorders>
              <w:top w:val="nil"/>
              <w:left w:val="nil"/>
              <w:bottom w:val="nil"/>
              <w:right w:val="nil"/>
            </w:tcBorders>
            <w:shd w:val="clear" w:color="auto" w:fill="auto"/>
            <w:vAlign w:val="center"/>
          </w:tcPr>
          <w:p w14:paraId="2F937B08" w14:textId="77777777"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0.5</w:t>
            </w:r>
          </w:p>
        </w:tc>
        <w:tc>
          <w:tcPr>
            <w:tcW w:w="459" w:type="pct"/>
            <w:tcBorders>
              <w:top w:val="nil"/>
              <w:left w:val="nil"/>
              <w:bottom w:val="nil"/>
              <w:right w:val="nil"/>
            </w:tcBorders>
            <w:shd w:val="clear" w:color="auto" w:fill="auto"/>
            <w:vAlign w:val="center"/>
          </w:tcPr>
          <w:p w14:paraId="47E3AAF6" w14:textId="39DC86CF"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0.5</w:t>
            </w:r>
          </w:p>
        </w:tc>
        <w:tc>
          <w:tcPr>
            <w:tcW w:w="396" w:type="pct"/>
            <w:tcBorders>
              <w:top w:val="nil"/>
              <w:left w:val="nil"/>
              <w:bottom w:val="nil"/>
              <w:right w:val="nil"/>
            </w:tcBorders>
            <w:shd w:val="clear" w:color="auto" w:fill="auto"/>
            <w:vAlign w:val="center"/>
          </w:tcPr>
          <w:p w14:paraId="04227D08" w14:textId="77777777"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0.2</w:t>
            </w:r>
          </w:p>
        </w:tc>
        <w:tc>
          <w:tcPr>
            <w:tcW w:w="337" w:type="pct"/>
            <w:vMerge/>
            <w:tcBorders>
              <w:top w:val="nil"/>
              <w:left w:val="nil"/>
              <w:bottom w:val="nil"/>
              <w:right w:val="nil"/>
            </w:tcBorders>
            <w:shd w:val="clear" w:color="auto" w:fill="auto"/>
            <w:vAlign w:val="center"/>
          </w:tcPr>
          <w:p w14:paraId="3A235155" w14:textId="77777777" w:rsidR="00F3322F" w:rsidRPr="009B7DB0" w:rsidRDefault="00F3322F"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595CA175" w14:textId="0DF7E4DA" w:rsidR="00F3322F" w:rsidRPr="009B7DB0" w:rsidRDefault="00F3322F"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0.3</w:t>
            </w:r>
          </w:p>
        </w:tc>
        <w:tc>
          <w:tcPr>
            <w:tcW w:w="396" w:type="pct"/>
            <w:tcBorders>
              <w:top w:val="nil"/>
              <w:left w:val="nil"/>
              <w:bottom w:val="nil"/>
              <w:right w:val="nil"/>
            </w:tcBorders>
            <w:vAlign w:val="center"/>
          </w:tcPr>
          <w:p w14:paraId="5F8A492B" w14:textId="4D2B4B4E" w:rsidR="00F3322F" w:rsidRPr="009B7DB0" w:rsidRDefault="00F3322F"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1.7</w:t>
            </w:r>
          </w:p>
        </w:tc>
        <w:tc>
          <w:tcPr>
            <w:tcW w:w="337" w:type="pct"/>
            <w:vMerge/>
            <w:tcBorders>
              <w:left w:val="nil"/>
              <w:bottom w:val="nil"/>
              <w:right w:val="nil"/>
            </w:tcBorders>
            <w:vAlign w:val="center"/>
          </w:tcPr>
          <w:p w14:paraId="7F283B35" w14:textId="77777777" w:rsidR="00F3322F" w:rsidRPr="009B7DB0" w:rsidRDefault="00F3322F"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0221FAB6" w14:textId="45745A9D" w:rsidTr="008F3C4D">
        <w:trPr>
          <w:gridBefore w:val="1"/>
          <w:wBefore w:w="109" w:type="pct"/>
          <w:jc w:val="center"/>
        </w:trPr>
        <w:tc>
          <w:tcPr>
            <w:tcW w:w="587" w:type="pct"/>
            <w:vMerge w:val="restart"/>
            <w:tcBorders>
              <w:top w:val="nil"/>
              <w:left w:val="nil"/>
              <w:bottom w:val="nil"/>
              <w:right w:val="nil"/>
            </w:tcBorders>
            <w:shd w:val="clear" w:color="auto" w:fill="auto"/>
            <w:vAlign w:val="center"/>
          </w:tcPr>
          <w:p w14:paraId="646DFBF9" w14:textId="77777777"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Coronary artery disease</w:t>
            </w:r>
          </w:p>
        </w:tc>
        <w:tc>
          <w:tcPr>
            <w:tcW w:w="1461" w:type="pct"/>
            <w:tcBorders>
              <w:top w:val="nil"/>
              <w:left w:val="nil"/>
              <w:bottom w:val="nil"/>
              <w:right w:val="nil"/>
            </w:tcBorders>
            <w:shd w:val="clear" w:color="auto" w:fill="auto"/>
            <w:vAlign w:val="center"/>
          </w:tcPr>
          <w:p w14:paraId="6A687DDC" w14:textId="77777777"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 xml:space="preserve">No </w:t>
            </w:r>
          </w:p>
        </w:tc>
        <w:tc>
          <w:tcPr>
            <w:tcW w:w="459" w:type="pct"/>
            <w:tcBorders>
              <w:top w:val="nil"/>
              <w:left w:val="nil"/>
              <w:bottom w:val="nil"/>
              <w:right w:val="nil"/>
            </w:tcBorders>
            <w:shd w:val="clear" w:color="auto" w:fill="auto"/>
            <w:vAlign w:val="center"/>
          </w:tcPr>
          <w:p w14:paraId="45B14B2C" w14:textId="77777777"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98.3</w:t>
            </w:r>
          </w:p>
        </w:tc>
        <w:tc>
          <w:tcPr>
            <w:tcW w:w="459" w:type="pct"/>
            <w:tcBorders>
              <w:top w:val="nil"/>
              <w:left w:val="nil"/>
              <w:bottom w:val="nil"/>
              <w:right w:val="nil"/>
            </w:tcBorders>
            <w:shd w:val="clear" w:color="auto" w:fill="auto"/>
            <w:vAlign w:val="center"/>
          </w:tcPr>
          <w:p w14:paraId="3D9DA031" w14:textId="1CD75739"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98.9</w:t>
            </w:r>
          </w:p>
        </w:tc>
        <w:tc>
          <w:tcPr>
            <w:tcW w:w="396" w:type="pct"/>
            <w:tcBorders>
              <w:top w:val="nil"/>
              <w:left w:val="nil"/>
              <w:bottom w:val="nil"/>
              <w:right w:val="nil"/>
            </w:tcBorders>
            <w:shd w:val="clear" w:color="auto" w:fill="auto"/>
            <w:vAlign w:val="center"/>
          </w:tcPr>
          <w:p w14:paraId="63173D08" w14:textId="73353A95"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96.4</w:t>
            </w:r>
          </w:p>
        </w:tc>
        <w:tc>
          <w:tcPr>
            <w:tcW w:w="337" w:type="pct"/>
            <w:vMerge w:val="restart"/>
            <w:tcBorders>
              <w:top w:val="nil"/>
              <w:left w:val="nil"/>
              <w:bottom w:val="nil"/>
              <w:right w:val="nil"/>
            </w:tcBorders>
            <w:shd w:val="clear" w:color="auto" w:fill="auto"/>
            <w:vAlign w:val="center"/>
          </w:tcPr>
          <w:p w14:paraId="0D8D55D1" w14:textId="77777777"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&lt;0.001</w:t>
            </w:r>
          </w:p>
        </w:tc>
        <w:tc>
          <w:tcPr>
            <w:tcW w:w="459" w:type="pct"/>
            <w:tcBorders>
              <w:top w:val="nil"/>
              <w:left w:val="nil"/>
              <w:bottom w:val="nil"/>
              <w:right w:val="nil"/>
            </w:tcBorders>
            <w:vAlign w:val="center"/>
          </w:tcPr>
          <w:p w14:paraId="260D04B3" w14:textId="61D3F3C1" w:rsidR="00DF6FE1" w:rsidRPr="009B7DB0" w:rsidRDefault="00DF6FE1"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98.1</w:t>
            </w:r>
          </w:p>
        </w:tc>
        <w:tc>
          <w:tcPr>
            <w:tcW w:w="396" w:type="pct"/>
            <w:tcBorders>
              <w:top w:val="nil"/>
              <w:left w:val="nil"/>
              <w:bottom w:val="nil"/>
              <w:right w:val="nil"/>
            </w:tcBorders>
            <w:vAlign w:val="center"/>
          </w:tcPr>
          <w:p w14:paraId="639DCF4D" w14:textId="317E8299" w:rsidR="00DF6FE1" w:rsidRPr="009B7DB0" w:rsidRDefault="00DF6FE1"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99.6</w:t>
            </w:r>
          </w:p>
        </w:tc>
        <w:tc>
          <w:tcPr>
            <w:tcW w:w="337" w:type="pct"/>
            <w:vMerge w:val="restart"/>
            <w:tcBorders>
              <w:top w:val="nil"/>
              <w:left w:val="nil"/>
              <w:right w:val="nil"/>
            </w:tcBorders>
            <w:vAlign w:val="center"/>
          </w:tcPr>
          <w:p w14:paraId="1BC50457" w14:textId="1B807D4C" w:rsidR="00DF6FE1" w:rsidRPr="009B7DB0" w:rsidRDefault="00DF6FE1"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0.003</w:t>
            </w:r>
          </w:p>
        </w:tc>
      </w:tr>
      <w:tr w:rsidR="009B7DB0" w:rsidRPr="009B7DB0" w14:paraId="1E6D08AB" w14:textId="70444622" w:rsidTr="008F3C4D">
        <w:trPr>
          <w:gridBefore w:val="1"/>
          <w:wBefore w:w="109" w:type="pct"/>
          <w:jc w:val="center"/>
        </w:trPr>
        <w:tc>
          <w:tcPr>
            <w:tcW w:w="587" w:type="pct"/>
            <w:vMerge/>
            <w:tcBorders>
              <w:top w:val="nil"/>
              <w:left w:val="nil"/>
              <w:bottom w:val="nil"/>
              <w:right w:val="nil"/>
            </w:tcBorders>
            <w:shd w:val="clear" w:color="auto" w:fill="auto"/>
            <w:vAlign w:val="center"/>
          </w:tcPr>
          <w:p w14:paraId="6C9BCC0A" w14:textId="77777777"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2FEF971E" w14:textId="77777777"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Yes</w:t>
            </w:r>
          </w:p>
        </w:tc>
        <w:tc>
          <w:tcPr>
            <w:tcW w:w="459" w:type="pct"/>
            <w:tcBorders>
              <w:top w:val="nil"/>
              <w:left w:val="nil"/>
              <w:bottom w:val="nil"/>
              <w:right w:val="nil"/>
            </w:tcBorders>
            <w:shd w:val="clear" w:color="auto" w:fill="auto"/>
            <w:vAlign w:val="center"/>
          </w:tcPr>
          <w:p w14:paraId="158531A4" w14:textId="77777777"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1.7</w:t>
            </w:r>
          </w:p>
        </w:tc>
        <w:tc>
          <w:tcPr>
            <w:tcW w:w="459" w:type="pct"/>
            <w:tcBorders>
              <w:top w:val="nil"/>
              <w:left w:val="nil"/>
              <w:bottom w:val="nil"/>
              <w:right w:val="nil"/>
            </w:tcBorders>
            <w:shd w:val="clear" w:color="auto" w:fill="auto"/>
            <w:vAlign w:val="center"/>
          </w:tcPr>
          <w:p w14:paraId="31CE2EF4" w14:textId="221CD3F2"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1.1</w:t>
            </w:r>
          </w:p>
        </w:tc>
        <w:tc>
          <w:tcPr>
            <w:tcW w:w="396" w:type="pct"/>
            <w:tcBorders>
              <w:top w:val="nil"/>
              <w:left w:val="nil"/>
              <w:bottom w:val="nil"/>
              <w:right w:val="nil"/>
            </w:tcBorders>
            <w:shd w:val="clear" w:color="auto" w:fill="auto"/>
            <w:vAlign w:val="center"/>
          </w:tcPr>
          <w:p w14:paraId="4DEC2054" w14:textId="198C2EF6"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3.6</w:t>
            </w:r>
          </w:p>
        </w:tc>
        <w:tc>
          <w:tcPr>
            <w:tcW w:w="337" w:type="pct"/>
            <w:vMerge/>
            <w:tcBorders>
              <w:top w:val="nil"/>
              <w:left w:val="nil"/>
              <w:bottom w:val="nil"/>
              <w:right w:val="nil"/>
            </w:tcBorders>
            <w:shd w:val="clear" w:color="auto" w:fill="auto"/>
            <w:vAlign w:val="center"/>
          </w:tcPr>
          <w:p w14:paraId="76A1209C" w14:textId="77777777" w:rsidR="00DF6FE1" w:rsidRPr="009B7DB0" w:rsidRDefault="00DF6FE1"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5129BA67" w14:textId="4CE5DFDB" w:rsidR="00DF6FE1" w:rsidRPr="009B7DB0" w:rsidRDefault="00DF6FE1"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1.9</w:t>
            </w:r>
          </w:p>
        </w:tc>
        <w:tc>
          <w:tcPr>
            <w:tcW w:w="396" w:type="pct"/>
            <w:tcBorders>
              <w:top w:val="nil"/>
              <w:left w:val="nil"/>
              <w:bottom w:val="nil"/>
              <w:right w:val="nil"/>
            </w:tcBorders>
            <w:vAlign w:val="center"/>
          </w:tcPr>
          <w:p w14:paraId="3DA50204" w14:textId="15357BA4" w:rsidR="00DF6FE1" w:rsidRPr="009B7DB0" w:rsidRDefault="00DF6FE1"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0.4</w:t>
            </w:r>
          </w:p>
        </w:tc>
        <w:tc>
          <w:tcPr>
            <w:tcW w:w="337" w:type="pct"/>
            <w:vMerge/>
            <w:tcBorders>
              <w:left w:val="nil"/>
              <w:bottom w:val="nil"/>
              <w:right w:val="nil"/>
            </w:tcBorders>
            <w:vAlign w:val="center"/>
          </w:tcPr>
          <w:p w14:paraId="06437FF7" w14:textId="77777777" w:rsidR="00DF6FE1" w:rsidRPr="009B7DB0" w:rsidRDefault="00DF6FE1"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45996016" w14:textId="6690D2B6" w:rsidTr="00FF5985">
        <w:trPr>
          <w:gridBefore w:val="1"/>
          <w:wBefore w:w="109" w:type="pct"/>
          <w:jc w:val="center"/>
        </w:trPr>
        <w:tc>
          <w:tcPr>
            <w:tcW w:w="587" w:type="pct"/>
            <w:vMerge w:val="restart"/>
            <w:tcBorders>
              <w:top w:val="nil"/>
              <w:left w:val="nil"/>
              <w:bottom w:val="nil"/>
              <w:right w:val="nil"/>
            </w:tcBorders>
            <w:shd w:val="clear" w:color="auto" w:fill="auto"/>
            <w:vAlign w:val="center"/>
          </w:tcPr>
          <w:p w14:paraId="57F255AC" w14:textId="77777777"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Asthma</w:t>
            </w:r>
          </w:p>
        </w:tc>
        <w:tc>
          <w:tcPr>
            <w:tcW w:w="1461" w:type="pct"/>
            <w:tcBorders>
              <w:top w:val="nil"/>
              <w:left w:val="nil"/>
              <w:bottom w:val="nil"/>
              <w:right w:val="nil"/>
            </w:tcBorders>
            <w:shd w:val="clear" w:color="auto" w:fill="auto"/>
            <w:vAlign w:val="center"/>
          </w:tcPr>
          <w:p w14:paraId="06CD8141" w14:textId="77777777"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 xml:space="preserve">No </w:t>
            </w:r>
          </w:p>
        </w:tc>
        <w:tc>
          <w:tcPr>
            <w:tcW w:w="459" w:type="pct"/>
            <w:tcBorders>
              <w:top w:val="nil"/>
              <w:left w:val="nil"/>
              <w:bottom w:val="nil"/>
              <w:right w:val="nil"/>
            </w:tcBorders>
            <w:shd w:val="clear" w:color="auto" w:fill="auto"/>
            <w:vAlign w:val="center"/>
          </w:tcPr>
          <w:p w14:paraId="14E43EF5" w14:textId="77777777"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90.6</w:t>
            </w:r>
          </w:p>
        </w:tc>
        <w:tc>
          <w:tcPr>
            <w:tcW w:w="459" w:type="pct"/>
            <w:tcBorders>
              <w:top w:val="nil"/>
              <w:left w:val="nil"/>
              <w:bottom w:val="nil"/>
              <w:right w:val="nil"/>
            </w:tcBorders>
            <w:shd w:val="clear" w:color="auto" w:fill="auto"/>
            <w:vAlign w:val="center"/>
          </w:tcPr>
          <w:p w14:paraId="134FF427" w14:textId="6BA9731B"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91.7</w:t>
            </w:r>
          </w:p>
        </w:tc>
        <w:tc>
          <w:tcPr>
            <w:tcW w:w="396" w:type="pct"/>
            <w:tcBorders>
              <w:top w:val="nil"/>
              <w:left w:val="nil"/>
              <w:bottom w:val="nil"/>
              <w:right w:val="nil"/>
            </w:tcBorders>
            <w:shd w:val="clear" w:color="auto" w:fill="auto"/>
            <w:vAlign w:val="center"/>
          </w:tcPr>
          <w:p w14:paraId="7D564A04" w14:textId="3718EB8C"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87.0</w:t>
            </w:r>
          </w:p>
        </w:tc>
        <w:tc>
          <w:tcPr>
            <w:tcW w:w="337" w:type="pct"/>
            <w:vMerge w:val="restart"/>
            <w:tcBorders>
              <w:top w:val="nil"/>
              <w:left w:val="nil"/>
              <w:bottom w:val="nil"/>
              <w:right w:val="nil"/>
            </w:tcBorders>
            <w:shd w:val="clear" w:color="auto" w:fill="auto"/>
            <w:vAlign w:val="center"/>
          </w:tcPr>
          <w:p w14:paraId="72627116" w14:textId="08EBE50D"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0.018</w:t>
            </w:r>
          </w:p>
        </w:tc>
        <w:tc>
          <w:tcPr>
            <w:tcW w:w="459" w:type="pct"/>
            <w:tcBorders>
              <w:top w:val="nil"/>
              <w:left w:val="nil"/>
              <w:bottom w:val="nil"/>
              <w:right w:val="nil"/>
            </w:tcBorders>
            <w:vAlign w:val="center"/>
          </w:tcPr>
          <w:p w14:paraId="750BE75D" w14:textId="262D496E" w:rsidR="004A1B16" w:rsidRPr="009B7DB0" w:rsidRDefault="004A1B16"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92.1</w:t>
            </w:r>
          </w:p>
        </w:tc>
        <w:tc>
          <w:tcPr>
            <w:tcW w:w="396" w:type="pct"/>
            <w:tcBorders>
              <w:top w:val="nil"/>
              <w:left w:val="nil"/>
              <w:bottom w:val="nil"/>
              <w:right w:val="nil"/>
            </w:tcBorders>
            <w:vAlign w:val="center"/>
          </w:tcPr>
          <w:p w14:paraId="2551C534" w14:textId="239F5FC0" w:rsidR="004A1B16" w:rsidRPr="009B7DB0" w:rsidRDefault="004A1B16"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78.5</w:t>
            </w:r>
          </w:p>
        </w:tc>
        <w:tc>
          <w:tcPr>
            <w:tcW w:w="337" w:type="pct"/>
            <w:vMerge w:val="restart"/>
            <w:tcBorders>
              <w:top w:val="nil"/>
              <w:left w:val="nil"/>
              <w:right w:val="nil"/>
            </w:tcBorders>
            <w:vAlign w:val="center"/>
          </w:tcPr>
          <w:p w14:paraId="5CF081DB" w14:textId="6F56DE21" w:rsidR="004A1B16" w:rsidRPr="009B7DB0" w:rsidRDefault="004A1B16"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&lt;0.001</w:t>
            </w:r>
          </w:p>
        </w:tc>
      </w:tr>
      <w:tr w:rsidR="009B7DB0" w:rsidRPr="009B7DB0" w14:paraId="71C4B175" w14:textId="11B2A46D" w:rsidTr="00FF5985">
        <w:trPr>
          <w:gridBefore w:val="1"/>
          <w:wBefore w:w="109" w:type="pct"/>
          <w:jc w:val="center"/>
        </w:trPr>
        <w:tc>
          <w:tcPr>
            <w:tcW w:w="587" w:type="pct"/>
            <w:vMerge/>
            <w:tcBorders>
              <w:top w:val="nil"/>
              <w:left w:val="nil"/>
              <w:bottom w:val="nil"/>
              <w:right w:val="nil"/>
            </w:tcBorders>
            <w:shd w:val="clear" w:color="auto" w:fill="auto"/>
            <w:vAlign w:val="center"/>
          </w:tcPr>
          <w:p w14:paraId="28081904" w14:textId="77777777"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59B46CF1" w14:textId="77777777"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Yes</w:t>
            </w:r>
          </w:p>
        </w:tc>
        <w:tc>
          <w:tcPr>
            <w:tcW w:w="459" w:type="pct"/>
            <w:tcBorders>
              <w:top w:val="nil"/>
              <w:left w:val="nil"/>
              <w:bottom w:val="nil"/>
              <w:right w:val="nil"/>
            </w:tcBorders>
            <w:shd w:val="clear" w:color="auto" w:fill="auto"/>
            <w:vAlign w:val="center"/>
          </w:tcPr>
          <w:p w14:paraId="79C4461E" w14:textId="77777777"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9.4</w:t>
            </w:r>
          </w:p>
        </w:tc>
        <w:tc>
          <w:tcPr>
            <w:tcW w:w="459" w:type="pct"/>
            <w:tcBorders>
              <w:top w:val="nil"/>
              <w:left w:val="nil"/>
              <w:bottom w:val="nil"/>
              <w:right w:val="nil"/>
            </w:tcBorders>
            <w:shd w:val="clear" w:color="auto" w:fill="auto"/>
            <w:vAlign w:val="center"/>
          </w:tcPr>
          <w:p w14:paraId="79C2F4AA" w14:textId="2370DAC8"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8.3</w:t>
            </w:r>
          </w:p>
        </w:tc>
        <w:tc>
          <w:tcPr>
            <w:tcW w:w="396" w:type="pct"/>
            <w:tcBorders>
              <w:top w:val="nil"/>
              <w:left w:val="nil"/>
              <w:bottom w:val="nil"/>
              <w:right w:val="nil"/>
            </w:tcBorders>
            <w:shd w:val="clear" w:color="auto" w:fill="auto"/>
            <w:vAlign w:val="center"/>
          </w:tcPr>
          <w:p w14:paraId="4731230E" w14:textId="12BE6BAE"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13.0</w:t>
            </w:r>
          </w:p>
        </w:tc>
        <w:tc>
          <w:tcPr>
            <w:tcW w:w="337" w:type="pct"/>
            <w:vMerge/>
            <w:tcBorders>
              <w:top w:val="nil"/>
              <w:left w:val="nil"/>
              <w:bottom w:val="nil"/>
              <w:right w:val="nil"/>
            </w:tcBorders>
            <w:shd w:val="clear" w:color="auto" w:fill="auto"/>
            <w:vAlign w:val="center"/>
          </w:tcPr>
          <w:p w14:paraId="431AAF52" w14:textId="77777777" w:rsidR="004A1B16" w:rsidRPr="009B7DB0" w:rsidRDefault="004A1B16"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78007FA1" w14:textId="7760346C" w:rsidR="004A1B16" w:rsidRPr="009B7DB0" w:rsidRDefault="004A1B16"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7.9</w:t>
            </w:r>
          </w:p>
        </w:tc>
        <w:tc>
          <w:tcPr>
            <w:tcW w:w="396" w:type="pct"/>
            <w:tcBorders>
              <w:top w:val="nil"/>
              <w:left w:val="nil"/>
              <w:bottom w:val="nil"/>
              <w:right w:val="nil"/>
            </w:tcBorders>
            <w:vAlign w:val="center"/>
          </w:tcPr>
          <w:p w14:paraId="271E2A32" w14:textId="3FAC6483" w:rsidR="004A1B16" w:rsidRPr="009B7DB0" w:rsidRDefault="004A1B16"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21.5</w:t>
            </w:r>
          </w:p>
        </w:tc>
        <w:tc>
          <w:tcPr>
            <w:tcW w:w="337" w:type="pct"/>
            <w:vMerge/>
            <w:tcBorders>
              <w:left w:val="nil"/>
              <w:bottom w:val="nil"/>
              <w:right w:val="nil"/>
            </w:tcBorders>
            <w:vAlign w:val="center"/>
          </w:tcPr>
          <w:p w14:paraId="0D5A925D" w14:textId="77777777" w:rsidR="004A1B16" w:rsidRPr="009B7DB0" w:rsidRDefault="004A1B16"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7861E8B6" w14:textId="66ADA611" w:rsidTr="002C7083">
        <w:trPr>
          <w:gridBefore w:val="1"/>
          <w:wBefore w:w="109" w:type="pct"/>
          <w:jc w:val="center"/>
        </w:trPr>
        <w:tc>
          <w:tcPr>
            <w:tcW w:w="587" w:type="pct"/>
            <w:vMerge w:val="restart"/>
            <w:tcBorders>
              <w:top w:val="nil"/>
              <w:left w:val="nil"/>
              <w:bottom w:val="nil"/>
              <w:right w:val="nil"/>
            </w:tcBorders>
            <w:shd w:val="clear" w:color="auto" w:fill="auto"/>
            <w:vAlign w:val="center"/>
          </w:tcPr>
          <w:p w14:paraId="21D8B916" w14:textId="77777777"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Depression</w:t>
            </w:r>
          </w:p>
        </w:tc>
        <w:tc>
          <w:tcPr>
            <w:tcW w:w="1461" w:type="pct"/>
            <w:tcBorders>
              <w:top w:val="nil"/>
              <w:left w:val="nil"/>
              <w:bottom w:val="nil"/>
              <w:right w:val="nil"/>
            </w:tcBorders>
            <w:shd w:val="clear" w:color="auto" w:fill="auto"/>
            <w:vAlign w:val="center"/>
          </w:tcPr>
          <w:p w14:paraId="124143E8" w14:textId="77777777"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 xml:space="preserve">No </w:t>
            </w:r>
          </w:p>
        </w:tc>
        <w:tc>
          <w:tcPr>
            <w:tcW w:w="459" w:type="pct"/>
            <w:tcBorders>
              <w:top w:val="nil"/>
              <w:left w:val="nil"/>
              <w:bottom w:val="nil"/>
              <w:right w:val="nil"/>
            </w:tcBorders>
            <w:shd w:val="clear" w:color="auto" w:fill="auto"/>
            <w:vAlign w:val="center"/>
          </w:tcPr>
          <w:p w14:paraId="6CD6D69F" w14:textId="77777777"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81.5</w:t>
            </w:r>
          </w:p>
        </w:tc>
        <w:tc>
          <w:tcPr>
            <w:tcW w:w="459" w:type="pct"/>
            <w:tcBorders>
              <w:top w:val="nil"/>
              <w:left w:val="nil"/>
              <w:bottom w:val="nil"/>
              <w:right w:val="nil"/>
            </w:tcBorders>
            <w:shd w:val="clear" w:color="auto" w:fill="auto"/>
            <w:vAlign w:val="center"/>
          </w:tcPr>
          <w:p w14:paraId="08F48C93" w14:textId="3EF505D3"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83.2</w:t>
            </w:r>
          </w:p>
        </w:tc>
        <w:tc>
          <w:tcPr>
            <w:tcW w:w="396" w:type="pct"/>
            <w:tcBorders>
              <w:top w:val="nil"/>
              <w:left w:val="nil"/>
              <w:bottom w:val="nil"/>
              <w:right w:val="nil"/>
            </w:tcBorders>
            <w:shd w:val="clear" w:color="auto" w:fill="auto"/>
            <w:vAlign w:val="center"/>
          </w:tcPr>
          <w:p w14:paraId="28C18BCA" w14:textId="46E020B8"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75.9</w:t>
            </w:r>
          </w:p>
        </w:tc>
        <w:tc>
          <w:tcPr>
            <w:tcW w:w="337" w:type="pct"/>
            <w:vMerge w:val="restart"/>
            <w:tcBorders>
              <w:top w:val="nil"/>
              <w:left w:val="nil"/>
              <w:bottom w:val="nil"/>
              <w:right w:val="nil"/>
            </w:tcBorders>
            <w:shd w:val="clear" w:color="auto" w:fill="auto"/>
            <w:vAlign w:val="center"/>
          </w:tcPr>
          <w:p w14:paraId="241C9A8D" w14:textId="56439811"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0.003</w:t>
            </w:r>
          </w:p>
        </w:tc>
        <w:tc>
          <w:tcPr>
            <w:tcW w:w="459" w:type="pct"/>
            <w:tcBorders>
              <w:top w:val="nil"/>
              <w:left w:val="nil"/>
              <w:bottom w:val="nil"/>
              <w:right w:val="nil"/>
            </w:tcBorders>
            <w:vAlign w:val="center"/>
          </w:tcPr>
          <w:p w14:paraId="4F03EC38" w14:textId="5835370E" w:rsidR="00D40888" w:rsidRPr="009B7DB0" w:rsidRDefault="00D40888"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84.8</w:t>
            </w:r>
          </w:p>
        </w:tc>
        <w:tc>
          <w:tcPr>
            <w:tcW w:w="396" w:type="pct"/>
            <w:tcBorders>
              <w:top w:val="nil"/>
              <w:left w:val="nil"/>
              <w:bottom w:val="nil"/>
              <w:right w:val="nil"/>
            </w:tcBorders>
            <w:vAlign w:val="center"/>
          </w:tcPr>
          <w:p w14:paraId="45E1C4AD" w14:textId="6316446C" w:rsidR="00D40888" w:rsidRPr="009B7DB0" w:rsidRDefault="00D40888"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53.9</w:t>
            </w:r>
          </w:p>
        </w:tc>
        <w:tc>
          <w:tcPr>
            <w:tcW w:w="337" w:type="pct"/>
            <w:vMerge w:val="restart"/>
            <w:tcBorders>
              <w:top w:val="nil"/>
              <w:left w:val="nil"/>
              <w:right w:val="nil"/>
            </w:tcBorders>
            <w:vAlign w:val="center"/>
          </w:tcPr>
          <w:p w14:paraId="2EC8C16E" w14:textId="56B04693" w:rsidR="00D40888" w:rsidRPr="009B7DB0" w:rsidRDefault="00D40888"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&lt;0.001</w:t>
            </w:r>
          </w:p>
        </w:tc>
      </w:tr>
      <w:tr w:rsidR="009B7DB0" w:rsidRPr="009B7DB0" w14:paraId="0893622F" w14:textId="66B157F9" w:rsidTr="002C7083">
        <w:trPr>
          <w:gridBefore w:val="1"/>
          <w:wBefore w:w="109" w:type="pct"/>
          <w:jc w:val="center"/>
        </w:trPr>
        <w:tc>
          <w:tcPr>
            <w:tcW w:w="587" w:type="pct"/>
            <w:vMerge/>
            <w:tcBorders>
              <w:top w:val="nil"/>
              <w:left w:val="nil"/>
              <w:bottom w:val="nil"/>
              <w:right w:val="nil"/>
            </w:tcBorders>
            <w:shd w:val="clear" w:color="auto" w:fill="auto"/>
            <w:vAlign w:val="center"/>
          </w:tcPr>
          <w:p w14:paraId="5F2997FC" w14:textId="77777777"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59B880C7" w14:textId="77777777"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Yes</w:t>
            </w:r>
          </w:p>
        </w:tc>
        <w:tc>
          <w:tcPr>
            <w:tcW w:w="459" w:type="pct"/>
            <w:tcBorders>
              <w:top w:val="nil"/>
              <w:left w:val="nil"/>
              <w:bottom w:val="nil"/>
              <w:right w:val="nil"/>
            </w:tcBorders>
            <w:shd w:val="clear" w:color="auto" w:fill="auto"/>
            <w:vAlign w:val="center"/>
          </w:tcPr>
          <w:p w14:paraId="16313128" w14:textId="77777777"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18.5</w:t>
            </w:r>
          </w:p>
        </w:tc>
        <w:tc>
          <w:tcPr>
            <w:tcW w:w="459" w:type="pct"/>
            <w:tcBorders>
              <w:top w:val="nil"/>
              <w:left w:val="nil"/>
              <w:bottom w:val="nil"/>
              <w:right w:val="nil"/>
            </w:tcBorders>
            <w:shd w:val="clear" w:color="auto" w:fill="auto"/>
            <w:vAlign w:val="center"/>
          </w:tcPr>
          <w:p w14:paraId="78377D5B" w14:textId="21969F0B"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16.8</w:t>
            </w:r>
          </w:p>
        </w:tc>
        <w:tc>
          <w:tcPr>
            <w:tcW w:w="396" w:type="pct"/>
            <w:tcBorders>
              <w:top w:val="nil"/>
              <w:left w:val="nil"/>
              <w:bottom w:val="nil"/>
              <w:right w:val="nil"/>
            </w:tcBorders>
            <w:shd w:val="clear" w:color="auto" w:fill="auto"/>
            <w:vAlign w:val="center"/>
          </w:tcPr>
          <w:p w14:paraId="03D1043F" w14:textId="7846326C"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24.1</w:t>
            </w:r>
          </w:p>
        </w:tc>
        <w:tc>
          <w:tcPr>
            <w:tcW w:w="337" w:type="pct"/>
            <w:vMerge/>
            <w:tcBorders>
              <w:top w:val="nil"/>
              <w:left w:val="nil"/>
              <w:bottom w:val="nil"/>
              <w:right w:val="nil"/>
            </w:tcBorders>
            <w:shd w:val="clear" w:color="auto" w:fill="auto"/>
            <w:vAlign w:val="center"/>
          </w:tcPr>
          <w:p w14:paraId="049CA5DA" w14:textId="77777777" w:rsidR="00D40888" w:rsidRPr="009B7DB0" w:rsidRDefault="00D40888"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1F4F2C38" w14:textId="2D19ADD1" w:rsidR="00D40888" w:rsidRPr="009B7DB0" w:rsidRDefault="00D40888"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15.2</w:t>
            </w:r>
          </w:p>
        </w:tc>
        <w:tc>
          <w:tcPr>
            <w:tcW w:w="396" w:type="pct"/>
            <w:tcBorders>
              <w:top w:val="nil"/>
              <w:left w:val="nil"/>
              <w:bottom w:val="nil"/>
              <w:right w:val="nil"/>
            </w:tcBorders>
            <w:vAlign w:val="center"/>
          </w:tcPr>
          <w:p w14:paraId="02447BDB" w14:textId="54EE74D7" w:rsidR="00D40888" w:rsidRPr="009B7DB0" w:rsidRDefault="00D40888"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46.1</w:t>
            </w:r>
          </w:p>
        </w:tc>
        <w:tc>
          <w:tcPr>
            <w:tcW w:w="337" w:type="pct"/>
            <w:vMerge/>
            <w:tcBorders>
              <w:left w:val="nil"/>
              <w:bottom w:val="nil"/>
              <w:right w:val="nil"/>
            </w:tcBorders>
            <w:vAlign w:val="center"/>
          </w:tcPr>
          <w:p w14:paraId="3C88E272" w14:textId="77777777" w:rsidR="00D40888" w:rsidRPr="009B7DB0" w:rsidRDefault="00D40888"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53736EBC" w14:textId="6A63F3F9" w:rsidTr="00D05DFA">
        <w:trPr>
          <w:gridBefore w:val="1"/>
          <w:wBefore w:w="109" w:type="pct"/>
          <w:jc w:val="center"/>
        </w:trPr>
        <w:tc>
          <w:tcPr>
            <w:tcW w:w="587" w:type="pct"/>
            <w:vMerge w:val="restart"/>
            <w:tcBorders>
              <w:top w:val="nil"/>
              <w:left w:val="nil"/>
              <w:bottom w:val="nil"/>
              <w:right w:val="nil"/>
            </w:tcBorders>
            <w:shd w:val="clear" w:color="auto" w:fill="auto"/>
            <w:vAlign w:val="center"/>
          </w:tcPr>
          <w:p w14:paraId="192A4B37" w14:textId="77777777"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Anxiety</w:t>
            </w:r>
          </w:p>
        </w:tc>
        <w:tc>
          <w:tcPr>
            <w:tcW w:w="1461" w:type="pct"/>
            <w:tcBorders>
              <w:top w:val="nil"/>
              <w:left w:val="nil"/>
              <w:bottom w:val="nil"/>
              <w:right w:val="nil"/>
            </w:tcBorders>
            <w:shd w:val="clear" w:color="auto" w:fill="auto"/>
            <w:vAlign w:val="center"/>
          </w:tcPr>
          <w:p w14:paraId="069441EB" w14:textId="77777777"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 xml:space="preserve">No </w:t>
            </w:r>
          </w:p>
        </w:tc>
        <w:tc>
          <w:tcPr>
            <w:tcW w:w="459" w:type="pct"/>
            <w:tcBorders>
              <w:top w:val="nil"/>
              <w:left w:val="nil"/>
              <w:bottom w:val="nil"/>
              <w:right w:val="nil"/>
            </w:tcBorders>
            <w:shd w:val="clear" w:color="auto" w:fill="auto"/>
            <w:vAlign w:val="center"/>
          </w:tcPr>
          <w:p w14:paraId="00B18C0C" w14:textId="77777777"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79.0</w:t>
            </w:r>
          </w:p>
        </w:tc>
        <w:tc>
          <w:tcPr>
            <w:tcW w:w="459" w:type="pct"/>
            <w:tcBorders>
              <w:top w:val="nil"/>
              <w:left w:val="nil"/>
              <w:bottom w:val="nil"/>
              <w:right w:val="nil"/>
            </w:tcBorders>
            <w:shd w:val="clear" w:color="auto" w:fill="auto"/>
            <w:vAlign w:val="center"/>
          </w:tcPr>
          <w:p w14:paraId="36565A43" w14:textId="68D7C8A2"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81.1</w:t>
            </w:r>
          </w:p>
        </w:tc>
        <w:tc>
          <w:tcPr>
            <w:tcW w:w="396" w:type="pct"/>
            <w:tcBorders>
              <w:top w:val="nil"/>
              <w:left w:val="nil"/>
              <w:bottom w:val="nil"/>
              <w:right w:val="nil"/>
            </w:tcBorders>
            <w:shd w:val="clear" w:color="auto" w:fill="auto"/>
            <w:vAlign w:val="center"/>
          </w:tcPr>
          <w:p w14:paraId="29D19522" w14:textId="7CE23C40"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72.6</w:t>
            </w:r>
          </w:p>
        </w:tc>
        <w:tc>
          <w:tcPr>
            <w:tcW w:w="337" w:type="pct"/>
            <w:vMerge w:val="restart"/>
            <w:tcBorders>
              <w:top w:val="nil"/>
              <w:left w:val="nil"/>
              <w:bottom w:val="nil"/>
              <w:right w:val="nil"/>
            </w:tcBorders>
            <w:shd w:val="clear" w:color="auto" w:fill="auto"/>
            <w:vAlign w:val="center"/>
          </w:tcPr>
          <w:p w14:paraId="685301A8" w14:textId="735BEF5D"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0.011</w:t>
            </w:r>
          </w:p>
        </w:tc>
        <w:tc>
          <w:tcPr>
            <w:tcW w:w="459" w:type="pct"/>
            <w:tcBorders>
              <w:top w:val="nil"/>
              <w:left w:val="nil"/>
              <w:bottom w:val="nil"/>
              <w:right w:val="nil"/>
            </w:tcBorders>
            <w:vAlign w:val="center"/>
          </w:tcPr>
          <w:p w14:paraId="71A87CA7" w14:textId="42F0FEA2" w:rsidR="0013079F" w:rsidRPr="009B7DB0" w:rsidRDefault="0013079F"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82.1</w:t>
            </w:r>
          </w:p>
        </w:tc>
        <w:tc>
          <w:tcPr>
            <w:tcW w:w="396" w:type="pct"/>
            <w:tcBorders>
              <w:top w:val="nil"/>
              <w:left w:val="nil"/>
              <w:bottom w:val="nil"/>
              <w:right w:val="nil"/>
            </w:tcBorders>
            <w:vAlign w:val="center"/>
          </w:tcPr>
          <w:p w14:paraId="554878B4" w14:textId="24A03C29" w:rsidR="0013079F" w:rsidRPr="009B7DB0" w:rsidRDefault="0013079F"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53.2</w:t>
            </w:r>
          </w:p>
        </w:tc>
        <w:tc>
          <w:tcPr>
            <w:tcW w:w="337" w:type="pct"/>
            <w:vMerge w:val="restart"/>
            <w:tcBorders>
              <w:top w:val="nil"/>
              <w:left w:val="nil"/>
              <w:right w:val="nil"/>
            </w:tcBorders>
            <w:vAlign w:val="center"/>
          </w:tcPr>
          <w:p w14:paraId="17937904" w14:textId="543F253F" w:rsidR="0013079F" w:rsidRPr="009B7DB0" w:rsidRDefault="0013079F"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&lt;0.001</w:t>
            </w:r>
          </w:p>
        </w:tc>
      </w:tr>
      <w:tr w:rsidR="009B7DB0" w:rsidRPr="009B7DB0" w14:paraId="789A218C" w14:textId="0F9654F7" w:rsidTr="00D05DFA">
        <w:trPr>
          <w:gridBefore w:val="1"/>
          <w:wBefore w:w="109" w:type="pct"/>
          <w:jc w:val="center"/>
        </w:trPr>
        <w:tc>
          <w:tcPr>
            <w:tcW w:w="587" w:type="pct"/>
            <w:vMerge/>
            <w:tcBorders>
              <w:top w:val="nil"/>
              <w:left w:val="nil"/>
              <w:bottom w:val="nil"/>
              <w:right w:val="nil"/>
            </w:tcBorders>
            <w:shd w:val="clear" w:color="auto" w:fill="auto"/>
            <w:vAlign w:val="center"/>
          </w:tcPr>
          <w:p w14:paraId="0E6C00EF" w14:textId="77777777"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606C941C" w14:textId="77777777"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Yes</w:t>
            </w:r>
          </w:p>
        </w:tc>
        <w:tc>
          <w:tcPr>
            <w:tcW w:w="459" w:type="pct"/>
            <w:tcBorders>
              <w:top w:val="nil"/>
              <w:left w:val="nil"/>
              <w:bottom w:val="nil"/>
              <w:right w:val="nil"/>
            </w:tcBorders>
            <w:shd w:val="clear" w:color="auto" w:fill="auto"/>
            <w:vAlign w:val="center"/>
          </w:tcPr>
          <w:p w14:paraId="407AD45B" w14:textId="77777777"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21.0</w:t>
            </w:r>
          </w:p>
        </w:tc>
        <w:tc>
          <w:tcPr>
            <w:tcW w:w="459" w:type="pct"/>
            <w:tcBorders>
              <w:top w:val="nil"/>
              <w:left w:val="nil"/>
              <w:bottom w:val="nil"/>
              <w:right w:val="nil"/>
            </w:tcBorders>
            <w:shd w:val="clear" w:color="auto" w:fill="auto"/>
            <w:vAlign w:val="center"/>
          </w:tcPr>
          <w:p w14:paraId="43318D43" w14:textId="1EC78282"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18.9</w:t>
            </w:r>
          </w:p>
        </w:tc>
        <w:tc>
          <w:tcPr>
            <w:tcW w:w="396" w:type="pct"/>
            <w:tcBorders>
              <w:top w:val="nil"/>
              <w:left w:val="nil"/>
              <w:bottom w:val="nil"/>
              <w:right w:val="nil"/>
            </w:tcBorders>
            <w:shd w:val="clear" w:color="auto" w:fill="auto"/>
            <w:vAlign w:val="center"/>
          </w:tcPr>
          <w:p w14:paraId="5F0513E3" w14:textId="72CA8305"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27.4</w:t>
            </w:r>
          </w:p>
        </w:tc>
        <w:tc>
          <w:tcPr>
            <w:tcW w:w="337" w:type="pct"/>
            <w:vMerge/>
            <w:tcBorders>
              <w:top w:val="nil"/>
              <w:left w:val="nil"/>
              <w:bottom w:val="nil"/>
              <w:right w:val="nil"/>
            </w:tcBorders>
            <w:shd w:val="clear" w:color="auto" w:fill="auto"/>
            <w:vAlign w:val="center"/>
          </w:tcPr>
          <w:p w14:paraId="60D8CF6B" w14:textId="77777777" w:rsidR="0013079F" w:rsidRPr="009B7DB0" w:rsidRDefault="0013079F"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426CDEB0" w14:textId="6F9523F3" w:rsidR="0013079F" w:rsidRPr="009B7DB0" w:rsidRDefault="0013079F"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17.9</w:t>
            </w:r>
          </w:p>
        </w:tc>
        <w:tc>
          <w:tcPr>
            <w:tcW w:w="396" w:type="pct"/>
            <w:tcBorders>
              <w:top w:val="nil"/>
              <w:left w:val="nil"/>
              <w:bottom w:val="nil"/>
              <w:right w:val="nil"/>
            </w:tcBorders>
            <w:vAlign w:val="center"/>
          </w:tcPr>
          <w:p w14:paraId="5FD4FE36" w14:textId="1061BC9C" w:rsidR="0013079F" w:rsidRPr="009B7DB0" w:rsidRDefault="0013079F"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46.8</w:t>
            </w:r>
          </w:p>
        </w:tc>
        <w:tc>
          <w:tcPr>
            <w:tcW w:w="337" w:type="pct"/>
            <w:vMerge/>
            <w:tcBorders>
              <w:left w:val="nil"/>
              <w:bottom w:val="nil"/>
              <w:right w:val="nil"/>
            </w:tcBorders>
            <w:vAlign w:val="center"/>
          </w:tcPr>
          <w:p w14:paraId="15463849" w14:textId="77777777" w:rsidR="0013079F" w:rsidRPr="009B7DB0" w:rsidRDefault="0013079F"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1FF3D930" w14:textId="41EA16F8" w:rsidTr="00986413">
        <w:trPr>
          <w:gridBefore w:val="1"/>
          <w:wBefore w:w="109" w:type="pct"/>
          <w:jc w:val="center"/>
        </w:trPr>
        <w:tc>
          <w:tcPr>
            <w:tcW w:w="587" w:type="pct"/>
            <w:vMerge w:val="restart"/>
            <w:tcBorders>
              <w:top w:val="nil"/>
              <w:left w:val="nil"/>
              <w:bottom w:val="nil"/>
              <w:right w:val="nil"/>
            </w:tcBorders>
            <w:shd w:val="clear" w:color="auto" w:fill="auto"/>
            <w:vAlign w:val="center"/>
          </w:tcPr>
          <w:p w14:paraId="4C05E45B" w14:textId="77777777"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Bipolar disorder</w:t>
            </w:r>
          </w:p>
        </w:tc>
        <w:tc>
          <w:tcPr>
            <w:tcW w:w="1461" w:type="pct"/>
            <w:tcBorders>
              <w:top w:val="nil"/>
              <w:left w:val="nil"/>
              <w:bottom w:val="nil"/>
              <w:right w:val="nil"/>
            </w:tcBorders>
            <w:shd w:val="clear" w:color="auto" w:fill="auto"/>
            <w:vAlign w:val="center"/>
          </w:tcPr>
          <w:p w14:paraId="19165180" w14:textId="77777777"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 xml:space="preserve">No </w:t>
            </w:r>
          </w:p>
        </w:tc>
        <w:tc>
          <w:tcPr>
            <w:tcW w:w="459" w:type="pct"/>
            <w:tcBorders>
              <w:top w:val="nil"/>
              <w:left w:val="nil"/>
              <w:bottom w:val="nil"/>
              <w:right w:val="nil"/>
            </w:tcBorders>
            <w:shd w:val="clear" w:color="auto" w:fill="auto"/>
            <w:vAlign w:val="center"/>
          </w:tcPr>
          <w:p w14:paraId="08415832" w14:textId="77777777"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97.8</w:t>
            </w:r>
          </w:p>
        </w:tc>
        <w:tc>
          <w:tcPr>
            <w:tcW w:w="459" w:type="pct"/>
            <w:tcBorders>
              <w:top w:val="nil"/>
              <w:left w:val="nil"/>
              <w:bottom w:val="nil"/>
              <w:right w:val="nil"/>
            </w:tcBorders>
            <w:shd w:val="clear" w:color="auto" w:fill="auto"/>
            <w:vAlign w:val="center"/>
          </w:tcPr>
          <w:p w14:paraId="4DE12E96" w14:textId="77777777"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98.1</w:t>
            </w:r>
          </w:p>
        </w:tc>
        <w:tc>
          <w:tcPr>
            <w:tcW w:w="396" w:type="pct"/>
            <w:tcBorders>
              <w:top w:val="nil"/>
              <w:left w:val="nil"/>
              <w:bottom w:val="nil"/>
              <w:right w:val="nil"/>
            </w:tcBorders>
            <w:shd w:val="clear" w:color="auto" w:fill="auto"/>
            <w:vAlign w:val="center"/>
          </w:tcPr>
          <w:p w14:paraId="52C501B7" w14:textId="2DB1613A"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96.6</w:t>
            </w:r>
          </w:p>
        </w:tc>
        <w:tc>
          <w:tcPr>
            <w:tcW w:w="337" w:type="pct"/>
            <w:vMerge w:val="restart"/>
            <w:tcBorders>
              <w:top w:val="nil"/>
              <w:left w:val="nil"/>
              <w:bottom w:val="nil"/>
              <w:right w:val="nil"/>
            </w:tcBorders>
            <w:shd w:val="clear" w:color="auto" w:fill="auto"/>
            <w:vAlign w:val="center"/>
          </w:tcPr>
          <w:p w14:paraId="6ADF9F6C" w14:textId="548EA429"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0.101</w:t>
            </w:r>
          </w:p>
        </w:tc>
        <w:tc>
          <w:tcPr>
            <w:tcW w:w="459" w:type="pct"/>
            <w:tcBorders>
              <w:top w:val="nil"/>
              <w:left w:val="nil"/>
              <w:bottom w:val="nil"/>
              <w:right w:val="nil"/>
            </w:tcBorders>
            <w:vAlign w:val="center"/>
          </w:tcPr>
          <w:p w14:paraId="71DC6282" w14:textId="6FC81E07" w:rsidR="00056DFC" w:rsidRPr="009B7DB0" w:rsidRDefault="00056DFC"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98.2</w:t>
            </w:r>
          </w:p>
        </w:tc>
        <w:tc>
          <w:tcPr>
            <w:tcW w:w="396" w:type="pct"/>
            <w:tcBorders>
              <w:top w:val="nil"/>
              <w:left w:val="nil"/>
              <w:bottom w:val="nil"/>
              <w:right w:val="nil"/>
            </w:tcBorders>
            <w:vAlign w:val="center"/>
          </w:tcPr>
          <w:p w14:paraId="0D41552E" w14:textId="5E54794D" w:rsidR="00056DFC" w:rsidRPr="009B7DB0" w:rsidRDefault="00056DFC"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93.9</w:t>
            </w:r>
          </w:p>
        </w:tc>
        <w:tc>
          <w:tcPr>
            <w:tcW w:w="337" w:type="pct"/>
            <w:vMerge w:val="restart"/>
            <w:tcBorders>
              <w:top w:val="nil"/>
              <w:left w:val="nil"/>
              <w:right w:val="nil"/>
            </w:tcBorders>
            <w:vAlign w:val="center"/>
          </w:tcPr>
          <w:p w14:paraId="4C8008C0" w14:textId="39837810" w:rsidR="00056DFC" w:rsidRPr="009B7DB0" w:rsidRDefault="00056DFC"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0.008</w:t>
            </w:r>
          </w:p>
        </w:tc>
      </w:tr>
      <w:tr w:rsidR="009B7DB0" w:rsidRPr="009B7DB0" w14:paraId="1296CE06" w14:textId="66DC93BA" w:rsidTr="00986413">
        <w:trPr>
          <w:gridBefore w:val="1"/>
          <w:wBefore w:w="109" w:type="pct"/>
          <w:jc w:val="center"/>
        </w:trPr>
        <w:tc>
          <w:tcPr>
            <w:tcW w:w="587" w:type="pct"/>
            <w:vMerge/>
            <w:tcBorders>
              <w:top w:val="nil"/>
              <w:left w:val="nil"/>
              <w:bottom w:val="nil"/>
              <w:right w:val="nil"/>
            </w:tcBorders>
            <w:shd w:val="clear" w:color="auto" w:fill="auto"/>
            <w:vAlign w:val="center"/>
          </w:tcPr>
          <w:p w14:paraId="68DFD017" w14:textId="77777777"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nil"/>
              <w:right w:val="nil"/>
            </w:tcBorders>
            <w:shd w:val="clear" w:color="auto" w:fill="auto"/>
            <w:vAlign w:val="center"/>
          </w:tcPr>
          <w:p w14:paraId="6D3EF166" w14:textId="77777777"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Yes</w:t>
            </w:r>
          </w:p>
        </w:tc>
        <w:tc>
          <w:tcPr>
            <w:tcW w:w="459" w:type="pct"/>
            <w:tcBorders>
              <w:top w:val="nil"/>
              <w:left w:val="nil"/>
              <w:bottom w:val="nil"/>
              <w:right w:val="nil"/>
            </w:tcBorders>
            <w:shd w:val="clear" w:color="auto" w:fill="auto"/>
            <w:vAlign w:val="center"/>
          </w:tcPr>
          <w:p w14:paraId="22BFB73D" w14:textId="77777777"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2.2</w:t>
            </w:r>
          </w:p>
        </w:tc>
        <w:tc>
          <w:tcPr>
            <w:tcW w:w="459" w:type="pct"/>
            <w:tcBorders>
              <w:top w:val="nil"/>
              <w:left w:val="nil"/>
              <w:bottom w:val="nil"/>
              <w:right w:val="nil"/>
            </w:tcBorders>
            <w:shd w:val="clear" w:color="auto" w:fill="auto"/>
            <w:vAlign w:val="center"/>
          </w:tcPr>
          <w:p w14:paraId="2FE56944" w14:textId="77777777"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1.9</w:t>
            </w:r>
          </w:p>
        </w:tc>
        <w:tc>
          <w:tcPr>
            <w:tcW w:w="396" w:type="pct"/>
            <w:tcBorders>
              <w:top w:val="nil"/>
              <w:left w:val="nil"/>
              <w:bottom w:val="nil"/>
              <w:right w:val="nil"/>
            </w:tcBorders>
            <w:shd w:val="clear" w:color="auto" w:fill="auto"/>
            <w:vAlign w:val="center"/>
          </w:tcPr>
          <w:p w14:paraId="0F0421D5" w14:textId="54C370F5"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3.4</w:t>
            </w:r>
          </w:p>
        </w:tc>
        <w:tc>
          <w:tcPr>
            <w:tcW w:w="337" w:type="pct"/>
            <w:vMerge/>
            <w:tcBorders>
              <w:top w:val="nil"/>
              <w:left w:val="nil"/>
              <w:bottom w:val="nil"/>
              <w:right w:val="nil"/>
            </w:tcBorders>
            <w:shd w:val="clear" w:color="auto" w:fill="auto"/>
            <w:vAlign w:val="center"/>
          </w:tcPr>
          <w:p w14:paraId="2C92B0D6" w14:textId="77777777" w:rsidR="00056DFC" w:rsidRPr="009B7DB0" w:rsidRDefault="00056DFC" w:rsidP="00EF61F4">
            <w:pPr>
              <w:autoSpaceDE w:val="0"/>
              <w:autoSpaceDN w:val="0"/>
              <w:adjustRightInd w:val="0"/>
              <w:snapToGrid w:val="0"/>
              <w:spacing w:line="240" w:lineRule="auto"/>
              <w:jc w:val="center"/>
              <w:rPr>
                <w:rFonts w:ascii="Palatino Linotype" w:hAnsi="Palatino Linotype"/>
                <w:color w:val="auto"/>
                <w:sz w:val="18"/>
              </w:rPr>
            </w:pPr>
          </w:p>
        </w:tc>
        <w:tc>
          <w:tcPr>
            <w:tcW w:w="459" w:type="pct"/>
            <w:tcBorders>
              <w:top w:val="nil"/>
              <w:left w:val="nil"/>
              <w:bottom w:val="nil"/>
              <w:right w:val="nil"/>
            </w:tcBorders>
            <w:vAlign w:val="center"/>
          </w:tcPr>
          <w:p w14:paraId="7FCE574B" w14:textId="5B97C9AD" w:rsidR="00056DFC" w:rsidRPr="009B7DB0" w:rsidRDefault="00056DFC"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1.8</w:t>
            </w:r>
          </w:p>
        </w:tc>
        <w:tc>
          <w:tcPr>
            <w:tcW w:w="396" w:type="pct"/>
            <w:tcBorders>
              <w:top w:val="nil"/>
              <w:left w:val="nil"/>
              <w:bottom w:val="nil"/>
              <w:right w:val="nil"/>
            </w:tcBorders>
            <w:vAlign w:val="center"/>
          </w:tcPr>
          <w:p w14:paraId="68BDB8E2" w14:textId="42EFA4FF" w:rsidR="00056DFC" w:rsidRPr="009B7DB0" w:rsidRDefault="00056DFC"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6.1</w:t>
            </w:r>
          </w:p>
        </w:tc>
        <w:tc>
          <w:tcPr>
            <w:tcW w:w="337" w:type="pct"/>
            <w:vMerge/>
            <w:tcBorders>
              <w:left w:val="nil"/>
              <w:bottom w:val="nil"/>
              <w:right w:val="nil"/>
            </w:tcBorders>
            <w:vAlign w:val="center"/>
          </w:tcPr>
          <w:p w14:paraId="371C2894" w14:textId="77777777" w:rsidR="00056DFC" w:rsidRPr="009B7DB0" w:rsidRDefault="00056DFC" w:rsidP="00C261C6">
            <w:pPr>
              <w:autoSpaceDE w:val="0"/>
              <w:autoSpaceDN w:val="0"/>
              <w:adjustRightInd w:val="0"/>
              <w:snapToGrid w:val="0"/>
              <w:spacing w:line="240" w:lineRule="auto"/>
              <w:jc w:val="center"/>
              <w:rPr>
                <w:rFonts w:ascii="Palatino Linotype" w:hAnsi="Palatino Linotype"/>
                <w:color w:val="auto"/>
                <w:sz w:val="18"/>
              </w:rPr>
            </w:pPr>
          </w:p>
        </w:tc>
      </w:tr>
      <w:tr w:rsidR="009B7DB0" w:rsidRPr="009B7DB0" w14:paraId="037DE88D" w14:textId="4E4D7FB8" w:rsidTr="00684337">
        <w:trPr>
          <w:gridBefore w:val="1"/>
          <w:wBefore w:w="109" w:type="pct"/>
          <w:jc w:val="center"/>
        </w:trPr>
        <w:tc>
          <w:tcPr>
            <w:tcW w:w="587" w:type="pct"/>
            <w:vMerge w:val="restart"/>
            <w:tcBorders>
              <w:top w:val="nil"/>
              <w:left w:val="nil"/>
              <w:bottom w:val="single" w:sz="4" w:space="0" w:color="auto"/>
              <w:right w:val="nil"/>
            </w:tcBorders>
            <w:shd w:val="clear" w:color="auto" w:fill="auto"/>
            <w:vAlign w:val="center"/>
          </w:tcPr>
          <w:p w14:paraId="3E6A6C36" w14:textId="77777777" w:rsidR="006B65F8" w:rsidRPr="009B7DB0" w:rsidRDefault="006B65F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Alcohol dependence</w:t>
            </w:r>
          </w:p>
        </w:tc>
        <w:tc>
          <w:tcPr>
            <w:tcW w:w="1461" w:type="pct"/>
            <w:tcBorders>
              <w:top w:val="nil"/>
              <w:left w:val="nil"/>
              <w:bottom w:val="nil"/>
              <w:right w:val="nil"/>
            </w:tcBorders>
            <w:shd w:val="clear" w:color="auto" w:fill="auto"/>
            <w:vAlign w:val="center"/>
          </w:tcPr>
          <w:p w14:paraId="13C617A8" w14:textId="77777777" w:rsidR="006B65F8" w:rsidRPr="009B7DB0" w:rsidRDefault="006B65F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 xml:space="preserve">No </w:t>
            </w:r>
          </w:p>
        </w:tc>
        <w:tc>
          <w:tcPr>
            <w:tcW w:w="459" w:type="pct"/>
            <w:tcBorders>
              <w:top w:val="nil"/>
              <w:left w:val="nil"/>
              <w:bottom w:val="nil"/>
              <w:right w:val="nil"/>
            </w:tcBorders>
            <w:shd w:val="clear" w:color="auto" w:fill="auto"/>
            <w:vAlign w:val="center"/>
          </w:tcPr>
          <w:p w14:paraId="318638D0" w14:textId="77777777" w:rsidR="006B65F8" w:rsidRPr="009B7DB0" w:rsidRDefault="006B65F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98.5</w:t>
            </w:r>
          </w:p>
        </w:tc>
        <w:tc>
          <w:tcPr>
            <w:tcW w:w="459" w:type="pct"/>
            <w:tcBorders>
              <w:top w:val="nil"/>
              <w:left w:val="nil"/>
              <w:bottom w:val="nil"/>
              <w:right w:val="nil"/>
            </w:tcBorders>
            <w:shd w:val="clear" w:color="auto" w:fill="auto"/>
            <w:vAlign w:val="center"/>
          </w:tcPr>
          <w:p w14:paraId="053E408F" w14:textId="77777777" w:rsidR="006B65F8" w:rsidRPr="009B7DB0" w:rsidRDefault="006B65F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98.5</w:t>
            </w:r>
          </w:p>
        </w:tc>
        <w:tc>
          <w:tcPr>
            <w:tcW w:w="396" w:type="pct"/>
            <w:tcBorders>
              <w:top w:val="nil"/>
              <w:left w:val="nil"/>
              <w:bottom w:val="nil"/>
              <w:right w:val="nil"/>
            </w:tcBorders>
            <w:shd w:val="clear" w:color="auto" w:fill="auto"/>
            <w:vAlign w:val="center"/>
          </w:tcPr>
          <w:p w14:paraId="403F5BE1" w14:textId="10BABC33" w:rsidR="006B65F8" w:rsidRPr="009B7DB0" w:rsidRDefault="006B65F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98.4</w:t>
            </w:r>
          </w:p>
        </w:tc>
        <w:tc>
          <w:tcPr>
            <w:tcW w:w="337" w:type="pct"/>
            <w:vMerge w:val="restart"/>
            <w:tcBorders>
              <w:top w:val="nil"/>
              <w:left w:val="nil"/>
              <w:bottom w:val="nil"/>
              <w:right w:val="nil"/>
            </w:tcBorders>
            <w:shd w:val="clear" w:color="auto" w:fill="auto"/>
            <w:vAlign w:val="center"/>
          </w:tcPr>
          <w:p w14:paraId="59B4ADD7" w14:textId="110AA493" w:rsidR="006B65F8" w:rsidRPr="009B7DB0" w:rsidRDefault="006B65F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0.967</w:t>
            </w:r>
          </w:p>
        </w:tc>
        <w:tc>
          <w:tcPr>
            <w:tcW w:w="459" w:type="pct"/>
            <w:tcBorders>
              <w:top w:val="nil"/>
              <w:left w:val="nil"/>
              <w:bottom w:val="nil"/>
              <w:right w:val="nil"/>
            </w:tcBorders>
            <w:vAlign w:val="center"/>
          </w:tcPr>
          <w:p w14:paraId="25489951" w14:textId="5D7C5F56" w:rsidR="006B65F8" w:rsidRPr="009B7DB0" w:rsidRDefault="006B65F8"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98.4</w:t>
            </w:r>
          </w:p>
        </w:tc>
        <w:tc>
          <w:tcPr>
            <w:tcW w:w="396" w:type="pct"/>
            <w:tcBorders>
              <w:top w:val="nil"/>
              <w:left w:val="nil"/>
              <w:bottom w:val="nil"/>
              <w:right w:val="nil"/>
            </w:tcBorders>
            <w:vAlign w:val="center"/>
          </w:tcPr>
          <w:p w14:paraId="03C43853" w14:textId="30424961" w:rsidR="006B65F8" w:rsidRPr="009B7DB0" w:rsidRDefault="006B65F8"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98.9</w:t>
            </w:r>
          </w:p>
        </w:tc>
        <w:tc>
          <w:tcPr>
            <w:tcW w:w="337" w:type="pct"/>
            <w:vMerge w:val="restart"/>
            <w:tcBorders>
              <w:top w:val="nil"/>
              <w:left w:val="nil"/>
              <w:right w:val="nil"/>
            </w:tcBorders>
            <w:vAlign w:val="center"/>
          </w:tcPr>
          <w:p w14:paraId="0E299A67" w14:textId="5659CC38" w:rsidR="006B65F8" w:rsidRPr="009B7DB0" w:rsidRDefault="006B65F8" w:rsidP="00C261C6">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0.588</w:t>
            </w:r>
          </w:p>
        </w:tc>
      </w:tr>
      <w:tr w:rsidR="009B7DB0" w:rsidRPr="009B7DB0" w14:paraId="57CF83B8" w14:textId="6D150BC0" w:rsidTr="00684337">
        <w:trPr>
          <w:gridBefore w:val="1"/>
          <w:wBefore w:w="109" w:type="pct"/>
          <w:jc w:val="center"/>
        </w:trPr>
        <w:tc>
          <w:tcPr>
            <w:tcW w:w="587" w:type="pct"/>
            <w:vMerge/>
            <w:tcBorders>
              <w:top w:val="nil"/>
              <w:left w:val="nil"/>
              <w:bottom w:val="single" w:sz="8" w:space="0" w:color="auto"/>
              <w:right w:val="nil"/>
            </w:tcBorders>
            <w:shd w:val="clear" w:color="auto" w:fill="auto"/>
            <w:vAlign w:val="center"/>
          </w:tcPr>
          <w:p w14:paraId="104F1BBA" w14:textId="77777777" w:rsidR="006B65F8" w:rsidRPr="009B7DB0" w:rsidRDefault="006B65F8" w:rsidP="00EF61F4">
            <w:pPr>
              <w:autoSpaceDE w:val="0"/>
              <w:autoSpaceDN w:val="0"/>
              <w:adjustRightInd w:val="0"/>
              <w:snapToGrid w:val="0"/>
              <w:spacing w:line="240" w:lineRule="auto"/>
              <w:jc w:val="center"/>
              <w:rPr>
                <w:rFonts w:ascii="Palatino Linotype" w:hAnsi="Palatino Linotype"/>
                <w:color w:val="auto"/>
                <w:sz w:val="18"/>
              </w:rPr>
            </w:pPr>
          </w:p>
        </w:tc>
        <w:tc>
          <w:tcPr>
            <w:tcW w:w="1461" w:type="pct"/>
            <w:tcBorders>
              <w:top w:val="nil"/>
              <w:left w:val="nil"/>
              <w:bottom w:val="single" w:sz="8" w:space="0" w:color="auto"/>
              <w:right w:val="nil"/>
            </w:tcBorders>
            <w:shd w:val="clear" w:color="auto" w:fill="auto"/>
            <w:vAlign w:val="center"/>
          </w:tcPr>
          <w:p w14:paraId="45E77261" w14:textId="77777777" w:rsidR="006B65F8" w:rsidRPr="009B7DB0" w:rsidRDefault="006B65F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Yes</w:t>
            </w:r>
          </w:p>
        </w:tc>
        <w:tc>
          <w:tcPr>
            <w:tcW w:w="459" w:type="pct"/>
            <w:tcBorders>
              <w:top w:val="nil"/>
              <w:left w:val="nil"/>
              <w:bottom w:val="single" w:sz="8" w:space="0" w:color="auto"/>
              <w:right w:val="nil"/>
            </w:tcBorders>
            <w:shd w:val="clear" w:color="auto" w:fill="auto"/>
            <w:vAlign w:val="center"/>
          </w:tcPr>
          <w:p w14:paraId="5B1BDBD6" w14:textId="77777777" w:rsidR="006B65F8" w:rsidRPr="009B7DB0" w:rsidRDefault="006B65F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1.5</w:t>
            </w:r>
          </w:p>
        </w:tc>
        <w:tc>
          <w:tcPr>
            <w:tcW w:w="459" w:type="pct"/>
            <w:tcBorders>
              <w:top w:val="nil"/>
              <w:left w:val="nil"/>
              <w:bottom w:val="single" w:sz="8" w:space="0" w:color="auto"/>
              <w:right w:val="nil"/>
            </w:tcBorders>
            <w:shd w:val="clear" w:color="auto" w:fill="auto"/>
            <w:vAlign w:val="center"/>
          </w:tcPr>
          <w:p w14:paraId="56CD9076" w14:textId="77777777" w:rsidR="006B65F8" w:rsidRPr="009B7DB0" w:rsidRDefault="006B65F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1.5</w:t>
            </w:r>
          </w:p>
        </w:tc>
        <w:tc>
          <w:tcPr>
            <w:tcW w:w="396" w:type="pct"/>
            <w:tcBorders>
              <w:top w:val="nil"/>
              <w:left w:val="nil"/>
              <w:bottom w:val="single" w:sz="8" w:space="0" w:color="auto"/>
              <w:right w:val="nil"/>
            </w:tcBorders>
            <w:shd w:val="clear" w:color="auto" w:fill="auto"/>
            <w:vAlign w:val="center"/>
          </w:tcPr>
          <w:p w14:paraId="272BD20A" w14:textId="305D62D8" w:rsidR="006B65F8" w:rsidRPr="009B7DB0" w:rsidRDefault="006B65F8" w:rsidP="00EF61F4">
            <w:pPr>
              <w:autoSpaceDE w:val="0"/>
              <w:autoSpaceDN w:val="0"/>
              <w:adjustRightInd w:val="0"/>
              <w:snapToGrid w:val="0"/>
              <w:spacing w:line="240" w:lineRule="auto"/>
              <w:jc w:val="center"/>
              <w:rPr>
                <w:rFonts w:ascii="Palatino Linotype" w:hAnsi="Palatino Linotype"/>
                <w:color w:val="auto"/>
                <w:sz w:val="18"/>
              </w:rPr>
            </w:pPr>
            <w:r w:rsidRPr="009B7DB0">
              <w:rPr>
                <w:rFonts w:ascii="Palatino Linotype" w:hAnsi="Palatino Linotype"/>
                <w:color w:val="auto"/>
                <w:sz w:val="18"/>
              </w:rPr>
              <w:t>1.6</w:t>
            </w:r>
          </w:p>
        </w:tc>
        <w:tc>
          <w:tcPr>
            <w:tcW w:w="337" w:type="pct"/>
            <w:vMerge/>
            <w:tcBorders>
              <w:top w:val="nil"/>
              <w:left w:val="nil"/>
              <w:bottom w:val="single" w:sz="8" w:space="0" w:color="auto"/>
              <w:right w:val="nil"/>
            </w:tcBorders>
            <w:shd w:val="clear" w:color="auto" w:fill="auto"/>
            <w:vAlign w:val="center"/>
          </w:tcPr>
          <w:p w14:paraId="572594EF" w14:textId="77777777" w:rsidR="006B65F8" w:rsidRPr="009B7DB0" w:rsidRDefault="006B65F8" w:rsidP="00EF61F4">
            <w:pPr>
              <w:autoSpaceDE w:val="0"/>
              <w:autoSpaceDN w:val="0"/>
              <w:adjustRightInd w:val="0"/>
              <w:snapToGrid w:val="0"/>
              <w:spacing w:line="240" w:lineRule="auto"/>
              <w:jc w:val="center"/>
              <w:rPr>
                <w:color w:val="auto"/>
                <w:sz w:val="18"/>
              </w:rPr>
            </w:pPr>
          </w:p>
        </w:tc>
        <w:tc>
          <w:tcPr>
            <w:tcW w:w="459" w:type="pct"/>
            <w:tcBorders>
              <w:top w:val="nil"/>
              <w:left w:val="nil"/>
              <w:bottom w:val="single" w:sz="8" w:space="0" w:color="auto"/>
              <w:right w:val="nil"/>
            </w:tcBorders>
            <w:vAlign w:val="center"/>
          </w:tcPr>
          <w:p w14:paraId="29C5E4E4" w14:textId="167E8DFD" w:rsidR="006B65F8" w:rsidRPr="009B7DB0" w:rsidRDefault="006B65F8" w:rsidP="00C261C6">
            <w:pPr>
              <w:autoSpaceDE w:val="0"/>
              <w:autoSpaceDN w:val="0"/>
              <w:adjustRightInd w:val="0"/>
              <w:snapToGrid w:val="0"/>
              <w:spacing w:line="240" w:lineRule="auto"/>
              <w:jc w:val="center"/>
              <w:rPr>
                <w:color w:val="auto"/>
                <w:sz w:val="18"/>
              </w:rPr>
            </w:pPr>
            <w:r w:rsidRPr="009B7DB0">
              <w:rPr>
                <w:color w:val="auto"/>
                <w:sz w:val="18"/>
              </w:rPr>
              <w:t>1.6</w:t>
            </w:r>
          </w:p>
        </w:tc>
        <w:tc>
          <w:tcPr>
            <w:tcW w:w="396" w:type="pct"/>
            <w:tcBorders>
              <w:top w:val="nil"/>
              <w:left w:val="nil"/>
              <w:bottom w:val="single" w:sz="8" w:space="0" w:color="auto"/>
              <w:right w:val="nil"/>
            </w:tcBorders>
            <w:vAlign w:val="center"/>
          </w:tcPr>
          <w:p w14:paraId="49EED501" w14:textId="01DC709C" w:rsidR="006B65F8" w:rsidRPr="009B7DB0" w:rsidRDefault="006B65F8" w:rsidP="00C261C6">
            <w:pPr>
              <w:autoSpaceDE w:val="0"/>
              <w:autoSpaceDN w:val="0"/>
              <w:adjustRightInd w:val="0"/>
              <w:snapToGrid w:val="0"/>
              <w:spacing w:line="240" w:lineRule="auto"/>
              <w:jc w:val="center"/>
              <w:rPr>
                <w:color w:val="auto"/>
                <w:sz w:val="18"/>
              </w:rPr>
            </w:pPr>
            <w:r w:rsidRPr="009B7DB0">
              <w:rPr>
                <w:color w:val="auto"/>
                <w:sz w:val="18"/>
              </w:rPr>
              <w:t>1.1</w:t>
            </w:r>
          </w:p>
        </w:tc>
        <w:tc>
          <w:tcPr>
            <w:tcW w:w="337" w:type="pct"/>
            <w:vMerge/>
            <w:tcBorders>
              <w:left w:val="nil"/>
              <w:bottom w:val="single" w:sz="8" w:space="0" w:color="auto"/>
              <w:right w:val="nil"/>
            </w:tcBorders>
            <w:vAlign w:val="center"/>
          </w:tcPr>
          <w:p w14:paraId="5B70B6A4" w14:textId="77777777" w:rsidR="006B65F8" w:rsidRPr="009B7DB0" w:rsidRDefault="006B65F8" w:rsidP="00C261C6">
            <w:pPr>
              <w:autoSpaceDE w:val="0"/>
              <w:autoSpaceDN w:val="0"/>
              <w:adjustRightInd w:val="0"/>
              <w:snapToGrid w:val="0"/>
              <w:spacing w:line="240" w:lineRule="auto"/>
              <w:jc w:val="center"/>
              <w:rPr>
                <w:color w:val="auto"/>
                <w:sz w:val="18"/>
              </w:rPr>
            </w:pPr>
          </w:p>
        </w:tc>
      </w:tr>
    </w:tbl>
    <w:p w14:paraId="003C072C" w14:textId="0CD5863E" w:rsidR="00A123E9" w:rsidRPr="009B7DB0" w:rsidRDefault="00A123E9" w:rsidP="003A36E1">
      <w:pPr>
        <w:pStyle w:val="MDPI43tablefooter"/>
        <w:ind w:left="425" w:right="425"/>
        <w:rPr>
          <w:color w:val="auto"/>
        </w:rPr>
      </w:pPr>
      <w:r w:rsidRPr="009B7DB0">
        <w:rPr>
          <w:color w:val="auto"/>
        </w:rPr>
        <w:t xml:space="preserve">Arthritis </w:t>
      </w:r>
      <w:r w:rsidR="002D07C7" w:rsidRPr="009B7DB0">
        <w:rPr>
          <w:color w:val="auto"/>
        </w:rPr>
        <w:t>and migraine were</w:t>
      </w:r>
      <w:r w:rsidRPr="009B7DB0">
        <w:rPr>
          <w:color w:val="auto"/>
        </w:rPr>
        <w:t xml:space="preserve"> assessed with yes-no question</w:t>
      </w:r>
      <w:r w:rsidR="007361AA" w:rsidRPr="009B7DB0">
        <w:rPr>
          <w:color w:val="auto"/>
        </w:rPr>
        <w:t>s</w:t>
      </w:r>
      <w:r w:rsidRPr="009B7DB0">
        <w:rPr>
          <w:color w:val="auto"/>
        </w:rPr>
        <w:t>.</w:t>
      </w:r>
      <w:r w:rsidR="00EF61F4" w:rsidRPr="009B7DB0">
        <w:rPr>
          <w:color w:val="auto"/>
        </w:rPr>
        <w:t xml:space="preserve"> </w:t>
      </w:r>
      <w:r w:rsidRPr="009B7DB0">
        <w:rPr>
          <w:color w:val="auto"/>
        </w:rPr>
        <w:t>Data are percentages unless otherwise stated.</w:t>
      </w:r>
      <w:r w:rsidR="00333A94" w:rsidRPr="009B7DB0">
        <w:rPr>
          <w:color w:val="auto"/>
        </w:rPr>
        <w:t xml:space="preserve"> </w:t>
      </w:r>
      <w:r w:rsidRPr="009B7DB0">
        <w:rPr>
          <w:color w:val="auto"/>
        </w:rPr>
        <w:t>The sample weighting was taken into account in the analyses.</w:t>
      </w:r>
      <w:r w:rsidR="005B4B0B" w:rsidRPr="009B7DB0">
        <w:rPr>
          <w:color w:val="auto"/>
        </w:rPr>
        <w:t xml:space="preserve"> </w:t>
      </w:r>
      <w:r w:rsidR="00AC7149" w:rsidRPr="009B7DB0">
        <w:rPr>
          <w:color w:val="auto"/>
          <w:vertAlign w:val="superscript"/>
        </w:rPr>
        <w:t>1</w:t>
      </w:r>
      <w:r w:rsidRPr="009B7DB0">
        <w:rPr>
          <w:color w:val="auto"/>
        </w:rPr>
        <w:t xml:space="preserve"> P-values were based on chi-squared tests except for age (t-test</w:t>
      </w:r>
      <w:r w:rsidR="002755A4" w:rsidRPr="009B7DB0">
        <w:rPr>
          <w:color w:val="auto"/>
        </w:rPr>
        <w:t>s</w:t>
      </w:r>
      <w:r w:rsidRPr="009B7DB0">
        <w:rPr>
          <w:color w:val="auto"/>
        </w:rPr>
        <w:t>).</w:t>
      </w:r>
      <w:r w:rsidR="005B4B0B" w:rsidRPr="009B7DB0">
        <w:rPr>
          <w:color w:val="auto"/>
        </w:rPr>
        <w:br w:type="page"/>
      </w:r>
    </w:p>
    <w:p w14:paraId="5775B119" w14:textId="77777777" w:rsidR="001317C7" w:rsidRPr="009B7DB0" w:rsidRDefault="007C31D3" w:rsidP="005B4B0B">
      <w:pPr>
        <w:pStyle w:val="MDPI52figure"/>
        <w:rPr>
          <w:color w:val="auto"/>
        </w:rPr>
      </w:pPr>
      <w:r w:rsidRPr="009B7DB0">
        <w:rPr>
          <w:noProof/>
          <w:snapToGrid/>
          <w:color w:val="auto"/>
          <w:lang w:val="en-GB" w:eastAsia="en-GB" w:bidi="ar-SA"/>
        </w:rPr>
        <w:lastRenderedPageBreak/>
        <w:drawing>
          <wp:inline distT="0" distB="0" distL="0" distR="0" wp14:anchorId="4B259029" wp14:editId="7B1861B0">
            <wp:extent cx="5615940" cy="334391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15940" cy="3343910"/>
                    </a:xfrm>
                    <a:prstGeom prst="rect">
                      <a:avLst/>
                    </a:prstGeom>
                  </pic:spPr>
                </pic:pic>
              </a:graphicData>
            </a:graphic>
          </wp:inline>
        </w:drawing>
      </w:r>
    </w:p>
    <w:p w14:paraId="5917E240" w14:textId="00E8DB69" w:rsidR="001317C7" w:rsidRPr="009B7DB0" w:rsidRDefault="005B4B0B" w:rsidP="005B4B0B">
      <w:pPr>
        <w:pStyle w:val="MDPI51figurecaption"/>
        <w:jc w:val="center"/>
        <w:rPr>
          <w:i/>
          <w:color w:val="auto"/>
        </w:rPr>
      </w:pPr>
      <w:r w:rsidRPr="009B7DB0">
        <w:rPr>
          <w:b/>
          <w:bCs/>
          <w:i/>
          <w:color w:val="auto"/>
        </w:rPr>
        <w:t>Figure 1.</w:t>
      </w:r>
      <w:r w:rsidR="001317C7" w:rsidRPr="009B7DB0">
        <w:rPr>
          <w:b/>
          <w:bCs/>
          <w:color w:val="auto"/>
        </w:rPr>
        <w:t xml:space="preserve"> </w:t>
      </w:r>
      <w:r w:rsidR="001317C7" w:rsidRPr="009B7DB0">
        <w:rPr>
          <w:color w:val="auto"/>
        </w:rPr>
        <w:t>Prevalence of migraine in the overall population and in sex and age subgroups</w:t>
      </w:r>
      <w:r w:rsidRPr="009B7DB0">
        <w:rPr>
          <w:i/>
          <w:color w:val="auto"/>
        </w:rPr>
        <w:t>.</w:t>
      </w:r>
    </w:p>
    <w:p w14:paraId="044F86BF" w14:textId="77777777" w:rsidR="001317C7" w:rsidRPr="009B7DB0" w:rsidRDefault="001317C7" w:rsidP="005B4B0B">
      <w:pPr>
        <w:pStyle w:val="MDPI31text"/>
        <w:rPr>
          <w:i/>
          <w:color w:val="auto"/>
        </w:rPr>
      </w:pPr>
      <w:r w:rsidRPr="009B7DB0">
        <w:rPr>
          <w:color w:val="auto"/>
        </w:rPr>
        <w:t>Migraine was assessed with a yes-no question. The prevalence of migraine was compared between the different sex (i.e., male and female) and age subgroups (i.e., age ≤45, 46-65 and &gt;65 years) using chi-squared tests. P-values were lower than 0.001.</w:t>
      </w:r>
    </w:p>
    <w:p w14:paraId="79F10A86" w14:textId="71EFEC3F" w:rsidR="001317C7" w:rsidRPr="009B7DB0" w:rsidRDefault="008A68EF" w:rsidP="005B4B0B">
      <w:pPr>
        <w:pStyle w:val="MDPI52figure"/>
        <w:rPr>
          <w:color w:val="auto"/>
        </w:rPr>
      </w:pPr>
      <w:r w:rsidRPr="009B7DB0">
        <w:rPr>
          <w:noProof/>
          <w:snapToGrid/>
          <w:color w:val="auto"/>
          <w:lang w:val="en-GB" w:eastAsia="en-GB" w:bidi="ar-SA"/>
        </w:rPr>
        <w:drawing>
          <wp:inline distT="0" distB="0" distL="0" distR="0" wp14:anchorId="1C470E85" wp14:editId="6966AC5C">
            <wp:extent cx="5615940" cy="330327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15940" cy="3303270"/>
                    </a:xfrm>
                    <a:prstGeom prst="rect">
                      <a:avLst/>
                    </a:prstGeom>
                  </pic:spPr>
                </pic:pic>
              </a:graphicData>
            </a:graphic>
          </wp:inline>
        </w:drawing>
      </w:r>
    </w:p>
    <w:p w14:paraId="2F2DBF46" w14:textId="55EC2022" w:rsidR="001317C7" w:rsidRPr="009B7DB0" w:rsidRDefault="005B4B0B" w:rsidP="005B4B0B">
      <w:pPr>
        <w:pStyle w:val="MDPI51figurecaption"/>
        <w:jc w:val="center"/>
        <w:rPr>
          <w:i/>
          <w:color w:val="auto"/>
        </w:rPr>
      </w:pPr>
      <w:r w:rsidRPr="009B7DB0">
        <w:rPr>
          <w:b/>
          <w:bCs/>
          <w:i/>
          <w:color w:val="auto"/>
        </w:rPr>
        <w:t>Figure 2.</w:t>
      </w:r>
      <w:r w:rsidR="001317C7" w:rsidRPr="009B7DB0">
        <w:rPr>
          <w:b/>
          <w:color w:val="auto"/>
        </w:rPr>
        <w:t xml:space="preserve"> </w:t>
      </w:r>
      <w:r w:rsidR="001317C7" w:rsidRPr="009B7DB0">
        <w:rPr>
          <w:color w:val="auto"/>
        </w:rPr>
        <w:t>Association between arthritis and migraine in adults living in the US</w:t>
      </w:r>
      <w:r w:rsidRPr="009B7DB0">
        <w:rPr>
          <w:i/>
          <w:color w:val="auto"/>
        </w:rPr>
        <w:t>.</w:t>
      </w:r>
    </w:p>
    <w:p w14:paraId="090FBF5E" w14:textId="77777777" w:rsidR="00AC7149" w:rsidRPr="009B7DB0" w:rsidRDefault="001317C7" w:rsidP="005B4B0B">
      <w:pPr>
        <w:pStyle w:val="MDPI31text"/>
        <w:rPr>
          <w:i/>
          <w:color w:val="auto"/>
        </w:rPr>
      </w:pPr>
      <w:r w:rsidRPr="009B7DB0">
        <w:rPr>
          <w:color w:val="auto"/>
        </w:rPr>
        <w:t xml:space="preserve">Arthritis and migraine were assessed with yes-no questions. The association between arthritis and migraine was studied in the overall population and in sex- and age-stratified samples. Logistic regression models were adjusted for sex (except the sex-stratified analyses), age, ethnicity, marital status, education, employment, annual family income, stroke, epilepsy, coronary artery disease, asthma, depression, anxiety, bipolar disorder, and alcohol dependence. All variables except age were </w:t>
      </w:r>
      <w:r w:rsidRPr="009B7DB0">
        <w:rPr>
          <w:color w:val="auto"/>
        </w:rPr>
        <w:lastRenderedPageBreak/>
        <w:t>included in the regression models as categorical variables.  The sample weighting was taken into account in all regression analyses.</w:t>
      </w:r>
    </w:p>
    <w:p w14:paraId="3C2D31F2" w14:textId="103EEA43" w:rsidR="00996419" w:rsidRPr="009B7DB0" w:rsidRDefault="00163FB5" w:rsidP="00163FB5">
      <w:pPr>
        <w:pStyle w:val="MDPI21heading1"/>
        <w:rPr>
          <w:color w:val="auto"/>
        </w:rPr>
      </w:pPr>
      <w:r w:rsidRPr="009B7DB0">
        <w:rPr>
          <w:color w:val="auto"/>
        </w:rPr>
        <w:t xml:space="preserve">4. </w:t>
      </w:r>
      <w:r w:rsidR="00996419" w:rsidRPr="009B7DB0">
        <w:rPr>
          <w:color w:val="auto"/>
        </w:rPr>
        <w:t>Discussion</w:t>
      </w:r>
    </w:p>
    <w:p w14:paraId="2CE1DE9E" w14:textId="77777777" w:rsidR="00F1319C" w:rsidRPr="009B7DB0" w:rsidRDefault="00F1319C" w:rsidP="00163FB5">
      <w:pPr>
        <w:pStyle w:val="MDPI31text"/>
        <w:rPr>
          <w:b/>
          <w:color w:val="auto"/>
        </w:rPr>
      </w:pPr>
      <w:r w:rsidRPr="009B7DB0">
        <w:rPr>
          <w:color w:val="auto"/>
        </w:rPr>
        <w:t xml:space="preserve">In this large representative sample of US adults, the present study found a positive and significant arthritis-migraine relationship in the overall sample, in women, in adults aged ≤45 years, and in those aged &gt;65 years. </w:t>
      </w:r>
    </w:p>
    <w:p w14:paraId="702614BC" w14:textId="502BC5B0" w:rsidR="00F1319C" w:rsidRPr="009B7DB0" w:rsidRDefault="00F1319C" w:rsidP="00717687">
      <w:pPr>
        <w:pStyle w:val="MDPI31text"/>
        <w:rPr>
          <w:color w:val="auto"/>
        </w:rPr>
      </w:pPr>
      <w:r w:rsidRPr="009B7DB0">
        <w:rPr>
          <w:color w:val="auto"/>
        </w:rPr>
        <w:t>This study does support previous literature that has demonstrated associations between arthritis and poor health outcomes [4,</w:t>
      </w:r>
      <w:r w:rsidR="00D2063D" w:rsidRPr="009B7DB0">
        <w:rPr>
          <w:color w:val="auto"/>
        </w:rPr>
        <w:t>14,</w:t>
      </w:r>
      <w:r w:rsidRPr="009B7DB0">
        <w:rPr>
          <w:color w:val="auto"/>
        </w:rPr>
        <w:t>15]. The identified positive association between arthritis and migraines may be explained by several plausible pathways. First, as previously mentioned, some consequences of arthritis are also triggers for migraines including for example sleep disturbances, stress and distress, and neck pain [7–</w:t>
      </w:r>
      <w:r w:rsidR="003C1E88" w:rsidRPr="009B7DB0">
        <w:rPr>
          <w:color w:val="auto"/>
        </w:rPr>
        <w:t>10</w:t>
      </w:r>
      <w:r w:rsidRPr="009B7DB0">
        <w:rPr>
          <w:color w:val="auto"/>
        </w:rPr>
        <w:t xml:space="preserve">]. Moreover, it is important to note the interrelation between pain distress and sleep disturbances. Indeed, pain is a cause of sleep disturbance and sleep disturbance </w:t>
      </w:r>
      <w:r w:rsidR="00E62ECD" w:rsidRPr="009B7DB0">
        <w:rPr>
          <w:color w:val="auto"/>
        </w:rPr>
        <w:t xml:space="preserve">likely </w:t>
      </w:r>
      <w:r w:rsidRPr="009B7DB0">
        <w:rPr>
          <w:color w:val="auto"/>
        </w:rPr>
        <w:t>plays a</w:t>
      </w:r>
      <w:r w:rsidR="00E62ECD" w:rsidRPr="009B7DB0">
        <w:rPr>
          <w:color w:val="auto"/>
        </w:rPr>
        <w:t xml:space="preserve"> key </w:t>
      </w:r>
      <w:r w:rsidRPr="009B7DB0">
        <w:rPr>
          <w:color w:val="auto"/>
        </w:rPr>
        <w:t>role in pain expression including distress [25]. Second, exercise is recommended as a non-pharmacological treatment for arthritis [11] but has also been shown to be a trigger for migraines [7]. Third, inflammation has been instigated in the development of both arthritis [26] and migraines [27].</w:t>
      </w:r>
      <w:r w:rsidR="001307FF" w:rsidRPr="009B7DB0">
        <w:rPr>
          <w:color w:val="auto"/>
        </w:rPr>
        <w:t xml:space="preserve"> For example, inflammation of the synovium and activation of the inflammatory complement system</w:t>
      </w:r>
      <w:r w:rsidR="00717687" w:rsidRPr="009B7DB0">
        <w:rPr>
          <w:color w:val="auto"/>
        </w:rPr>
        <w:t xml:space="preserve"> are major underlying mechanisms of </w:t>
      </w:r>
      <w:r w:rsidR="001307FF" w:rsidRPr="009B7DB0">
        <w:rPr>
          <w:color w:val="auto"/>
        </w:rPr>
        <w:t>the pathogenesis of knee osteoarthritis</w:t>
      </w:r>
      <w:r w:rsidR="00B938B2" w:rsidRPr="009B7DB0">
        <w:rPr>
          <w:color w:val="auto"/>
        </w:rPr>
        <w:t>, while arteriolar vasodil</w:t>
      </w:r>
      <w:r w:rsidR="008F3051" w:rsidRPr="009B7DB0">
        <w:rPr>
          <w:color w:val="auto"/>
        </w:rPr>
        <w:t>a</w:t>
      </w:r>
      <w:r w:rsidR="00B938B2" w:rsidRPr="009B7DB0">
        <w:rPr>
          <w:color w:val="auto"/>
        </w:rPr>
        <w:t>tion</w:t>
      </w:r>
      <w:r w:rsidR="00432AFE" w:rsidRPr="009B7DB0">
        <w:rPr>
          <w:color w:val="auto"/>
        </w:rPr>
        <w:t xml:space="preserve"> and</w:t>
      </w:r>
      <w:r w:rsidR="00B938B2" w:rsidRPr="009B7DB0">
        <w:rPr>
          <w:color w:val="auto"/>
        </w:rPr>
        <w:t xml:space="preserve"> plasma protein extravasation are </w:t>
      </w:r>
      <w:r w:rsidR="00E727FC" w:rsidRPr="009B7DB0">
        <w:rPr>
          <w:color w:val="auto"/>
        </w:rPr>
        <w:t xml:space="preserve">likely to be </w:t>
      </w:r>
      <w:r w:rsidR="00B938B2" w:rsidRPr="009B7DB0">
        <w:rPr>
          <w:color w:val="auto"/>
        </w:rPr>
        <w:t xml:space="preserve">common </w:t>
      </w:r>
      <w:r w:rsidR="00437C1E" w:rsidRPr="009B7DB0">
        <w:rPr>
          <w:color w:val="auto"/>
        </w:rPr>
        <w:t xml:space="preserve">phenomena during </w:t>
      </w:r>
      <w:r w:rsidR="00B938B2" w:rsidRPr="009B7DB0">
        <w:rPr>
          <w:color w:val="auto"/>
        </w:rPr>
        <w:t>migraine</w:t>
      </w:r>
      <w:r w:rsidR="00E727FC" w:rsidRPr="009B7DB0">
        <w:rPr>
          <w:color w:val="auto"/>
        </w:rPr>
        <w:t xml:space="preserve"> attacks</w:t>
      </w:r>
      <w:r w:rsidR="00B938B2" w:rsidRPr="009B7DB0">
        <w:rPr>
          <w:color w:val="auto"/>
        </w:rPr>
        <w:t xml:space="preserve">. </w:t>
      </w:r>
      <w:r w:rsidRPr="009B7DB0">
        <w:rPr>
          <w:color w:val="auto"/>
        </w:rPr>
        <w:t xml:space="preserve">Fourth, gut microbiota and mast cells may also be involved in the relationship between arthritis and migraine [28–30]. </w:t>
      </w:r>
    </w:p>
    <w:p w14:paraId="7FF6591E" w14:textId="278036F6" w:rsidR="00F1319C" w:rsidRPr="009B7DB0" w:rsidRDefault="00F1319C" w:rsidP="00697416">
      <w:pPr>
        <w:pStyle w:val="MDPI31text"/>
        <w:rPr>
          <w:color w:val="auto"/>
        </w:rPr>
      </w:pPr>
      <w:r w:rsidRPr="009B7DB0">
        <w:rPr>
          <w:color w:val="auto"/>
        </w:rPr>
        <w:t xml:space="preserve">It should be noted here </w:t>
      </w:r>
      <w:r w:rsidR="00313800" w:rsidRPr="009B7DB0">
        <w:rPr>
          <w:color w:val="auto"/>
        </w:rPr>
        <w:t>that</w:t>
      </w:r>
      <w:r w:rsidRPr="009B7DB0">
        <w:rPr>
          <w:color w:val="auto"/>
        </w:rPr>
        <w:t xml:space="preserve"> the association between arthritis and migraines was found to be significant in women but not in men</w:t>
      </w:r>
      <w:r w:rsidR="00313800" w:rsidRPr="009B7DB0">
        <w:rPr>
          <w:color w:val="auto"/>
        </w:rPr>
        <w:t xml:space="preserve"> with the interaction analysis tending to statistical significance</w:t>
      </w:r>
      <w:r w:rsidRPr="009B7DB0">
        <w:rPr>
          <w:color w:val="auto"/>
        </w:rPr>
        <w:t xml:space="preserve">. Indeed, </w:t>
      </w:r>
      <w:r w:rsidR="0060047F" w:rsidRPr="009B7DB0">
        <w:rPr>
          <w:color w:val="auto"/>
        </w:rPr>
        <w:t xml:space="preserve">the prevalence of migraine is three times higher in women (18%) than in men (6%) </w:t>
      </w:r>
      <w:r w:rsidRPr="009B7DB0">
        <w:rPr>
          <w:color w:val="auto"/>
        </w:rPr>
        <w:t xml:space="preserve">in the </w:t>
      </w:r>
      <w:r w:rsidR="0060047F" w:rsidRPr="009B7DB0">
        <w:rPr>
          <w:color w:val="auto"/>
        </w:rPr>
        <w:t xml:space="preserve">US </w:t>
      </w:r>
      <w:r w:rsidRPr="009B7DB0">
        <w:rPr>
          <w:color w:val="auto"/>
        </w:rPr>
        <w:t>general population</w:t>
      </w:r>
      <w:r w:rsidR="00DD771D" w:rsidRPr="009B7DB0">
        <w:rPr>
          <w:color w:val="auto"/>
        </w:rPr>
        <w:t>, with this figure reaching 43% in women of reproductive age [31].</w:t>
      </w:r>
      <w:r w:rsidR="00697416" w:rsidRPr="009B7DB0">
        <w:rPr>
          <w:color w:val="auto"/>
        </w:rPr>
        <w:t xml:space="preserve"> </w:t>
      </w:r>
      <w:r w:rsidRPr="009B7DB0">
        <w:rPr>
          <w:color w:val="auto"/>
        </w:rPr>
        <w:t>This high level of migraine in women has been linked to drops in estrogen levels [32]. Importantly, in women, low levels of estrogen are also associated with higher levels of arthritis [33]. In terms of age, the arthritis-migraine relationship was significant in adults aged ≤45 years and in those aged &gt;65 years but not in those aged 46-65 years. The fact that the association between arthritis and migraine was particularly strong in the elderly may be explained by a tendency towards higher pain sensitivity in old age [34], and pain could trigger migraines more frequently in adults aged &gt;65 years than in their counterparts aged 46-65 years. On contrast, copying may be lower and stress higher in adults aged ≤45 years than in those aged 46-65 years, and it may account for a share of the differential relationship between arthritis and migraine that was observed between the two age groups.</w:t>
      </w:r>
    </w:p>
    <w:p w14:paraId="28C5D899" w14:textId="02B0A546" w:rsidR="00F1319C" w:rsidRPr="009B7DB0" w:rsidRDefault="00F1319C" w:rsidP="009C70C6">
      <w:pPr>
        <w:pStyle w:val="MDPI31text"/>
        <w:rPr>
          <w:color w:val="auto"/>
        </w:rPr>
      </w:pPr>
      <w:r w:rsidRPr="009B7DB0">
        <w:rPr>
          <w:color w:val="auto"/>
        </w:rPr>
        <w:t xml:space="preserve">This is one of the first studies to investigate the relationship between </w:t>
      </w:r>
      <w:r w:rsidR="004E092F" w:rsidRPr="009B7DB0">
        <w:rPr>
          <w:color w:val="auto"/>
        </w:rPr>
        <w:t>arthritis</w:t>
      </w:r>
      <w:r w:rsidRPr="009B7DB0">
        <w:rPr>
          <w:color w:val="auto"/>
        </w:rPr>
        <w:t xml:space="preserve"> and </w:t>
      </w:r>
      <w:r w:rsidR="004E092F" w:rsidRPr="009B7DB0">
        <w:rPr>
          <w:color w:val="auto"/>
        </w:rPr>
        <w:t>migraine</w:t>
      </w:r>
      <w:r w:rsidRPr="009B7DB0">
        <w:rPr>
          <w:color w:val="auto"/>
        </w:rPr>
        <w:t xml:space="preserve">. Moreover, the large representative sample of US adults is a clear strength of the present study. However, findings from the present study must be interpreted in light of its limitations. First, this is a cross-sectional analysis so the direction of the association cannot be inferred. Although migraine has been previously identified as a risk factor for </w:t>
      </w:r>
      <w:r w:rsidR="008E384D" w:rsidRPr="009B7DB0">
        <w:rPr>
          <w:color w:val="auto"/>
        </w:rPr>
        <w:t>certain types of</w:t>
      </w:r>
      <w:r w:rsidRPr="009B7DB0">
        <w:rPr>
          <w:color w:val="auto"/>
        </w:rPr>
        <w:t xml:space="preserve"> arthritis</w:t>
      </w:r>
      <w:r w:rsidR="008E384D" w:rsidRPr="009B7DB0">
        <w:rPr>
          <w:color w:val="auto"/>
        </w:rPr>
        <w:t xml:space="preserve"> (e.g., rheumatoid arthritis)</w:t>
      </w:r>
      <w:r w:rsidRPr="009B7DB0">
        <w:rPr>
          <w:color w:val="auto"/>
        </w:rPr>
        <w:t xml:space="preserve"> [15], it seems unlikely that migraines would be a cause of osteoarthritis. Second, the present study did not collect data on the different types of arthritis. </w:t>
      </w:r>
      <w:r w:rsidR="00442F64" w:rsidRPr="009B7DB0">
        <w:rPr>
          <w:color w:val="auto"/>
        </w:rPr>
        <w:t>In spite of the fact that</w:t>
      </w:r>
      <w:r w:rsidR="00751329" w:rsidRPr="009B7DB0">
        <w:rPr>
          <w:color w:val="auto"/>
        </w:rPr>
        <w:t xml:space="preserve"> rheumatoid arthritis was excluded from the analyses, arthritis may have included conditions other than osteoarthritis (</w:t>
      </w:r>
      <w:r w:rsidR="000D0427" w:rsidRPr="009B7DB0">
        <w:rPr>
          <w:color w:val="auto"/>
        </w:rPr>
        <w:t>e.g., ankylosing spondylitis and gout</w:t>
      </w:r>
      <w:r w:rsidR="00751329" w:rsidRPr="009B7DB0">
        <w:rPr>
          <w:color w:val="auto"/>
        </w:rPr>
        <w:t>)</w:t>
      </w:r>
      <w:r w:rsidR="00442F64" w:rsidRPr="009B7DB0">
        <w:rPr>
          <w:color w:val="auto"/>
        </w:rPr>
        <w:t>, and</w:t>
      </w:r>
      <w:r w:rsidR="000D0427" w:rsidRPr="009B7DB0">
        <w:rPr>
          <w:color w:val="auto"/>
        </w:rPr>
        <w:t xml:space="preserve"> </w:t>
      </w:r>
      <w:r w:rsidR="00442F64" w:rsidRPr="009B7DB0">
        <w:rPr>
          <w:color w:val="auto"/>
        </w:rPr>
        <w:t>i</w:t>
      </w:r>
      <w:r w:rsidRPr="009B7DB0">
        <w:rPr>
          <w:color w:val="auto"/>
        </w:rPr>
        <w:t>t is possible that migraines would be more likely in certain types of arthritis than others. Future research should seek to investigate the association between a certain arthritis type and migraine.</w:t>
      </w:r>
      <w:r w:rsidR="002B5C54" w:rsidRPr="009B7DB0">
        <w:rPr>
          <w:color w:val="auto"/>
        </w:rPr>
        <w:t xml:space="preserve"> </w:t>
      </w:r>
      <w:r w:rsidRPr="009B7DB0">
        <w:rPr>
          <w:color w:val="auto"/>
        </w:rPr>
        <w:t xml:space="preserve">Third, both the exposure and outcome variables were self-reported therefore bias cannot be ruled out. </w:t>
      </w:r>
      <w:r w:rsidR="00A865A9" w:rsidRPr="009B7DB0">
        <w:rPr>
          <w:color w:val="auto"/>
        </w:rPr>
        <w:t>One major bias is migraine misdiagnosis,</w:t>
      </w:r>
      <w:r w:rsidR="009C70C6" w:rsidRPr="009B7DB0">
        <w:rPr>
          <w:color w:val="auto"/>
        </w:rPr>
        <w:t xml:space="preserve"> and a substantial proportion of people reporting migraine may </w:t>
      </w:r>
      <w:r w:rsidR="00442F64" w:rsidRPr="009B7DB0">
        <w:rPr>
          <w:color w:val="auto"/>
        </w:rPr>
        <w:t>have been</w:t>
      </w:r>
      <w:r w:rsidR="009C70C6" w:rsidRPr="009B7DB0">
        <w:rPr>
          <w:color w:val="auto"/>
        </w:rPr>
        <w:t xml:space="preserve"> affected by other </w:t>
      </w:r>
      <w:r w:rsidR="00442F64" w:rsidRPr="009B7DB0">
        <w:rPr>
          <w:color w:val="auto"/>
        </w:rPr>
        <w:t>pain disorders</w:t>
      </w:r>
      <w:r w:rsidR="009C70C6" w:rsidRPr="009B7DB0">
        <w:rPr>
          <w:color w:val="auto"/>
        </w:rPr>
        <w:t xml:space="preserve"> such as </w:t>
      </w:r>
      <w:r w:rsidR="002B5C54" w:rsidRPr="009B7DB0">
        <w:rPr>
          <w:color w:val="auto"/>
        </w:rPr>
        <w:t>tension type and medication overuse headaches</w:t>
      </w:r>
      <w:r w:rsidR="00A865A9" w:rsidRPr="009B7DB0">
        <w:rPr>
          <w:color w:val="auto"/>
        </w:rPr>
        <w:t xml:space="preserve">. </w:t>
      </w:r>
      <w:r w:rsidRPr="009B7DB0">
        <w:rPr>
          <w:color w:val="auto"/>
        </w:rPr>
        <w:t>Fourth, given that these were lifetime variables, it is possible that arthritis and migraine did not occur simultaneously. Fifth, there was no data on behavioural factors (e.g., smoking status, physical activity and diet), and this may have impacted the study results.</w:t>
      </w:r>
    </w:p>
    <w:p w14:paraId="4913336F" w14:textId="7A892351" w:rsidR="00996419" w:rsidRPr="009B7DB0" w:rsidRDefault="00163FB5" w:rsidP="00163FB5">
      <w:pPr>
        <w:pStyle w:val="MDPI21heading1"/>
        <w:rPr>
          <w:color w:val="auto"/>
        </w:rPr>
      </w:pPr>
      <w:r w:rsidRPr="009B7DB0">
        <w:rPr>
          <w:color w:val="auto"/>
        </w:rPr>
        <w:lastRenderedPageBreak/>
        <w:t xml:space="preserve">5. </w:t>
      </w:r>
      <w:r w:rsidR="00996419" w:rsidRPr="009B7DB0">
        <w:rPr>
          <w:color w:val="auto"/>
        </w:rPr>
        <w:t>Conclusions</w:t>
      </w:r>
    </w:p>
    <w:p w14:paraId="00A8F89A" w14:textId="56007044" w:rsidR="00F1319C" w:rsidRPr="009B7DB0" w:rsidRDefault="00F1319C" w:rsidP="002A166F">
      <w:pPr>
        <w:pStyle w:val="MDPI31text"/>
        <w:rPr>
          <w:color w:val="auto"/>
        </w:rPr>
      </w:pPr>
      <w:r w:rsidRPr="009B7DB0">
        <w:rPr>
          <w:color w:val="auto"/>
        </w:rPr>
        <w:t xml:space="preserve">In conclusion, a positive association between arthritis and migraines </w:t>
      </w:r>
      <w:r w:rsidR="002A166F" w:rsidRPr="009B7DB0">
        <w:rPr>
          <w:color w:val="auto"/>
        </w:rPr>
        <w:t>was suggested in this US nationally representative study</w:t>
      </w:r>
      <w:r w:rsidRPr="009B7DB0">
        <w:rPr>
          <w:color w:val="auto"/>
        </w:rPr>
        <w:t>. The mere fact that arthritis and migraine may coexist is problematic, as this could lead to an important medical and economic burden. Therefore, strategies should be implemented to reduce the cooccurrence of these two chronic conditions.</w:t>
      </w:r>
    </w:p>
    <w:p w14:paraId="136BB845" w14:textId="27120840" w:rsidR="00063483" w:rsidRPr="009B7DB0" w:rsidRDefault="001C4EF2" w:rsidP="00994120">
      <w:pPr>
        <w:pStyle w:val="MDPI62Acknowledgments"/>
        <w:rPr>
          <w:color w:val="auto"/>
        </w:rPr>
      </w:pPr>
      <w:r w:rsidRPr="009B7DB0">
        <w:rPr>
          <w:b/>
          <w:color w:val="auto"/>
        </w:rPr>
        <w:t xml:space="preserve">Author Contributions: </w:t>
      </w:r>
      <w:r w:rsidR="000C0FC2" w:rsidRPr="009B7DB0">
        <w:rPr>
          <w:color w:val="auto"/>
        </w:rPr>
        <w:t>Conceptualization</w:t>
      </w:r>
      <w:r w:rsidRPr="009B7DB0">
        <w:rPr>
          <w:color w:val="auto"/>
        </w:rPr>
        <w:t xml:space="preserve">, </w:t>
      </w:r>
      <w:r w:rsidR="00BB3785" w:rsidRPr="009B7DB0">
        <w:rPr>
          <w:color w:val="auto"/>
        </w:rPr>
        <w:t>L.J., J.I.</w:t>
      </w:r>
      <w:r w:rsidR="00CE118A" w:rsidRPr="009B7DB0">
        <w:rPr>
          <w:color w:val="auto"/>
        </w:rPr>
        <w:t xml:space="preserve">S., G.F.L.S., J.M.H., A.K., J.Y.K., J.H.K., H.O., L.S.; </w:t>
      </w:r>
      <w:r w:rsidRPr="009B7DB0">
        <w:rPr>
          <w:color w:val="auto"/>
        </w:rPr>
        <w:t xml:space="preserve">methodology, </w:t>
      </w:r>
      <w:r w:rsidR="00CE118A" w:rsidRPr="009B7DB0">
        <w:rPr>
          <w:color w:val="auto"/>
        </w:rPr>
        <w:t>L.J., H.O., L.S.</w:t>
      </w:r>
      <w:r w:rsidRPr="009B7DB0">
        <w:rPr>
          <w:color w:val="auto"/>
        </w:rPr>
        <w:t xml:space="preserve">; formal analysis, </w:t>
      </w:r>
      <w:r w:rsidR="00CE118A" w:rsidRPr="009B7DB0">
        <w:rPr>
          <w:color w:val="auto"/>
        </w:rPr>
        <w:t>L.J.</w:t>
      </w:r>
      <w:r w:rsidRPr="009B7DB0">
        <w:rPr>
          <w:color w:val="auto"/>
        </w:rPr>
        <w:t xml:space="preserve">; writing—original draft preparation, </w:t>
      </w:r>
      <w:r w:rsidR="00CE118A" w:rsidRPr="009B7DB0">
        <w:rPr>
          <w:color w:val="auto"/>
        </w:rPr>
        <w:t>L.S.</w:t>
      </w:r>
      <w:r w:rsidRPr="009B7DB0">
        <w:rPr>
          <w:color w:val="auto"/>
        </w:rPr>
        <w:t xml:space="preserve">; writing—review and editing, </w:t>
      </w:r>
      <w:r w:rsidR="00CE118A" w:rsidRPr="009B7DB0">
        <w:rPr>
          <w:color w:val="auto"/>
        </w:rPr>
        <w:t>L.J., J.I.S., G.F.L.S., J.M.H., A.K., J.Y.K., J.H.K., H.O., L.S.</w:t>
      </w:r>
      <w:r w:rsidRPr="009B7DB0">
        <w:rPr>
          <w:color w:val="auto"/>
        </w:rPr>
        <w:t>; supervision,</w:t>
      </w:r>
      <w:r w:rsidR="00CE118A" w:rsidRPr="009B7DB0">
        <w:rPr>
          <w:color w:val="auto"/>
        </w:rPr>
        <w:t xml:space="preserve"> L.J., L.S</w:t>
      </w:r>
      <w:r w:rsidRPr="009B7DB0">
        <w:rPr>
          <w:color w:val="auto"/>
        </w:rPr>
        <w:t>.</w:t>
      </w:r>
      <w:r w:rsidR="004D5F4D" w:rsidRPr="009B7DB0">
        <w:rPr>
          <w:color w:val="auto"/>
        </w:rPr>
        <w:t xml:space="preserve"> All authors have read and agreed to the published version of the manuscript.</w:t>
      </w:r>
      <w:r w:rsidRPr="009B7DB0">
        <w:rPr>
          <w:color w:val="auto"/>
        </w:rPr>
        <w:t xml:space="preserve"> </w:t>
      </w:r>
    </w:p>
    <w:p w14:paraId="2688FA5F" w14:textId="77777777" w:rsidR="001D1C27" w:rsidRPr="009B7DB0" w:rsidRDefault="001D1C27" w:rsidP="00994120">
      <w:pPr>
        <w:pStyle w:val="MDPI62Acknowledgments"/>
        <w:rPr>
          <w:color w:val="auto"/>
        </w:rPr>
      </w:pPr>
      <w:r w:rsidRPr="009B7DB0">
        <w:rPr>
          <w:b/>
          <w:color w:val="auto"/>
        </w:rPr>
        <w:t xml:space="preserve">Funding: </w:t>
      </w:r>
      <w:r w:rsidRPr="009B7DB0">
        <w:rPr>
          <w:color w:val="auto"/>
        </w:rPr>
        <w:t>This research received no external funding.</w:t>
      </w:r>
    </w:p>
    <w:p w14:paraId="6FF9D70A" w14:textId="77777777" w:rsidR="00A73B50" w:rsidRPr="009B7DB0" w:rsidRDefault="005577F2" w:rsidP="00994120">
      <w:pPr>
        <w:pStyle w:val="MDPI62Acknowledgments"/>
        <w:rPr>
          <w:color w:val="auto"/>
        </w:rPr>
      </w:pPr>
      <w:r w:rsidRPr="009B7DB0">
        <w:rPr>
          <w:b/>
          <w:color w:val="auto"/>
        </w:rPr>
        <w:t>Acknowledgments:</w:t>
      </w:r>
      <w:r w:rsidRPr="009B7DB0">
        <w:rPr>
          <w:color w:val="auto"/>
        </w:rPr>
        <w:t xml:space="preserve"> </w:t>
      </w:r>
      <w:r w:rsidR="00B317B6" w:rsidRPr="009B7DB0">
        <w:rPr>
          <w:color w:val="auto"/>
        </w:rPr>
        <w:t xml:space="preserve">Not applicable. </w:t>
      </w:r>
    </w:p>
    <w:p w14:paraId="5EBB943D" w14:textId="77777777" w:rsidR="00A73B50" w:rsidRPr="009B7DB0" w:rsidRDefault="00A73B50" w:rsidP="00994120">
      <w:pPr>
        <w:pStyle w:val="MDPI64CoI"/>
        <w:rPr>
          <w:color w:val="auto"/>
        </w:rPr>
      </w:pPr>
      <w:r w:rsidRPr="009B7DB0">
        <w:rPr>
          <w:b/>
          <w:color w:val="auto"/>
        </w:rPr>
        <w:t>Conflicts of Interest:</w:t>
      </w:r>
      <w:r w:rsidRPr="009B7DB0">
        <w:rPr>
          <w:color w:val="auto"/>
        </w:rPr>
        <w:t xml:space="preserve"> The authors declare no conflict of interest.</w:t>
      </w:r>
    </w:p>
    <w:p w14:paraId="5D32E0DE" w14:textId="77777777" w:rsidR="00996419" w:rsidRPr="009B7DB0" w:rsidRDefault="00996419" w:rsidP="00163FB5">
      <w:pPr>
        <w:pStyle w:val="MDPI21heading1"/>
        <w:rPr>
          <w:color w:val="auto"/>
        </w:rPr>
      </w:pPr>
      <w:r w:rsidRPr="009B7DB0">
        <w:rPr>
          <w:color w:val="auto"/>
        </w:rPr>
        <w:t>References</w:t>
      </w:r>
    </w:p>
    <w:p w14:paraId="03E99665"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fldChar w:fldCharType="begin"/>
      </w:r>
      <w:r w:rsidRPr="009B7DB0">
        <w:rPr>
          <w:rFonts w:ascii="Palatino Linotype" w:hAnsi="Palatino Linotype"/>
          <w:sz w:val="18"/>
          <w:szCs w:val="18"/>
        </w:rPr>
        <w:instrText xml:space="preserve"> ADDIN ZOTERO_BIBL {"uncited":[],"omitted":[],"custom":[]} CSL_BIBLIOGRAPHY </w:instrText>
      </w:r>
      <w:r w:rsidRPr="009B7DB0">
        <w:rPr>
          <w:rFonts w:ascii="Palatino Linotype" w:hAnsi="Palatino Linotype"/>
          <w:sz w:val="18"/>
          <w:szCs w:val="18"/>
        </w:rPr>
        <w:fldChar w:fldCharType="separate"/>
      </w:r>
      <w:r w:rsidRPr="009B7DB0">
        <w:rPr>
          <w:rFonts w:ascii="Palatino Linotype" w:hAnsi="Palatino Linotype"/>
          <w:sz w:val="18"/>
          <w:szCs w:val="18"/>
        </w:rPr>
        <w:t xml:space="preserve">1. </w:t>
      </w:r>
      <w:r w:rsidRPr="009B7DB0">
        <w:rPr>
          <w:rFonts w:ascii="Palatino Linotype" w:hAnsi="Palatino Linotype"/>
          <w:sz w:val="18"/>
          <w:szCs w:val="18"/>
        </w:rPr>
        <w:tab/>
        <w:t>World Health Organization Chronic rheumatic conditions Available online: https://www.who.int/chp/topics/rheumatic/en/.</w:t>
      </w:r>
    </w:p>
    <w:p w14:paraId="333B49D4"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2. </w:t>
      </w:r>
      <w:r w:rsidRPr="009B7DB0">
        <w:rPr>
          <w:rFonts w:ascii="Palatino Linotype" w:hAnsi="Palatino Linotype"/>
          <w:sz w:val="18"/>
          <w:szCs w:val="18"/>
        </w:rPr>
        <w:tab/>
        <w:t>Centers for Disease Control and Prevention Arthritis Available online: https://www.cdc.gov/chronicdisease/resources/publications/factsheets/arthritis.htm.</w:t>
      </w:r>
    </w:p>
    <w:p w14:paraId="048C1925"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3. </w:t>
      </w:r>
      <w:r w:rsidRPr="009B7DB0">
        <w:rPr>
          <w:rFonts w:ascii="Palatino Linotype" w:hAnsi="Palatino Linotype"/>
          <w:sz w:val="18"/>
          <w:szCs w:val="18"/>
        </w:rPr>
        <w:tab/>
        <w:t>NHS Overwiew - Arthritis 2020.</w:t>
      </w:r>
    </w:p>
    <w:p w14:paraId="0DAD4CBA"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4. </w:t>
      </w:r>
      <w:r w:rsidRPr="009B7DB0">
        <w:rPr>
          <w:rFonts w:ascii="Palatino Linotype" w:hAnsi="Palatino Linotype"/>
          <w:sz w:val="18"/>
          <w:szCs w:val="18"/>
        </w:rPr>
        <w:tab/>
        <w:t xml:space="preserve">Hootman, J.M.; Helmick, C.G.; Brady, T.J. A Public Health Approach to Addressing Arthritis in Older Adults: The Most Common Cause of Disability. </w:t>
      </w:r>
      <w:r w:rsidRPr="009B7DB0">
        <w:rPr>
          <w:rFonts w:ascii="Palatino Linotype" w:hAnsi="Palatino Linotype"/>
          <w:i/>
          <w:iCs/>
          <w:sz w:val="18"/>
          <w:szCs w:val="18"/>
        </w:rPr>
        <w:t>Am J Public Health</w:t>
      </w:r>
      <w:r w:rsidRPr="009B7DB0">
        <w:rPr>
          <w:rFonts w:ascii="Palatino Linotype" w:hAnsi="Palatino Linotype"/>
          <w:sz w:val="18"/>
          <w:szCs w:val="18"/>
        </w:rPr>
        <w:t xml:space="preserve"> </w:t>
      </w:r>
      <w:r w:rsidRPr="009B7DB0">
        <w:rPr>
          <w:rFonts w:ascii="Palatino Linotype" w:hAnsi="Palatino Linotype"/>
          <w:b/>
          <w:bCs/>
          <w:sz w:val="18"/>
          <w:szCs w:val="18"/>
        </w:rPr>
        <w:t>2012</w:t>
      </w:r>
      <w:r w:rsidRPr="009B7DB0">
        <w:rPr>
          <w:rFonts w:ascii="Palatino Linotype" w:hAnsi="Palatino Linotype"/>
          <w:sz w:val="18"/>
          <w:szCs w:val="18"/>
        </w:rPr>
        <w:t xml:space="preserve">, </w:t>
      </w:r>
      <w:r w:rsidRPr="009B7DB0">
        <w:rPr>
          <w:rFonts w:ascii="Palatino Linotype" w:hAnsi="Palatino Linotype"/>
          <w:i/>
          <w:iCs/>
          <w:sz w:val="18"/>
          <w:szCs w:val="18"/>
        </w:rPr>
        <w:t>102</w:t>
      </w:r>
      <w:r w:rsidRPr="009B7DB0">
        <w:rPr>
          <w:rFonts w:ascii="Palatino Linotype" w:hAnsi="Palatino Linotype"/>
          <w:sz w:val="18"/>
          <w:szCs w:val="18"/>
        </w:rPr>
        <w:t>, 426–433, doi:10.2105/AJPH.2011.300423.</w:t>
      </w:r>
    </w:p>
    <w:p w14:paraId="4C653C75"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5. </w:t>
      </w:r>
      <w:r w:rsidRPr="009B7DB0">
        <w:rPr>
          <w:rFonts w:ascii="Palatino Linotype" w:hAnsi="Palatino Linotype"/>
          <w:sz w:val="18"/>
          <w:szCs w:val="18"/>
        </w:rPr>
        <w:tab/>
        <w:t>NHS Overwiew - Migraine Available online: https://www.nhs.uk/conditions/migraine/.</w:t>
      </w:r>
    </w:p>
    <w:p w14:paraId="62CD39E1"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6. </w:t>
      </w:r>
      <w:r w:rsidRPr="009B7DB0">
        <w:rPr>
          <w:rFonts w:ascii="Palatino Linotype" w:hAnsi="Palatino Linotype"/>
          <w:sz w:val="18"/>
          <w:szCs w:val="18"/>
        </w:rPr>
        <w:tab/>
        <w:t>World Health Organization Headache disorders Available online: https://www.who.int/topics/headache_disorders/en/.</w:t>
      </w:r>
    </w:p>
    <w:p w14:paraId="763263B9"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7. </w:t>
      </w:r>
      <w:r w:rsidRPr="009B7DB0">
        <w:rPr>
          <w:rFonts w:ascii="Palatino Linotype" w:hAnsi="Palatino Linotype"/>
          <w:sz w:val="18"/>
          <w:szCs w:val="18"/>
        </w:rPr>
        <w:tab/>
        <w:t xml:space="preserve">Kelman, L. The Triggers or Precipitants of the Acute Migraine Attack. </w:t>
      </w:r>
      <w:r w:rsidRPr="009B7DB0">
        <w:rPr>
          <w:rFonts w:ascii="Palatino Linotype" w:hAnsi="Palatino Linotype"/>
          <w:i/>
          <w:iCs/>
          <w:sz w:val="18"/>
          <w:szCs w:val="18"/>
        </w:rPr>
        <w:t>Cephalalgia</w:t>
      </w:r>
      <w:r w:rsidRPr="009B7DB0">
        <w:rPr>
          <w:rFonts w:ascii="Palatino Linotype" w:hAnsi="Palatino Linotype"/>
          <w:sz w:val="18"/>
          <w:szCs w:val="18"/>
        </w:rPr>
        <w:t xml:space="preserve"> </w:t>
      </w:r>
      <w:r w:rsidRPr="009B7DB0">
        <w:rPr>
          <w:rFonts w:ascii="Palatino Linotype" w:hAnsi="Palatino Linotype"/>
          <w:b/>
          <w:bCs/>
          <w:sz w:val="18"/>
          <w:szCs w:val="18"/>
        </w:rPr>
        <w:t>2007</w:t>
      </w:r>
      <w:r w:rsidRPr="009B7DB0">
        <w:rPr>
          <w:rFonts w:ascii="Palatino Linotype" w:hAnsi="Palatino Linotype"/>
          <w:sz w:val="18"/>
          <w:szCs w:val="18"/>
        </w:rPr>
        <w:t xml:space="preserve">, </w:t>
      </w:r>
      <w:r w:rsidRPr="009B7DB0">
        <w:rPr>
          <w:rFonts w:ascii="Palatino Linotype" w:hAnsi="Palatino Linotype"/>
          <w:i/>
          <w:iCs/>
          <w:sz w:val="18"/>
          <w:szCs w:val="18"/>
        </w:rPr>
        <w:t>27</w:t>
      </w:r>
      <w:r w:rsidRPr="009B7DB0">
        <w:rPr>
          <w:rFonts w:ascii="Palatino Linotype" w:hAnsi="Palatino Linotype"/>
          <w:sz w:val="18"/>
          <w:szCs w:val="18"/>
        </w:rPr>
        <w:t>, 394–402, doi:10.1111/j.1468-2982.2007.01303.x.</w:t>
      </w:r>
    </w:p>
    <w:p w14:paraId="06289B22"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8. </w:t>
      </w:r>
      <w:r w:rsidRPr="009B7DB0">
        <w:rPr>
          <w:rFonts w:ascii="Palatino Linotype" w:hAnsi="Palatino Linotype"/>
          <w:sz w:val="18"/>
          <w:szCs w:val="18"/>
        </w:rPr>
        <w:tab/>
        <w:t xml:space="preserve">Stebbings, S.; Herbison, P.; Doyle, T.C.H.; Treharne, G.J.; Highton, J. A comparison of fatigue correlates in rheumatoid arthritis and osteoarthritis: disparity in associations with disability, anxiety and sleep disturbance. </w:t>
      </w:r>
      <w:r w:rsidRPr="009B7DB0">
        <w:rPr>
          <w:rFonts w:ascii="Palatino Linotype" w:hAnsi="Palatino Linotype"/>
          <w:i/>
          <w:iCs/>
          <w:sz w:val="18"/>
          <w:szCs w:val="18"/>
        </w:rPr>
        <w:t>Rheumatology (Oxford)</w:t>
      </w:r>
      <w:r w:rsidRPr="009B7DB0">
        <w:rPr>
          <w:rFonts w:ascii="Palatino Linotype" w:hAnsi="Palatino Linotype"/>
          <w:sz w:val="18"/>
          <w:szCs w:val="18"/>
        </w:rPr>
        <w:t xml:space="preserve"> </w:t>
      </w:r>
      <w:r w:rsidRPr="009B7DB0">
        <w:rPr>
          <w:rFonts w:ascii="Palatino Linotype" w:hAnsi="Palatino Linotype"/>
          <w:b/>
          <w:bCs/>
          <w:sz w:val="18"/>
          <w:szCs w:val="18"/>
        </w:rPr>
        <w:t>2010</w:t>
      </w:r>
      <w:r w:rsidRPr="009B7DB0">
        <w:rPr>
          <w:rFonts w:ascii="Palatino Linotype" w:hAnsi="Palatino Linotype"/>
          <w:sz w:val="18"/>
          <w:szCs w:val="18"/>
        </w:rPr>
        <w:t xml:space="preserve">, </w:t>
      </w:r>
      <w:r w:rsidRPr="009B7DB0">
        <w:rPr>
          <w:rFonts w:ascii="Palatino Linotype" w:hAnsi="Palatino Linotype"/>
          <w:i/>
          <w:iCs/>
          <w:sz w:val="18"/>
          <w:szCs w:val="18"/>
        </w:rPr>
        <w:t>49</w:t>
      </w:r>
      <w:r w:rsidRPr="009B7DB0">
        <w:rPr>
          <w:rFonts w:ascii="Palatino Linotype" w:hAnsi="Palatino Linotype"/>
          <w:sz w:val="18"/>
          <w:szCs w:val="18"/>
        </w:rPr>
        <w:t>, 361–367, doi:10.1093/rheumatology/kep367.</w:t>
      </w:r>
    </w:p>
    <w:p w14:paraId="5ED4229E"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9. </w:t>
      </w:r>
      <w:r w:rsidRPr="009B7DB0">
        <w:rPr>
          <w:rFonts w:ascii="Palatino Linotype" w:hAnsi="Palatino Linotype"/>
          <w:sz w:val="18"/>
          <w:szCs w:val="18"/>
        </w:rPr>
        <w:tab/>
        <w:t xml:space="preserve">Keefe, F.J.; Smith, S.J.; Buffington, A.L.H.; Gibson, J.; Studts, J.L.; Caldwell, D.S. Recent advances and future directions in the biopsychosocial assessment and treatment of arthritis. </w:t>
      </w:r>
      <w:r w:rsidRPr="009B7DB0">
        <w:rPr>
          <w:rFonts w:ascii="Palatino Linotype" w:hAnsi="Palatino Linotype"/>
          <w:i/>
          <w:iCs/>
          <w:sz w:val="18"/>
          <w:szCs w:val="18"/>
        </w:rPr>
        <w:t>J Consult Clin Psychol</w:t>
      </w:r>
      <w:r w:rsidRPr="009B7DB0">
        <w:rPr>
          <w:rFonts w:ascii="Palatino Linotype" w:hAnsi="Palatino Linotype"/>
          <w:sz w:val="18"/>
          <w:szCs w:val="18"/>
        </w:rPr>
        <w:t xml:space="preserve"> </w:t>
      </w:r>
      <w:r w:rsidRPr="009B7DB0">
        <w:rPr>
          <w:rFonts w:ascii="Palatino Linotype" w:hAnsi="Palatino Linotype"/>
          <w:b/>
          <w:bCs/>
          <w:sz w:val="18"/>
          <w:szCs w:val="18"/>
        </w:rPr>
        <w:t>2002</w:t>
      </w:r>
      <w:r w:rsidRPr="009B7DB0">
        <w:rPr>
          <w:rFonts w:ascii="Palatino Linotype" w:hAnsi="Palatino Linotype"/>
          <w:sz w:val="18"/>
          <w:szCs w:val="18"/>
        </w:rPr>
        <w:t xml:space="preserve">, </w:t>
      </w:r>
      <w:r w:rsidRPr="009B7DB0">
        <w:rPr>
          <w:rFonts w:ascii="Palatino Linotype" w:hAnsi="Palatino Linotype"/>
          <w:i/>
          <w:iCs/>
          <w:sz w:val="18"/>
          <w:szCs w:val="18"/>
        </w:rPr>
        <w:t>70</w:t>
      </w:r>
      <w:r w:rsidRPr="009B7DB0">
        <w:rPr>
          <w:rFonts w:ascii="Palatino Linotype" w:hAnsi="Palatino Linotype"/>
          <w:sz w:val="18"/>
          <w:szCs w:val="18"/>
        </w:rPr>
        <w:t>, 640–655, doi:10.1037//0022-006x.70.3.640.</w:t>
      </w:r>
    </w:p>
    <w:p w14:paraId="0B40FB3E"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10. </w:t>
      </w:r>
      <w:r w:rsidRPr="009B7DB0">
        <w:rPr>
          <w:rFonts w:ascii="Palatino Linotype" w:hAnsi="Palatino Linotype"/>
          <w:sz w:val="18"/>
          <w:szCs w:val="18"/>
        </w:rPr>
        <w:tab/>
        <w:t xml:space="preserve">Lindsey, T.; Dydyk, A.M. Spinal Osteoarthritis. In </w:t>
      </w:r>
      <w:r w:rsidRPr="009B7DB0">
        <w:rPr>
          <w:rFonts w:ascii="Palatino Linotype" w:hAnsi="Palatino Linotype"/>
          <w:i/>
          <w:iCs/>
          <w:sz w:val="18"/>
          <w:szCs w:val="18"/>
        </w:rPr>
        <w:t>StatPearls</w:t>
      </w:r>
      <w:r w:rsidRPr="009B7DB0">
        <w:rPr>
          <w:rFonts w:ascii="Palatino Linotype" w:hAnsi="Palatino Linotype"/>
          <w:sz w:val="18"/>
          <w:szCs w:val="18"/>
        </w:rPr>
        <w:t>; StatPearls Publishing: Treasure Island (FL), 2020.</w:t>
      </w:r>
    </w:p>
    <w:p w14:paraId="56F325F4"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11. </w:t>
      </w:r>
      <w:r w:rsidRPr="009B7DB0">
        <w:rPr>
          <w:rFonts w:ascii="Palatino Linotype" w:hAnsi="Palatino Linotype"/>
          <w:sz w:val="18"/>
          <w:szCs w:val="18"/>
        </w:rPr>
        <w:tab/>
        <w:t>Mayo Clinic Exercise helps ease arthritis pain and stiffness Available online: https://www.mayoclinic.org/diseases-conditions/arthritis/in-depth/arthritis/art-20047971.</w:t>
      </w:r>
    </w:p>
    <w:p w14:paraId="4903F6D4"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12. </w:t>
      </w:r>
      <w:r w:rsidRPr="009B7DB0">
        <w:rPr>
          <w:rFonts w:ascii="Palatino Linotype" w:hAnsi="Palatino Linotype"/>
          <w:sz w:val="18"/>
          <w:szCs w:val="18"/>
        </w:rPr>
        <w:tab/>
        <w:t xml:space="preserve">Marcum, Z.A.; Perera, S.; Donohue, J.M.; Boudreau, R.M.; Newman, A.B.; Ruby, C.M.; Studenski, S.A.; Kwoh, C.K.; Simonsick, E.M.; Bauer, D.C.; et al. Analgesic Use for Knee and Hip Osteoarthritis in Community-Dwelling Elders. </w:t>
      </w:r>
      <w:r w:rsidRPr="009B7DB0">
        <w:rPr>
          <w:rFonts w:ascii="Palatino Linotype" w:hAnsi="Palatino Linotype"/>
          <w:i/>
          <w:iCs/>
          <w:sz w:val="18"/>
          <w:szCs w:val="18"/>
        </w:rPr>
        <w:t>Pain Med</w:t>
      </w:r>
      <w:r w:rsidRPr="009B7DB0">
        <w:rPr>
          <w:rFonts w:ascii="Palatino Linotype" w:hAnsi="Palatino Linotype"/>
          <w:sz w:val="18"/>
          <w:szCs w:val="18"/>
        </w:rPr>
        <w:t xml:space="preserve"> </w:t>
      </w:r>
      <w:r w:rsidRPr="009B7DB0">
        <w:rPr>
          <w:rFonts w:ascii="Palatino Linotype" w:hAnsi="Palatino Linotype"/>
          <w:b/>
          <w:bCs/>
          <w:sz w:val="18"/>
          <w:szCs w:val="18"/>
        </w:rPr>
        <w:t>2011</w:t>
      </w:r>
      <w:r w:rsidRPr="009B7DB0">
        <w:rPr>
          <w:rFonts w:ascii="Palatino Linotype" w:hAnsi="Palatino Linotype"/>
          <w:sz w:val="18"/>
          <w:szCs w:val="18"/>
        </w:rPr>
        <w:t xml:space="preserve">, </w:t>
      </w:r>
      <w:r w:rsidRPr="009B7DB0">
        <w:rPr>
          <w:rFonts w:ascii="Palatino Linotype" w:hAnsi="Palatino Linotype"/>
          <w:i/>
          <w:iCs/>
          <w:sz w:val="18"/>
          <w:szCs w:val="18"/>
        </w:rPr>
        <w:t>12</w:t>
      </w:r>
      <w:r w:rsidRPr="009B7DB0">
        <w:rPr>
          <w:rFonts w:ascii="Palatino Linotype" w:hAnsi="Palatino Linotype"/>
          <w:sz w:val="18"/>
          <w:szCs w:val="18"/>
        </w:rPr>
        <w:t>, 1628–1636, doi:10.1111/j.1526-4637.2011.01249.x.</w:t>
      </w:r>
    </w:p>
    <w:p w14:paraId="38210027"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13. </w:t>
      </w:r>
      <w:r w:rsidRPr="009B7DB0">
        <w:rPr>
          <w:rFonts w:ascii="Palatino Linotype" w:hAnsi="Palatino Linotype"/>
          <w:sz w:val="18"/>
          <w:szCs w:val="18"/>
        </w:rPr>
        <w:tab/>
        <w:t xml:space="preserve">Diener, H.-C.; Holle, D.; Dresler, T.; Gaul, C. Chronic Headache Due to Overuse of Analgesics and Anti-Migraine Agents. </w:t>
      </w:r>
      <w:r w:rsidRPr="009B7DB0">
        <w:rPr>
          <w:rFonts w:ascii="Palatino Linotype" w:hAnsi="Palatino Linotype"/>
          <w:i/>
          <w:iCs/>
          <w:sz w:val="18"/>
          <w:szCs w:val="18"/>
        </w:rPr>
        <w:t>Dtsch Arztebl Int</w:t>
      </w:r>
      <w:r w:rsidRPr="009B7DB0">
        <w:rPr>
          <w:rFonts w:ascii="Palatino Linotype" w:hAnsi="Palatino Linotype"/>
          <w:sz w:val="18"/>
          <w:szCs w:val="18"/>
        </w:rPr>
        <w:t xml:space="preserve"> </w:t>
      </w:r>
      <w:r w:rsidRPr="009B7DB0">
        <w:rPr>
          <w:rFonts w:ascii="Palatino Linotype" w:hAnsi="Palatino Linotype"/>
          <w:b/>
          <w:bCs/>
          <w:sz w:val="18"/>
          <w:szCs w:val="18"/>
        </w:rPr>
        <w:t>2018</w:t>
      </w:r>
      <w:r w:rsidRPr="009B7DB0">
        <w:rPr>
          <w:rFonts w:ascii="Palatino Linotype" w:hAnsi="Palatino Linotype"/>
          <w:sz w:val="18"/>
          <w:szCs w:val="18"/>
        </w:rPr>
        <w:t xml:space="preserve">, </w:t>
      </w:r>
      <w:r w:rsidRPr="009B7DB0">
        <w:rPr>
          <w:rFonts w:ascii="Palatino Linotype" w:hAnsi="Palatino Linotype"/>
          <w:i/>
          <w:iCs/>
          <w:sz w:val="18"/>
          <w:szCs w:val="18"/>
        </w:rPr>
        <w:t>115</w:t>
      </w:r>
      <w:r w:rsidRPr="009B7DB0">
        <w:rPr>
          <w:rFonts w:ascii="Palatino Linotype" w:hAnsi="Palatino Linotype"/>
          <w:sz w:val="18"/>
          <w:szCs w:val="18"/>
        </w:rPr>
        <w:t>, 365–370, doi:10.3238/arztebl.2018.0365.</w:t>
      </w:r>
    </w:p>
    <w:p w14:paraId="650FA98A"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14. </w:t>
      </w:r>
      <w:r w:rsidRPr="009B7DB0">
        <w:rPr>
          <w:rFonts w:ascii="Palatino Linotype" w:hAnsi="Palatino Linotype"/>
          <w:sz w:val="18"/>
          <w:szCs w:val="18"/>
        </w:rPr>
        <w:tab/>
        <w:t xml:space="preserve">Gilmour, H.; Wilkins, K. Migraine. </w:t>
      </w:r>
      <w:r w:rsidRPr="009B7DB0">
        <w:rPr>
          <w:rFonts w:ascii="Palatino Linotype" w:hAnsi="Palatino Linotype"/>
          <w:i/>
          <w:iCs/>
          <w:sz w:val="18"/>
          <w:szCs w:val="18"/>
        </w:rPr>
        <w:t>Health Rep</w:t>
      </w:r>
      <w:r w:rsidRPr="009B7DB0">
        <w:rPr>
          <w:rFonts w:ascii="Palatino Linotype" w:hAnsi="Palatino Linotype"/>
          <w:sz w:val="18"/>
          <w:szCs w:val="18"/>
        </w:rPr>
        <w:t xml:space="preserve"> </w:t>
      </w:r>
      <w:r w:rsidRPr="009B7DB0">
        <w:rPr>
          <w:rFonts w:ascii="Palatino Linotype" w:hAnsi="Palatino Linotype"/>
          <w:b/>
          <w:bCs/>
          <w:sz w:val="18"/>
          <w:szCs w:val="18"/>
        </w:rPr>
        <w:t>2001</w:t>
      </w:r>
      <w:r w:rsidRPr="009B7DB0">
        <w:rPr>
          <w:rFonts w:ascii="Palatino Linotype" w:hAnsi="Palatino Linotype"/>
          <w:sz w:val="18"/>
          <w:szCs w:val="18"/>
        </w:rPr>
        <w:t xml:space="preserve">, </w:t>
      </w:r>
      <w:r w:rsidRPr="009B7DB0">
        <w:rPr>
          <w:rFonts w:ascii="Palatino Linotype" w:hAnsi="Palatino Linotype"/>
          <w:i/>
          <w:iCs/>
          <w:sz w:val="18"/>
          <w:szCs w:val="18"/>
        </w:rPr>
        <w:t>12</w:t>
      </w:r>
      <w:r w:rsidRPr="009B7DB0">
        <w:rPr>
          <w:rFonts w:ascii="Palatino Linotype" w:hAnsi="Palatino Linotype"/>
          <w:sz w:val="18"/>
          <w:szCs w:val="18"/>
        </w:rPr>
        <w:t>, 23–40.</w:t>
      </w:r>
    </w:p>
    <w:p w14:paraId="24E7F704"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15. </w:t>
      </w:r>
      <w:r w:rsidRPr="009B7DB0">
        <w:rPr>
          <w:rFonts w:ascii="Palatino Linotype" w:hAnsi="Palatino Linotype"/>
          <w:sz w:val="18"/>
          <w:szCs w:val="18"/>
        </w:rPr>
        <w:tab/>
        <w:t xml:space="preserve">Wang, Y.-C.; Huang, Y.-P.; Wang, M.-T.; Wang, H.-I.; Pan, S.-L. Increased risk of rheumatoid arthritis in patients with migraine: a population-based, propensity score-matched cohort study. </w:t>
      </w:r>
      <w:r w:rsidRPr="009B7DB0">
        <w:rPr>
          <w:rFonts w:ascii="Palatino Linotype" w:hAnsi="Palatino Linotype"/>
          <w:i/>
          <w:iCs/>
          <w:sz w:val="18"/>
          <w:szCs w:val="18"/>
        </w:rPr>
        <w:t>Rheumatol. Int.</w:t>
      </w:r>
      <w:r w:rsidRPr="009B7DB0">
        <w:rPr>
          <w:rFonts w:ascii="Palatino Linotype" w:hAnsi="Palatino Linotype"/>
          <w:sz w:val="18"/>
          <w:szCs w:val="18"/>
        </w:rPr>
        <w:t xml:space="preserve"> </w:t>
      </w:r>
      <w:r w:rsidRPr="009B7DB0">
        <w:rPr>
          <w:rFonts w:ascii="Palatino Linotype" w:hAnsi="Palatino Linotype"/>
          <w:b/>
          <w:bCs/>
          <w:sz w:val="18"/>
          <w:szCs w:val="18"/>
        </w:rPr>
        <w:t>2017</w:t>
      </w:r>
      <w:r w:rsidRPr="009B7DB0">
        <w:rPr>
          <w:rFonts w:ascii="Palatino Linotype" w:hAnsi="Palatino Linotype"/>
          <w:sz w:val="18"/>
          <w:szCs w:val="18"/>
        </w:rPr>
        <w:t xml:space="preserve">, </w:t>
      </w:r>
      <w:r w:rsidRPr="009B7DB0">
        <w:rPr>
          <w:rFonts w:ascii="Palatino Linotype" w:hAnsi="Palatino Linotype"/>
          <w:i/>
          <w:iCs/>
          <w:sz w:val="18"/>
          <w:szCs w:val="18"/>
        </w:rPr>
        <w:t>37</w:t>
      </w:r>
      <w:r w:rsidRPr="009B7DB0">
        <w:rPr>
          <w:rFonts w:ascii="Palatino Linotype" w:hAnsi="Palatino Linotype"/>
          <w:sz w:val="18"/>
          <w:szCs w:val="18"/>
        </w:rPr>
        <w:t>, 273–279, doi:10.1007/s00296-016-3604-2.</w:t>
      </w:r>
    </w:p>
    <w:p w14:paraId="71FC0CCC"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16. </w:t>
      </w:r>
      <w:r w:rsidRPr="009B7DB0">
        <w:rPr>
          <w:rFonts w:ascii="Palatino Linotype" w:hAnsi="Palatino Linotype"/>
          <w:sz w:val="18"/>
          <w:szCs w:val="18"/>
        </w:rPr>
        <w:tab/>
        <w:t xml:space="preserve">Srikanth, V.K.; Fryer, J.L.; Zhai, G.; Winzenberg, T.M.; Hosmer, D.; Jones, G. A meta-analysis of sex differences prevalence, incidence and severity of osteoarthritis. </w:t>
      </w:r>
      <w:r w:rsidRPr="009B7DB0">
        <w:rPr>
          <w:rFonts w:ascii="Palatino Linotype" w:hAnsi="Palatino Linotype"/>
          <w:i/>
          <w:iCs/>
          <w:sz w:val="18"/>
          <w:szCs w:val="18"/>
        </w:rPr>
        <w:t>Osteoarthr. Cartil.</w:t>
      </w:r>
      <w:r w:rsidRPr="009B7DB0">
        <w:rPr>
          <w:rFonts w:ascii="Palatino Linotype" w:hAnsi="Palatino Linotype"/>
          <w:sz w:val="18"/>
          <w:szCs w:val="18"/>
        </w:rPr>
        <w:t xml:space="preserve"> </w:t>
      </w:r>
      <w:r w:rsidRPr="009B7DB0">
        <w:rPr>
          <w:rFonts w:ascii="Palatino Linotype" w:hAnsi="Palatino Linotype"/>
          <w:b/>
          <w:bCs/>
          <w:sz w:val="18"/>
          <w:szCs w:val="18"/>
        </w:rPr>
        <w:t>2005</w:t>
      </w:r>
      <w:r w:rsidRPr="009B7DB0">
        <w:rPr>
          <w:rFonts w:ascii="Palatino Linotype" w:hAnsi="Palatino Linotype"/>
          <w:sz w:val="18"/>
          <w:szCs w:val="18"/>
        </w:rPr>
        <w:t xml:space="preserve">, </w:t>
      </w:r>
      <w:r w:rsidRPr="009B7DB0">
        <w:rPr>
          <w:rFonts w:ascii="Palatino Linotype" w:hAnsi="Palatino Linotype"/>
          <w:i/>
          <w:iCs/>
          <w:sz w:val="18"/>
          <w:szCs w:val="18"/>
        </w:rPr>
        <w:t>13</w:t>
      </w:r>
      <w:r w:rsidRPr="009B7DB0">
        <w:rPr>
          <w:rFonts w:ascii="Palatino Linotype" w:hAnsi="Palatino Linotype"/>
          <w:sz w:val="18"/>
          <w:szCs w:val="18"/>
        </w:rPr>
        <w:t>, 769–781, doi:10.1016/j.joca.2005.04.014.</w:t>
      </w:r>
    </w:p>
    <w:p w14:paraId="6D83DEB9"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17. </w:t>
      </w:r>
      <w:r w:rsidRPr="009B7DB0">
        <w:rPr>
          <w:rFonts w:ascii="Palatino Linotype" w:hAnsi="Palatino Linotype"/>
          <w:sz w:val="18"/>
          <w:szCs w:val="18"/>
        </w:rPr>
        <w:tab/>
        <w:t xml:space="preserve">Bigal, M.E.; Liberman, J.N.; Lipton, R.B. Age-dependent prevalence and clinical features of migraine. </w:t>
      </w:r>
      <w:r w:rsidRPr="009B7DB0">
        <w:rPr>
          <w:rFonts w:ascii="Palatino Linotype" w:hAnsi="Palatino Linotype"/>
          <w:i/>
          <w:iCs/>
          <w:sz w:val="18"/>
          <w:szCs w:val="18"/>
        </w:rPr>
        <w:t>Neurology</w:t>
      </w:r>
      <w:r w:rsidRPr="009B7DB0">
        <w:rPr>
          <w:rFonts w:ascii="Palatino Linotype" w:hAnsi="Palatino Linotype"/>
          <w:sz w:val="18"/>
          <w:szCs w:val="18"/>
        </w:rPr>
        <w:t xml:space="preserve"> </w:t>
      </w:r>
      <w:r w:rsidRPr="009B7DB0">
        <w:rPr>
          <w:rFonts w:ascii="Palatino Linotype" w:hAnsi="Palatino Linotype"/>
          <w:b/>
          <w:bCs/>
          <w:sz w:val="18"/>
          <w:szCs w:val="18"/>
        </w:rPr>
        <w:t>2006</w:t>
      </w:r>
      <w:r w:rsidRPr="009B7DB0">
        <w:rPr>
          <w:rFonts w:ascii="Palatino Linotype" w:hAnsi="Palatino Linotype"/>
          <w:sz w:val="18"/>
          <w:szCs w:val="18"/>
        </w:rPr>
        <w:t xml:space="preserve">, </w:t>
      </w:r>
      <w:r w:rsidRPr="009B7DB0">
        <w:rPr>
          <w:rFonts w:ascii="Palatino Linotype" w:hAnsi="Palatino Linotype"/>
          <w:i/>
          <w:iCs/>
          <w:sz w:val="18"/>
          <w:szCs w:val="18"/>
        </w:rPr>
        <w:t>67</w:t>
      </w:r>
      <w:r w:rsidRPr="009B7DB0">
        <w:rPr>
          <w:rFonts w:ascii="Palatino Linotype" w:hAnsi="Palatino Linotype"/>
          <w:sz w:val="18"/>
          <w:szCs w:val="18"/>
        </w:rPr>
        <w:t>, 246–251, doi:10.1212/01.wnl.0000225186.76323.69.</w:t>
      </w:r>
    </w:p>
    <w:p w14:paraId="77045FB5"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lastRenderedPageBreak/>
        <w:t xml:space="preserve">18. </w:t>
      </w:r>
      <w:r w:rsidRPr="009B7DB0">
        <w:rPr>
          <w:rFonts w:ascii="Palatino Linotype" w:hAnsi="Palatino Linotype"/>
          <w:sz w:val="18"/>
          <w:szCs w:val="18"/>
        </w:rPr>
        <w:tab/>
        <w:t xml:space="preserve">Anderson, A.S.; Loeser, R.F. Why is Osteoarthritis an Age-Related Disease? </w:t>
      </w:r>
      <w:r w:rsidRPr="009B7DB0">
        <w:rPr>
          <w:rFonts w:ascii="Palatino Linotype" w:hAnsi="Palatino Linotype"/>
          <w:i/>
          <w:iCs/>
          <w:sz w:val="18"/>
          <w:szCs w:val="18"/>
        </w:rPr>
        <w:t>Best Pract Res Clin Rheumatol</w:t>
      </w:r>
      <w:r w:rsidRPr="009B7DB0">
        <w:rPr>
          <w:rFonts w:ascii="Palatino Linotype" w:hAnsi="Palatino Linotype"/>
          <w:sz w:val="18"/>
          <w:szCs w:val="18"/>
        </w:rPr>
        <w:t xml:space="preserve"> </w:t>
      </w:r>
      <w:r w:rsidRPr="009B7DB0">
        <w:rPr>
          <w:rFonts w:ascii="Palatino Linotype" w:hAnsi="Palatino Linotype"/>
          <w:b/>
          <w:bCs/>
          <w:sz w:val="18"/>
          <w:szCs w:val="18"/>
        </w:rPr>
        <w:t>2010</w:t>
      </w:r>
      <w:r w:rsidRPr="009B7DB0">
        <w:rPr>
          <w:rFonts w:ascii="Palatino Linotype" w:hAnsi="Palatino Linotype"/>
          <w:sz w:val="18"/>
          <w:szCs w:val="18"/>
        </w:rPr>
        <w:t xml:space="preserve">, </w:t>
      </w:r>
      <w:r w:rsidRPr="009B7DB0">
        <w:rPr>
          <w:rFonts w:ascii="Palatino Linotype" w:hAnsi="Palatino Linotype"/>
          <w:i/>
          <w:iCs/>
          <w:sz w:val="18"/>
          <w:szCs w:val="18"/>
        </w:rPr>
        <w:t>24</w:t>
      </w:r>
      <w:r w:rsidRPr="009B7DB0">
        <w:rPr>
          <w:rFonts w:ascii="Palatino Linotype" w:hAnsi="Palatino Linotype"/>
          <w:sz w:val="18"/>
          <w:szCs w:val="18"/>
        </w:rPr>
        <w:t>, 15, doi:10.1016/j.berh.2009.08.006.</w:t>
      </w:r>
    </w:p>
    <w:p w14:paraId="7DD8905F"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19. </w:t>
      </w:r>
      <w:r w:rsidRPr="009B7DB0">
        <w:rPr>
          <w:rFonts w:ascii="Palatino Linotype" w:hAnsi="Palatino Linotype"/>
          <w:sz w:val="18"/>
          <w:szCs w:val="18"/>
        </w:rPr>
        <w:tab/>
        <w:t xml:space="preserve">Vetvik, K.G.; MacGregor, E.A. Sex differences in the epidemiology, clinical features, and pathophysiology of migraine. </w:t>
      </w:r>
      <w:r w:rsidRPr="009B7DB0">
        <w:rPr>
          <w:rFonts w:ascii="Palatino Linotype" w:hAnsi="Palatino Linotype"/>
          <w:i/>
          <w:iCs/>
          <w:sz w:val="18"/>
          <w:szCs w:val="18"/>
        </w:rPr>
        <w:t>The Lancet Neurology</w:t>
      </w:r>
      <w:r w:rsidRPr="009B7DB0">
        <w:rPr>
          <w:rFonts w:ascii="Palatino Linotype" w:hAnsi="Palatino Linotype"/>
          <w:sz w:val="18"/>
          <w:szCs w:val="18"/>
        </w:rPr>
        <w:t xml:space="preserve"> </w:t>
      </w:r>
      <w:r w:rsidRPr="009B7DB0">
        <w:rPr>
          <w:rFonts w:ascii="Palatino Linotype" w:hAnsi="Palatino Linotype"/>
          <w:b/>
          <w:bCs/>
          <w:sz w:val="18"/>
          <w:szCs w:val="18"/>
        </w:rPr>
        <w:t>2017</w:t>
      </w:r>
      <w:r w:rsidRPr="009B7DB0">
        <w:rPr>
          <w:rFonts w:ascii="Palatino Linotype" w:hAnsi="Palatino Linotype"/>
          <w:sz w:val="18"/>
          <w:szCs w:val="18"/>
        </w:rPr>
        <w:t xml:space="preserve">, </w:t>
      </w:r>
      <w:r w:rsidRPr="009B7DB0">
        <w:rPr>
          <w:rFonts w:ascii="Palatino Linotype" w:hAnsi="Palatino Linotype"/>
          <w:i/>
          <w:iCs/>
          <w:sz w:val="18"/>
          <w:szCs w:val="18"/>
        </w:rPr>
        <w:t>16</w:t>
      </w:r>
      <w:r w:rsidRPr="009B7DB0">
        <w:rPr>
          <w:rFonts w:ascii="Palatino Linotype" w:hAnsi="Palatino Linotype"/>
          <w:sz w:val="18"/>
          <w:szCs w:val="18"/>
        </w:rPr>
        <w:t>, 76–87, doi:10.1016/S1474-4422(16)30293-9.</w:t>
      </w:r>
    </w:p>
    <w:p w14:paraId="782782D2"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20. </w:t>
      </w:r>
      <w:r w:rsidRPr="009B7DB0">
        <w:rPr>
          <w:rFonts w:ascii="Palatino Linotype" w:hAnsi="Palatino Linotype"/>
          <w:sz w:val="18"/>
          <w:szCs w:val="18"/>
        </w:rPr>
        <w:tab/>
        <w:t xml:space="preserve">Pollard, M.S.; Baird, M.D. </w:t>
      </w:r>
      <w:r w:rsidRPr="009B7DB0">
        <w:rPr>
          <w:rFonts w:ascii="Palatino Linotype" w:hAnsi="Palatino Linotype"/>
          <w:i/>
          <w:iCs/>
          <w:sz w:val="18"/>
          <w:szCs w:val="18"/>
        </w:rPr>
        <w:t>The RAND American Life Panel: Technical Description</w:t>
      </w:r>
      <w:r w:rsidRPr="009B7DB0">
        <w:rPr>
          <w:rFonts w:ascii="Palatino Linotype" w:hAnsi="Palatino Linotype"/>
          <w:sz w:val="18"/>
          <w:szCs w:val="18"/>
        </w:rPr>
        <w:t>; RAND Corporation: Santa Monica, 2017;</w:t>
      </w:r>
    </w:p>
    <w:p w14:paraId="1ED2AB4D"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21. </w:t>
      </w:r>
      <w:r w:rsidRPr="009B7DB0">
        <w:rPr>
          <w:rFonts w:ascii="Palatino Linotype" w:hAnsi="Palatino Linotype"/>
          <w:sz w:val="18"/>
          <w:szCs w:val="18"/>
        </w:rPr>
        <w:tab/>
        <w:t xml:space="preserve">Bruine de Bruin, W.; Parker, A.M.; Galesic, M.; Vardavas, R. Reports of social circles’ and own vaccination behavior: A national longitudinal survey. </w:t>
      </w:r>
      <w:r w:rsidRPr="009B7DB0">
        <w:rPr>
          <w:rFonts w:ascii="Palatino Linotype" w:hAnsi="Palatino Linotype"/>
          <w:i/>
          <w:iCs/>
          <w:sz w:val="18"/>
          <w:szCs w:val="18"/>
        </w:rPr>
        <w:t>Health Psychol</w:t>
      </w:r>
      <w:r w:rsidRPr="009B7DB0">
        <w:rPr>
          <w:rFonts w:ascii="Palatino Linotype" w:hAnsi="Palatino Linotype"/>
          <w:sz w:val="18"/>
          <w:szCs w:val="18"/>
        </w:rPr>
        <w:t xml:space="preserve"> </w:t>
      </w:r>
      <w:r w:rsidRPr="009B7DB0">
        <w:rPr>
          <w:rFonts w:ascii="Palatino Linotype" w:hAnsi="Palatino Linotype"/>
          <w:b/>
          <w:bCs/>
          <w:sz w:val="18"/>
          <w:szCs w:val="18"/>
        </w:rPr>
        <w:t>2019</w:t>
      </w:r>
      <w:r w:rsidRPr="009B7DB0">
        <w:rPr>
          <w:rFonts w:ascii="Palatino Linotype" w:hAnsi="Palatino Linotype"/>
          <w:sz w:val="18"/>
          <w:szCs w:val="18"/>
        </w:rPr>
        <w:t xml:space="preserve">, </w:t>
      </w:r>
      <w:r w:rsidRPr="009B7DB0">
        <w:rPr>
          <w:rFonts w:ascii="Palatino Linotype" w:hAnsi="Palatino Linotype"/>
          <w:i/>
          <w:iCs/>
          <w:sz w:val="18"/>
          <w:szCs w:val="18"/>
        </w:rPr>
        <w:t>38</w:t>
      </w:r>
      <w:r w:rsidRPr="009B7DB0">
        <w:rPr>
          <w:rFonts w:ascii="Palatino Linotype" w:hAnsi="Palatino Linotype"/>
          <w:sz w:val="18"/>
          <w:szCs w:val="18"/>
        </w:rPr>
        <w:t>, 975–983, doi:10.1037/hea0000771.</w:t>
      </w:r>
    </w:p>
    <w:p w14:paraId="130269F0"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22. </w:t>
      </w:r>
      <w:r w:rsidRPr="009B7DB0">
        <w:rPr>
          <w:rFonts w:ascii="Palatino Linotype" w:hAnsi="Palatino Linotype"/>
          <w:sz w:val="18"/>
          <w:szCs w:val="18"/>
        </w:rPr>
        <w:tab/>
        <w:t xml:space="preserve">March, L.M.; Schwarz, J.M.; Carfrae, B.H.; Bagge, E. Clinical validation of self-reported osteoarthritis. </w:t>
      </w:r>
      <w:r w:rsidRPr="009B7DB0">
        <w:rPr>
          <w:rFonts w:ascii="Palatino Linotype" w:hAnsi="Palatino Linotype"/>
          <w:i/>
          <w:iCs/>
          <w:sz w:val="18"/>
          <w:szCs w:val="18"/>
        </w:rPr>
        <w:t>Osteoarthr. Cartil.</w:t>
      </w:r>
      <w:r w:rsidRPr="009B7DB0">
        <w:rPr>
          <w:rFonts w:ascii="Palatino Linotype" w:hAnsi="Palatino Linotype"/>
          <w:sz w:val="18"/>
          <w:szCs w:val="18"/>
        </w:rPr>
        <w:t xml:space="preserve"> </w:t>
      </w:r>
      <w:r w:rsidRPr="009B7DB0">
        <w:rPr>
          <w:rFonts w:ascii="Palatino Linotype" w:hAnsi="Palatino Linotype"/>
          <w:b/>
          <w:bCs/>
          <w:sz w:val="18"/>
          <w:szCs w:val="18"/>
        </w:rPr>
        <w:t>1998</w:t>
      </w:r>
      <w:r w:rsidRPr="009B7DB0">
        <w:rPr>
          <w:rFonts w:ascii="Palatino Linotype" w:hAnsi="Palatino Linotype"/>
          <w:sz w:val="18"/>
          <w:szCs w:val="18"/>
        </w:rPr>
        <w:t xml:space="preserve">, </w:t>
      </w:r>
      <w:r w:rsidRPr="009B7DB0">
        <w:rPr>
          <w:rFonts w:ascii="Palatino Linotype" w:hAnsi="Palatino Linotype"/>
          <w:i/>
          <w:iCs/>
          <w:sz w:val="18"/>
          <w:szCs w:val="18"/>
        </w:rPr>
        <w:t>6</w:t>
      </w:r>
      <w:r w:rsidRPr="009B7DB0">
        <w:rPr>
          <w:rFonts w:ascii="Palatino Linotype" w:hAnsi="Palatino Linotype"/>
          <w:sz w:val="18"/>
          <w:szCs w:val="18"/>
        </w:rPr>
        <w:t>, 87–93, doi:10.1053/joca.1997.0098.</w:t>
      </w:r>
    </w:p>
    <w:p w14:paraId="5EA6E22B"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23. </w:t>
      </w:r>
      <w:r w:rsidRPr="009B7DB0">
        <w:rPr>
          <w:rFonts w:ascii="Palatino Linotype" w:hAnsi="Palatino Linotype"/>
          <w:sz w:val="18"/>
          <w:szCs w:val="18"/>
        </w:rPr>
        <w:tab/>
        <w:t xml:space="preserve">Schürks, M.; Buring, J.E.; Kurth, T. Agreement of Self-Reported Migraine with ICHD-II Criteria in the Women’s Health Study. </w:t>
      </w:r>
      <w:r w:rsidRPr="009B7DB0">
        <w:rPr>
          <w:rFonts w:ascii="Palatino Linotype" w:hAnsi="Palatino Linotype"/>
          <w:i/>
          <w:iCs/>
          <w:sz w:val="18"/>
          <w:szCs w:val="18"/>
        </w:rPr>
        <w:t>Cephalalgia</w:t>
      </w:r>
      <w:r w:rsidRPr="009B7DB0">
        <w:rPr>
          <w:rFonts w:ascii="Palatino Linotype" w:hAnsi="Palatino Linotype"/>
          <w:sz w:val="18"/>
          <w:szCs w:val="18"/>
        </w:rPr>
        <w:t xml:space="preserve"> </w:t>
      </w:r>
      <w:r w:rsidRPr="009B7DB0">
        <w:rPr>
          <w:rFonts w:ascii="Palatino Linotype" w:hAnsi="Palatino Linotype"/>
          <w:b/>
          <w:bCs/>
          <w:sz w:val="18"/>
          <w:szCs w:val="18"/>
        </w:rPr>
        <w:t>2009</w:t>
      </w:r>
      <w:r w:rsidRPr="009B7DB0">
        <w:rPr>
          <w:rFonts w:ascii="Palatino Linotype" w:hAnsi="Palatino Linotype"/>
          <w:sz w:val="18"/>
          <w:szCs w:val="18"/>
        </w:rPr>
        <w:t xml:space="preserve">, </w:t>
      </w:r>
      <w:r w:rsidRPr="009B7DB0">
        <w:rPr>
          <w:rFonts w:ascii="Palatino Linotype" w:hAnsi="Palatino Linotype"/>
          <w:i/>
          <w:iCs/>
          <w:sz w:val="18"/>
          <w:szCs w:val="18"/>
        </w:rPr>
        <w:t>29</w:t>
      </w:r>
      <w:r w:rsidRPr="009B7DB0">
        <w:rPr>
          <w:rFonts w:ascii="Palatino Linotype" w:hAnsi="Palatino Linotype"/>
          <w:sz w:val="18"/>
          <w:szCs w:val="18"/>
        </w:rPr>
        <w:t>, 1086–1090, doi:10.1111/j.1468-2982.2008.01835.x.</w:t>
      </w:r>
    </w:p>
    <w:p w14:paraId="433F7E7C"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24. </w:t>
      </w:r>
      <w:r w:rsidRPr="009B7DB0">
        <w:rPr>
          <w:rFonts w:ascii="Palatino Linotype" w:hAnsi="Palatino Linotype"/>
          <w:sz w:val="18"/>
          <w:szCs w:val="18"/>
        </w:rPr>
        <w:tab/>
        <w:t xml:space="preserve">R Core Team </w:t>
      </w:r>
      <w:r w:rsidRPr="009B7DB0">
        <w:rPr>
          <w:rFonts w:ascii="Palatino Linotype" w:hAnsi="Palatino Linotype"/>
          <w:i/>
          <w:iCs/>
          <w:sz w:val="18"/>
          <w:szCs w:val="18"/>
        </w:rPr>
        <w:t>R: A Language and Environment for Statistical Computing</w:t>
      </w:r>
      <w:r w:rsidRPr="009B7DB0">
        <w:rPr>
          <w:rFonts w:ascii="Palatino Linotype" w:hAnsi="Palatino Linotype"/>
          <w:sz w:val="18"/>
          <w:szCs w:val="18"/>
        </w:rPr>
        <w:t>; R Foundation for Statistical Computing: Vienna, Austria, 2019;</w:t>
      </w:r>
    </w:p>
    <w:p w14:paraId="75E44657"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25. </w:t>
      </w:r>
      <w:r w:rsidRPr="009B7DB0">
        <w:rPr>
          <w:rFonts w:ascii="Palatino Linotype" w:hAnsi="Palatino Linotype"/>
          <w:sz w:val="18"/>
          <w:szCs w:val="18"/>
        </w:rPr>
        <w:tab/>
        <w:t xml:space="preserve">Smith, M.T.; Quartana, P.J.; Okonkwo, R.M.; Nasir, A. Mechanisms by which sleep disturbance contributes to osteoarthritis pain: A conceptual model. </w:t>
      </w:r>
      <w:r w:rsidRPr="009B7DB0">
        <w:rPr>
          <w:rFonts w:ascii="Palatino Linotype" w:hAnsi="Palatino Linotype"/>
          <w:i/>
          <w:iCs/>
          <w:sz w:val="18"/>
          <w:szCs w:val="18"/>
        </w:rPr>
        <w:t>Current Science Inc</w:t>
      </w:r>
      <w:r w:rsidRPr="009B7DB0">
        <w:rPr>
          <w:rFonts w:ascii="Palatino Linotype" w:hAnsi="Palatino Linotype"/>
          <w:sz w:val="18"/>
          <w:szCs w:val="18"/>
        </w:rPr>
        <w:t xml:space="preserve"> </w:t>
      </w:r>
      <w:r w:rsidRPr="009B7DB0">
        <w:rPr>
          <w:rFonts w:ascii="Palatino Linotype" w:hAnsi="Palatino Linotype"/>
          <w:b/>
          <w:bCs/>
          <w:sz w:val="18"/>
          <w:szCs w:val="18"/>
        </w:rPr>
        <w:t>2009</w:t>
      </w:r>
      <w:r w:rsidRPr="009B7DB0">
        <w:rPr>
          <w:rFonts w:ascii="Palatino Linotype" w:hAnsi="Palatino Linotype"/>
          <w:sz w:val="18"/>
          <w:szCs w:val="18"/>
        </w:rPr>
        <w:t xml:space="preserve">, </w:t>
      </w:r>
      <w:r w:rsidRPr="009B7DB0">
        <w:rPr>
          <w:rFonts w:ascii="Palatino Linotype" w:hAnsi="Palatino Linotype"/>
          <w:i/>
          <w:iCs/>
          <w:sz w:val="18"/>
          <w:szCs w:val="18"/>
        </w:rPr>
        <w:t>13</w:t>
      </w:r>
      <w:r w:rsidRPr="009B7DB0">
        <w:rPr>
          <w:rFonts w:ascii="Palatino Linotype" w:hAnsi="Palatino Linotype"/>
          <w:sz w:val="18"/>
          <w:szCs w:val="18"/>
        </w:rPr>
        <w:t>, 447–454, doi:10.1007/s11916-009-0073-2.</w:t>
      </w:r>
    </w:p>
    <w:p w14:paraId="516B7C01"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26. </w:t>
      </w:r>
      <w:r w:rsidRPr="009B7DB0">
        <w:rPr>
          <w:rFonts w:ascii="Palatino Linotype" w:hAnsi="Palatino Linotype"/>
          <w:sz w:val="18"/>
          <w:szCs w:val="18"/>
        </w:rPr>
        <w:tab/>
        <w:t>National Institutes of Health The Role of Inflammation in Osteoarthritis Available online: https://www.niams.nih.gov/roundtable/2013/role-inflammation-osteoarthritis.</w:t>
      </w:r>
    </w:p>
    <w:p w14:paraId="23810AB5"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27. </w:t>
      </w:r>
      <w:r w:rsidRPr="009B7DB0">
        <w:rPr>
          <w:rFonts w:ascii="Palatino Linotype" w:hAnsi="Palatino Linotype"/>
          <w:sz w:val="18"/>
          <w:szCs w:val="18"/>
        </w:rPr>
        <w:tab/>
        <w:t xml:space="preserve">Malhotra, R. Understanding migraine: Potential role of neurogenic inflammation. </w:t>
      </w:r>
      <w:r w:rsidRPr="009B7DB0">
        <w:rPr>
          <w:rFonts w:ascii="Palatino Linotype" w:hAnsi="Palatino Linotype"/>
          <w:i/>
          <w:iCs/>
          <w:sz w:val="18"/>
          <w:szCs w:val="18"/>
        </w:rPr>
        <w:t>Ann Indian Acad Neurol</w:t>
      </w:r>
      <w:r w:rsidRPr="009B7DB0">
        <w:rPr>
          <w:rFonts w:ascii="Palatino Linotype" w:hAnsi="Palatino Linotype"/>
          <w:sz w:val="18"/>
          <w:szCs w:val="18"/>
        </w:rPr>
        <w:t xml:space="preserve"> </w:t>
      </w:r>
      <w:r w:rsidRPr="009B7DB0">
        <w:rPr>
          <w:rFonts w:ascii="Palatino Linotype" w:hAnsi="Palatino Linotype"/>
          <w:b/>
          <w:bCs/>
          <w:sz w:val="18"/>
          <w:szCs w:val="18"/>
        </w:rPr>
        <w:t>2016</w:t>
      </w:r>
      <w:r w:rsidRPr="009B7DB0">
        <w:rPr>
          <w:rFonts w:ascii="Palatino Linotype" w:hAnsi="Palatino Linotype"/>
          <w:sz w:val="18"/>
          <w:szCs w:val="18"/>
        </w:rPr>
        <w:t xml:space="preserve">, </w:t>
      </w:r>
      <w:r w:rsidRPr="009B7DB0">
        <w:rPr>
          <w:rFonts w:ascii="Palatino Linotype" w:hAnsi="Palatino Linotype"/>
          <w:i/>
          <w:iCs/>
          <w:sz w:val="18"/>
          <w:szCs w:val="18"/>
        </w:rPr>
        <w:t>19</w:t>
      </w:r>
      <w:r w:rsidRPr="009B7DB0">
        <w:rPr>
          <w:rFonts w:ascii="Palatino Linotype" w:hAnsi="Palatino Linotype"/>
          <w:sz w:val="18"/>
          <w:szCs w:val="18"/>
        </w:rPr>
        <w:t>, 175–182, doi:10.4103/0972-2327.182302.</w:t>
      </w:r>
    </w:p>
    <w:p w14:paraId="28847B27"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28. </w:t>
      </w:r>
      <w:r w:rsidRPr="009B7DB0">
        <w:rPr>
          <w:rFonts w:ascii="Palatino Linotype" w:hAnsi="Palatino Linotype"/>
          <w:sz w:val="18"/>
          <w:szCs w:val="18"/>
        </w:rPr>
        <w:tab/>
        <w:t xml:space="preserve">Theoharides, T.C.; Cochrane, D.E. Critical role of mast cells in inflammatory diseases and the effect of acute stress. </w:t>
      </w:r>
      <w:r w:rsidRPr="009B7DB0">
        <w:rPr>
          <w:rFonts w:ascii="Palatino Linotype" w:hAnsi="Palatino Linotype"/>
          <w:i/>
          <w:iCs/>
          <w:sz w:val="18"/>
          <w:szCs w:val="18"/>
        </w:rPr>
        <w:t>Journal of Neuroimmunology</w:t>
      </w:r>
      <w:r w:rsidRPr="009B7DB0">
        <w:rPr>
          <w:rFonts w:ascii="Palatino Linotype" w:hAnsi="Palatino Linotype"/>
          <w:sz w:val="18"/>
          <w:szCs w:val="18"/>
        </w:rPr>
        <w:t xml:space="preserve"> </w:t>
      </w:r>
      <w:r w:rsidRPr="009B7DB0">
        <w:rPr>
          <w:rFonts w:ascii="Palatino Linotype" w:hAnsi="Palatino Linotype"/>
          <w:b/>
          <w:bCs/>
          <w:sz w:val="18"/>
          <w:szCs w:val="18"/>
        </w:rPr>
        <w:t>2004</w:t>
      </w:r>
      <w:r w:rsidRPr="009B7DB0">
        <w:rPr>
          <w:rFonts w:ascii="Palatino Linotype" w:hAnsi="Palatino Linotype"/>
          <w:sz w:val="18"/>
          <w:szCs w:val="18"/>
        </w:rPr>
        <w:t xml:space="preserve">, </w:t>
      </w:r>
      <w:r w:rsidRPr="009B7DB0">
        <w:rPr>
          <w:rFonts w:ascii="Palatino Linotype" w:hAnsi="Palatino Linotype"/>
          <w:i/>
          <w:iCs/>
          <w:sz w:val="18"/>
          <w:szCs w:val="18"/>
        </w:rPr>
        <w:t>146</w:t>
      </w:r>
      <w:r w:rsidRPr="009B7DB0">
        <w:rPr>
          <w:rFonts w:ascii="Palatino Linotype" w:hAnsi="Palatino Linotype"/>
          <w:sz w:val="18"/>
          <w:szCs w:val="18"/>
        </w:rPr>
        <w:t>, 1–12, doi:10.1016/j.jneuroim.2003.10.041.</w:t>
      </w:r>
    </w:p>
    <w:p w14:paraId="7D753FE3"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29. </w:t>
      </w:r>
      <w:r w:rsidRPr="009B7DB0">
        <w:rPr>
          <w:rFonts w:ascii="Palatino Linotype" w:hAnsi="Palatino Linotype"/>
          <w:sz w:val="18"/>
          <w:szCs w:val="18"/>
        </w:rPr>
        <w:tab/>
        <w:t xml:space="preserve">Arzani, M.; Jahromi, S.R.; Ghorbani, Z.; Vahabizad, F.; Martelletti, P.; Ghaemi, A.; Sacco, S.; Togha, M.; On behalf of the School of Advanced Studies of the European Headache Federation (EHF-SAS) Gut-brain Axis and migraine headache: a comprehensive review. </w:t>
      </w:r>
      <w:r w:rsidRPr="009B7DB0">
        <w:rPr>
          <w:rFonts w:ascii="Palatino Linotype" w:hAnsi="Palatino Linotype"/>
          <w:i/>
          <w:iCs/>
          <w:sz w:val="18"/>
          <w:szCs w:val="18"/>
        </w:rPr>
        <w:t>The Journal of Headache and Pain</w:t>
      </w:r>
      <w:r w:rsidRPr="009B7DB0">
        <w:rPr>
          <w:rFonts w:ascii="Palatino Linotype" w:hAnsi="Palatino Linotype"/>
          <w:sz w:val="18"/>
          <w:szCs w:val="18"/>
        </w:rPr>
        <w:t xml:space="preserve"> </w:t>
      </w:r>
      <w:r w:rsidRPr="009B7DB0">
        <w:rPr>
          <w:rFonts w:ascii="Palatino Linotype" w:hAnsi="Palatino Linotype"/>
          <w:b/>
          <w:bCs/>
          <w:sz w:val="18"/>
          <w:szCs w:val="18"/>
        </w:rPr>
        <w:t>2020</w:t>
      </w:r>
      <w:r w:rsidRPr="009B7DB0">
        <w:rPr>
          <w:rFonts w:ascii="Palatino Linotype" w:hAnsi="Palatino Linotype"/>
          <w:sz w:val="18"/>
          <w:szCs w:val="18"/>
        </w:rPr>
        <w:t xml:space="preserve">, </w:t>
      </w:r>
      <w:r w:rsidRPr="009B7DB0">
        <w:rPr>
          <w:rFonts w:ascii="Palatino Linotype" w:hAnsi="Palatino Linotype"/>
          <w:i/>
          <w:iCs/>
          <w:sz w:val="18"/>
          <w:szCs w:val="18"/>
        </w:rPr>
        <w:t>21</w:t>
      </w:r>
      <w:r w:rsidRPr="009B7DB0">
        <w:rPr>
          <w:rFonts w:ascii="Palatino Linotype" w:hAnsi="Palatino Linotype"/>
          <w:sz w:val="18"/>
          <w:szCs w:val="18"/>
        </w:rPr>
        <w:t>, 15, doi:10.1186/s10194-020-1078-9.</w:t>
      </w:r>
    </w:p>
    <w:p w14:paraId="1620D490"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30. </w:t>
      </w:r>
      <w:r w:rsidRPr="009B7DB0">
        <w:rPr>
          <w:rFonts w:ascii="Palatino Linotype" w:hAnsi="Palatino Linotype"/>
          <w:sz w:val="18"/>
          <w:szCs w:val="18"/>
        </w:rPr>
        <w:tab/>
        <w:t xml:space="preserve">de Sire, A.; de Sire, R.; Petito, V.; Masi, L.; Cisari, C.; Gasbarrini, A.; Scaldaferri, F.; Invernizzi, M. Gut–Joint Axis: The Role of Physical Exercise on Gut Microbiota Modulation in Older People with Osteoarthritis. </w:t>
      </w:r>
      <w:r w:rsidRPr="009B7DB0">
        <w:rPr>
          <w:rFonts w:ascii="Palatino Linotype" w:hAnsi="Palatino Linotype"/>
          <w:i/>
          <w:iCs/>
          <w:sz w:val="18"/>
          <w:szCs w:val="18"/>
        </w:rPr>
        <w:t>Nutrients</w:t>
      </w:r>
      <w:r w:rsidRPr="009B7DB0">
        <w:rPr>
          <w:rFonts w:ascii="Palatino Linotype" w:hAnsi="Palatino Linotype"/>
          <w:sz w:val="18"/>
          <w:szCs w:val="18"/>
        </w:rPr>
        <w:t xml:space="preserve"> </w:t>
      </w:r>
      <w:r w:rsidRPr="009B7DB0">
        <w:rPr>
          <w:rFonts w:ascii="Palatino Linotype" w:hAnsi="Palatino Linotype"/>
          <w:b/>
          <w:bCs/>
          <w:sz w:val="18"/>
          <w:szCs w:val="18"/>
        </w:rPr>
        <w:t>2020</w:t>
      </w:r>
      <w:r w:rsidRPr="009B7DB0">
        <w:rPr>
          <w:rFonts w:ascii="Palatino Linotype" w:hAnsi="Palatino Linotype"/>
          <w:sz w:val="18"/>
          <w:szCs w:val="18"/>
        </w:rPr>
        <w:t xml:space="preserve">, </w:t>
      </w:r>
      <w:r w:rsidRPr="009B7DB0">
        <w:rPr>
          <w:rFonts w:ascii="Palatino Linotype" w:hAnsi="Palatino Linotype"/>
          <w:i/>
          <w:iCs/>
          <w:sz w:val="18"/>
          <w:szCs w:val="18"/>
        </w:rPr>
        <w:t>12</w:t>
      </w:r>
      <w:r w:rsidRPr="009B7DB0">
        <w:rPr>
          <w:rFonts w:ascii="Palatino Linotype" w:hAnsi="Palatino Linotype"/>
          <w:sz w:val="18"/>
          <w:szCs w:val="18"/>
        </w:rPr>
        <w:t>, doi:10.3390/nu12020574.</w:t>
      </w:r>
    </w:p>
    <w:p w14:paraId="04875DC6"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31. </w:t>
      </w:r>
      <w:r w:rsidRPr="009B7DB0">
        <w:rPr>
          <w:rFonts w:ascii="Palatino Linotype" w:hAnsi="Palatino Linotype"/>
          <w:sz w:val="18"/>
          <w:szCs w:val="18"/>
        </w:rPr>
        <w:tab/>
        <w:t>Migraine Research Foundation Raising money for migraine research Available online: https://migraineresearchfoundation.org/about-migraine/migraine-in-women/.</w:t>
      </w:r>
    </w:p>
    <w:p w14:paraId="58253704"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32. </w:t>
      </w:r>
      <w:r w:rsidRPr="009B7DB0">
        <w:rPr>
          <w:rFonts w:ascii="Palatino Linotype" w:hAnsi="Palatino Linotype"/>
          <w:sz w:val="18"/>
          <w:szCs w:val="18"/>
        </w:rPr>
        <w:tab/>
        <w:t xml:space="preserve">Chai, N.C.; Peterlin, B.L.; Calhoun, A.H. Migraine and estrogen. </w:t>
      </w:r>
      <w:r w:rsidRPr="009B7DB0">
        <w:rPr>
          <w:rFonts w:ascii="Palatino Linotype" w:hAnsi="Palatino Linotype"/>
          <w:i/>
          <w:iCs/>
          <w:sz w:val="18"/>
          <w:szCs w:val="18"/>
        </w:rPr>
        <w:t>Curr Opin Neurol</w:t>
      </w:r>
      <w:r w:rsidRPr="009B7DB0">
        <w:rPr>
          <w:rFonts w:ascii="Palatino Linotype" w:hAnsi="Palatino Linotype"/>
          <w:sz w:val="18"/>
          <w:szCs w:val="18"/>
        </w:rPr>
        <w:t xml:space="preserve"> </w:t>
      </w:r>
      <w:r w:rsidRPr="009B7DB0">
        <w:rPr>
          <w:rFonts w:ascii="Palatino Linotype" w:hAnsi="Palatino Linotype"/>
          <w:b/>
          <w:bCs/>
          <w:sz w:val="18"/>
          <w:szCs w:val="18"/>
        </w:rPr>
        <w:t>2014</w:t>
      </w:r>
      <w:r w:rsidRPr="009B7DB0">
        <w:rPr>
          <w:rFonts w:ascii="Palatino Linotype" w:hAnsi="Palatino Linotype"/>
          <w:sz w:val="18"/>
          <w:szCs w:val="18"/>
        </w:rPr>
        <w:t xml:space="preserve">, </w:t>
      </w:r>
      <w:r w:rsidRPr="009B7DB0">
        <w:rPr>
          <w:rFonts w:ascii="Palatino Linotype" w:hAnsi="Palatino Linotype"/>
          <w:i/>
          <w:iCs/>
          <w:sz w:val="18"/>
          <w:szCs w:val="18"/>
        </w:rPr>
        <w:t>27</w:t>
      </w:r>
      <w:r w:rsidRPr="009B7DB0">
        <w:rPr>
          <w:rFonts w:ascii="Palatino Linotype" w:hAnsi="Palatino Linotype"/>
          <w:sz w:val="18"/>
          <w:szCs w:val="18"/>
        </w:rPr>
        <w:t>, 315–324, doi:10.1097/WCO.0000000000000091.</w:t>
      </w:r>
    </w:p>
    <w:p w14:paraId="26BC763D"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33. </w:t>
      </w:r>
      <w:r w:rsidRPr="009B7DB0">
        <w:rPr>
          <w:rFonts w:ascii="Palatino Linotype" w:hAnsi="Palatino Linotype"/>
          <w:sz w:val="18"/>
          <w:szCs w:val="18"/>
        </w:rPr>
        <w:tab/>
        <w:t xml:space="preserve">Roman-Blas, J.A.; Castañeda, S.; Largo, R.; Herrero-Beaumont, G. Osteoarthritis associated with estrogen deficiency. </w:t>
      </w:r>
      <w:r w:rsidRPr="009B7DB0">
        <w:rPr>
          <w:rFonts w:ascii="Palatino Linotype" w:hAnsi="Palatino Linotype"/>
          <w:i/>
          <w:iCs/>
          <w:sz w:val="18"/>
          <w:szCs w:val="18"/>
        </w:rPr>
        <w:t>Arthritis Res Ther</w:t>
      </w:r>
      <w:r w:rsidRPr="009B7DB0">
        <w:rPr>
          <w:rFonts w:ascii="Palatino Linotype" w:hAnsi="Palatino Linotype"/>
          <w:sz w:val="18"/>
          <w:szCs w:val="18"/>
        </w:rPr>
        <w:t xml:space="preserve"> </w:t>
      </w:r>
      <w:r w:rsidRPr="009B7DB0">
        <w:rPr>
          <w:rFonts w:ascii="Palatino Linotype" w:hAnsi="Palatino Linotype"/>
          <w:b/>
          <w:bCs/>
          <w:sz w:val="18"/>
          <w:szCs w:val="18"/>
        </w:rPr>
        <w:t>2009</w:t>
      </w:r>
      <w:r w:rsidRPr="009B7DB0">
        <w:rPr>
          <w:rFonts w:ascii="Palatino Linotype" w:hAnsi="Palatino Linotype"/>
          <w:sz w:val="18"/>
          <w:szCs w:val="18"/>
        </w:rPr>
        <w:t xml:space="preserve">, </w:t>
      </w:r>
      <w:r w:rsidRPr="009B7DB0">
        <w:rPr>
          <w:rFonts w:ascii="Palatino Linotype" w:hAnsi="Palatino Linotype"/>
          <w:i/>
          <w:iCs/>
          <w:sz w:val="18"/>
          <w:szCs w:val="18"/>
        </w:rPr>
        <w:t>11</w:t>
      </w:r>
      <w:r w:rsidRPr="009B7DB0">
        <w:rPr>
          <w:rFonts w:ascii="Palatino Linotype" w:hAnsi="Palatino Linotype"/>
          <w:sz w:val="18"/>
          <w:szCs w:val="18"/>
        </w:rPr>
        <w:t>, 241, doi:10.1186/ar2791.</w:t>
      </w:r>
    </w:p>
    <w:p w14:paraId="2710B736" w14:textId="77777777" w:rsidR="00EE4386" w:rsidRPr="009B7DB0" w:rsidRDefault="00EE4386" w:rsidP="00163FB5">
      <w:pPr>
        <w:pStyle w:val="Bibliographie3"/>
        <w:adjustRightInd w:val="0"/>
        <w:snapToGrid w:val="0"/>
        <w:spacing w:line="260" w:lineRule="exact"/>
        <w:ind w:left="425" w:hanging="425"/>
        <w:rPr>
          <w:rFonts w:ascii="Palatino Linotype" w:hAnsi="Palatino Linotype"/>
          <w:sz w:val="18"/>
          <w:szCs w:val="18"/>
        </w:rPr>
      </w:pPr>
      <w:r w:rsidRPr="009B7DB0">
        <w:rPr>
          <w:rFonts w:ascii="Palatino Linotype" w:hAnsi="Palatino Linotype"/>
          <w:sz w:val="18"/>
          <w:szCs w:val="18"/>
        </w:rPr>
        <w:t xml:space="preserve">34. </w:t>
      </w:r>
      <w:r w:rsidRPr="009B7DB0">
        <w:rPr>
          <w:rFonts w:ascii="Palatino Linotype" w:hAnsi="Palatino Linotype"/>
          <w:sz w:val="18"/>
          <w:szCs w:val="18"/>
        </w:rPr>
        <w:tab/>
        <w:t xml:space="preserve">El Tumi, H.; Johnson, M.I.; Dantas, P.B.F.; Maynard, M.J.; Tashani, O.A. Age-related changes in pain sensitivity in healthy humans: A systematic review with meta-analysis. </w:t>
      </w:r>
      <w:r w:rsidRPr="009B7DB0">
        <w:rPr>
          <w:rFonts w:ascii="Palatino Linotype" w:hAnsi="Palatino Linotype"/>
          <w:i/>
          <w:iCs/>
          <w:sz w:val="18"/>
          <w:szCs w:val="18"/>
        </w:rPr>
        <w:t>Eur J Pain</w:t>
      </w:r>
      <w:r w:rsidRPr="009B7DB0">
        <w:rPr>
          <w:rFonts w:ascii="Palatino Linotype" w:hAnsi="Palatino Linotype"/>
          <w:sz w:val="18"/>
          <w:szCs w:val="18"/>
        </w:rPr>
        <w:t xml:space="preserve"> </w:t>
      </w:r>
      <w:r w:rsidRPr="009B7DB0">
        <w:rPr>
          <w:rFonts w:ascii="Palatino Linotype" w:hAnsi="Palatino Linotype"/>
          <w:b/>
          <w:bCs/>
          <w:sz w:val="18"/>
          <w:szCs w:val="18"/>
        </w:rPr>
        <w:t>2017</w:t>
      </w:r>
      <w:r w:rsidRPr="009B7DB0">
        <w:rPr>
          <w:rFonts w:ascii="Palatino Linotype" w:hAnsi="Palatino Linotype"/>
          <w:sz w:val="18"/>
          <w:szCs w:val="18"/>
        </w:rPr>
        <w:t xml:space="preserve">, </w:t>
      </w:r>
      <w:r w:rsidRPr="009B7DB0">
        <w:rPr>
          <w:rFonts w:ascii="Palatino Linotype" w:hAnsi="Palatino Linotype"/>
          <w:i/>
          <w:iCs/>
          <w:sz w:val="18"/>
          <w:szCs w:val="18"/>
        </w:rPr>
        <w:t>21</w:t>
      </w:r>
      <w:r w:rsidRPr="009B7DB0">
        <w:rPr>
          <w:rFonts w:ascii="Palatino Linotype" w:hAnsi="Palatino Linotype"/>
          <w:sz w:val="18"/>
          <w:szCs w:val="18"/>
        </w:rPr>
        <w:t>, 955–964, doi:10.1002/ejp.1011.</w:t>
      </w:r>
    </w:p>
    <w:p w14:paraId="47515D2C" w14:textId="77777777" w:rsidR="00EE4386" w:rsidRPr="009B7DB0" w:rsidRDefault="00EE4386" w:rsidP="00163FB5">
      <w:pPr>
        <w:pStyle w:val="MDPI71References"/>
        <w:numPr>
          <w:ilvl w:val="0"/>
          <w:numId w:val="0"/>
        </w:numPr>
        <w:adjustRightInd w:val="0"/>
        <w:snapToGrid w:val="0"/>
        <w:spacing w:line="260" w:lineRule="exact"/>
        <w:ind w:left="425" w:hanging="425"/>
        <w:rPr>
          <w:color w:val="auto"/>
          <w:szCs w:val="18"/>
        </w:rPr>
      </w:pPr>
      <w:r w:rsidRPr="009B7DB0">
        <w:rPr>
          <w:color w:val="auto"/>
          <w:szCs w:val="18"/>
        </w:rPr>
        <w:fldChar w:fldCharType="end"/>
      </w:r>
    </w:p>
    <w:p w14:paraId="17703090" w14:textId="77777777" w:rsidR="00853B85" w:rsidRPr="009B7DB0" w:rsidRDefault="004B1358" w:rsidP="00163FB5">
      <w:pPr>
        <w:pStyle w:val="MDPI71References"/>
        <w:numPr>
          <w:ilvl w:val="0"/>
          <w:numId w:val="0"/>
        </w:numPr>
        <w:adjustRightInd w:val="0"/>
        <w:snapToGrid w:val="0"/>
        <w:spacing w:line="260" w:lineRule="exact"/>
        <w:ind w:left="425" w:hanging="425"/>
        <w:rPr>
          <w:color w:val="auto"/>
        </w:rPr>
      </w:pPr>
      <w:r w:rsidRPr="009B7DB0">
        <w:rPr>
          <w:b/>
          <w:color w:val="auto"/>
        </w:rPr>
        <w:t>Publisher’s Note:</w:t>
      </w:r>
      <w:r w:rsidRPr="009B7DB0">
        <w:rPr>
          <w:color w:val="auto"/>
        </w:rPr>
        <w:t xml:space="preserve"> MDPI stays neutral with regard to jurisdictional claims in published maps and institutional affiliations.</w:t>
      </w:r>
    </w:p>
    <w:tbl>
      <w:tblPr>
        <w:tblW w:w="0" w:type="auto"/>
        <w:jc w:val="center"/>
        <w:tblLook w:val="04A0" w:firstRow="1" w:lastRow="0" w:firstColumn="1" w:lastColumn="0" w:noHBand="0" w:noVBand="1"/>
      </w:tblPr>
      <w:tblGrid>
        <w:gridCol w:w="1704"/>
        <w:gridCol w:w="7140"/>
      </w:tblGrid>
      <w:tr w:rsidR="00853B85" w:rsidRPr="009B7DB0" w14:paraId="15654DF2" w14:textId="77777777" w:rsidTr="007018DC">
        <w:trPr>
          <w:jc w:val="center"/>
        </w:trPr>
        <w:tc>
          <w:tcPr>
            <w:tcW w:w="0" w:type="auto"/>
            <w:shd w:val="clear" w:color="auto" w:fill="auto"/>
            <w:vAlign w:val="center"/>
          </w:tcPr>
          <w:p w14:paraId="4603B40B" w14:textId="77777777" w:rsidR="00853B85" w:rsidRPr="009B7DB0" w:rsidRDefault="007D5843" w:rsidP="00994120">
            <w:pPr>
              <w:pStyle w:val="MDPI71References"/>
              <w:numPr>
                <w:ilvl w:val="0"/>
                <w:numId w:val="0"/>
              </w:numPr>
              <w:adjustRightInd w:val="0"/>
              <w:snapToGrid w:val="0"/>
              <w:spacing w:before="60" w:after="60"/>
              <w:ind w:left="-85"/>
              <w:rPr>
                <w:rFonts w:eastAsia="SimSun"/>
                <w:bCs/>
                <w:color w:val="auto"/>
              </w:rPr>
            </w:pPr>
            <w:r w:rsidRPr="009B7DB0">
              <w:rPr>
                <w:rFonts w:eastAsia="SimSun"/>
                <w:bCs/>
                <w:noProof/>
                <w:color w:val="auto"/>
                <w:lang w:val="en-GB" w:eastAsia="en-GB" w:bidi="ar-SA"/>
              </w:rPr>
              <w:drawing>
                <wp:inline distT="0" distB="0" distL="0" distR="0" wp14:anchorId="328BC885" wp14:editId="37985C4D">
                  <wp:extent cx="998855" cy="358775"/>
                  <wp:effectExtent l="0" t="0" r="0" b="0"/>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98855" cy="358775"/>
                          </a:xfrm>
                          <a:prstGeom prst="rect">
                            <a:avLst/>
                          </a:prstGeom>
                          <a:noFill/>
                          <a:ln>
                            <a:noFill/>
                          </a:ln>
                        </pic:spPr>
                      </pic:pic>
                    </a:graphicData>
                  </a:graphic>
                </wp:inline>
              </w:drawing>
            </w:r>
          </w:p>
        </w:tc>
        <w:tc>
          <w:tcPr>
            <w:tcW w:w="7149" w:type="dxa"/>
            <w:shd w:val="clear" w:color="auto" w:fill="auto"/>
            <w:vAlign w:val="center"/>
          </w:tcPr>
          <w:p w14:paraId="171ED886" w14:textId="77777777" w:rsidR="00853B85" w:rsidRPr="009B7DB0" w:rsidRDefault="00705D61" w:rsidP="00994120">
            <w:pPr>
              <w:pStyle w:val="MDPI71References"/>
              <w:numPr>
                <w:ilvl w:val="0"/>
                <w:numId w:val="0"/>
              </w:numPr>
              <w:adjustRightInd w:val="0"/>
              <w:snapToGrid w:val="0"/>
              <w:ind w:left="-85"/>
              <w:rPr>
                <w:rFonts w:eastAsia="SimSun"/>
                <w:bCs/>
                <w:color w:val="auto"/>
              </w:rPr>
            </w:pPr>
            <w:r w:rsidRPr="009B7DB0">
              <w:rPr>
                <w:rFonts w:eastAsia="SimSun"/>
                <w:bCs/>
                <w:color w:val="auto"/>
              </w:rPr>
              <w:t>© 20</w:t>
            </w:r>
            <w:r w:rsidR="000C0FC2" w:rsidRPr="009B7DB0">
              <w:rPr>
                <w:rFonts w:eastAsia="SimSun"/>
                <w:bCs/>
                <w:color w:val="auto"/>
              </w:rPr>
              <w:t>20</w:t>
            </w:r>
            <w:r w:rsidR="00853B85" w:rsidRPr="009B7DB0">
              <w:rPr>
                <w:rFonts w:eastAsia="SimSun"/>
                <w:bCs/>
                <w:color w:val="auto"/>
              </w:rPr>
              <w:t xml:space="preserve"> by the authors. Submitted for possible open access publication under the terms and conditions of the Creative Commons Attribution (CC BY) license (http://creativecommons.org/licenses/by/4.0/).</w:t>
            </w:r>
          </w:p>
        </w:tc>
      </w:tr>
    </w:tbl>
    <w:p w14:paraId="6A6BF868" w14:textId="77777777" w:rsidR="00996419" w:rsidRPr="009B7DB0" w:rsidRDefault="00996419" w:rsidP="00994120">
      <w:pPr>
        <w:pStyle w:val="MDPI71References"/>
        <w:numPr>
          <w:ilvl w:val="0"/>
          <w:numId w:val="0"/>
        </w:numPr>
        <w:adjustRightInd w:val="0"/>
        <w:snapToGrid w:val="0"/>
        <w:spacing w:after="240"/>
        <w:rPr>
          <w:rFonts w:eastAsia="SimSun"/>
          <w:color w:val="auto"/>
        </w:rPr>
      </w:pPr>
      <w:bookmarkStart w:id="0" w:name="_GoBack"/>
      <w:bookmarkEnd w:id="0"/>
    </w:p>
    <w:sectPr w:rsidR="00996419" w:rsidRPr="009B7DB0" w:rsidSect="00994120">
      <w:headerReference w:type="even" r:id="rId20"/>
      <w:headerReference w:type="default" r:id="rId21"/>
      <w:footerReference w:type="default" r:id="rId22"/>
      <w:headerReference w:type="first" r:id="rId23"/>
      <w:footerReference w:type="first" r:id="rId24"/>
      <w:type w:val="continuous"/>
      <w:pgSz w:w="11906" w:h="16838" w:code="9"/>
      <w:pgMar w:top="1417" w:right="1531" w:bottom="1077" w:left="1531" w:header="1020" w:footer="850" w:gutter="0"/>
      <w:lnNumType w:countBy="1" w:restart="continuous"/>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8D9578" w14:textId="77777777" w:rsidR="00881D9A" w:rsidRDefault="00881D9A">
      <w:pPr>
        <w:spacing w:line="240" w:lineRule="auto"/>
      </w:pPr>
      <w:r>
        <w:separator/>
      </w:r>
    </w:p>
  </w:endnote>
  <w:endnote w:type="continuationSeparator" w:id="0">
    <w:p w14:paraId="7DEB7D0B" w14:textId="77777777" w:rsidR="00881D9A" w:rsidRDefault="00881D9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DengXian">
    <w:altName w:val="SimSun"/>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8F60A2" w14:textId="77777777" w:rsidR="00BB3785" w:rsidRPr="00032917" w:rsidRDefault="00BB3785" w:rsidP="00357C8D">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D0C4C1" w14:textId="77777777" w:rsidR="00BB3785" w:rsidRPr="00641B60" w:rsidRDefault="00BB3785" w:rsidP="000C0FC2">
    <w:pPr>
      <w:pStyle w:val="MDPIfooterfirstpage"/>
      <w:spacing w:line="240" w:lineRule="auto"/>
      <w:jc w:val="both"/>
    </w:pPr>
    <w:r w:rsidRPr="00BB0268">
      <w:rPr>
        <w:i/>
        <w:szCs w:val="16"/>
      </w:rPr>
      <w:t>J. Clin. Med.</w:t>
    </w:r>
    <w:r w:rsidRPr="00BB0268">
      <w:rPr>
        <w:szCs w:val="16"/>
      </w:rPr>
      <w:t xml:space="preserve"> </w:t>
    </w:r>
    <w:r w:rsidRPr="00853B85">
      <w:rPr>
        <w:b/>
        <w:szCs w:val="16"/>
      </w:rPr>
      <w:t>20</w:t>
    </w:r>
    <w:r>
      <w:rPr>
        <w:b/>
        <w:szCs w:val="16"/>
      </w:rPr>
      <w:t>20</w:t>
    </w:r>
    <w:r w:rsidRPr="00853B85">
      <w:rPr>
        <w:szCs w:val="16"/>
      </w:rPr>
      <w:t xml:space="preserve">, </w:t>
    </w:r>
    <w:r>
      <w:rPr>
        <w:i/>
        <w:szCs w:val="16"/>
      </w:rPr>
      <w:t>9</w:t>
    </w:r>
    <w:r w:rsidRPr="00853B85">
      <w:rPr>
        <w:szCs w:val="16"/>
      </w:rPr>
      <w:t xml:space="preserve">, </w:t>
    </w:r>
    <w:r>
      <w:rPr>
        <w:szCs w:val="16"/>
      </w:rPr>
      <w:t xml:space="preserve">x; </w:t>
    </w:r>
    <w:proofErr w:type="spellStart"/>
    <w:r>
      <w:rPr>
        <w:szCs w:val="16"/>
      </w:rPr>
      <w:t>doi</w:t>
    </w:r>
    <w:proofErr w:type="spellEnd"/>
    <w:r>
      <w:rPr>
        <w:szCs w:val="16"/>
      </w:rPr>
      <w:t>: FOR PEER REVIEW</w:t>
    </w:r>
    <w:r w:rsidRPr="00641B60">
      <w:tab/>
      <w:t>www.mdpi.com/journal/</w:t>
    </w:r>
    <w:r>
      <w:t>jcm</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D9A03B" w14:textId="77777777" w:rsidR="00881D9A" w:rsidRDefault="00881D9A">
      <w:pPr>
        <w:spacing w:line="240" w:lineRule="auto"/>
      </w:pPr>
      <w:r>
        <w:separator/>
      </w:r>
    </w:p>
  </w:footnote>
  <w:footnote w:type="continuationSeparator" w:id="0">
    <w:p w14:paraId="32175B41" w14:textId="77777777" w:rsidR="00881D9A" w:rsidRDefault="00881D9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62E3A" w14:textId="77777777" w:rsidR="00BB3785" w:rsidRDefault="00BB3785" w:rsidP="00357C8D">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48140F" w14:textId="6BAFBCC3" w:rsidR="00BB3785" w:rsidRPr="007A5CE1" w:rsidRDefault="00BB3785" w:rsidP="000C0FC2">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J. Clin. Med. </w:t>
    </w:r>
    <w:r w:rsidRPr="00853B85">
      <w:rPr>
        <w:rFonts w:ascii="Palatino Linotype" w:hAnsi="Palatino Linotype"/>
        <w:b/>
        <w:sz w:val="16"/>
      </w:rPr>
      <w:t>20</w:t>
    </w:r>
    <w:r>
      <w:rPr>
        <w:rFonts w:ascii="Palatino Linotype" w:hAnsi="Palatino Linotype"/>
        <w:b/>
        <w:sz w:val="16"/>
      </w:rPr>
      <w:t>20</w:t>
    </w:r>
    <w:r w:rsidRPr="00853B85">
      <w:rPr>
        <w:rFonts w:ascii="Palatino Linotype" w:hAnsi="Palatino Linotype"/>
        <w:sz w:val="16"/>
      </w:rPr>
      <w:t xml:space="preserve">, </w:t>
    </w:r>
    <w:r>
      <w:rPr>
        <w:rFonts w:ascii="Palatino Linotype" w:hAnsi="Palatino Linotype"/>
        <w:i/>
        <w:sz w:val="16"/>
      </w:rPr>
      <w:t>9</w:t>
    </w:r>
    <w:r>
      <w:rPr>
        <w:rFonts w:ascii="Palatino Linotype" w:hAnsi="Palatino Linotype"/>
        <w:sz w:val="16"/>
      </w:rPr>
      <w:t>, x FOR PEER REVIEW</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sidR="009B7DB0">
      <w:rPr>
        <w:rFonts w:ascii="Palatino Linotype" w:hAnsi="Palatino Linotype"/>
        <w:noProof/>
        <w:sz w:val="16"/>
      </w:rPr>
      <w:t>8</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sidR="009B7DB0">
      <w:rPr>
        <w:rFonts w:ascii="Palatino Linotype" w:hAnsi="Palatino Linotype"/>
        <w:noProof/>
        <w:sz w:val="16"/>
      </w:rPr>
      <w:t>8</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9AD43D" w14:textId="77777777" w:rsidR="00BB3785" w:rsidRDefault="00BB3785" w:rsidP="00357C8D">
    <w:pPr>
      <w:pStyle w:val="MDPIheaderjournallogo"/>
    </w:pPr>
    <w:r>
      <w:rPr>
        <w:noProof/>
        <w:lang w:val="en-GB" w:eastAsia="en-GB"/>
      </w:rPr>
      <mc:AlternateContent>
        <mc:Choice Requires="wps">
          <w:drawing>
            <wp:anchor distT="45720" distB="45720" distL="114300" distR="114300" simplePos="0" relativeHeight="251657728" behindDoc="1" locked="0" layoutInCell="1" allowOverlap="1" wp14:anchorId="7EAC6CCB" wp14:editId="37D69EA8">
              <wp:simplePos x="0" y="0"/>
              <wp:positionH relativeFrom="page">
                <wp:posOffset>6029960</wp:posOffset>
              </wp:positionH>
              <wp:positionV relativeFrom="page">
                <wp:posOffset>647700</wp:posOffset>
              </wp:positionV>
              <wp:extent cx="553085" cy="70866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53085" cy="708660"/>
                      </a:xfrm>
                      <a:prstGeom prst="rect">
                        <a:avLst/>
                      </a:prstGeom>
                      <a:solidFill>
                        <a:srgbClr val="FFFFFF"/>
                      </a:solidFill>
                      <a:ln w="9525">
                        <a:noFill/>
                        <a:miter lim="800000"/>
                        <a:headEnd/>
                        <a:tailEnd/>
                      </a:ln>
                    </wps:spPr>
                    <wps:txbx>
                      <w:txbxContent>
                        <w:p w14:paraId="472CEC18" w14:textId="77777777" w:rsidR="00BB3785" w:rsidRDefault="00BB3785" w:rsidP="00357C8D">
                          <w:pPr>
                            <w:pStyle w:val="MDPIheaderjournallogo"/>
                            <w:jc w:val="center"/>
                            <w:textboxTightWrap w:val="allLines"/>
                            <w:rPr>
                              <w:i w:val="0"/>
                              <w:szCs w:val="16"/>
                            </w:rPr>
                          </w:pPr>
                          <w:r w:rsidRPr="00996419">
                            <w:rPr>
                              <w:i w:val="0"/>
                              <w:noProof/>
                              <w:szCs w:val="16"/>
                              <w:lang w:val="en-GB" w:eastAsia="en-GB"/>
                            </w:rPr>
                            <w:drawing>
                              <wp:inline distT="0" distB="0" distL="0" distR="0" wp14:anchorId="17D70EBC" wp14:editId="305CEF08">
                                <wp:extent cx="541655" cy="358775"/>
                                <wp:effectExtent l="0" t="0" r="0" b="0"/>
                                <wp:docPr id="5" name="Picture 3" descr="C:\Users\home\Desktop\logos\ori\png\logo-mdpi.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1655" cy="358775"/>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EAC6CCB" id="_x0000_t202" coordsize="21600,21600" o:spt="202" path="m,l,21600r21600,l21600,xe">
              <v:stroke joinstyle="miter"/>
              <v:path gradientshapeok="t" o:connecttype="rect"/>
            </v:shapetype>
            <v:shape id="Text Box 2" o:spid="_x0000_s1026" type="#_x0000_t202" style="position:absolute;left:0;text-align:left;margin-left:474.8pt;margin-top:51pt;width:43.55pt;height:55.8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" stroked="f">
              <v:textbox inset="0,0,0,0">
                <w:txbxContent>
                  <w:p w14:paraId="472CEC18" w14:textId="77777777" w:rsidR="00BB3785" w:rsidRDefault="00BB3785" w:rsidP="00357C8D">
                    <w:pPr>
                      <w:pStyle w:val="MDPIheaderjournallogo"/>
                      <w:jc w:val="center"/>
                      <w:textboxTightWrap w:val="allLines"/>
                      <w:rPr>
                        <w:i w:val="0"/>
                        <w:szCs w:val="16"/>
                      </w:rPr>
                    </w:pPr>
                    <w:r w:rsidRPr="00996419">
                      <w:rPr>
                        <w:i w:val="0"/>
                        <w:noProof/>
                        <w:szCs w:val="16"/>
                        <w:lang w:eastAsia="zh-CN"/>
                      </w:rPr>
                      <w:drawing>
                        <wp:inline distT="0" distB="0" distL="0" distR="0" wp14:anchorId="17D70EBC" wp14:editId="305CEF08">
                          <wp:extent cx="541655" cy="358775"/>
                          <wp:effectExtent l="0" t="0" r="0" b="0"/>
                          <wp:docPr id="5" name="Picture 3" descr="C:\Users\home\Desktop\logos\ori\png\logo-mdpi.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1655" cy="358775"/>
                                  </a:xfrm>
                                  <a:prstGeom prst="rect">
                                    <a:avLst/>
                                  </a:prstGeom>
                                  <a:noFill/>
                                  <a:ln>
                                    <a:noFill/>
                                  </a:ln>
                                </pic:spPr>
                              </pic:pic>
                            </a:graphicData>
                          </a:graphic>
                        </wp:inline>
                      </w:drawing>
                    </w:r>
                  </w:p>
                </w:txbxContent>
              </v:textbox>
              <w10:wrap anchorx="page" anchory="page"/>
            </v:shape>
          </w:pict>
        </mc:Fallback>
      </mc:AlternateContent>
    </w:r>
    <w:r w:rsidRPr="00A04686">
      <w:rPr>
        <w:noProof/>
        <w:lang w:val="en-GB" w:eastAsia="en-GB"/>
      </w:rPr>
      <w:drawing>
        <wp:inline distT="0" distB="0" distL="0" distR="0" wp14:anchorId="3F917710" wp14:editId="4A916718">
          <wp:extent cx="1673860" cy="429260"/>
          <wp:effectExtent l="0" t="0" r="0" b="0"/>
          <wp:docPr id="4" name="Picture 5" descr="C:\Users\home\Desktop\logos\png\jcm-logo.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Users\home\Desktop\logos\png\jcm-logo.png"/>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673860" cy="4292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2"/>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20"/>
  <w:hyphenationZone w:val="425"/>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1B60"/>
    <w:rsid w:val="00001519"/>
    <w:rsid w:val="000019D8"/>
    <w:rsid w:val="00006AA3"/>
    <w:rsid w:val="00006F9A"/>
    <w:rsid w:val="00014AFD"/>
    <w:rsid w:val="000345A7"/>
    <w:rsid w:val="00041D95"/>
    <w:rsid w:val="0004514F"/>
    <w:rsid w:val="00047BF7"/>
    <w:rsid w:val="00056DFC"/>
    <w:rsid w:val="00063483"/>
    <w:rsid w:val="0007166A"/>
    <w:rsid w:val="0007239B"/>
    <w:rsid w:val="00076CF3"/>
    <w:rsid w:val="000938E5"/>
    <w:rsid w:val="00093D00"/>
    <w:rsid w:val="00094C5B"/>
    <w:rsid w:val="000B12E4"/>
    <w:rsid w:val="000C0FC2"/>
    <w:rsid w:val="000D0427"/>
    <w:rsid w:val="000D4261"/>
    <w:rsid w:val="000D46B2"/>
    <w:rsid w:val="000D6A19"/>
    <w:rsid w:val="000E36A4"/>
    <w:rsid w:val="000F2720"/>
    <w:rsid w:val="00103715"/>
    <w:rsid w:val="001113DB"/>
    <w:rsid w:val="0013079F"/>
    <w:rsid w:val="001307FF"/>
    <w:rsid w:val="001317C7"/>
    <w:rsid w:val="00145285"/>
    <w:rsid w:val="00157FE8"/>
    <w:rsid w:val="00163FB5"/>
    <w:rsid w:val="00170032"/>
    <w:rsid w:val="001A0D01"/>
    <w:rsid w:val="001C4A24"/>
    <w:rsid w:val="001C4EF2"/>
    <w:rsid w:val="001D1C27"/>
    <w:rsid w:val="001D25D3"/>
    <w:rsid w:val="001E2AEB"/>
    <w:rsid w:val="001E58E6"/>
    <w:rsid w:val="001F462D"/>
    <w:rsid w:val="00217FE6"/>
    <w:rsid w:val="0022132C"/>
    <w:rsid w:val="00224A22"/>
    <w:rsid w:val="00242851"/>
    <w:rsid w:val="0024521D"/>
    <w:rsid w:val="00260ED2"/>
    <w:rsid w:val="00272022"/>
    <w:rsid w:val="00274D95"/>
    <w:rsid w:val="002755A4"/>
    <w:rsid w:val="00280F25"/>
    <w:rsid w:val="0029303F"/>
    <w:rsid w:val="00293B61"/>
    <w:rsid w:val="002A166F"/>
    <w:rsid w:val="002B21DE"/>
    <w:rsid w:val="002B5C54"/>
    <w:rsid w:val="002C48F8"/>
    <w:rsid w:val="002C5B08"/>
    <w:rsid w:val="002D07C7"/>
    <w:rsid w:val="003024CC"/>
    <w:rsid w:val="00313800"/>
    <w:rsid w:val="003143B0"/>
    <w:rsid w:val="00322A6A"/>
    <w:rsid w:val="00325CF8"/>
    <w:rsid w:val="00326141"/>
    <w:rsid w:val="00332ACB"/>
    <w:rsid w:val="00333A94"/>
    <w:rsid w:val="003348F4"/>
    <w:rsid w:val="00341664"/>
    <w:rsid w:val="0034278A"/>
    <w:rsid w:val="0034365E"/>
    <w:rsid w:val="00357C8D"/>
    <w:rsid w:val="00374919"/>
    <w:rsid w:val="00382AAE"/>
    <w:rsid w:val="003977A3"/>
    <w:rsid w:val="003A2577"/>
    <w:rsid w:val="003A36E1"/>
    <w:rsid w:val="003B23C9"/>
    <w:rsid w:val="003C1E88"/>
    <w:rsid w:val="003C28F2"/>
    <w:rsid w:val="003D0F08"/>
    <w:rsid w:val="003D4857"/>
    <w:rsid w:val="003D55AB"/>
    <w:rsid w:val="003E252B"/>
    <w:rsid w:val="003F2DA1"/>
    <w:rsid w:val="00401D30"/>
    <w:rsid w:val="004142C7"/>
    <w:rsid w:val="004225B0"/>
    <w:rsid w:val="00423277"/>
    <w:rsid w:val="00427EC6"/>
    <w:rsid w:val="00432AFE"/>
    <w:rsid w:val="00437C1E"/>
    <w:rsid w:val="00442F64"/>
    <w:rsid w:val="00444E03"/>
    <w:rsid w:val="00481674"/>
    <w:rsid w:val="00481D83"/>
    <w:rsid w:val="00490594"/>
    <w:rsid w:val="00490D5B"/>
    <w:rsid w:val="004A1B16"/>
    <w:rsid w:val="004B1358"/>
    <w:rsid w:val="004B40AC"/>
    <w:rsid w:val="004B5A99"/>
    <w:rsid w:val="004B7429"/>
    <w:rsid w:val="004D5F4D"/>
    <w:rsid w:val="004E092F"/>
    <w:rsid w:val="004F4F4E"/>
    <w:rsid w:val="0051286C"/>
    <w:rsid w:val="005274C5"/>
    <w:rsid w:val="00530241"/>
    <w:rsid w:val="005369C6"/>
    <w:rsid w:val="00537760"/>
    <w:rsid w:val="00546B1F"/>
    <w:rsid w:val="00547A54"/>
    <w:rsid w:val="005536F1"/>
    <w:rsid w:val="0055378D"/>
    <w:rsid w:val="005577F2"/>
    <w:rsid w:val="00562B58"/>
    <w:rsid w:val="005725EB"/>
    <w:rsid w:val="005729BE"/>
    <w:rsid w:val="00584246"/>
    <w:rsid w:val="005963C5"/>
    <w:rsid w:val="00597F86"/>
    <w:rsid w:val="005B4B0B"/>
    <w:rsid w:val="005F0B0C"/>
    <w:rsid w:val="0060047F"/>
    <w:rsid w:val="00612270"/>
    <w:rsid w:val="006140F6"/>
    <w:rsid w:val="00622838"/>
    <w:rsid w:val="0062481B"/>
    <w:rsid w:val="006300CB"/>
    <w:rsid w:val="00634642"/>
    <w:rsid w:val="0063622F"/>
    <w:rsid w:val="00637CD2"/>
    <w:rsid w:val="0064033F"/>
    <w:rsid w:val="00641B60"/>
    <w:rsid w:val="00661A08"/>
    <w:rsid w:val="00667913"/>
    <w:rsid w:val="00672067"/>
    <w:rsid w:val="0067231B"/>
    <w:rsid w:val="00685F96"/>
    <w:rsid w:val="00690A61"/>
    <w:rsid w:val="00692393"/>
    <w:rsid w:val="00697416"/>
    <w:rsid w:val="006A5D76"/>
    <w:rsid w:val="006B65F8"/>
    <w:rsid w:val="006C3990"/>
    <w:rsid w:val="006D32C5"/>
    <w:rsid w:val="006F03CB"/>
    <w:rsid w:val="006F76EC"/>
    <w:rsid w:val="007018DC"/>
    <w:rsid w:val="00705D61"/>
    <w:rsid w:val="00706D77"/>
    <w:rsid w:val="00717687"/>
    <w:rsid w:val="007219BE"/>
    <w:rsid w:val="007361AA"/>
    <w:rsid w:val="00745B84"/>
    <w:rsid w:val="00751329"/>
    <w:rsid w:val="00765CA0"/>
    <w:rsid w:val="00766346"/>
    <w:rsid w:val="00772E1E"/>
    <w:rsid w:val="00787EA3"/>
    <w:rsid w:val="00790181"/>
    <w:rsid w:val="0079083E"/>
    <w:rsid w:val="007A31C0"/>
    <w:rsid w:val="007A366D"/>
    <w:rsid w:val="007C1D62"/>
    <w:rsid w:val="007C31D3"/>
    <w:rsid w:val="007D026F"/>
    <w:rsid w:val="007D5843"/>
    <w:rsid w:val="007F44AC"/>
    <w:rsid w:val="0080750B"/>
    <w:rsid w:val="00807642"/>
    <w:rsid w:val="0081189A"/>
    <w:rsid w:val="008118BC"/>
    <w:rsid w:val="008120B1"/>
    <w:rsid w:val="00816BBE"/>
    <w:rsid w:val="008206CF"/>
    <w:rsid w:val="00824D97"/>
    <w:rsid w:val="0085108D"/>
    <w:rsid w:val="00851192"/>
    <w:rsid w:val="00853B85"/>
    <w:rsid w:val="00855EE0"/>
    <w:rsid w:val="008566BD"/>
    <w:rsid w:val="00865A3B"/>
    <w:rsid w:val="00873896"/>
    <w:rsid w:val="00881D9A"/>
    <w:rsid w:val="008920E5"/>
    <w:rsid w:val="008A449D"/>
    <w:rsid w:val="008A68EF"/>
    <w:rsid w:val="008B29A1"/>
    <w:rsid w:val="008B4FC9"/>
    <w:rsid w:val="008D0B41"/>
    <w:rsid w:val="008D555E"/>
    <w:rsid w:val="008D5867"/>
    <w:rsid w:val="008E384D"/>
    <w:rsid w:val="008F3051"/>
    <w:rsid w:val="008F6E8C"/>
    <w:rsid w:val="009035B8"/>
    <w:rsid w:val="00905922"/>
    <w:rsid w:val="00914275"/>
    <w:rsid w:val="00917192"/>
    <w:rsid w:val="00921DD5"/>
    <w:rsid w:val="0095211D"/>
    <w:rsid w:val="0095489F"/>
    <w:rsid w:val="00955424"/>
    <w:rsid w:val="009700D4"/>
    <w:rsid w:val="00970559"/>
    <w:rsid w:val="00970888"/>
    <w:rsid w:val="00994120"/>
    <w:rsid w:val="00995F53"/>
    <w:rsid w:val="00996419"/>
    <w:rsid w:val="009B7DB0"/>
    <w:rsid w:val="009C06C6"/>
    <w:rsid w:val="009C086B"/>
    <w:rsid w:val="009C266D"/>
    <w:rsid w:val="009C5893"/>
    <w:rsid w:val="009C70C6"/>
    <w:rsid w:val="009E45E9"/>
    <w:rsid w:val="009F70E6"/>
    <w:rsid w:val="00A03271"/>
    <w:rsid w:val="00A123E9"/>
    <w:rsid w:val="00A46D0D"/>
    <w:rsid w:val="00A60608"/>
    <w:rsid w:val="00A622C0"/>
    <w:rsid w:val="00A63526"/>
    <w:rsid w:val="00A73B50"/>
    <w:rsid w:val="00A772B3"/>
    <w:rsid w:val="00A865A9"/>
    <w:rsid w:val="00A955A7"/>
    <w:rsid w:val="00AB5597"/>
    <w:rsid w:val="00AC7149"/>
    <w:rsid w:val="00AD3640"/>
    <w:rsid w:val="00AD4E9B"/>
    <w:rsid w:val="00AE16CF"/>
    <w:rsid w:val="00AF63F6"/>
    <w:rsid w:val="00B267CC"/>
    <w:rsid w:val="00B2740F"/>
    <w:rsid w:val="00B27BDC"/>
    <w:rsid w:val="00B317B6"/>
    <w:rsid w:val="00B5160A"/>
    <w:rsid w:val="00B82D7E"/>
    <w:rsid w:val="00B835F8"/>
    <w:rsid w:val="00B84BC1"/>
    <w:rsid w:val="00B938B2"/>
    <w:rsid w:val="00BB3420"/>
    <w:rsid w:val="00BB3785"/>
    <w:rsid w:val="00BC2D10"/>
    <w:rsid w:val="00BC4679"/>
    <w:rsid w:val="00BD2373"/>
    <w:rsid w:val="00BF5D96"/>
    <w:rsid w:val="00C0107C"/>
    <w:rsid w:val="00C02CCA"/>
    <w:rsid w:val="00C1439D"/>
    <w:rsid w:val="00C17D2C"/>
    <w:rsid w:val="00C244E7"/>
    <w:rsid w:val="00C261C6"/>
    <w:rsid w:val="00C409CE"/>
    <w:rsid w:val="00C61577"/>
    <w:rsid w:val="00C76749"/>
    <w:rsid w:val="00CA6FBF"/>
    <w:rsid w:val="00CB5986"/>
    <w:rsid w:val="00CE118A"/>
    <w:rsid w:val="00CE1488"/>
    <w:rsid w:val="00D0452F"/>
    <w:rsid w:val="00D04D3F"/>
    <w:rsid w:val="00D06DB4"/>
    <w:rsid w:val="00D15FBD"/>
    <w:rsid w:val="00D1611F"/>
    <w:rsid w:val="00D17103"/>
    <w:rsid w:val="00D2063D"/>
    <w:rsid w:val="00D27E55"/>
    <w:rsid w:val="00D317EE"/>
    <w:rsid w:val="00D40888"/>
    <w:rsid w:val="00D54E10"/>
    <w:rsid w:val="00D72E82"/>
    <w:rsid w:val="00D76EFE"/>
    <w:rsid w:val="00D80FE1"/>
    <w:rsid w:val="00D83A63"/>
    <w:rsid w:val="00DB65CB"/>
    <w:rsid w:val="00DC17CE"/>
    <w:rsid w:val="00DD771D"/>
    <w:rsid w:val="00DF6FE1"/>
    <w:rsid w:val="00E041F6"/>
    <w:rsid w:val="00E069B0"/>
    <w:rsid w:val="00E12136"/>
    <w:rsid w:val="00E1718D"/>
    <w:rsid w:val="00E35611"/>
    <w:rsid w:val="00E548E8"/>
    <w:rsid w:val="00E62ECD"/>
    <w:rsid w:val="00E727FC"/>
    <w:rsid w:val="00E7585F"/>
    <w:rsid w:val="00E91AA4"/>
    <w:rsid w:val="00EB1815"/>
    <w:rsid w:val="00EB730D"/>
    <w:rsid w:val="00EC2CB7"/>
    <w:rsid w:val="00EC5A8F"/>
    <w:rsid w:val="00EE4386"/>
    <w:rsid w:val="00EF61F4"/>
    <w:rsid w:val="00F078C7"/>
    <w:rsid w:val="00F1319C"/>
    <w:rsid w:val="00F159D6"/>
    <w:rsid w:val="00F246F9"/>
    <w:rsid w:val="00F31BA6"/>
    <w:rsid w:val="00F3322F"/>
    <w:rsid w:val="00F41D77"/>
    <w:rsid w:val="00F61146"/>
    <w:rsid w:val="00F61547"/>
    <w:rsid w:val="00F93DB1"/>
    <w:rsid w:val="00F961D4"/>
    <w:rsid w:val="00FA2DB6"/>
    <w:rsid w:val="00FA4695"/>
    <w:rsid w:val="00FA5117"/>
    <w:rsid w:val="00FC746D"/>
    <w:rsid w:val="00FD4789"/>
    <w:rsid w:val="00FD598E"/>
    <w:rsid w:val="00FE2E54"/>
    <w:rsid w:val="00FF0585"/>
    <w:rsid w:val="00FF657D"/>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AFF178"/>
  <w15:chartTrackingRefBased/>
  <w15:docId w15:val="{151D31C7-35A1-4647-848C-EED5B06191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96419"/>
    <w:pPr>
      <w:spacing w:line="340" w:lineRule="atLeast"/>
      <w:jc w:val="both"/>
    </w:pPr>
    <w:rPr>
      <w:rFonts w:ascii="Times New Roman" w:eastAsia="Times New Roman" w:hAnsi="Times New Roman"/>
      <w:color w:val="000000"/>
      <w:sz w:val="24"/>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MDPI12title"/>
    <w:qFormat/>
    <w:rsid w:val="00994120"/>
    <w:pPr>
      <w:adjustRightInd w:val="0"/>
      <w:snapToGrid w:val="0"/>
      <w:spacing w:before="240"/>
    </w:pPr>
    <w:rPr>
      <w:rFonts w:ascii="Palatino Linotype" w:eastAsia="Times New Roman" w:hAnsi="Palatino Linotype"/>
      <w:i/>
      <w:snapToGrid w:val="0"/>
      <w:color w:val="000000"/>
      <w:szCs w:val="22"/>
      <w:lang w:val="en-US" w:eastAsia="de-DE" w:bidi="en-US"/>
    </w:rPr>
  </w:style>
  <w:style w:type="paragraph" w:customStyle="1" w:styleId="MDPI12title">
    <w:name w:val="MDPI_1.2_title"/>
    <w:next w:val="MDPI13authornames"/>
    <w:qFormat/>
    <w:rsid w:val="00994120"/>
    <w:pPr>
      <w:adjustRightInd w:val="0"/>
      <w:snapToGrid w:val="0"/>
      <w:spacing w:after="240" w:line="240" w:lineRule="atLeast"/>
    </w:pPr>
    <w:rPr>
      <w:rFonts w:ascii="Palatino Linotype" w:eastAsia="Times New Roman" w:hAnsi="Palatino Linotype"/>
      <w:b/>
      <w:snapToGrid w:val="0"/>
      <w:color w:val="000000"/>
      <w:sz w:val="36"/>
      <w:lang w:val="en-US" w:eastAsia="de-DE" w:bidi="en-US"/>
    </w:rPr>
  </w:style>
  <w:style w:type="paragraph" w:customStyle="1" w:styleId="MDPI13authornames">
    <w:name w:val="MDPI_1.3_authornames"/>
    <w:next w:val="MDPI14history"/>
    <w:qFormat/>
    <w:rsid w:val="00994120"/>
    <w:pPr>
      <w:adjustRightInd w:val="0"/>
      <w:snapToGrid w:val="0"/>
      <w:spacing w:after="120" w:line="260" w:lineRule="atLeast"/>
    </w:pPr>
    <w:rPr>
      <w:rFonts w:ascii="Palatino Linotype" w:eastAsia="Times New Roman" w:hAnsi="Palatino Linotype"/>
      <w:b/>
      <w:color w:val="000000"/>
      <w:szCs w:val="22"/>
      <w:lang w:val="en-US" w:eastAsia="de-DE" w:bidi="en-US"/>
    </w:rPr>
  </w:style>
  <w:style w:type="paragraph" w:customStyle="1" w:styleId="MDPI14history">
    <w:name w:val="MDPI_1.4_history"/>
    <w:basedOn w:val="MDPI62Acknowledgments"/>
    <w:next w:val="Normal"/>
    <w:qFormat/>
    <w:rsid w:val="00994120"/>
    <w:pPr>
      <w:ind w:left="113"/>
      <w:jc w:val="left"/>
    </w:pPr>
    <w:rPr>
      <w:snapToGrid/>
    </w:rPr>
  </w:style>
  <w:style w:type="paragraph" w:customStyle="1" w:styleId="MDPI16affiliation">
    <w:name w:val="MDPI_1.6_affiliation"/>
    <w:qFormat/>
    <w:rsid w:val="00994120"/>
    <w:pPr>
      <w:adjustRightInd w:val="0"/>
      <w:snapToGrid w:val="0"/>
      <w:spacing w:line="260" w:lineRule="atLeast"/>
      <w:ind w:left="311" w:hanging="198"/>
    </w:pPr>
    <w:rPr>
      <w:rFonts w:ascii="Palatino Linotype" w:eastAsia="Times New Roman" w:hAnsi="Palatino Linotype"/>
      <w:color w:val="000000"/>
      <w:sz w:val="18"/>
      <w:szCs w:val="18"/>
      <w:lang w:val="en-US" w:eastAsia="de-DE" w:bidi="en-US"/>
    </w:rPr>
  </w:style>
  <w:style w:type="paragraph" w:customStyle="1" w:styleId="MDPI17abstract">
    <w:name w:val="MDPI_1.7_abstract"/>
    <w:next w:val="Normal"/>
    <w:qFormat/>
    <w:rsid w:val="00994120"/>
    <w:pPr>
      <w:adjustRightInd w:val="0"/>
      <w:snapToGrid w:val="0"/>
      <w:spacing w:before="240" w:line="260" w:lineRule="atLeast"/>
      <w:ind w:left="113"/>
      <w:jc w:val="both"/>
    </w:pPr>
    <w:rPr>
      <w:rFonts w:ascii="Palatino Linotype" w:eastAsia="Times New Roman" w:hAnsi="Palatino Linotype"/>
      <w:color w:val="000000"/>
      <w:szCs w:val="22"/>
      <w:lang w:val="en-US" w:eastAsia="de-DE" w:bidi="en-US"/>
    </w:rPr>
  </w:style>
  <w:style w:type="paragraph" w:customStyle="1" w:styleId="MDPI18keywords">
    <w:name w:val="MDPI_1.8_keywords"/>
    <w:next w:val="Normal"/>
    <w:qFormat/>
    <w:rsid w:val="00994120"/>
    <w:pPr>
      <w:adjustRightInd w:val="0"/>
      <w:snapToGrid w:val="0"/>
      <w:spacing w:before="240" w:line="260" w:lineRule="atLeast"/>
      <w:ind w:left="113"/>
      <w:jc w:val="both"/>
    </w:pPr>
    <w:rPr>
      <w:rFonts w:ascii="Palatino Linotype" w:eastAsia="Times New Roman" w:hAnsi="Palatino Linotype"/>
      <w:snapToGrid w:val="0"/>
      <w:color w:val="000000"/>
      <w:szCs w:val="22"/>
      <w:lang w:val="en-US" w:eastAsia="de-DE" w:bidi="en-US"/>
    </w:rPr>
  </w:style>
  <w:style w:type="paragraph" w:customStyle="1" w:styleId="MDPI19line">
    <w:name w:val="MDPI_1.9_line"/>
    <w:qFormat/>
    <w:rsid w:val="00994120"/>
    <w:pPr>
      <w:pBdr>
        <w:bottom w:val="single" w:sz="6" w:space="1" w:color="auto"/>
      </w:pBdr>
      <w:spacing w:line="260" w:lineRule="atLeast"/>
      <w:jc w:val="both"/>
    </w:pPr>
    <w:rPr>
      <w:rFonts w:ascii="Palatino Linotype" w:eastAsia="Times New Roman" w:hAnsi="Palatino Linotype" w:cstheme="minorBidi"/>
      <w:color w:val="000000"/>
      <w:szCs w:val="24"/>
      <w:lang w:val="en-US" w:eastAsia="de-DE" w:bidi="en-US"/>
    </w:rPr>
  </w:style>
  <w:style w:type="paragraph" w:styleId="Footer">
    <w:name w:val="footer"/>
    <w:basedOn w:val="Normal"/>
    <w:link w:val="FooterChar"/>
    <w:uiPriority w:val="99"/>
    <w:rsid w:val="00996419"/>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996419"/>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996419"/>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996419"/>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994120"/>
    <w:pPr>
      <w:adjustRightInd w:val="0"/>
      <w:snapToGrid w:val="0"/>
      <w:spacing w:line="260" w:lineRule="atLeast"/>
      <w:jc w:val="both"/>
    </w:pPr>
    <w:rPr>
      <w:rFonts w:ascii="Palatino Linotype" w:eastAsia="Times New Roman" w:hAnsi="Palatino Linotype"/>
      <w:i/>
      <w:color w:val="000000"/>
      <w:sz w:val="24"/>
      <w:szCs w:val="22"/>
      <w:lang w:val="en-US" w:eastAsia="de-CH"/>
    </w:rPr>
  </w:style>
  <w:style w:type="paragraph" w:customStyle="1" w:styleId="MDPI32textnoindent">
    <w:name w:val="MDPI_3.2_text_no_indent"/>
    <w:qFormat/>
    <w:rsid w:val="00994120"/>
    <w:pPr>
      <w:adjustRightInd w:val="0"/>
      <w:snapToGrid w:val="0"/>
      <w:spacing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3textspaceafter">
    <w:name w:val="MDPI_3.3_text_space_after"/>
    <w:qFormat/>
    <w:rsid w:val="00994120"/>
    <w:pPr>
      <w:spacing w:after="240"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4textspacebefore">
    <w:name w:val="MDPI_3.4_text_space_before"/>
    <w:qFormat/>
    <w:rsid w:val="00994120"/>
    <w:pPr>
      <w:spacing w:before="240"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5textbeforelist">
    <w:name w:val="MDPI_3.5_text_before_list"/>
    <w:qFormat/>
    <w:rsid w:val="00994120"/>
    <w:pPr>
      <w:spacing w:after="120"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6textafterlist">
    <w:name w:val="MDPI_3.6_text_after_list"/>
    <w:qFormat/>
    <w:rsid w:val="00994120"/>
    <w:pPr>
      <w:spacing w:before="120"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7itemize">
    <w:name w:val="MDPI_3.7_itemize"/>
    <w:qFormat/>
    <w:rsid w:val="00994120"/>
    <w:pPr>
      <w:numPr>
        <w:numId w:val="5"/>
      </w:numPr>
      <w:spacing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8bullet">
    <w:name w:val="MDPI_3.8_bullet"/>
    <w:qFormat/>
    <w:rsid w:val="00994120"/>
    <w:pPr>
      <w:numPr>
        <w:numId w:val="6"/>
      </w:numPr>
      <w:adjustRightInd w:val="0"/>
      <w:snapToGrid w:val="0"/>
      <w:spacing w:line="260" w:lineRule="atLeast"/>
      <w:jc w:val="both"/>
    </w:pPr>
    <w:rPr>
      <w:rFonts w:ascii="Palatino Linotype" w:eastAsia="Times New Roman" w:hAnsi="Palatino Linotype"/>
      <w:snapToGrid w:val="0"/>
      <w:color w:val="000000"/>
      <w:szCs w:val="22"/>
      <w:lang w:val="en-US" w:eastAsia="de-DE" w:bidi="en-US"/>
    </w:rPr>
  </w:style>
  <w:style w:type="paragraph" w:customStyle="1" w:styleId="MDPI39equation">
    <w:name w:val="MDPI_3.9_equation"/>
    <w:qFormat/>
    <w:rsid w:val="00994120"/>
    <w:pPr>
      <w:adjustRightInd w:val="0"/>
      <w:snapToGrid w:val="0"/>
      <w:spacing w:before="120" w:after="120" w:line="260" w:lineRule="atLeast"/>
      <w:ind w:left="709"/>
      <w:jc w:val="center"/>
    </w:pPr>
    <w:rPr>
      <w:rFonts w:ascii="Palatino Linotype" w:eastAsia="Times New Roman" w:hAnsi="Palatino Linotype"/>
      <w:snapToGrid w:val="0"/>
      <w:color w:val="000000"/>
      <w:szCs w:val="22"/>
      <w:lang w:val="en-US" w:eastAsia="de-DE" w:bidi="en-US"/>
    </w:rPr>
  </w:style>
  <w:style w:type="paragraph" w:customStyle="1" w:styleId="MDPI3aequationnumber">
    <w:name w:val="MDPI_3.a_equation_number"/>
    <w:qFormat/>
    <w:rsid w:val="00994120"/>
    <w:pPr>
      <w:spacing w:before="120" w:after="120"/>
      <w:jc w:val="right"/>
    </w:pPr>
    <w:rPr>
      <w:rFonts w:ascii="Palatino Linotype" w:eastAsia="Times New Roman" w:hAnsi="Palatino Linotype"/>
      <w:snapToGrid w:val="0"/>
      <w:color w:val="000000"/>
      <w:szCs w:val="22"/>
      <w:lang w:val="en-US" w:eastAsia="de-DE" w:bidi="en-US"/>
    </w:rPr>
  </w:style>
  <w:style w:type="paragraph" w:customStyle="1" w:styleId="MDPI62Acknowledgments">
    <w:name w:val="MDPI_6.2_Acknowledgments"/>
    <w:qFormat/>
    <w:rsid w:val="00994120"/>
    <w:pPr>
      <w:adjustRightInd w:val="0"/>
      <w:snapToGrid w:val="0"/>
      <w:spacing w:before="120" w:line="200" w:lineRule="atLeast"/>
      <w:jc w:val="both"/>
    </w:pPr>
    <w:rPr>
      <w:rFonts w:ascii="Palatino Linotype" w:eastAsia="Times New Roman" w:hAnsi="Palatino Linotype"/>
      <w:snapToGrid w:val="0"/>
      <w:color w:val="000000"/>
      <w:sz w:val="18"/>
      <w:lang w:val="en-US" w:eastAsia="de-DE" w:bidi="en-US"/>
    </w:rPr>
  </w:style>
  <w:style w:type="paragraph" w:customStyle="1" w:styleId="MDPI41tablecaption">
    <w:name w:val="MDPI_4.1_table_caption"/>
    <w:qFormat/>
    <w:rsid w:val="00994120"/>
    <w:pPr>
      <w:adjustRightInd w:val="0"/>
      <w:snapToGrid w:val="0"/>
      <w:spacing w:before="240" w:after="120" w:line="260" w:lineRule="atLeast"/>
      <w:ind w:left="425" w:right="425"/>
      <w:jc w:val="both"/>
    </w:pPr>
    <w:rPr>
      <w:rFonts w:ascii="Palatino Linotype" w:eastAsia="Times New Roman" w:hAnsi="Palatino Linotype" w:cstheme="minorBidi"/>
      <w:color w:val="000000"/>
      <w:sz w:val="18"/>
      <w:szCs w:val="22"/>
      <w:lang w:val="en-US" w:eastAsia="de-DE" w:bidi="en-US"/>
    </w:rPr>
  </w:style>
  <w:style w:type="paragraph" w:customStyle="1" w:styleId="MDPI42tablebody">
    <w:name w:val="MDPI_4.2_table_body"/>
    <w:qFormat/>
    <w:rsid w:val="004B7429"/>
    <w:pPr>
      <w:adjustRightInd w:val="0"/>
      <w:snapToGrid w:val="0"/>
      <w:spacing w:line="260" w:lineRule="atLeast"/>
      <w:jc w:val="center"/>
    </w:pPr>
    <w:rPr>
      <w:rFonts w:ascii="Palatino Linotype" w:eastAsia="Times New Roman" w:hAnsi="Palatino Linotype"/>
      <w:snapToGrid w:val="0"/>
      <w:color w:val="000000"/>
      <w:lang w:val="en-US" w:eastAsia="de-DE" w:bidi="en-US"/>
    </w:rPr>
  </w:style>
  <w:style w:type="paragraph" w:customStyle="1" w:styleId="MDPI43tablefooter">
    <w:name w:val="MDPI_4.3_table_footer"/>
    <w:next w:val="MDPI31text"/>
    <w:qFormat/>
    <w:rsid w:val="00994120"/>
    <w:pPr>
      <w:adjustRightInd w:val="0"/>
      <w:snapToGrid w:val="0"/>
      <w:spacing w:after="240" w:line="260" w:lineRule="atLeast"/>
      <w:jc w:val="both"/>
    </w:pPr>
    <w:rPr>
      <w:rFonts w:ascii="Palatino Linotype" w:eastAsia="Times New Roman" w:hAnsi="Palatino Linotype" w:cstheme="minorBidi"/>
      <w:color w:val="000000"/>
      <w:sz w:val="18"/>
      <w:szCs w:val="22"/>
      <w:lang w:val="en-US" w:eastAsia="de-DE" w:bidi="en-US"/>
    </w:rPr>
  </w:style>
  <w:style w:type="paragraph" w:customStyle="1" w:styleId="MDPI51figurecaption">
    <w:name w:val="MDPI_5.1_figure_caption"/>
    <w:qFormat/>
    <w:rsid w:val="00994120"/>
    <w:pPr>
      <w:adjustRightInd w:val="0"/>
      <w:snapToGrid w:val="0"/>
      <w:spacing w:before="120" w:after="240" w:line="260" w:lineRule="atLeast"/>
      <w:ind w:left="425" w:right="425"/>
      <w:jc w:val="both"/>
    </w:pPr>
    <w:rPr>
      <w:rFonts w:ascii="Palatino Linotype" w:eastAsia="Times New Roman" w:hAnsi="Palatino Linotype"/>
      <w:color w:val="000000"/>
      <w:sz w:val="18"/>
      <w:lang w:val="en-US" w:eastAsia="de-DE" w:bidi="en-US"/>
    </w:rPr>
  </w:style>
  <w:style w:type="paragraph" w:customStyle="1" w:styleId="MDPI52figure">
    <w:name w:val="MDPI_5.2_figure"/>
    <w:qFormat/>
    <w:rsid w:val="00994120"/>
    <w:pPr>
      <w:adjustRightInd w:val="0"/>
      <w:snapToGrid w:val="0"/>
      <w:spacing w:before="240" w:after="120" w:line="260" w:lineRule="atLeast"/>
      <w:jc w:val="center"/>
    </w:pPr>
    <w:rPr>
      <w:rFonts w:ascii="Palatino Linotype" w:eastAsia="Times New Roman" w:hAnsi="Palatino Linotype"/>
      <w:snapToGrid w:val="0"/>
      <w:color w:val="000000"/>
      <w:lang w:val="en-US" w:eastAsia="de-DE" w:bidi="en-US"/>
    </w:rPr>
  </w:style>
  <w:style w:type="paragraph" w:customStyle="1" w:styleId="MDPI61Supplementary">
    <w:name w:val="MDPI_6.1_Supplementary"/>
    <w:qFormat/>
    <w:rsid w:val="00994120"/>
    <w:pPr>
      <w:spacing w:before="240" w:line="260" w:lineRule="atLeast"/>
      <w:jc w:val="both"/>
    </w:pPr>
    <w:rPr>
      <w:rFonts w:ascii="Palatino Linotype" w:eastAsia="Times New Roman" w:hAnsi="Palatino Linotype"/>
      <w:snapToGrid w:val="0"/>
      <w:color w:val="000000"/>
      <w:sz w:val="18"/>
      <w:lang w:val="en-US" w:eastAsia="zh-CN" w:bidi="en-US"/>
    </w:rPr>
  </w:style>
  <w:style w:type="paragraph" w:customStyle="1" w:styleId="MDPI63AuthorContributions">
    <w:name w:val="MDPI_6.3_AuthorContributions"/>
    <w:qFormat/>
    <w:rsid w:val="00994120"/>
    <w:pPr>
      <w:spacing w:line="260" w:lineRule="atLeast"/>
      <w:jc w:val="both"/>
    </w:pPr>
    <w:rPr>
      <w:rFonts w:ascii="Palatino Linotype" w:hAnsi="Palatino Linotype"/>
      <w:snapToGrid w:val="0"/>
      <w:sz w:val="18"/>
      <w:lang w:val="en-US" w:eastAsia="zh-CN" w:bidi="en-US"/>
    </w:rPr>
  </w:style>
  <w:style w:type="paragraph" w:customStyle="1" w:styleId="MDPI64CoI">
    <w:name w:val="MDPI_6.4_CoI"/>
    <w:qFormat/>
    <w:rsid w:val="00994120"/>
    <w:pPr>
      <w:adjustRightInd w:val="0"/>
      <w:snapToGrid w:val="0"/>
      <w:spacing w:before="120" w:after="120" w:line="260" w:lineRule="atLeast"/>
      <w:jc w:val="both"/>
    </w:pPr>
    <w:rPr>
      <w:rFonts w:ascii="Palatino Linotype" w:eastAsia="Times New Roman" w:hAnsi="Palatino Linotype"/>
      <w:snapToGrid w:val="0"/>
      <w:color w:val="000000"/>
      <w:sz w:val="18"/>
      <w:lang w:val="en-US" w:eastAsia="de-DE" w:bidi="en-US"/>
    </w:rPr>
  </w:style>
  <w:style w:type="paragraph" w:customStyle="1" w:styleId="MDPI81theorem">
    <w:name w:val="MDPI_8.1_theorem"/>
    <w:qFormat/>
    <w:rsid w:val="00994120"/>
    <w:pPr>
      <w:spacing w:line="260" w:lineRule="atLeast"/>
      <w:jc w:val="both"/>
    </w:pPr>
    <w:rPr>
      <w:rFonts w:ascii="Palatino Linotype" w:eastAsia="Times New Roman" w:hAnsi="Palatino Linotype"/>
      <w:i/>
      <w:snapToGrid w:val="0"/>
      <w:color w:val="000000"/>
      <w:szCs w:val="22"/>
      <w:lang w:val="en-US" w:eastAsia="de-DE" w:bidi="en-US"/>
    </w:rPr>
  </w:style>
  <w:style w:type="paragraph" w:customStyle="1" w:styleId="MDPI82proof">
    <w:name w:val="MDPI_8.2_proof"/>
    <w:qFormat/>
    <w:rsid w:val="00994120"/>
    <w:pPr>
      <w:spacing w:line="260" w:lineRule="atLeast"/>
      <w:jc w:val="both"/>
    </w:pPr>
    <w:rPr>
      <w:rFonts w:ascii="Palatino Linotype" w:eastAsia="Times New Roman" w:hAnsi="Palatino Linotype"/>
      <w:snapToGrid w:val="0"/>
      <w:color w:val="000000"/>
      <w:szCs w:val="22"/>
      <w:lang w:val="en-US" w:eastAsia="de-DE" w:bidi="en-US"/>
    </w:rPr>
  </w:style>
  <w:style w:type="paragraph" w:customStyle="1" w:styleId="MDPIfooterfirstpage">
    <w:name w:val="MDPI_footer_firstpage"/>
    <w:qFormat/>
    <w:rsid w:val="00994120"/>
    <w:pPr>
      <w:tabs>
        <w:tab w:val="right" w:pos="8845"/>
      </w:tabs>
      <w:spacing w:line="160" w:lineRule="exact"/>
    </w:pPr>
    <w:rPr>
      <w:rFonts w:ascii="Palatino Linotype" w:eastAsia="Times New Roman" w:hAnsi="Palatino Linotype"/>
      <w:color w:val="000000"/>
      <w:sz w:val="16"/>
      <w:lang w:val="en-US" w:eastAsia="de-DE"/>
    </w:rPr>
  </w:style>
  <w:style w:type="paragraph" w:customStyle="1" w:styleId="MDPI31text">
    <w:name w:val="MDPI_3.1_text"/>
    <w:qFormat/>
    <w:rsid w:val="00994120"/>
    <w:pPr>
      <w:adjustRightInd w:val="0"/>
      <w:snapToGrid w:val="0"/>
      <w:spacing w:line="260" w:lineRule="atLeast"/>
      <w:ind w:firstLine="425"/>
      <w:jc w:val="both"/>
    </w:pPr>
    <w:rPr>
      <w:rFonts w:ascii="Palatino Linotype" w:eastAsia="Times New Roman" w:hAnsi="Palatino Linotype"/>
      <w:snapToGrid w:val="0"/>
      <w:color w:val="000000"/>
      <w:szCs w:val="22"/>
      <w:lang w:val="en-US" w:eastAsia="de-DE" w:bidi="en-US"/>
    </w:rPr>
  </w:style>
  <w:style w:type="paragraph" w:customStyle="1" w:styleId="MDPI23heading3">
    <w:name w:val="MDPI_2.3_heading3"/>
    <w:qFormat/>
    <w:rsid w:val="00994120"/>
    <w:pPr>
      <w:adjustRightInd w:val="0"/>
      <w:snapToGrid w:val="0"/>
      <w:spacing w:before="240" w:after="120" w:line="260" w:lineRule="atLeast"/>
      <w:outlineLvl w:val="2"/>
    </w:pPr>
    <w:rPr>
      <w:rFonts w:ascii="Palatino Linotype" w:eastAsia="Times New Roman" w:hAnsi="Palatino Linotype"/>
      <w:snapToGrid w:val="0"/>
      <w:color w:val="000000"/>
      <w:szCs w:val="22"/>
      <w:lang w:val="en-US" w:eastAsia="de-DE" w:bidi="en-US"/>
    </w:rPr>
  </w:style>
  <w:style w:type="paragraph" w:customStyle="1" w:styleId="MDPI21heading1">
    <w:name w:val="MDPI_2.1_heading1"/>
    <w:qFormat/>
    <w:rsid w:val="00994120"/>
    <w:pPr>
      <w:adjustRightInd w:val="0"/>
      <w:snapToGrid w:val="0"/>
      <w:spacing w:before="240" w:after="120" w:line="260" w:lineRule="atLeast"/>
      <w:jc w:val="both"/>
      <w:outlineLvl w:val="0"/>
    </w:pPr>
    <w:rPr>
      <w:rFonts w:ascii="Palatino Linotype" w:eastAsia="Times New Roman" w:hAnsi="Palatino Linotype"/>
      <w:b/>
      <w:snapToGrid w:val="0"/>
      <w:color w:val="000000"/>
      <w:szCs w:val="22"/>
      <w:lang w:val="en-US" w:eastAsia="de-DE" w:bidi="en-US"/>
    </w:rPr>
  </w:style>
  <w:style w:type="paragraph" w:customStyle="1" w:styleId="MDPI22heading2">
    <w:name w:val="MDPI_2.2_heading2"/>
    <w:qFormat/>
    <w:rsid w:val="00994120"/>
    <w:pPr>
      <w:adjustRightInd w:val="0"/>
      <w:snapToGrid w:val="0"/>
      <w:spacing w:before="240" w:after="120" w:line="260" w:lineRule="atLeast"/>
      <w:outlineLvl w:val="1"/>
    </w:pPr>
    <w:rPr>
      <w:rFonts w:ascii="Palatino Linotype" w:eastAsia="Times New Roman" w:hAnsi="Palatino Linotype"/>
      <w:i/>
      <w:noProof/>
      <w:snapToGrid w:val="0"/>
      <w:color w:val="000000"/>
      <w:szCs w:val="22"/>
      <w:lang w:val="en-US" w:eastAsia="de-DE" w:bidi="en-US"/>
    </w:rPr>
  </w:style>
  <w:style w:type="paragraph" w:customStyle="1" w:styleId="MDPI71References">
    <w:name w:val="MDPI_7.1_References"/>
    <w:qFormat/>
    <w:rsid w:val="00994120"/>
    <w:pPr>
      <w:numPr>
        <w:numId w:val="7"/>
      </w:numPr>
      <w:spacing w:line="260" w:lineRule="atLeast"/>
      <w:jc w:val="both"/>
    </w:pPr>
    <w:rPr>
      <w:rFonts w:ascii="Palatino Linotype" w:eastAsia="Times New Roman" w:hAnsi="Palatino Linotype"/>
      <w:snapToGrid w:val="0"/>
      <w:color w:val="000000"/>
      <w:sz w:val="18"/>
      <w:lang w:val="en-US" w:eastAsia="de-DE" w:bidi="en-US"/>
    </w:rPr>
  </w:style>
  <w:style w:type="paragraph" w:styleId="BalloonText">
    <w:name w:val="Balloon Text"/>
    <w:basedOn w:val="Normal"/>
    <w:link w:val="BalloonTextChar"/>
    <w:uiPriority w:val="99"/>
    <w:semiHidden/>
    <w:unhideWhenUsed/>
    <w:rsid w:val="00996419"/>
    <w:pPr>
      <w:spacing w:line="240" w:lineRule="auto"/>
    </w:pPr>
    <w:rPr>
      <w:sz w:val="18"/>
      <w:szCs w:val="18"/>
    </w:rPr>
  </w:style>
  <w:style w:type="character" w:customStyle="1" w:styleId="BalloonTextChar">
    <w:name w:val="Balloon Text Char"/>
    <w:link w:val="BalloonText"/>
    <w:uiPriority w:val="99"/>
    <w:semiHidden/>
    <w:rsid w:val="00996419"/>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996419"/>
  </w:style>
  <w:style w:type="table" w:customStyle="1" w:styleId="MDPI41threelinetable">
    <w:name w:val="MDPI_4.1_three_line_table"/>
    <w:basedOn w:val="TableNormal"/>
    <w:uiPriority w:val="99"/>
    <w:rsid w:val="00994120"/>
    <w:pPr>
      <w:adjustRightInd w:val="0"/>
      <w:snapToGrid w:val="0"/>
      <w:jc w:val="center"/>
    </w:pPr>
    <w:rPr>
      <w:rFonts w:ascii="Palatino Linotype" w:eastAsiaTheme="minorEastAsia" w:hAnsi="Palatino Linotype"/>
      <w:color w:val="000000"/>
      <w:lang w:val="en-US" w:eastAsia="zh-CN"/>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unhideWhenUsed/>
    <w:rsid w:val="00BF5D96"/>
    <w:rPr>
      <w:color w:val="0563C1"/>
      <w:u w:val="single"/>
    </w:rPr>
  </w:style>
  <w:style w:type="character" w:customStyle="1" w:styleId="UnresolvedMention1">
    <w:name w:val="Unresolved Mention1"/>
    <w:uiPriority w:val="99"/>
    <w:semiHidden/>
    <w:unhideWhenUsed/>
    <w:rsid w:val="0034278A"/>
    <w:rPr>
      <w:color w:val="605E5C"/>
      <w:shd w:val="clear" w:color="auto" w:fill="E1DFDD"/>
    </w:rPr>
  </w:style>
  <w:style w:type="table" w:styleId="TableGrid">
    <w:name w:val="Table Grid"/>
    <w:basedOn w:val="TableNormal"/>
    <w:uiPriority w:val="39"/>
    <w:rsid w:val="00853B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853B8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74PublishersNote">
    <w:name w:val="MDPI_7.4_Publisher'sNote"/>
    <w:qFormat/>
    <w:rsid w:val="004B1358"/>
    <w:pPr>
      <w:adjustRightInd w:val="0"/>
      <w:snapToGrid w:val="0"/>
      <w:spacing w:before="240" w:after="240" w:line="200" w:lineRule="atLeast"/>
    </w:pPr>
    <w:rPr>
      <w:rFonts w:ascii="Palatino Linotype" w:hAnsi="Palatino Linotype"/>
      <w:sz w:val="18"/>
      <w:szCs w:val="22"/>
      <w:lang w:val="en-US" w:eastAsia="zh-CN"/>
    </w:rPr>
  </w:style>
  <w:style w:type="character" w:customStyle="1" w:styleId="UnresolvedMention">
    <w:name w:val="Unresolved Mention"/>
    <w:basedOn w:val="DefaultParagraphFont"/>
    <w:uiPriority w:val="99"/>
    <w:semiHidden/>
    <w:unhideWhenUsed/>
    <w:rsid w:val="0079083E"/>
    <w:rPr>
      <w:color w:val="605E5C"/>
      <w:shd w:val="clear" w:color="auto" w:fill="E1DFDD"/>
    </w:rPr>
  </w:style>
  <w:style w:type="paragraph" w:customStyle="1" w:styleId="Bibliographie3">
    <w:name w:val="Bibliographie3"/>
    <w:basedOn w:val="Normal"/>
    <w:link w:val="BibliographyCar3"/>
    <w:rsid w:val="00EE4386"/>
    <w:pPr>
      <w:tabs>
        <w:tab w:val="left" w:pos="500"/>
      </w:tabs>
      <w:spacing w:line="240" w:lineRule="auto"/>
      <w:ind w:left="504" w:hanging="504"/>
    </w:pPr>
    <w:rPr>
      <w:rFonts w:eastAsiaTheme="minorEastAsia"/>
      <w:color w:val="auto"/>
      <w:szCs w:val="24"/>
      <w:lang w:eastAsia="en-US"/>
    </w:rPr>
  </w:style>
  <w:style w:type="character" w:customStyle="1" w:styleId="BibliographyCar3">
    <w:name w:val="Bibliography Car3"/>
    <w:basedOn w:val="DefaultParagraphFont"/>
    <w:link w:val="Bibliographie3"/>
    <w:rsid w:val="00EE4386"/>
    <w:rPr>
      <w:rFonts w:ascii="Times New Roman" w:eastAsiaTheme="minorEastAsia" w:hAnsi="Times New Roman"/>
      <w:sz w:val="24"/>
      <w:szCs w:val="24"/>
      <w:lang w:val="en-US" w:eastAsia="en-US"/>
    </w:rPr>
  </w:style>
  <w:style w:type="paragraph" w:customStyle="1" w:styleId="MDPI15academiceditor">
    <w:name w:val="MDPI_1.5_academic_editor"/>
    <w:qFormat/>
    <w:rsid w:val="00994120"/>
    <w:pPr>
      <w:adjustRightInd w:val="0"/>
      <w:snapToGrid w:val="0"/>
      <w:spacing w:line="260" w:lineRule="atLeast"/>
      <w:ind w:left="113"/>
    </w:pPr>
    <w:rPr>
      <w:rFonts w:ascii="Palatino Linotype" w:eastAsia="Times New Roman" w:hAnsi="Palatino Linotype"/>
      <w:color w:val="000000"/>
      <w:sz w:val="18"/>
      <w:szCs w:val="22"/>
      <w:lang w:val="en-US" w:eastAsia="de-DE" w:bidi="en-US"/>
    </w:rPr>
  </w:style>
  <w:style w:type="paragraph" w:customStyle="1" w:styleId="MDPI19classification">
    <w:name w:val="MDPI_1.9_classification"/>
    <w:qFormat/>
    <w:rsid w:val="00994120"/>
    <w:pPr>
      <w:spacing w:before="240" w:line="260" w:lineRule="atLeast"/>
      <w:ind w:left="113"/>
      <w:jc w:val="both"/>
    </w:pPr>
    <w:rPr>
      <w:rFonts w:ascii="Palatino Linotype" w:eastAsia="Times New Roman" w:hAnsi="Palatino Linotype"/>
      <w:b/>
      <w:color w:val="000000"/>
      <w:szCs w:val="22"/>
      <w:lang w:val="en-US" w:eastAsia="de-DE" w:bidi="en-US"/>
    </w:rPr>
  </w:style>
  <w:style w:type="paragraph" w:customStyle="1" w:styleId="MDPI411onetablecaption">
    <w:name w:val="MDPI_4.1.1_one_table_caption"/>
    <w:qFormat/>
    <w:rsid w:val="00994120"/>
    <w:pPr>
      <w:adjustRightInd w:val="0"/>
      <w:snapToGrid w:val="0"/>
      <w:spacing w:before="240" w:after="120" w:line="260" w:lineRule="atLeast"/>
      <w:jc w:val="center"/>
    </w:pPr>
    <w:rPr>
      <w:rFonts w:ascii="Palatino Linotype" w:eastAsiaTheme="minorEastAsia" w:hAnsi="Palatino Linotype" w:cstheme="minorBidi"/>
      <w:noProof/>
      <w:color w:val="000000"/>
      <w:sz w:val="18"/>
      <w:szCs w:val="22"/>
      <w:lang w:val="en-US" w:eastAsia="zh-CN" w:bidi="en-US"/>
    </w:rPr>
  </w:style>
  <w:style w:type="paragraph" w:customStyle="1" w:styleId="MDPI511onefigurecaption">
    <w:name w:val="MDPI_5.1.1_one_figure_caption"/>
    <w:qFormat/>
    <w:rsid w:val="00994120"/>
    <w:pPr>
      <w:adjustRightInd w:val="0"/>
      <w:snapToGrid w:val="0"/>
      <w:spacing w:before="240" w:after="120" w:line="260" w:lineRule="atLeast"/>
      <w:jc w:val="center"/>
    </w:pPr>
    <w:rPr>
      <w:rFonts w:ascii="Palatino Linotype" w:eastAsiaTheme="minorEastAsia" w:hAnsi="Palatino Linotype"/>
      <w:noProof/>
      <w:color w:val="000000"/>
      <w:sz w:val="18"/>
      <w:lang w:val="en-US" w:eastAsia="zh-CN" w:bidi="en-US"/>
    </w:rPr>
  </w:style>
  <w:style w:type="paragraph" w:customStyle="1" w:styleId="MDPI72Copyright">
    <w:name w:val="MDPI_7.2_Copyright"/>
    <w:qFormat/>
    <w:rsid w:val="00994120"/>
    <w:pPr>
      <w:adjustRightInd w:val="0"/>
      <w:snapToGrid w:val="0"/>
      <w:spacing w:before="400" w:line="260" w:lineRule="atLeast"/>
      <w:jc w:val="both"/>
    </w:pPr>
    <w:rPr>
      <w:rFonts w:ascii="Palatino Linotype" w:eastAsia="Times New Roman" w:hAnsi="Palatino Linotype"/>
      <w:noProof/>
      <w:snapToGrid w:val="0"/>
      <w:color w:val="000000"/>
      <w:spacing w:val="-2"/>
      <w:sz w:val="18"/>
      <w:lang w:val="en-GB" w:eastAsia="en-GB"/>
    </w:rPr>
  </w:style>
  <w:style w:type="paragraph" w:customStyle="1" w:styleId="MDPI73CopyrightImage">
    <w:name w:val="MDPI_7.3_CopyrightImage"/>
    <w:rsid w:val="00994120"/>
    <w:pPr>
      <w:adjustRightInd w:val="0"/>
      <w:snapToGrid w:val="0"/>
      <w:spacing w:after="100" w:line="260" w:lineRule="atLeast"/>
      <w:jc w:val="right"/>
    </w:pPr>
    <w:rPr>
      <w:rFonts w:ascii="Palatino Linotype" w:eastAsia="Times New Roman" w:hAnsi="Palatino Linotype"/>
      <w:color w:val="000000"/>
      <w:lang w:val="en-US" w:eastAsia="de-CH"/>
    </w:rPr>
  </w:style>
  <w:style w:type="paragraph" w:customStyle="1" w:styleId="MDPIequationFram">
    <w:name w:val="MDPI_equationFram"/>
    <w:qFormat/>
    <w:rsid w:val="00994120"/>
    <w:pPr>
      <w:adjustRightInd w:val="0"/>
      <w:snapToGrid w:val="0"/>
      <w:spacing w:before="120" w:after="120"/>
      <w:jc w:val="center"/>
    </w:pPr>
    <w:rPr>
      <w:rFonts w:ascii="Palatino Linotype" w:eastAsia="Times New Roman" w:hAnsi="Palatino Linotype"/>
      <w:snapToGrid w:val="0"/>
      <w:color w:val="000000"/>
      <w:szCs w:val="22"/>
      <w:lang w:val="en-US" w:eastAsia="de-DE" w:bidi="en-US"/>
    </w:rPr>
  </w:style>
  <w:style w:type="paragraph" w:customStyle="1" w:styleId="MDPIfooter">
    <w:name w:val="MDPI_footer"/>
    <w:qFormat/>
    <w:rsid w:val="00994120"/>
    <w:pPr>
      <w:adjustRightInd w:val="0"/>
      <w:snapToGrid w:val="0"/>
      <w:spacing w:before="120" w:line="260" w:lineRule="atLeast"/>
      <w:jc w:val="center"/>
    </w:pPr>
    <w:rPr>
      <w:rFonts w:ascii="Palatino Linotype" w:eastAsia="Times New Roman" w:hAnsi="Palatino Linotype"/>
      <w:color w:val="000000"/>
      <w:lang w:val="en-US" w:eastAsia="de-DE"/>
    </w:rPr>
  </w:style>
  <w:style w:type="paragraph" w:customStyle="1" w:styleId="MDPIheader">
    <w:name w:val="MDPI_header"/>
    <w:qFormat/>
    <w:rsid w:val="00994120"/>
    <w:pPr>
      <w:adjustRightInd w:val="0"/>
      <w:snapToGrid w:val="0"/>
      <w:spacing w:after="240" w:line="260" w:lineRule="atLeast"/>
      <w:jc w:val="both"/>
    </w:pPr>
    <w:rPr>
      <w:rFonts w:ascii="Palatino Linotype" w:eastAsia="Times New Roman" w:hAnsi="Palatino Linotype"/>
      <w:iCs/>
      <w:color w:val="000000"/>
      <w:sz w:val="16"/>
      <w:lang w:val="en-US" w:eastAsia="de-DE"/>
    </w:rPr>
  </w:style>
  <w:style w:type="paragraph" w:customStyle="1" w:styleId="MDPIheadercitation">
    <w:name w:val="MDPI_header_citation"/>
    <w:rsid w:val="00994120"/>
    <w:pPr>
      <w:spacing w:after="240"/>
    </w:pPr>
    <w:rPr>
      <w:rFonts w:ascii="Palatino Linotype" w:eastAsia="Times New Roman" w:hAnsi="Palatino Linotype"/>
      <w:snapToGrid w:val="0"/>
      <w:color w:val="000000"/>
      <w:sz w:val="18"/>
      <w:lang w:val="en-US" w:eastAsia="de-DE" w:bidi="en-US"/>
    </w:rPr>
  </w:style>
  <w:style w:type="paragraph" w:customStyle="1" w:styleId="MDPIheadermdpilogo">
    <w:name w:val="MDPI_header_mdpi_logo"/>
    <w:qFormat/>
    <w:rsid w:val="00994120"/>
    <w:pPr>
      <w:adjustRightInd w:val="0"/>
      <w:snapToGrid w:val="0"/>
      <w:spacing w:line="260" w:lineRule="atLeast"/>
      <w:jc w:val="right"/>
    </w:pPr>
    <w:rPr>
      <w:rFonts w:ascii="Palatino Linotype" w:eastAsia="Times New Roman" w:hAnsi="Palatino Linotype"/>
      <w:color w:val="000000"/>
      <w:sz w:val="24"/>
      <w:szCs w:val="22"/>
      <w:lang w:val="en-US" w:eastAsia="de-CH"/>
    </w:rPr>
  </w:style>
  <w:style w:type="paragraph" w:customStyle="1" w:styleId="MDPItext">
    <w:name w:val="MDPI_text"/>
    <w:qFormat/>
    <w:rsid w:val="00994120"/>
    <w:pPr>
      <w:spacing w:line="260" w:lineRule="atLeast"/>
      <w:ind w:left="425" w:right="425" w:firstLine="284"/>
      <w:jc w:val="both"/>
    </w:pPr>
    <w:rPr>
      <w:rFonts w:ascii="Times New Roman" w:eastAsia="Times New Roman" w:hAnsi="Times New Roman"/>
      <w:noProof/>
      <w:snapToGrid w:val="0"/>
      <w:color w:val="000000"/>
      <w:sz w:val="22"/>
      <w:szCs w:val="22"/>
      <w:lang w:val="en-US" w:eastAsia="de-DE" w:bidi="en-US"/>
    </w:rPr>
  </w:style>
  <w:style w:type="paragraph" w:customStyle="1" w:styleId="MDPItitle">
    <w:name w:val="MDPI_title"/>
    <w:qFormat/>
    <w:rsid w:val="00994120"/>
    <w:pPr>
      <w:adjustRightInd w:val="0"/>
      <w:snapToGrid w:val="0"/>
      <w:spacing w:after="240" w:line="260" w:lineRule="atLeast"/>
      <w:jc w:val="both"/>
    </w:pPr>
    <w:rPr>
      <w:rFonts w:ascii="Palatino Linotype" w:eastAsia="Times New Roman" w:hAnsi="Palatino Linotype"/>
      <w:b/>
      <w:snapToGrid w:val="0"/>
      <w:color w:val="000000"/>
      <w:sz w:val="36"/>
      <w:lang w:val="en-US" w:eastAsia="de-DE" w:bidi="en-US"/>
    </w:rPr>
  </w:style>
  <w:style w:type="character" w:styleId="CommentReference">
    <w:name w:val="annotation reference"/>
    <w:basedOn w:val="DefaultParagraphFont"/>
    <w:uiPriority w:val="99"/>
    <w:semiHidden/>
    <w:unhideWhenUsed/>
    <w:rsid w:val="00994120"/>
    <w:rPr>
      <w:sz w:val="16"/>
      <w:szCs w:val="16"/>
    </w:rPr>
  </w:style>
  <w:style w:type="paragraph" w:styleId="CommentText">
    <w:name w:val="annotation text"/>
    <w:basedOn w:val="Normal"/>
    <w:link w:val="CommentTextChar"/>
    <w:uiPriority w:val="99"/>
    <w:semiHidden/>
    <w:unhideWhenUsed/>
    <w:rsid w:val="00994120"/>
    <w:pPr>
      <w:spacing w:line="240" w:lineRule="auto"/>
    </w:pPr>
    <w:rPr>
      <w:sz w:val="20"/>
    </w:rPr>
  </w:style>
  <w:style w:type="character" w:customStyle="1" w:styleId="CommentTextChar">
    <w:name w:val="Comment Text Char"/>
    <w:basedOn w:val="DefaultParagraphFont"/>
    <w:link w:val="CommentText"/>
    <w:uiPriority w:val="99"/>
    <w:semiHidden/>
    <w:rsid w:val="00994120"/>
    <w:rPr>
      <w:rFonts w:ascii="Times New Roman" w:eastAsia="Times New Roman" w:hAnsi="Times New Roman"/>
      <w:color w:val="000000"/>
      <w:lang w:val="en-US" w:eastAsia="de-DE"/>
    </w:rPr>
  </w:style>
  <w:style w:type="paragraph" w:styleId="CommentSubject">
    <w:name w:val="annotation subject"/>
    <w:basedOn w:val="CommentText"/>
    <w:next w:val="CommentText"/>
    <w:link w:val="CommentSubjectChar"/>
    <w:uiPriority w:val="99"/>
    <w:semiHidden/>
    <w:unhideWhenUsed/>
    <w:rsid w:val="00994120"/>
    <w:rPr>
      <w:b/>
      <w:bCs/>
    </w:rPr>
  </w:style>
  <w:style w:type="character" w:customStyle="1" w:styleId="CommentSubjectChar">
    <w:name w:val="Comment Subject Char"/>
    <w:basedOn w:val="CommentTextChar"/>
    <w:link w:val="CommentSubject"/>
    <w:uiPriority w:val="99"/>
    <w:semiHidden/>
    <w:rsid w:val="00994120"/>
    <w:rPr>
      <w:rFonts w:ascii="Times New Roman" w:eastAsia="Times New Roman" w:hAnsi="Times New Roman"/>
      <w:b/>
      <w:bCs/>
      <w:color w:val="000000"/>
      <w:lang w:val="en-US"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173797">
      <w:bodyDiv w:val="1"/>
      <w:marLeft w:val="0"/>
      <w:marRight w:val="0"/>
      <w:marTop w:val="0"/>
      <w:marBottom w:val="0"/>
      <w:divBdr>
        <w:top w:val="none" w:sz="0" w:space="0" w:color="auto"/>
        <w:left w:val="none" w:sz="0" w:space="0" w:color="auto"/>
        <w:bottom w:val="none" w:sz="0" w:space="0" w:color="auto"/>
        <w:right w:val="none" w:sz="0" w:space="0" w:color="auto"/>
      </w:divBdr>
    </w:div>
    <w:div w:id="386606886">
      <w:bodyDiv w:val="1"/>
      <w:marLeft w:val="0"/>
      <w:marRight w:val="0"/>
      <w:marTop w:val="0"/>
      <w:marBottom w:val="0"/>
      <w:divBdr>
        <w:top w:val="none" w:sz="0" w:space="0" w:color="auto"/>
        <w:left w:val="none" w:sz="0" w:space="0" w:color="auto"/>
        <w:bottom w:val="none" w:sz="0" w:space="0" w:color="auto"/>
        <w:right w:val="none" w:sz="0" w:space="0" w:color="auto"/>
      </w:divBdr>
    </w:div>
    <w:div w:id="644897731">
      <w:bodyDiv w:val="1"/>
      <w:marLeft w:val="0"/>
      <w:marRight w:val="0"/>
      <w:marTop w:val="0"/>
      <w:marBottom w:val="0"/>
      <w:divBdr>
        <w:top w:val="none" w:sz="0" w:space="0" w:color="auto"/>
        <w:left w:val="none" w:sz="0" w:space="0" w:color="auto"/>
        <w:bottom w:val="none" w:sz="0" w:space="0" w:color="auto"/>
        <w:right w:val="none" w:sz="0" w:space="0" w:color="auto"/>
      </w:divBdr>
    </w:div>
    <w:div w:id="856038590">
      <w:bodyDiv w:val="1"/>
      <w:marLeft w:val="0"/>
      <w:marRight w:val="0"/>
      <w:marTop w:val="0"/>
      <w:marBottom w:val="0"/>
      <w:divBdr>
        <w:top w:val="none" w:sz="0" w:space="0" w:color="auto"/>
        <w:left w:val="none" w:sz="0" w:space="0" w:color="auto"/>
        <w:bottom w:val="none" w:sz="0" w:space="0" w:color="auto"/>
        <w:right w:val="none" w:sz="0" w:space="0" w:color="auto"/>
      </w:divBdr>
    </w:div>
    <w:div w:id="1170288739">
      <w:bodyDiv w:val="1"/>
      <w:marLeft w:val="0"/>
      <w:marRight w:val="0"/>
      <w:marTop w:val="0"/>
      <w:marBottom w:val="0"/>
      <w:divBdr>
        <w:top w:val="none" w:sz="0" w:space="0" w:color="auto"/>
        <w:left w:val="none" w:sz="0" w:space="0" w:color="auto"/>
        <w:bottom w:val="none" w:sz="0" w:space="0" w:color="auto"/>
        <w:right w:val="none" w:sz="0" w:space="0" w:color="auto"/>
      </w:divBdr>
    </w:div>
    <w:div w:id="1199780962">
      <w:bodyDiv w:val="1"/>
      <w:marLeft w:val="0"/>
      <w:marRight w:val="0"/>
      <w:marTop w:val="0"/>
      <w:marBottom w:val="0"/>
      <w:divBdr>
        <w:top w:val="none" w:sz="0" w:space="0" w:color="auto"/>
        <w:left w:val="none" w:sz="0" w:space="0" w:color="auto"/>
        <w:bottom w:val="none" w:sz="0" w:space="0" w:color="auto"/>
        <w:right w:val="none" w:sz="0" w:space="0" w:color="auto"/>
      </w:divBdr>
    </w:div>
    <w:div w:id="1444300212">
      <w:bodyDiv w:val="1"/>
      <w:marLeft w:val="0"/>
      <w:marRight w:val="0"/>
      <w:marTop w:val="0"/>
      <w:marBottom w:val="0"/>
      <w:divBdr>
        <w:top w:val="none" w:sz="0" w:space="0" w:color="auto"/>
        <w:left w:val="none" w:sz="0" w:space="0" w:color="auto"/>
        <w:bottom w:val="none" w:sz="0" w:space="0" w:color="auto"/>
        <w:right w:val="none" w:sz="0" w:space="0" w:color="auto"/>
      </w:divBdr>
    </w:div>
    <w:div w:id="1505509690">
      <w:bodyDiv w:val="1"/>
      <w:marLeft w:val="0"/>
      <w:marRight w:val="0"/>
      <w:marTop w:val="0"/>
      <w:marBottom w:val="0"/>
      <w:divBdr>
        <w:top w:val="none" w:sz="0" w:space="0" w:color="auto"/>
        <w:left w:val="none" w:sz="0" w:space="0" w:color="auto"/>
        <w:bottom w:val="none" w:sz="0" w:space="0" w:color="auto"/>
        <w:right w:val="none" w:sz="0" w:space="0" w:color="auto"/>
      </w:divBdr>
    </w:div>
    <w:div w:id="1620911508">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koyanagi@pssjd.org" TargetMode="External"/><Relationship Id="rId13" Type="http://schemas.openxmlformats.org/officeDocument/2006/relationships/hyperlink" Target="mailto:jaehan0605@yonsei.ac.kr" TargetMode="External"/><Relationship Id="rId18" Type="http://schemas.openxmlformats.org/officeDocument/2006/relationships/image" Target="media/image2.tiff"/><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hyperlink" Target="mailto:louis.jacob.contacts@gmail.com" TargetMode="External"/><Relationship Id="rId12" Type="http://schemas.openxmlformats.org/officeDocument/2006/relationships/hyperlink" Target="mailto:crossing96@yonsei.ac.kr" TargetMode="External"/><Relationship Id="rId17" Type="http://schemas.openxmlformats.org/officeDocument/2006/relationships/image" Target="media/image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mailto:louis.jacob.contacts@gmail.com"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Guillermo.Lopez-Sanchez@aru.ac.uk" TargetMode="External"/><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hyperlink" Target="mailto:lee.smith@anglia.ac.uk" TargetMode="External"/><Relationship Id="rId23" Type="http://schemas.openxmlformats.org/officeDocument/2006/relationships/header" Target="header3.xml"/><Relationship Id="rId10" Type="http://schemas.openxmlformats.org/officeDocument/2006/relationships/hyperlink" Target="mailto:SHINJI@yuhs.ac" TargetMode="External"/><Relationship Id="rId19"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mailto:jmharo@pssjd.org" TargetMode="External"/><Relationship Id="rId14" Type="http://schemas.openxmlformats.org/officeDocument/2006/relationships/hyperlink" Target="mailto:hansoh@gmail.com" TargetMode="External"/><Relationship Id="rId22" Type="http://schemas.openxmlformats.org/officeDocument/2006/relationships/footer" Target="footer1.xml"/></Relationships>
</file>

<file path=word/_rels/head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0.png"/><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4059</Words>
  <Characters>23138</Characters>
  <Application>Microsoft Office Word</Application>
  <DocSecurity>0</DocSecurity>
  <Lines>192</Lines>
  <Paragraphs>54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Article_x000d_Association between arthritis and migraine: a US nationally representative study including </vt:lpstr>
      <vt:lpstr>Article_x000d_Association between arthritis and migraine: a US nationally representative study including </vt:lpstr>
    </vt:vector>
  </TitlesOfParts>
  <Company/>
  <LinksUpToDate>false</LinksUpToDate>
  <CharactersWithSpaces>27143</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Article_x000d_Association between arthritis and migraine: a US nationally representative study including</dc:title>
  <dc:subject/>
  <dc:creator>MDPI</dc:creator>
  <cp:keywords/>
  <dc:description/>
  <cp:lastModifiedBy>Smith, Lee</cp:lastModifiedBy>
  <cp:revision>2</cp:revision>
  <cp:lastPrinted>2020-12-15T07:37:00Z</cp:lastPrinted>
  <dcterms:created xsi:type="dcterms:W3CDTF">2021-01-15T08:56:00Z</dcterms:created>
  <dcterms:modified xsi:type="dcterms:W3CDTF">2021-01-15T08:56:00Z</dcterms:modified>
</cp:coreProperties>
</file>