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172291" w14:textId="3FAF21F0" w:rsidR="00AE2594" w:rsidRDefault="00AE2594" w:rsidP="00AE2594">
      <w:pPr>
        <w:pStyle w:val="Heading1"/>
      </w:pPr>
      <w:r w:rsidRPr="00720CC0">
        <w:t xml:space="preserve">Key challenges </w:t>
      </w:r>
      <w:r>
        <w:t xml:space="preserve">in crossborder </w:t>
      </w:r>
      <w:r w:rsidRPr="00720CC0">
        <w:t xml:space="preserve">interconnector finance </w:t>
      </w:r>
    </w:p>
    <w:p w14:paraId="19CEA875" w14:textId="02DB5171" w:rsidR="006E686F" w:rsidRDefault="006E686F" w:rsidP="00AE2594">
      <w:pPr>
        <w:rPr>
          <w:iCs/>
        </w:rPr>
      </w:pPr>
    </w:p>
    <w:p w14:paraId="734F5B72" w14:textId="77777777" w:rsidR="00324FFA" w:rsidRDefault="00324FFA" w:rsidP="00324FFA">
      <w:pPr>
        <w:rPr>
          <w:iCs/>
        </w:rPr>
      </w:pPr>
      <w:r>
        <w:rPr>
          <w:iCs/>
        </w:rPr>
        <w:t>Kat Buchmann</w:t>
      </w:r>
      <w:r w:rsidRPr="006D2302">
        <w:rPr>
          <w:iCs/>
          <w:vertAlign w:val="superscript"/>
        </w:rPr>
        <w:t>1</w:t>
      </w:r>
      <w:r>
        <w:rPr>
          <w:iCs/>
        </w:rPr>
        <w:t>, Aled Jones *</w:t>
      </w:r>
      <w:r w:rsidRPr="006D2302">
        <w:rPr>
          <w:iCs/>
          <w:vertAlign w:val="superscript"/>
        </w:rPr>
        <w:t>1</w:t>
      </w:r>
      <w:r>
        <w:rPr>
          <w:iCs/>
        </w:rPr>
        <w:t xml:space="preserve">, </w:t>
      </w:r>
      <w:r w:rsidRPr="004B2854">
        <w:rPr>
          <w:iCs/>
        </w:rPr>
        <w:t>Yiyun Zhang</w:t>
      </w:r>
      <w:r>
        <w:rPr>
          <w:iCs/>
          <w:vertAlign w:val="superscript"/>
        </w:rPr>
        <w:t>2</w:t>
      </w:r>
      <w:r w:rsidRPr="004B2854">
        <w:rPr>
          <w:iCs/>
        </w:rPr>
        <w:t>, Johanna Schönecker</w:t>
      </w:r>
      <w:r w:rsidRPr="006D2302">
        <w:rPr>
          <w:iCs/>
          <w:vertAlign w:val="superscript"/>
        </w:rPr>
        <w:t>1</w:t>
      </w:r>
    </w:p>
    <w:p w14:paraId="46742644" w14:textId="77777777" w:rsidR="00324FFA" w:rsidRDefault="00324FFA" w:rsidP="00324FFA">
      <w:pPr>
        <w:rPr>
          <w:iCs/>
        </w:rPr>
      </w:pPr>
      <w:r w:rsidRPr="006D2302">
        <w:rPr>
          <w:iCs/>
          <w:vertAlign w:val="superscript"/>
        </w:rPr>
        <w:t>1</w:t>
      </w:r>
      <w:r>
        <w:rPr>
          <w:iCs/>
        </w:rPr>
        <w:t xml:space="preserve">Global Sustainability Institute, Anglia Ruskin University, East Road, Cambridge, UK </w:t>
      </w:r>
    </w:p>
    <w:p w14:paraId="70ECD04C" w14:textId="77777777" w:rsidR="00324FFA" w:rsidRDefault="00324FFA" w:rsidP="00324FFA">
      <w:pPr>
        <w:rPr>
          <w:iCs/>
        </w:rPr>
      </w:pPr>
      <w:r>
        <w:rPr>
          <w:iCs/>
          <w:vertAlign w:val="superscript"/>
        </w:rPr>
        <w:t>2</w:t>
      </w:r>
      <w:r>
        <w:rPr>
          <w:iCs/>
        </w:rPr>
        <w:t xml:space="preserve">University of Cambridge, Cambridge, UK </w:t>
      </w:r>
    </w:p>
    <w:p w14:paraId="47FFEC65" w14:textId="77777777" w:rsidR="00324FFA" w:rsidRPr="006D2302" w:rsidRDefault="00324FFA" w:rsidP="00324FFA">
      <w:pPr>
        <w:rPr>
          <w:iCs/>
        </w:rPr>
      </w:pPr>
      <w:r>
        <w:rPr>
          <w:iCs/>
        </w:rPr>
        <w:t xml:space="preserve">* </w:t>
      </w:r>
      <w:r w:rsidRPr="006D2302">
        <w:rPr>
          <w:iCs/>
        </w:rPr>
        <w:t xml:space="preserve">Corresponding author: </w:t>
      </w:r>
      <w:hyperlink r:id="rId8" w:history="1">
        <w:r w:rsidRPr="006D2302">
          <w:rPr>
            <w:rStyle w:val="Hyperlink"/>
            <w:iCs/>
          </w:rPr>
          <w:t>aled.jones@anglia.ac.uk</w:t>
        </w:r>
      </w:hyperlink>
      <w:r w:rsidRPr="006D2302">
        <w:rPr>
          <w:iCs/>
        </w:rPr>
        <w:t xml:space="preserve"> </w:t>
      </w:r>
    </w:p>
    <w:p w14:paraId="401CB10A" w14:textId="77777777" w:rsidR="00324FFA" w:rsidRDefault="00324FFA" w:rsidP="00324FFA">
      <w:pPr>
        <w:rPr>
          <w:iCs/>
        </w:rPr>
      </w:pPr>
    </w:p>
    <w:p w14:paraId="27C09803" w14:textId="77777777" w:rsidR="00324FFA" w:rsidRDefault="00324FFA" w:rsidP="00324FFA">
      <w:pPr>
        <w:rPr>
          <w:iCs/>
        </w:rPr>
      </w:pPr>
    </w:p>
    <w:p w14:paraId="32D01200" w14:textId="77777777" w:rsidR="00324FFA" w:rsidRDefault="00324FFA" w:rsidP="00AE2594">
      <w:pPr>
        <w:rPr>
          <w:iCs/>
        </w:rPr>
      </w:pPr>
    </w:p>
    <w:p w14:paraId="475A517A" w14:textId="074B1C9E" w:rsidR="00B61F3B" w:rsidRPr="003A76B3" w:rsidRDefault="00B61F3B" w:rsidP="001005AD">
      <w:pPr>
        <w:pStyle w:val="Heading2"/>
        <w:numPr>
          <w:ilvl w:val="0"/>
          <w:numId w:val="0"/>
        </w:numPr>
        <w:ind w:left="360" w:hanging="360"/>
      </w:pPr>
      <w:r w:rsidRPr="003A76B3">
        <w:t xml:space="preserve">Abstract </w:t>
      </w:r>
    </w:p>
    <w:p w14:paraId="105355BE" w14:textId="583B8AE2" w:rsidR="00AE2594" w:rsidRDefault="00F14299" w:rsidP="00C54CB2">
      <w:pPr>
        <w:spacing w:after="0" w:line="240" w:lineRule="auto"/>
        <w:jc w:val="both"/>
        <w:rPr>
          <w:rFonts w:cstheme="minorHAnsi"/>
        </w:rPr>
      </w:pPr>
      <w:r>
        <w:rPr>
          <w:rFonts w:cstheme="minorHAnsi"/>
        </w:rPr>
        <w:t>This paper</w:t>
      </w:r>
      <w:r w:rsidR="000F2EEA">
        <w:rPr>
          <w:rFonts w:cstheme="minorHAnsi"/>
        </w:rPr>
        <w:t xml:space="preserve"> assess</w:t>
      </w:r>
      <w:r w:rsidR="003A76B3">
        <w:rPr>
          <w:rFonts w:cstheme="minorHAnsi"/>
        </w:rPr>
        <w:t>es</w:t>
      </w:r>
      <w:r w:rsidR="000F2EEA">
        <w:rPr>
          <w:rFonts w:cstheme="minorHAnsi"/>
        </w:rPr>
        <w:t xml:space="preserve"> causes for</w:t>
      </w:r>
      <w:r>
        <w:rPr>
          <w:rFonts w:cstheme="minorHAnsi"/>
        </w:rPr>
        <w:t>,</w:t>
      </w:r>
      <w:r w:rsidR="000F2EEA">
        <w:rPr>
          <w:rFonts w:cstheme="minorHAnsi"/>
        </w:rPr>
        <w:t xml:space="preserve"> </w:t>
      </w:r>
      <w:r w:rsidR="00C820EE">
        <w:rPr>
          <w:rFonts w:cstheme="minorHAnsi"/>
        </w:rPr>
        <w:t>and challenges related to</w:t>
      </w:r>
      <w:r>
        <w:rPr>
          <w:rFonts w:cstheme="minorHAnsi"/>
        </w:rPr>
        <w:t>,</w:t>
      </w:r>
      <w:r w:rsidR="00C820EE">
        <w:rPr>
          <w:rFonts w:cstheme="minorHAnsi"/>
        </w:rPr>
        <w:t xml:space="preserve"> </w:t>
      </w:r>
      <w:r w:rsidR="000F2EEA">
        <w:rPr>
          <w:rFonts w:cstheme="minorHAnsi"/>
        </w:rPr>
        <w:t xml:space="preserve">the funding gap in </w:t>
      </w:r>
      <w:r w:rsidR="009A54B9">
        <w:rPr>
          <w:rFonts w:cstheme="minorHAnsi"/>
        </w:rPr>
        <w:t>infrastructure required for a large</w:t>
      </w:r>
      <w:r w:rsidR="003A76B3">
        <w:rPr>
          <w:rFonts w:cstheme="minorHAnsi"/>
        </w:rPr>
        <w:t xml:space="preserve"> </w:t>
      </w:r>
      <w:r w:rsidR="009A54B9">
        <w:rPr>
          <w:rFonts w:cstheme="minorHAnsi"/>
        </w:rPr>
        <w:t xml:space="preserve">scale increase of </w:t>
      </w:r>
      <w:r w:rsidR="000F2EEA">
        <w:rPr>
          <w:rFonts w:cstheme="minorHAnsi"/>
        </w:rPr>
        <w:t>renewable energy</w:t>
      </w:r>
      <w:r w:rsidR="009A54B9">
        <w:rPr>
          <w:rFonts w:cstheme="minorHAnsi"/>
        </w:rPr>
        <w:t xml:space="preserve"> in the European energy mix, specifically crossborder interconnectors to transport renewable </w:t>
      </w:r>
      <w:r w:rsidR="00B9336E">
        <w:rPr>
          <w:rFonts w:cstheme="minorHAnsi"/>
        </w:rPr>
        <w:t xml:space="preserve">electricity </w:t>
      </w:r>
      <w:r w:rsidR="009A54B9">
        <w:rPr>
          <w:rFonts w:cstheme="minorHAnsi"/>
        </w:rPr>
        <w:t xml:space="preserve">from areas with high renewable energy potential and production to centres of energy consumption. </w:t>
      </w:r>
      <w:r w:rsidR="00C820EE">
        <w:rPr>
          <w:rFonts w:cstheme="minorHAnsi"/>
        </w:rPr>
        <w:t xml:space="preserve">We </w:t>
      </w:r>
      <w:r w:rsidR="00A11976">
        <w:rPr>
          <w:rFonts w:cstheme="minorHAnsi"/>
        </w:rPr>
        <w:t xml:space="preserve">identify </w:t>
      </w:r>
      <w:r w:rsidR="0084217E">
        <w:rPr>
          <w:rFonts w:cstheme="minorHAnsi"/>
        </w:rPr>
        <w:t>eight barriers</w:t>
      </w:r>
      <w:r w:rsidR="00CD5AFA">
        <w:rPr>
          <w:rFonts w:cstheme="minorHAnsi"/>
        </w:rPr>
        <w:t xml:space="preserve"> that need to be addressed in order to make investment in interconnectors more attractive. We delineate both technological and governance/legislative barriers to investments in this area. Our analysis is based on a </w:t>
      </w:r>
      <w:r w:rsidR="0084217E">
        <w:rPr>
          <w:rFonts w:cstheme="minorHAnsi"/>
        </w:rPr>
        <w:t>s</w:t>
      </w:r>
      <w:r w:rsidR="0036480C">
        <w:rPr>
          <w:rFonts w:cstheme="minorHAnsi"/>
        </w:rPr>
        <w:t>coping</w:t>
      </w:r>
      <w:r w:rsidR="0084217E">
        <w:rPr>
          <w:rFonts w:cstheme="minorHAnsi"/>
        </w:rPr>
        <w:t xml:space="preserve"> </w:t>
      </w:r>
      <w:r w:rsidR="00CD5AFA">
        <w:rPr>
          <w:rFonts w:cstheme="minorHAnsi"/>
        </w:rPr>
        <w:t>literature review and a workshop that was held in London</w:t>
      </w:r>
      <w:r w:rsidR="003A76B3">
        <w:rPr>
          <w:rFonts w:cstheme="minorHAnsi"/>
        </w:rPr>
        <w:t xml:space="preserve"> involving finance and legal experts</w:t>
      </w:r>
      <w:r w:rsidR="00CD5AFA">
        <w:rPr>
          <w:rFonts w:cstheme="minorHAnsi"/>
        </w:rPr>
        <w:t>.</w:t>
      </w:r>
      <w:r w:rsidR="006F1808">
        <w:rPr>
          <w:rFonts w:cstheme="minorHAnsi"/>
        </w:rPr>
        <w:t xml:space="preserve"> </w:t>
      </w:r>
      <w:r w:rsidR="00C820EE">
        <w:rPr>
          <w:rFonts w:cstheme="minorHAnsi"/>
        </w:rPr>
        <w:t xml:space="preserve"> </w:t>
      </w:r>
    </w:p>
    <w:p w14:paraId="068D0E5C" w14:textId="00FAAA46" w:rsidR="00B72F8C" w:rsidRDefault="00B72F8C" w:rsidP="00C54CB2">
      <w:pPr>
        <w:spacing w:after="0" w:line="240" w:lineRule="auto"/>
        <w:jc w:val="both"/>
      </w:pPr>
    </w:p>
    <w:p w14:paraId="0E9779C0" w14:textId="77777777" w:rsidR="002D6AFC" w:rsidRDefault="002D6AFC" w:rsidP="001005AD">
      <w:pPr>
        <w:pStyle w:val="Heading2"/>
        <w:numPr>
          <w:ilvl w:val="0"/>
          <w:numId w:val="0"/>
        </w:numPr>
        <w:ind w:left="360" w:hanging="360"/>
      </w:pPr>
      <w:r>
        <w:t xml:space="preserve">Keywords </w:t>
      </w:r>
    </w:p>
    <w:p w14:paraId="64267348" w14:textId="04318CD5" w:rsidR="002D6AFC" w:rsidRDefault="002D6AFC" w:rsidP="00C54CB2">
      <w:pPr>
        <w:spacing w:after="0" w:line="240" w:lineRule="auto"/>
        <w:rPr>
          <w:rFonts w:cstheme="minorHAnsi"/>
        </w:rPr>
      </w:pPr>
      <w:r>
        <w:rPr>
          <w:rFonts w:cstheme="minorHAnsi"/>
        </w:rPr>
        <w:t>Energy transition; climate change; investment barriers; funding gap</w:t>
      </w:r>
    </w:p>
    <w:p w14:paraId="7BF48843" w14:textId="6F1C7E14" w:rsidR="00324FFA" w:rsidRDefault="00324FFA">
      <w:pPr>
        <w:rPr>
          <w:rFonts w:cstheme="minorHAnsi"/>
        </w:rPr>
      </w:pPr>
      <w:r>
        <w:rPr>
          <w:rFonts w:cstheme="minorHAnsi"/>
        </w:rPr>
        <w:br w:type="page"/>
      </w:r>
    </w:p>
    <w:p w14:paraId="680D22C7" w14:textId="660151DE" w:rsidR="00AE2594" w:rsidRPr="00F7261E" w:rsidRDefault="001079B3" w:rsidP="001005AD">
      <w:pPr>
        <w:pStyle w:val="Heading2"/>
        <w:numPr>
          <w:ilvl w:val="0"/>
          <w:numId w:val="8"/>
        </w:numPr>
      </w:pPr>
      <w:r>
        <w:lastRenderedPageBreak/>
        <w:t>Introduction</w:t>
      </w:r>
      <w:r w:rsidR="00AE2594">
        <w:t xml:space="preserve"> </w:t>
      </w:r>
    </w:p>
    <w:p w14:paraId="45236188" w14:textId="4A1E5786" w:rsidR="000A03D6" w:rsidRDefault="009F5BDE" w:rsidP="00C54CB2">
      <w:pPr>
        <w:spacing w:after="0" w:line="240" w:lineRule="auto"/>
        <w:jc w:val="both"/>
      </w:pPr>
      <w:r>
        <w:t>Investment needs for an extensive upscaling of renewable energy (RE) are not being met – we are experiencing</w:t>
      </w:r>
      <w:r w:rsidR="00AE2594">
        <w:t xml:space="preserve"> </w:t>
      </w:r>
      <w:r>
        <w:t>a green funding gap</w:t>
      </w:r>
      <w:r w:rsidR="008F23A4">
        <w:t xml:space="preserve"> (</w:t>
      </w:r>
      <w:r w:rsidR="00371928">
        <w:t xml:space="preserve">Hafner et al., 2020; </w:t>
      </w:r>
      <w:r w:rsidR="008F23A4">
        <w:t>Jones, 2015; Jacobsson &amp; Jacobsson, 2012; Yoshino et al., 2019)</w:t>
      </w:r>
      <w:r w:rsidR="00AE2594">
        <w:t>.</w:t>
      </w:r>
      <w:r w:rsidR="00CC0BD2">
        <w:t xml:space="preserve"> </w:t>
      </w:r>
      <w:r w:rsidR="00AE2594">
        <w:t xml:space="preserve">Often </w:t>
      </w:r>
      <w:r w:rsidR="00E71D64">
        <w:t>attention to th</w:t>
      </w:r>
      <w:r w:rsidR="00B32FAE">
        <w:t>is</w:t>
      </w:r>
      <w:r w:rsidR="00E71D64">
        <w:t xml:space="preserve"> funding gap has focused</w:t>
      </w:r>
      <w:r w:rsidR="00AE2594">
        <w:t xml:space="preserve"> on investments required to deploy RE </w:t>
      </w:r>
      <w:r w:rsidR="002F501B">
        <w:t xml:space="preserve">power generation </w:t>
      </w:r>
      <w:r w:rsidR="00AE2594">
        <w:t>infrastruc</w:t>
      </w:r>
      <w:r w:rsidR="00A66F74">
        <w:t>ture itself</w:t>
      </w:r>
      <w:r w:rsidR="008F23A4">
        <w:t xml:space="preserve"> (McCollum et al., 2018; Egli, Steffen &amp; Schmidt, 2018; Mazzucato &amp; Semieniuk, 2018)</w:t>
      </w:r>
      <w:r w:rsidR="00A66F74">
        <w:t xml:space="preserve">. However, due to intermittency </w:t>
      </w:r>
      <w:r w:rsidR="009B5259">
        <w:t xml:space="preserve">and </w:t>
      </w:r>
      <w:r w:rsidR="00A66F74">
        <w:t>regionally disparate</w:t>
      </w:r>
      <w:r w:rsidR="00AE2594">
        <w:t xml:space="preserve"> potential, as well as significant change</w:t>
      </w:r>
      <w:r w:rsidR="00646E6E">
        <w:t xml:space="preserve">s to energy demand including through </w:t>
      </w:r>
      <w:r w:rsidR="00A66F74">
        <w:t>electric cars</w:t>
      </w:r>
      <w:r w:rsidR="00AE2594">
        <w:t xml:space="preserve">, large-scale addition to, and upgrading of, </w:t>
      </w:r>
      <w:r w:rsidR="002D090B">
        <w:t xml:space="preserve">the </w:t>
      </w:r>
      <w:r w:rsidR="00AE2594">
        <w:t xml:space="preserve">electricity </w:t>
      </w:r>
      <w:r w:rsidR="009B5259">
        <w:t xml:space="preserve">network </w:t>
      </w:r>
      <w:r w:rsidR="00AE2594">
        <w:t xml:space="preserve">infrastructure will be required. </w:t>
      </w:r>
      <w:r w:rsidR="000A03D6">
        <w:t>Therefore, a</w:t>
      </w:r>
      <w:r w:rsidR="000A03D6" w:rsidRPr="000A03D6">
        <w:t xml:space="preserve"> large</w:t>
      </w:r>
      <w:r w:rsidR="0017609A">
        <w:t xml:space="preserve"> </w:t>
      </w:r>
      <w:r w:rsidR="000A03D6" w:rsidRPr="000A03D6">
        <w:t>scale expansion of grid reinforcement, storage and interconnectors</w:t>
      </w:r>
      <w:r w:rsidR="000A03D6">
        <w:t xml:space="preserve"> is needed</w:t>
      </w:r>
      <w:r w:rsidR="000A03D6" w:rsidRPr="000A03D6">
        <w:t>.</w:t>
      </w:r>
    </w:p>
    <w:p w14:paraId="7842DAD5" w14:textId="77777777" w:rsidR="00691F18" w:rsidRDefault="00691F18" w:rsidP="00C54CB2">
      <w:pPr>
        <w:spacing w:after="0" w:line="240" w:lineRule="auto"/>
        <w:jc w:val="both"/>
      </w:pPr>
    </w:p>
    <w:p w14:paraId="1DD9C0FF" w14:textId="20A3E1E8" w:rsidR="00AE2594" w:rsidRDefault="00AE2594" w:rsidP="00C54CB2">
      <w:pPr>
        <w:spacing w:after="0" w:line="240" w:lineRule="auto"/>
        <w:jc w:val="both"/>
      </w:pPr>
      <w:r w:rsidRPr="002369B4">
        <w:t xml:space="preserve">The </w:t>
      </w:r>
      <w:r w:rsidR="00691F18">
        <w:t>European Union</w:t>
      </w:r>
      <w:r w:rsidRPr="002369B4">
        <w:t xml:space="preserve">’s </w:t>
      </w:r>
      <w:r w:rsidR="00691F18">
        <w:t xml:space="preserve">(EU) </w:t>
      </w:r>
      <w:r w:rsidRPr="002369B4">
        <w:t xml:space="preserve">internal electricity interconnection target </w:t>
      </w:r>
      <w:r w:rsidR="0017609A">
        <w:t>is</w:t>
      </w:r>
      <w:r w:rsidR="001A1D5F">
        <w:t xml:space="preserve"> 15% by 2030</w:t>
      </w:r>
      <w:r w:rsidR="00691F18">
        <w:t>.</w:t>
      </w:r>
      <w:r w:rsidR="00140CCC">
        <w:t xml:space="preserve"> </w:t>
      </w:r>
      <w:r w:rsidR="00691F18">
        <w:t>T</w:t>
      </w:r>
      <w:r w:rsidR="00140CCC">
        <w:t>hat is by 20</w:t>
      </w:r>
      <w:r w:rsidR="0017609A">
        <w:t>3</w:t>
      </w:r>
      <w:r w:rsidR="00140CCC">
        <w:t xml:space="preserve">0 it was </w:t>
      </w:r>
      <w:r w:rsidR="00513CE1">
        <w:t>expected</w:t>
      </w:r>
      <w:r w:rsidR="00140CCC">
        <w:t xml:space="preserve"> that 1</w:t>
      </w:r>
      <w:r w:rsidR="0017609A">
        <w:t>5</w:t>
      </w:r>
      <w:r w:rsidR="00140CCC">
        <w:t>% of all electricity production in the EU would be interconnected between Member States</w:t>
      </w:r>
      <w:r>
        <w:t>. However, the 20</w:t>
      </w:r>
      <w:r w:rsidR="0017609A">
        <w:t>3</w:t>
      </w:r>
      <w:r>
        <w:t xml:space="preserve">0 target was agreed </w:t>
      </w:r>
      <w:r w:rsidRPr="002369B4">
        <w:t>in a radically different situation – the EU wind and solar energy share was 2%</w:t>
      </w:r>
      <w:r w:rsidR="00997B5D">
        <w:t>,</w:t>
      </w:r>
      <w:r w:rsidRPr="002369B4">
        <w:t xml:space="preserve"> </w:t>
      </w:r>
      <w:r>
        <w:t>while it</w:t>
      </w:r>
      <w:r w:rsidRPr="002369B4">
        <w:t xml:space="preserve"> is expected to make up 30% of the EU’s electricity in 2030</w:t>
      </w:r>
      <w:r w:rsidR="008F23A4">
        <w:t xml:space="preserve"> (EC, 2017)</w:t>
      </w:r>
      <w:r w:rsidRPr="002369B4">
        <w:t>.</w:t>
      </w:r>
      <w:r w:rsidR="000226BD">
        <w:t xml:space="preserve"> </w:t>
      </w:r>
      <w:r>
        <w:t xml:space="preserve">Financing for interconnectors alone would need to go up from between €0.9 to </w:t>
      </w:r>
      <w:r w:rsidR="00B72F8C">
        <w:t>€</w:t>
      </w:r>
      <w:r>
        <w:t>1.5 billion annually to €3.6 billion per year</w:t>
      </w:r>
      <w:r w:rsidR="000226BD">
        <w:t xml:space="preserve"> in moderate or high RE deployment scenarios</w:t>
      </w:r>
      <w:r w:rsidR="008F23A4">
        <w:t xml:space="preserve"> (van Nuffel, 2017)</w:t>
      </w:r>
      <w:r>
        <w:t xml:space="preserve">. </w:t>
      </w:r>
      <w:r w:rsidR="00471DEC">
        <w:t xml:space="preserve">Member states are required since 2014 to inform the European Commission of any planned infrastructure for the next five years. Based on this, the European Commission </w:t>
      </w:r>
      <w:r w:rsidR="00691F18">
        <w:t>produces</w:t>
      </w:r>
      <w:r w:rsidR="00471DEC">
        <w:t xml:space="preserve"> a report every two years on the European energy systems and any gaps in infrastructure that may arise. However, in the past the member state data provided has been of poor quality (van Nuffel et al., 2017).</w:t>
      </w:r>
    </w:p>
    <w:p w14:paraId="17AA8B2A" w14:textId="04A9981D" w:rsidR="000A03D6" w:rsidRDefault="000A03D6" w:rsidP="00C54CB2">
      <w:pPr>
        <w:spacing w:after="0" w:line="240" w:lineRule="auto"/>
        <w:jc w:val="both"/>
      </w:pPr>
    </w:p>
    <w:p w14:paraId="2DE05478" w14:textId="720B2737" w:rsidR="000A03D6" w:rsidRDefault="000A03D6" w:rsidP="00C54CB2">
      <w:pPr>
        <w:spacing w:after="0" w:line="240" w:lineRule="auto"/>
        <w:jc w:val="both"/>
      </w:pPr>
      <w:r>
        <w:t xml:space="preserve">Since 2013, the European Commission publishes a list every two years of Projects of Common Interest (PCI). Energy infrastructure projects must lead to an energy market integration in at least two EU member countries to qualify. Qualifying as a PCI, an infrastructure project can ask for financing from several EU </w:t>
      </w:r>
      <w:r w:rsidR="00471DEC">
        <w:t>sources</w:t>
      </w:r>
      <w:r>
        <w:t xml:space="preserve">, such as the Connecting Europe Facility (CEF). A designated PCI project is supposed to benefit from fast-tracked environmental impact assessment and overall permitting procedures, which in theory are supposed to be granted a maximum of 3.5 years after the application. Overall, the average time to get a permit to build a new high voltage line </w:t>
      </w:r>
      <w:r w:rsidR="00691F18">
        <w:t>i</w:t>
      </w:r>
      <w:r>
        <w:t>s 7 years, with one quarter of all permits taking more than 15 years to be granted. Additionally, the PCI status conferment provides a signal boost to investors. EU funding available to PCIs is however “</w:t>
      </w:r>
      <w:r w:rsidRPr="00471DEC">
        <w:rPr>
          <w:i/>
        </w:rPr>
        <w:t xml:space="preserve">increasingly shifting to repayable financial instruments </w:t>
      </w:r>
      <w:r w:rsidR="00471DEC" w:rsidRPr="00471DEC">
        <w:rPr>
          <w:i/>
        </w:rPr>
        <w:t>rather than grants</w:t>
      </w:r>
      <w:r w:rsidR="00471DEC">
        <w:t>” (Ammermann</w:t>
      </w:r>
      <w:r>
        <w:t xml:space="preserve"> et al., 2016, p. 8)</w:t>
      </w:r>
      <w:r w:rsidR="00471DEC">
        <w:t xml:space="preserve">. </w:t>
      </w:r>
    </w:p>
    <w:p w14:paraId="39BC9744" w14:textId="77777777" w:rsidR="00D67452" w:rsidRDefault="00D67452" w:rsidP="00C54CB2">
      <w:pPr>
        <w:spacing w:after="0" w:line="240" w:lineRule="auto"/>
        <w:jc w:val="both"/>
      </w:pPr>
    </w:p>
    <w:p w14:paraId="793D3971" w14:textId="6F917183" w:rsidR="000A03D6" w:rsidRDefault="000A03D6" w:rsidP="00C54CB2">
      <w:pPr>
        <w:spacing w:after="0" w:line="240" w:lineRule="auto"/>
        <w:jc w:val="both"/>
      </w:pPr>
      <w:r>
        <w:t>In its 2015 progress report on the state of PCIs, the Agency for the Cooperation of Energy Regulators (ACER) identified significant delays in many PCIs. A key reason for these delays in project completion and delivery were issues relating to financing. The Ten-Year Network Development Plan 2018 reported that of 329 projects, 120 projects were “delayed” or “rescheduled” investments.</w:t>
      </w:r>
    </w:p>
    <w:p w14:paraId="3B4976F8" w14:textId="77777777" w:rsidR="00471DEC" w:rsidRDefault="00471DEC" w:rsidP="00C54CB2">
      <w:pPr>
        <w:spacing w:after="0" w:line="240" w:lineRule="auto"/>
        <w:jc w:val="both"/>
      </w:pPr>
    </w:p>
    <w:p w14:paraId="4E177D38" w14:textId="32F567D3" w:rsidR="000A03D6" w:rsidRDefault="000A03D6" w:rsidP="00C54CB2">
      <w:pPr>
        <w:spacing w:after="0" w:line="240" w:lineRule="auto"/>
        <w:jc w:val="both"/>
      </w:pPr>
      <w:r>
        <w:t xml:space="preserve">The ITRE report </w:t>
      </w:r>
      <w:r w:rsidR="00016DF4">
        <w:t xml:space="preserve">(van Nuffel et al., 2017) </w:t>
      </w:r>
      <w:r>
        <w:t>concluded that “</w:t>
      </w:r>
      <w:r w:rsidRPr="00691F18">
        <w:rPr>
          <w:i/>
          <w:iCs/>
        </w:rPr>
        <w:t>the financing gap to achieve the targets and goals associated with the European energy transition is substantial (ca. 1% of EU-wide GDP on an annual basis between 2021-2030)</w:t>
      </w:r>
      <w:r>
        <w:t>” and that “</w:t>
      </w:r>
      <w:r w:rsidRPr="00016DF4">
        <w:rPr>
          <w:i/>
        </w:rPr>
        <w:t xml:space="preserve">Currently, the vast majority of energy expenditure comes from private investors, as well as (non-EU) public sources in Member States. The volume of EU finance (i.e. from the EU Budget) is too small to close the financing gap alone; and there appears to be no prospect of an increase of the order of </w:t>
      </w:r>
      <w:r w:rsidR="00016DF4">
        <w:rPr>
          <w:i/>
        </w:rPr>
        <w:t>magnitude likely to change this</w:t>
      </w:r>
      <w:r>
        <w:t>” (van Nuffel et al., 2017, p.55)</w:t>
      </w:r>
      <w:r w:rsidR="00016DF4">
        <w:t>.</w:t>
      </w:r>
      <w:r>
        <w:t xml:space="preserve"> Puka and Szulecki (2014) call the investment gap, the difference between </w:t>
      </w:r>
      <w:r w:rsidR="00471DEC">
        <w:t>current</w:t>
      </w:r>
      <w:r>
        <w:t xml:space="preserve"> finance and what is needed for a renewable energy transition, the “grid-lock”, while Cepeda speaks of the “sub-optimality of interconnection investments” (Cepeda, 2018, p. 31). </w:t>
      </w:r>
    </w:p>
    <w:p w14:paraId="36480954" w14:textId="77777777" w:rsidR="00471DEC" w:rsidRDefault="00471DEC" w:rsidP="00C54CB2">
      <w:pPr>
        <w:spacing w:after="0" w:line="240" w:lineRule="auto"/>
        <w:jc w:val="both"/>
      </w:pPr>
    </w:p>
    <w:p w14:paraId="72ED4D82" w14:textId="7E43E2C0" w:rsidR="00B66D33" w:rsidRDefault="00B66D33" w:rsidP="00C54CB2">
      <w:pPr>
        <w:spacing w:after="0" w:line="240" w:lineRule="auto"/>
        <w:jc w:val="both"/>
      </w:pPr>
      <w:r>
        <w:t xml:space="preserve">Given </w:t>
      </w:r>
      <w:r w:rsidR="00F103D3">
        <w:t>a</w:t>
      </w:r>
      <w:r>
        <w:t xml:space="preserve"> financing gap has been highlighted there is a need to identify the barriers that contribute to this gap so that solutions can be developed. This finance gap in cross border energy infrastructure is likely to exist across all geographies, however, here we focus within the EU given its explicit </w:t>
      </w:r>
      <w:r>
        <w:lastRenderedPageBreak/>
        <w:t xml:space="preserve">commitment to increase the interconnectedness of its electricity grid and therefore more specific barriers (above and beyond geopolitical issues) can be understood. </w:t>
      </w:r>
    </w:p>
    <w:p w14:paraId="28A159C8" w14:textId="77777777" w:rsidR="00B66D33" w:rsidRDefault="00B66D33" w:rsidP="00C54CB2">
      <w:pPr>
        <w:spacing w:after="0" w:line="240" w:lineRule="auto"/>
        <w:jc w:val="both"/>
      </w:pPr>
    </w:p>
    <w:p w14:paraId="33D36B71" w14:textId="02664CE6" w:rsidR="00AE2594" w:rsidRDefault="00B66D33" w:rsidP="00C54CB2">
      <w:pPr>
        <w:spacing w:after="0" w:line="240" w:lineRule="auto"/>
        <w:jc w:val="both"/>
      </w:pPr>
      <w:r>
        <w:t xml:space="preserve">This paper presents data from </w:t>
      </w:r>
      <w:r w:rsidR="007735DA">
        <w:t>a</w:t>
      </w:r>
      <w:r w:rsidR="00AE2594">
        <w:t xml:space="preserve"> </w:t>
      </w:r>
      <w:r w:rsidR="00B7692F">
        <w:t>s</w:t>
      </w:r>
      <w:r w:rsidR="0036480C">
        <w:t>coping</w:t>
      </w:r>
      <w:r w:rsidR="00B7692F">
        <w:t xml:space="preserve"> </w:t>
      </w:r>
      <w:r w:rsidR="00AE2594">
        <w:t>literature</w:t>
      </w:r>
      <w:r w:rsidR="007735DA">
        <w:t xml:space="preserve"> review</w:t>
      </w:r>
      <w:r w:rsidR="00AE2594">
        <w:t xml:space="preserve"> and </w:t>
      </w:r>
      <w:r w:rsidR="007735DA">
        <w:t>a stakeholder workshop</w:t>
      </w:r>
      <w:r>
        <w:t>.</w:t>
      </w:r>
      <w:r w:rsidR="007735DA">
        <w:t xml:space="preserve"> </w:t>
      </w:r>
      <w:r>
        <w:t>W</w:t>
      </w:r>
      <w:r w:rsidR="007735DA">
        <w:t>e</w:t>
      </w:r>
      <w:r w:rsidR="00AE2594">
        <w:t xml:space="preserve"> identify </w:t>
      </w:r>
      <w:r w:rsidR="00B47225">
        <w:t xml:space="preserve">eight </w:t>
      </w:r>
      <w:r w:rsidR="00AE2594">
        <w:t>priority barriers</w:t>
      </w:r>
      <w:r w:rsidR="000226BD">
        <w:t xml:space="preserve"> to scaling up investments in </w:t>
      </w:r>
      <w:r w:rsidR="008B73A3">
        <w:t xml:space="preserve">crossborder </w:t>
      </w:r>
      <w:r w:rsidR="000226BD">
        <w:t>transmission infrastructure</w:t>
      </w:r>
      <w:r w:rsidR="00EA3F54">
        <w:t>, and two overarching themes namely technological barriers and governance/legislative barriers</w:t>
      </w:r>
      <w:r w:rsidR="00AE2594">
        <w:t xml:space="preserve">. </w:t>
      </w:r>
    </w:p>
    <w:p w14:paraId="3ED82593" w14:textId="27345D75" w:rsidR="004B2854" w:rsidRDefault="004B2854" w:rsidP="00C54CB2">
      <w:pPr>
        <w:spacing w:after="0" w:line="240" w:lineRule="auto"/>
        <w:jc w:val="both"/>
      </w:pPr>
    </w:p>
    <w:p w14:paraId="39B778F7" w14:textId="6EC04CF8" w:rsidR="00A5360F" w:rsidRDefault="002D6AFC" w:rsidP="001005AD">
      <w:pPr>
        <w:pStyle w:val="Heading2"/>
        <w:numPr>
          <w:ilvl w:val="0"/>
          <w:numId w:val="8"/>
        </w:numPr>
      </w:pPr>
      <w:r>
        <w:t xml:space="preserve">Materials and </w:t>
      </w:r>
      <w:r w:rsidR="00F773E2">
        <w:t>Method</w:t>
      </w:r>
      <w:r>
        <w:t>s</w:t>
      </w:r>
    </w:p>
    <w:p w14:paraId="0B8BF2A3" w14:textId="77777777" w:rsidR="00691F18" w:rsidRDefault="00A5360F" w:rsidP="00C54CB2">
      <w:pPr>
        <w:spacing w:after="0" w:line="240" w:lineRule="auto"/>
        <w:jc w:val="both"/>
      </w:pPr>
      <w:r>
        <w:t xml:space="preserve">A scoping literature review </w:t>
      </w:r>
      <w:r w:rsidR="008F23A4">
        <w:t>(</w:t>
      </w:r>
      <w:r w:rsidR="008F23A4" w:rsidRPr="008F23A4">
        <w:t>Rumrill, Fitzgerald &amp; Merchant</w:t>
      </w:r>
      <w:r w:rsidR="008F23A4">
        <w:t xml:space="preserve">, 2010; Pham et al., 2014; Peters et al., 2015) </w:t>
      </w:r>
      <w:r>
        <w:t xml:space="preserve">of barriers in both academic and grey literature was conducted. The review identified articles and reports published between 2010 and 2019. The earlier cut off date was chosen as this was post the Copenhagen Conference of the Parties in 2009 which, by failing to agree a comprehensive international framework for climate change action, changed the perception of investment risk within the capital markets. </w:t>
      </w:r>
    </w:p>
    <w:p w14:paraId="6E27F4DB" w14:textId="77777777" w:rsidR="00691F18" w:rsidRDefault="00691F18" w:rsidP="00C54CB2">
      <w:pPr>
        <w:spacing w:after="0" w:line="240" w:lineRule="auto"/>
        <w:jc w:val="both"/>
      </w:pPr>
    </w:p>
    <w:p w14:paraId="189C18B2" w14:textId="2B9FE349" w:rsidR="0050137C" w:rsidRDefault="00691F18" w:rsidP="00C54CB2">
      <w:pPr>
        <w:spacing w:after="0" w:line="240" w:lineRule="auto"/>
        <w:jc w:val="both"/>
      </w:pPr>
      <w:r>
        <w:t xml:space="preserve">The scoping review was based on the use of keywords to identify and collect relevant papers and reports. </w:t>
      </w:r>
      <w:r w:rsidR="00A5360F">
        <w:t xml:space="preserve">The keywords used were combinations of a) </w:t>
      </w:r>
      <w:r w:rsidR="00A5360F" w:rsidRPr="007136C6">
        <w:rPr>
          <w:lang w:val="en-US"/>
        </w:rPr>
        <w:t>“electricity”, “renewable energy” and b) “interconnector” or “interconnection” and c) “European” or “crossborder” or “transnational” and d) “finance”</w:t>
      </w:r>
      <w:r w:rsidR="00A5360F">
        <w:rPr>
          <w:lang w:val="en-US"/>
        </w:rPr>
        <w:t xml:space="preserve"> or </w:t>
      </w:r>
      <w:r w:rsidR="00A5360F" w:rsidRPr="007136C6">
        <w:rPr>
          <w:lang w:val="en-US"/>
        </w:rPr>
        <w:t>”funding”</w:t>
      </w:r>
      <w:r w:rsidR="00A5360F">
        <w:rPr>
          <w:lang w:val="en-US"/>
        </w:rPr>
        <w:t xml:space="preserve"> or</w:t>
      </w:r>
      <w:r w:rsidR="00A5360F" w:rsidRPr="007136C6">
        <w:rPr>
          <w:lang w:val="en-US"/>
        </w:rPr>
        <w:t xml:space="preserve"> “Investment”. </w:t>
      </w:r>
      <w:r w:rsidR="00A5360F">
        <w:t xml:space="preserve">These </w:t>
      </w:r>
      <w:r>
        <w:t>papers</w:t>
      </w:r>
      <w:r w:rsidR="00A5360F">
        <w:t xml:space="preserve"> and reports were then examined to identify those of particular relevance to interconnector barriers within the European Union context which resulted in a total of </w:t>
      </w:r>
      <w:r w:rsidR="00BA6F48">
        <w:t>98</w:t>
      </w:r>
      <w:r w:rsidR="00A5360F">
        <w:t xml:space="preserve"> </w:t>
      </w:r>
      <w:r>
        <w:t>papers</w:t>
      </w:r>
      <w:r w:rsidR="00A5360F">
        <w:t xml:space="preserve"> and reports</w:t>
      </w:r>
      <w:r>
        <w:t xml:space="preserve"> (see </w:t>
      </w:r>
      <w:r w:rsidR="00472753">
        <w:t>a</w:t>
      </w:r>
      <w:r>
        <w:t>ppendix A)</w:t>
      </w:r>
      <w:r w:rsidR="00A5360F">
        <w:t xml:space="preserve">. </w:t>
      </w:r>
    </w:p>
    <w:p w14:paraId="4ABE598A" w14:textId="77777777" w:rsidR="0050137C" w:rsidRDefault="0050137C" w:rsidP="00C54CB2">
      <w:pPr>
        <w:spacing w:after="0" w:line="240" w:lineRule="auto"/>
        <w:jc w:val="both"/>
      </w:pPr>
    </w:p>
    <w:p w14:paraId="3B4EF4AC" w14:textId="1AEAC949" w:rsidR="009D2EC0" w:rsidRDefault="00A5360F" w:rsidP="009D2EC0">
      <w:pPr>
        <w:spacing w:after="0" w:line="240" w:lineRule="auto"/>
        <w:jc w:val="both"/>
      </w:pPr>
      <w:r>
        <w:t xml:space="preserve">A thematic review </w:t>
      </w:r>
      <w:r w:rsidR="008F23A4">
        <w:t>(Braun &amp; Clarke, 2006)</w:t>
      </w:r>
      <w:r>
        <w:t xml:space="preserve"> of those articles </w:t>
      </w:r>
      <w:r w:rsidR="009B1EE2">
        <w:t xml:space="preserve">was conducted. Code words were identified and then collated together into themes. This was led by the lead and fourth authors and then checked by the second author of the paper. This </w:t>
      </w:r>
      <w:r>
        <w:t xml:space="preserve">led to the identification of twelve emergent </w:t>
      </w:r>
      <w:r w:rsidR="009A092B">
        <w:t>sub-</w:t>
      </w:r>
      <w:r>
        <w:t xml:space="preserve">themes which highlighted a number of barriers to interconnector investment. </w:t>
      </w:r>
      <w:r w:rsidR="009A092B">
        <w:t>These sub-themes were collected together under t</w:t>
      </w:r>
      <w:r w:rsidR="009D2EC0">
        <w:t xml:space="preserve">hree </w:t>
      </w:r>
      <w:r w:rsidR="009A092B">
        <w:t>overall themes which</w:t>
      </w:r>
      <w:r w:rsidR="009D2EC0">
        <w:t xml:space="preserve"> were</w:t>
      </w:r>
      <w:r w:rsidR="009D2EC0" w:rsidRPr="009B1EE2">
        <w:t>:</w:t>
      </w:r>
    </w:p>
    <w:p w14:paraId="5F0D3C74" w14:textId="77777777" w:rsidR="009D2EC0" w:rsidRPr="009B1EE2" w:rsidRDefault="009D2EC0" w:rsidP="009D2EC0">
      <w:pPr>
        <w:spacing w:after="0" w:line="240" w:lineRule="auto"/>
        <w:jc w:val="both"/>
      </w:pPr>
    </w:p>
    <w:p w14:paraId="19D52368" w14:textId="77777777" w:rsidR="009D2EC0" w:rsidRPr="009B1EE2" w:rsidRDefault="009D2EC0" w:rsidP="009D2EC0">
      <w:pPr>
        <w:pStyle w:val="ListParagraph"/>
        <w:numPr>
          <w:ilvl w:val="0"/>
          <w:numId w:val="6"/>
        </w:numPr>
        <w:spacing w:before="0" w:after="0" w:line="240" w:lineRule="auto"/>
        <w:rPr>
          <w:sz w:val="22"/>
          <w:szCs w:val="22"/>
        </w:rPr>
      </w:pPr>
      <w:r w:rsidRPr="009B1EE2">
        <w:rPr>
          <w:sz w:val="22"/>
          <w:szCs w:val="22"/>
        </w:rPr>
        <w:t xml:space="preserve">cross-border cost-benefit allocation </w:t>
      </w:r>
    </w:p>
    <w:p w14:paraId="20BC0A86" w14:textId="77777777" w:rsidR="009D2EC0" w:rsidRPr="009B1EE2" w:rsidRDefault="009D2EC0" w:rsidP="009D2EC0">
      <w:pPr>
        <w:pStyle w:val="ListParagraph"/>
        <w:numPr>
          <w:ilvl w:val="0"/>
          <w:numId w:val="6"/>
        </w:numPr>
        <w:spacing w:before="0" w:after="0" w:line="240" w:lineRule="auto"/>
        <w:rPr>
          <w:sz w:val="22"/>
          <w:szCs w:val="22"/>
        </w:rPr>
      </w:pPr>
      <w:r w:rsidRPr="009B1EE2">
        <w:rPr>
          <w:sz w:val="22"/>
          <w:szCs w:val="22"/>
        </w:rPr>
        <w:t xml:space="preserve">legal, jurisdictional and governance issues </w:t>
      </w:r>
    </w:p>
    <w:p w14:paraId="68EC83EE" w14:textId="77777777" w:rsidR="009D2EC0" w:rsidRPr="0017609A" w:rsidRDefault="009D2EC0" w:rsidP="009D2EC0">
      <w:pPr>
        <w:pStyle w:val="ListParagraph"/>
        <w:numPr>
          <w:ilvl w:val="0"/>
          <w:numId w:val="6"/>
        </w:numPr>
        <w:spacing w:before="0" w:after="0" w:line="240" w:lineRule="auto"/>
        <w:rPr>
          <w:sz w:val="22"/>
          <w:szCs w:val="22"/>
          <w:lang w:val="en-GB"/>
        </w:rPr>
      </w:pPr>
      <w:r w:rsidRPr="0017609A">
        <w:rPr>
          <w:sz w:val="22"/>
          <w:szCs w:val="22"/>
          <w:lang w:val="en-GB"/>
        </w:rPr>
        <w:t>barriers to financing projects that involve both EU and non-EU countries.</w:t>
      </w:r>
    </w:p>
    <w:p w14:paraId="5AC09863" w14:textId="77777777" w:rsidR="009B1EE2" w:rsidRDefault="009B1EE2" w:rsidP="00C54CB2">
      <w:pPr>
        <w:spacing w:after="0" w:line="240" w:lineRule="auto"/>
        <w:jc w:val="both"/>
      </w:pPr>
    </w:p>
    <w:p w14:paraId="2A6C5977" w14:textId="5CA4AC9F" w:rsidR="009B1EE2" w:rsidRDefault="00A5360F" w:rsidP="00C54CB2">
      <w:pPr>
        <w:spacing w:after="0" w:line="240" w:lineRule="auto"/>
        <w:jc w:val="both"/>
      </w:pPr>
      <w:r>
        <w:t xml:space="preserve">On November 30, 2018, a workshop on Cross-border Electricity Infrastructure Finance was held in London. </w:t>
      </w:r>
      <w:r w:rsidR="009B1EE2">
        <w:t xml:space="preserve">The workshop consisted of a presentation on the electricity infrastructure finance gap emergent themes from the scoping review.  Different cross-border infrastructure projects and their financing and regulatory issues were presented as case studies. These case studies had been identified during the </w:t>
      </w:r>
      <w:r w:rsidR="00A308B7">
        <w:t xml:space="preserve">scoping </w:t>
      </w:r>
      <w:r w:rsidR="009B1EE2">
        <w:t xml:space="preserve">literature review as particularly salient to the barriers identified. The workshop was run by the first and third author of the paper. </w:t>
      </w:r>
    </w:p>
    <w:p w14:paraId="370FD70C" w14:textId="77777777" w:rsidR="009B1EE2" w:rsidRDefault="009B1EE2" w:rsidP="00C54CB2">
      <w:pPr>
        <w:spacing w:after="0" w:line="240" w:lineRule="auto"/>
        <w:jc w:val="both"/>
      </w:pPr>
    </w:p>
    <w:p w14:paraId="4EBE38F6" w14:textId="096AC17D" w:rsidR="009B1EE2" w:rsidRDefault="00A5360F" w:rsidP="00C54CB2">
      <w:pPr>
        <w:spacing w:after="0" w:line="240" w:lineRule="auto"/>
        <w:jc w:val="both"/>
      </w:pPr>
      <w:r>
        <w:t xml:space="preserve">Participants </w:t>
      </w:r>
      <w:r w:rsidR="009B1EE2">
        <w:t xml:space="preserve">for the workshop </w:t>
      </w:r>
      <w:r>
        <w:t xml:space="preserve">were </w:t>
      </w:r>
      <w:r w:rsidR="00A308B7">
        <w:t xml:space="preserve">sought from individuals with experience in securing financing or influencing policies associated with interconnector projects. An initial list of invitees was drawn up from the network of the authors and a search based on the case studies identified during the scoping review. Further invitees were sought through a snowball sampling where initial confirmed participants were asked to recommend others. </w:t>
      </w:r>
      <w:r w:rsidR="00694E71">
        <w:t>S</w:t>
      </w:r>
      <w:r w:rsidR="00A308B7">
        <w:t>eventeen participants took part (see Table 1), including representatives from transmission systems operators (TSOs), regulatory authorities, banks (both European and third country), investment funds, engineering companies, electricity companies, financial advisors, lawyers advising largescale electricity infrastructure projects, academics and consultancies.</w:t>
      </w:r>
    </w:p>
    <w:p w14:paraId="09BE9543" w14:textId="15746A6F" w:rsidR="00A308B7" w:rsidRDefault="00A308B7" w:rsidP="00C54CB2">
      <w:pPr>
        <w:spacing w:after="0" w:line="240" w:lineRule="auto"/>
        <w:jc w:val="both"/>
      </w:pPr>
    </w:p>
    <w:p w14:paraId="2E23E7E9" w14:textId="73152B54" w:rsidR="00A308B7" w:rsidRDefault="00A308B7" w:rsidP="00C54CB2">
      <w:pPr>
        <w:spacing w:after="0" w:line="240" w:lineRule="auto"/>
        <w:jc w:val="both"/>
      </w:pPr>
      <w:r>
        <w:t>Table 1: Participant</w:t>
      </w:r>
      <w:r w:rsidR="00DC20C3">
        <w:t xml:space="preserve"> organisations</w:t>
      </w:r>
      <w:r>
        <w:t xml:space="preserve"> </w:t>
      </w:r>
      <w:r w:rsidR="00DC20C3">
        <w:t xml:space="preserve">represented </w:t>
      </w:r>
      <w:r>
        <w:t xml:space="preserve">at the workshop </w:t>
      </w:r>
    </w:p>
    <w:tbl>
      <w:tblPr>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5670"/>
      </w:tblGrid>
      <w:tr w:rsidR="00A308B7" w:rsidRPr="00354D55" w14:paraId="0CECBBB7" w14:textId="77777777" w:rsidTr="002755FF">
        <w:tc>
          <w:tcPr>
            <w:tcW w:w="2972" w:type="dxa"/>
          </w:tcPr>
          <w:p w14:paraId="0700D1E7" w14:textId="77777777" w:rsidR="00A308B7" w:rsidRPr="002A7848" w:rsidRDefault="00A308B7" w:rsidP="00C54CB2">
            <w:pPr>
              <w:spacing w:after="0" w:line="240" w:lineRule="auto"/>
              <w:jc w:val="both"/>
              <w:rPr>
                <w:rFonts w:eastAsia="Calibri" w:cstheme="minorHAnsi"/>
                <w:b/>
                <w:i/>
                <w:color w:val="262626"/>
                <w:lang w:eastAsia="en-GB"/>
              </w:rPr>
            </w:pPr>
            <w:r w:rsidRPr="002A7848">
              <w:rPr>
                <w:rFonts w:eastAsia="Calibri" w:cstheme="minorHAnsi"/>
                <w:b/>
                <w:i/>
                <w:color w:val="262626"/>
                <w:lang w:eastAsia="en-GB"/>
              </w:rPr>
              <w:t>Organisation type</w:t>
            </w:r>
          </w:p>
        </w:tc>
        <w:tc>
          <w:tcPr>
            <w:tcW w:w="5670" w:type="dxa"/>
          </w:tcPr>
          <w:p w14:paraId="45815027" w14:textId="77777777" w:rsidR="00A308B7" w:rsidRPr="002A7848" w:rsidRDefault="00A308B7" w:rsidP="00C54CB2">
            <w:pPr>
              <w:spacing w:after="0" w:line="240" w:lineRule="auto"/>
              <w:jc w:val="both"/>
              <w:rPr>
                <w:rFonts w:eastAsia="Calibri" w:cstheme="minorHAnsi"/>
                <w:b/>
                <w:i/>
                <w:color w:val="262626"/>
                <w:lang w:eastAsia="en-GB"/>
              </w:rPr>
            </w:pPr>
            <w:r w:rsidRPr="002A7848">
              <w:rPr>
                <w:rFonts w:eastAsia="Calibri" w:cstheme="minorHAnsi"/>
                <w:b/>
                <w:i/>
                <w:color w:val="262626"/>
                <w:lang w:eastAsia="en-GB"/>
              </w:rPr>
              <w:t xml:space="preserve">Organisation name </w:t>
            </w:r>
          </w:p>
        </w:tc>
      </w:tr>
      <w:tr w:rsidR="00A308B7" w:rsidRPr="00354D55" w14:paraId="3F197E9B" w14:textId="77777777" w:rsidTr="002755FF">
        <w:tc>
          <w:tcPr>
            <w:tcW w:w="2972" w:type="dxa"/>
          </w:tcPr>
          <w:p w14:paraId="70EA2342"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lastRenderedPageBreak/>
              <w:t>TSO</w:t>
            </w:r>
          </w:p>
        </w:tc>
        <w:tc>
          <w:tcPr>
            <w:tcW w:w="5670" w:type="dxa"/>
          </w:tcPr>
          <w:p w14:paraId="61579BA0"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1.</w:t>
            </w:r>
            <w:r w:rsidRPr="002A7848">
              <w:rPr>
                <w:rFonts w:eastAsia="Calibri" w:cstheme="minorHAnsi"/>
                <w:color w:val="262626"/>
                <w:lang w:eastAsia="en-GB"/>
              </w:rPr>
              <w:tab/>
              <w:t xml:space="preserve">ENTSO-E </w:t>
            </w:r>
          </w:p>
          <w:p w14:paraId="78FA44AE"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2.</w:t>
            </w:r>
            <w:r w:rsidRPr="002A7848">
              <w:rPr>
                <w:rFonts w:eastAsia="Calibri" w:cstheme="minorHAnsi"/>
                <w:color w:val="262626"/>
                <w:lang w:eastAsia="en-GB"/>
              </w:rPr>
              <w:tab/>
              <w:t xml:space="preserve">Ofgem </w:t>
            </w:r>
          </w:p>
          <w:p w14:paraId="3429B535"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3.</w:t>
            </w:r>
            <w:r w:rsidRPr="002A7848">
              <w:rPr>
                <w:rFonts w:eastAsia="Calibri" w:cstheme="minorHAnsi"/>
                <w:color w:val="262626"/>
                <w:lang w:eastAsia="en-GB"/>
              </w:rPr>
              <w:tab/>
              <w:t xml:space="preserve">Tennet </w:t>
            </w:r>
          </w:p>
        </w:tc>
      </w:tr>
      <w:tr w:rsidR="00A308B7" w:rsidRPr="00354D55" w14:paraId="1175E7E0" w14:textId="77777777" w:rsidTr="002755FF">
        <w:tc>
          <w:tcPr>
            <w:tcW w:w="2972" w:type="dxa"/>
          </w:tcPr>
          <w:p w14:paraId="501ADDAB"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 xml:space="preserve">Bank &amp; Investment </w:t>
            </w:r>
          </w:p>
        </w:tc>
        <w:tc>
          <w:tcPr>
            <w:tcW w:w="5670" w:type="dxa"/>
          </w:tcPr>
          <w:p w14:paraId="31B6CF66"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4.</w:t>
            </w:r>
            <w:r w:rsidRPr="002A7848">
              <w:rPr>
                <w:rFonts w:eastAsia="Calibri" w:cstheme="minorHAnsi"/>
                <w:color w:val="262626"/>
                <w:lang w:eastAsia="en-GB"/>
              </w:rPr>
              <w:tab/>
              <w:t xml:space="preserve">MUFG </w:t>
            </w:r>
          </w:p>
          <w:p w14:paraId="4D3F5392"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5.          Triodos</w:t>
            </w:r>
          </w:p>
        </w:tc>
      </w:tr>
      <w:tr w:rsidR="00A308B7" w:rsidRPr="00354D55" w14:paraId="063E7D4B" w14:textId="77777777" w:rsidTr="002755FF">
        <w:tc>
          <w:tcPr>
            <w:tcW w:w="2972" w:type="dxa"/>
          </w:tcPr>
          <w:p w14:paraId="734D3C10"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 xml:space="preserve">Electricity company </w:t>
            </w:r>
          </w:p>
        </w:tc>
        <w:tc>
          <w:tcPr>
            <w:tcW w:w="5670" w:type="dxa"/>
          </w:tcPr>
          <w:p w14:paraId="75061AC9"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6.</w:t>
            </w:r>
            <w:r w:rsidRPr="002A7848">
              <w:rPr>
                <w:rFonts w:eastAsia="Calibri" w:cstheme="minorHAnsi"/>
                <w:color w:val="262626"/>
                <w:lang w:eastAsia="en-GB"/>
              </w:rPr>
              <w:tab/>
              <w:t xml:space="preserve">EDF Renewables </w:t>
            </w:r>
          </w:p>
        </w:tc>
      </w:tr>
      <w:tr w:rsidR="00A308B7" w:rsidRPr="00354D55" w14:paraId="35D0ADAB" w14:textId="77777777" w:rsidTr="002755FF">
        <w:tc>
          <w:tcPr>
            <w:tcW w:w="2972" w:type="dxa"/>
          </w:tcPr>
          <w:p w14:paraId="26596BDB"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Governmental think tank</w:t>
            </w:r>
          </w:p>
        </w:tc>
        <w:tc>
          <w:tcPr>
            <w:tcW w:w="5670" w:type="dxa"/>
          </w:tcPr>
          <w:p w14:paraId="4F8B8095"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7.          Carbon Trust</w:t>
            </w:r>
          </w:p>
        </w:tc>
      </w:tr>
      <w:tr w:rsidR="00A308B7" w:rsidRPr="00354D55" w14:paraId="616120A2" w14:textId="77777777" w:rsidTr="002755FF">
        <w:tc>
          <w:tcPr>
            <w:tcW w:w="2972" w:type="dxa"/>
          </w:tcPr>
          <w:p w14:paraId="21A35549"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Interconnector developer</w:t>
            </w:r>
          </w:p>
        </w:tc>
        <w:tc>
          <w:tcPr>
            <w:tcW w:w="5670" w:type="dxa"/>
          </w:tcPr>
          <w:p w14:paraId="120B9508"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8.</w:t>
            </w:r>
            <w:r w:rsidRPr="002A7848">
              <w:rPr>
                <w:rFonts w:eastAsia="Calibri" w:cstheme="minorHAnsi"/>
                <w:color w:val="262626"/>
                <w:lang w:eastAsia="en-GB"/>
              </w:rPr>
              <w:tab/>
              <w:t>Transmission Investment</w:t>
            </w:r>
          </w:p>
        </w:tc>
      </w:tr>
      <w:tr w:rsidR="00A308B7" w:rsidRPr="00354D55" w14:paraId="7ACFA9AD" w14:textId="77777777" w:rsidTr="002755FF">
        <w:tc>
          <w:tcPr>
            <w:tcW w:w="2972" w:type="dxa"/>
          </w:tcPr>
          <w:p w14:paraId="662DC0B0"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Auditing and consultancies</w:t>
            </w:r>
          </w:p>
        </w:tc>
        <w:tc>
          <w:tcPr>
            <w:tcW w:w="5670" w:type="dxa"/>
          </w:tcPr>
          <w:p w14:paraId="044617FA"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9.</w:t>
            </w:r>
            <w:r w:rsidRPr="002A7848">
              <w:rPr>
                <w:rFonts w:eastAsia="Calibri" w:cstheme="minorHAnsi"/>
                <w:color w:val="262626"/>
                <w:lang w:eastAsia="en-GB"/>
              </w:rPr>
              <w:tab/>
              <w:t xml:space="preserve">ARUP </w:t>
            </w:r>
          </w:p>
          <w:p w14:paraId="101284DA"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10.        Baringa</w:t>
            </w:r>
          </w:p>
          <w:p w14:paraId="317F470F"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11.</w:t>
            </w:r>
            <w:r w:rsidRPr="002A7848">
              <w:rPr>
                <w:rFonts w:eastAsia="Calibri" w:cstheme="minorHAnsi"/>
                <w:color w:val="262626"/>
                <w:lang w:eastAsia="en-GB"/>
              </w:rPr>
              <w:tab/>
              <w:t xml:space="preserve">Boston Consulting Group </w:t>
            </w:r>
          </w:p>
          <w:p w14:paraId="7AD5D633"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12.</w:t>
            </w:r>
            <w:r w:rsidRPr="002A7848">
              <w:rPr>
                <w:rFonts w:eastAsia="Calibri" w:cstheme="minorHAnsi"/>
                <w:color w:val="262626"/>
                <w:lang w:eastAsia="en-GB"/>
              </w:rPr>
              <w:tab/>
              <w:t xml:space="preserve">FTI Consulting </w:t>
            </w:r>
          </w:p>
          <w:p w14:paraId="788754DD"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13.</w:t>
            </w:r>
            <w:r w:rsidRPr="002A7848">
              <w:rPr>
                <w:rFonts w:eastAsia="Calibri" w:cstheme="minorHAnsi"/>
                <w:color w:val="262626"/>
                <w:lang w:eastAsia="en-GB"/>
              </w:rPr>
              <w:tab/>
              <w:t xml:space="preserve">KPMG </w:t>
            </w:r>
          </w:p>
        </w:tc>
      </w:tr>
      <w:tr w:rsidR="00A308B7" w:rsidRPr="00354D55" w14:paraId="223BBF45" w14:textId="77777777" w:rsidTr="002755FF">
        <w:tc>
          <w:tcPr>
            <w:tcW w:w="2972" w:type="dxa"/>
          </w:tcPr>
          <w:p w14:paraId="0BAD5ABF"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Law</w:t>
            </w:r>
          </w:p>
        </w:tc>
        <w:tc>
          <w:tcPr>
            <w:tcW w:w="5670" w:type="dxa"/>
          </w:tcPr>
          <w:p w14:paraId="147EFF78"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14.</w:t>
            </w:r>
            <w:r w:rsidRPr="002A7848">
              <w:rPr>
                <w:rFonts w:eastAsia="Calibri" w:cstheme="minorHAnsi"/>
                <w:color w:val="262626"/>
                <w:lang w:eastAsia="en-GB"/>
              </w:rPr>
              <w:tab/>
              <w:t xml:space="preserve">Pinsent Masons </w:t>
            </w:r>
          </w:p>
          <w:p w14:paraId="671B6D44"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15.</w:t>
            </w:r>
            <w:r w:rsidRPr="002A7848">
              <w:rPr>
                <w:rFonts w:eastAsia="Calibri" w:cstheme="minorHAnsi"/>
                <w:color w:val="262626"/>
                <w:lang w:eastAsia="en-GB"/>
              </w:rPr>
              <w:tab/>
              <w:t xml:space="preserve">Squire Boggs Patton </w:t>
            </w:r>
          </w:p>
        </w:tc>
      </w:tr>
      <w:tr w:rsidR="00A308B7" w:rsidRPr="00354D55" w14:paraId="652906B4" w14:textId="77777777" w:rsidTr="002755FF">
        <w:tc>
          <w:tcPr>
            <w:tcW w:w="2972" w:type="dxa"/>
          </w:tcPr>
          <w:p w14:paraId="69256D51"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Academics</w:t>
            </w:r>
          </w:p>
        </w:tc>
        <w:tc>
          <w:tcPr>
            <w:tcW w:w="5670" w:type="dxa"/>
          </w:tcPr>
          <w:p w14:paraId="5BDF9F8E"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16.</w:t>
            </w:r>
            <w:r w:rsidRPr="002A7848">
              <w:rPr>
                <w:rFonts w:eastAsia="Calibri" w:cstheme="minorHAnsi"/>
                <w:color w:val="262626"/>
                <w:lang w:eastAsia="en-GB"/>
              </w:rPr>
              <w:tab/>
              <w:t xml:space="preserve">Diplomatic Academy Vienna </w:t>
            </w:r>
          </w:p>
          <w:p w14:paraId="2CF8F057" w14:textId="77777777" w:rsidR="00A308B7" w:rsidRPr="002A7848" w:rsidRDefault="00A308B7" w:rsidP="00C54CB2">
            <w:pPr>
              <w:spacing w:after="0" w:line="240" w:lineRule="auto"/>
              <w:jc w:val="both"/>
              <w:rPr>
                <w:rFonts w:eastAsia="Calibri" w:cstheme="minorHAnsi"/>
                <w:color w:val="262626"/>
                <w:lang w:eastAsia="en-GB"/>
              </w:rPr>
            </w:pPr>
            <w:r w:rsidRPr="002A7848">
              <w:rPr>
                <w:rFonts w:eastAsia="Calibri" w:cstheme="minorHAnsi"/>
                <w:color w:val="262626"/>
                <w:lang w:eastAsia="en-GB"/>
              </w:rPr>
              <w:t>17.</w:t>
            </w:r>
            <w:r w:rsidRPr="002A7848">
              <w:rPr>
                <w:rFonts w:eastAsia="Calibri" w:cstheme="minorHAnsi"/>
                <w:color w:val="262626"/>
                <w:lang w:eastAsia="en-GB"/>
              </w:rPr>
              <w:tab/>
              <w:t xml:space="preserve">University of Cambridge </w:t>
            </w:r>
          </w:p>
        </w:tc>
      </w:tr>
    </w:tbl>
    <w:p w14:paraId="567FFC59" w14:textId="77777777" w:rsidR="00A308B7" w:rsidRDefault="00A308B7" w:rsidP="00C54CB2">
      <w:pPr>
        <w:spacing w:after="0" w:line="240" w:lineRule="auto"/>
        <w:jc w:val="both"/>
      </w:pPr>
    </w:p>
    <w:p w14:paraId="695086CB" w14:textId="77777777" w:rsidR="009B1EE2" w:rsidRDefault="009B1EE2" w:rsidP="00C54CB2">
      <w:pPr>
        <w:spacing w:after="0" w:line="240" w:lineRule="auto"/>
        <w:jc w:val="both"/>
      </w:pPr>
    </w:p>
    <w:p w14:paraId="2593FB59" w14:textId="1DA87FA6" w:rsidR="00A5360F" w:rsidRPr="009B1EE2" w:rsidRDefault="00A5360F" w:rsidP="009D2EC0">
      <w:pPr>
        <w:spacing w:after="0" w:line="240" w:lineRule="auto"/>
        <w:jc w:val="both"/>
      </w:pPr>
      <w:r>
        <w:t xml:space="preserve">After the initial presentations and </w:t>
      </w:r>
      <w:r w:rsidR="00663FF6">
        <w:t xml:space="preserve">a group </w:t>
      </w:r>
      <w:r>
        <w:t xml:space="preserve">discussion, the participants were split up into </w:t>
      </w:r>
      <w:r w:rsidR="00663FF6">
        <w:t>three</w:t>
      </w:r>
      <w:r>
        <w:t xml:space="preserve"> </w:t>
      </w:r>
      <w:r w:rsidR="00663FF6">
        <w:t>smaller</w:t>
      </w:r>
      <w:r>
        <w:t xml:space="preserve"> groups to discuss barriers further. </w:t>
      </w:r>
      <w:r w:rsidR="00694E71">
        <w:t>Th</w:t>
      </w:r>
      <w:r w:rsidR="009D2EC0">
        <w:t>e th</w:t>
      </w:r>
      <w:r w:rsidR="00694E71">
        <w:t xml:space="preserve">ree </w:t>
      </w:r>
      <w:r w:rsidR="00415D3F">
        <w:t>overall</w:t>
      </w:r>
      <w:r w:rsidR="00694E71">
        <w:t xml:space="preserve"> emergent themes from the scoping review were used as a prompt for these small group discussions. Each group discussed each of the three topics. </w:t>
      </w:r>
    </w:p>
    <w:p w14:paraId="00013B80" w14:textId="77777777" w:rsidR="001625C5" w:rsidRPr="009B1EE2" w:rsidRDefault="001625C5" w:rsidP="00C54CB2">
      <w:pPr>
        <w:spacing w:after="0" w:line="240" w:lineRule="auto"/>
        <w:jc w:val="both"/>
      </w:pPr>
    </w:p>
    <w:p w14:paraId="50558754" w14:textId="377D2B6A" w:rsidR="002A12B0" w:rsidRDefault="00A5360F" w:rsidP="00C54CB2">
      <w:pPr>
        <w:spacing w:after="0" w:line="240" w:lineRule="auto"/>
        <w:jc w:val="both"/>
      </w:pPr>
      <w:r>
        <w:t>The workshop was held under the Chatham House rule</w:t>
      </w:r>
      <w:r w:rsidR="00694E71">
        <w:t xml:space="preserve"> (no attribution of comments to any individual)</w:t>
      </w:r>
      <w:r>
        <w:t xml:space="preserve">. Participants gave informed consent to take part in the workshop with formal ethics approval having been sought under the University’s ethics approval process. The workshop was audio-recorded and the small group and plenary discussions then transcribed. Notes were also taken throughout the workshop by the facilitators. These notes and transcriptions were then thematically analysed </w:t>
      </w:r>
      <w:r w:rsidR="00F010DC">
        <w:t xml:space="preserve">(Pham et al., 2014) </w:t>
      </w:r>
      <w:r>
        <w:t xml:space="preserve">allowing any new </w:t>
      </w:r>
      <w:r w:rsidR="00694E71">
        <w:t>themes</w:t>
      </w:r>
      <w:r>
        <w:t xml:space="preserve"> to emerge</w:t>
      </w:r>
      <w:r w:rsidR="00694E71">
        <w:t xml:space="preserve"> or be confirmed from those identified during the scoping review</w:t>
      </w:r>
      <w:r>
        <w:t xml:space="preserve">. </w:t>
      </w:r>
      <w:r w:rsidR="00694E71">
        <w:t>The themes gathered from the workshop w</w:t>
      </w:r>
      <w:r w:rsidR="002A12B0">
        <w:t>ere</w:t>
      </w:r>
      <w:r w:rsidR="00694E71">
        <w:t xml:space="preserve"> used to create a list of barriers which were then refined to ensure as little overlap between the barriers as possible (Pham et al., 2014). This was led by the two first authors of this paper. Two overall themes were identified with a number of sub-themes. </w:t>
      </w:r>
    </w:p>
    <w:p w14:paraId="2B1AA01C" w14:textId="77777777" w:rsidR="002A12B0" w:rsidRDefault="002A12B0" w:rsidP="00C54CB2">
      <w:pPr>
        <w:spacing w:after="0" w:line="240" w:lineRule="auto"/>
        <w:jc w:val="both"/>
      </w:pPr>
    </w:p>
    <w:p w14:paraId="391E4060" w14:textId="2703FE0E" w:rsidR="00A5360F" w:rsidRDefault="002A12B0" w:rsidP="00C54CB2">
      <w:pPr>
        <w:spacing w:after="0" w:line="240" w:lineRule="auto"/>
        <w:jc w:val="both"/>
      </w:pPr>
      <w:r>
        <w:t>The next section presents the data gathered at the workshop. The themes</w:t>
      </w:r>
      <w:r w:rsidR="007B2344">
        <w:t>, sub-themes</w:t>
      </w:r>
      <w:r>
        <w:t xml:space="preserve"> and policy recommendations are then presented in the final section. </w:t>
      </w:r>
    </w:p>
    <w:p w14:paraId="1EF21AF0" w14:textId="49001CF6" w:rsidR="00A5360F" w:rsidRDefault="00A5360F" w:rsidP="00C54CB2">
      <w:pPr>
        <w:spacing w:after="0" w:line="240" w:lineRule="auto"/>
        <w:jc w:val="both"/>
      </w:pPr>
    </w:p>
    <w:p w14:paraId="0BEE40D3" w14:textId="74A703DD" w:rsidR="00A5360F" w:rsidRDefault="002D6AFC" w:rsidP="001005AD">
      <w:pPr>
        <w:pStyle w:val="Heading2"/>
        <w:numPr>
          <w:ilvl w:val="0"/>
          <w:numId w:val="8"/>
        </w:numPr>
      </w:pPr>
      <w:r>
        <w:t>R</w:t>
      </w:r>
      <w:r w:rsidR="00202A1A">
        <w:t xml:space="preserve">esults </w:t>
      </w:r>
    </w:p>
    <w:p w14:paraId="2E934FCF" w14:textId="5375941F" w:rsidR="00E6246F" w:rsidRDefault="00AC7842" w:rsidP="00C54CB2">
      <w:pPr>
        <w:widowControl w:val="0"/>
        <w:spacing w:after="0" w:line="240" w:lineRule="auto"/>
        <w:jc w:val="both"/>
        <w:rPr>
          <w:rFonts w:eastAsia="Calibri" w:cstheme="minorHAnsi"/>
          <w:color w:val="000000"/>
          <w:lang w:eastAsia="en-GB"/>
        </w:rPr>
      </w:pPr>
      <w:r>
        <w:rPr>
          <w:rFonts w:eastAsia="Calibri" w:cstheme="minorHAnsi"/>
          <w:color w:val="262626"/>
          <w:lang w:eastAsia="en-GB"/>
        </w:rPr>
        <w:t>M</w:t>
      </w:r>
      <w:r w:rsidR="00E6246F" w:rsidRPr="00D825DA">
        <w:rPr>
          <w:rFonts w:eastAsia="Calibri" w:cstheme="minorHAnsi"/>
          <w:color w:val="262626"/>
          <w:lang w:eastAsia="en-GB"/>
        </w:rPr>
        <w:t xml:space="preserve">any issues impacting the financing for cross-border </w:t>
      </w:r>
      <w:r w:rsidR="00CD3AC2">
        <w:rPr>
          <w:rFonts w:eastAsia="Calibri" w:cstheme="minorHAnsi"/>
          <w:color w:val="262626"/>
          <w:lang w:eastAsia="en-GB"/>
        </w:rPr>
        <w:t>infrastructure</w:t>
      </w:r>
      <w:r w:rsidR="00E6246F" w:rsidRPr="00D825DA">
        <w:rPr>
          <w:rFonts w:eastAsia="Calibri" w:cstheme="minorHAnsi"/>
          <w:color w:val="262626"/>
          <w:lang w:eastAsia="en-GB"/>
        </w:rPr>
        <w:t xml:space="preserve"> </w:t>
      </w:r>
      <w:r w:rsidR="001628E5">
        <w:rPr>
          <w:rFonts w:eastAsia="Calibri" w:cstheme="minorHAnsi"/>
          <w:color w:val="262626"/>
          <w:lang w:eastAsia="en-GB"/>
        </w:rPr>
        <w:t>are</w:t>
      </w:r>
      <w:r w:rsidR="00E6246F" w:rsidRPr="00D825DA">
        <w:rPr>
          <w:rFonts w:eastAsia="Calibri" w:cstheme="minorHAnsi"/>
          <w:color w:val="262626"/>
          <w:lang w:eastAsia="en-GB"/>
        </w:rPr>
        <w:t xml:space="preserve"> exactly the same </w:t>
      </w:r>
      <w:r w:rsidR="001628E5">
        <w:rPr>
          <w:rFonts w:eastAsia="Calibri" w:cstheme="minorHAnsi"/>
          <w:color w:val="262626"/>
          <w:lang w:eastAsia="en-GB"/>
        </w:rPr>
        <w:t>as</w:t>
      </w:r>
      <w:r w:rsidR="00E6246F" w:rsidRPr="00D825DA">
        <w:rPr>
          <w:rFonts w:eastAsia="Calibri" w:cstheme="minorHAnsi"/>
          <w:color w:val="262626"/>
          <w:lang w:eastAsia="en-GB"/>
        </w:rPr>
        <w:t xml:space="preserve"> a national project. </w:t>
      </w:r>
      <w:r w:rsidR="00EF6981">
        <w:rPr>
          <w:rFonts w:eastAsia="Calibri" w:cstheme="minorHAnsi"/>
          <w:color w:val="262626"/>
          <w:lang w:eastAsia="en-GB"/>
        </w:rPr>
        <w:t>Workshop p</w:t>
      </w:r>
      <w:r w:rsidR="00C20C72">
        <w:rPr>
          <w:rFonts w:eastAsia="Calibri" w:cstheme="minorHAnsi"/>
          <w:color w:val="262626"/>
          <w:lang w:eastAsia="en-GB"/>
        </w:rPr>
        <w:t>articipants estimated that o</w:t>
      </w:r>
      <w:r w:rsidR="00E6246F" w:rsidRPr="00D825DA">
        <w:rPr>
          <w:rFonts w:eastAsia="Calibri" w:cstheme="minorHAnsi"/>
          <w:color w:val="262626"/>
          <w:lang w:eastAsia="en-GB"/>
        </w:rPr>
        <w:t xml:space="preserve">nly about </w:t>
      </w:r>
      <w:r w:rsidR="004A7AF2">
        <w:rPr>
          <w:rFonts w:eastAsia="Calibri" w:cstheme="minorHAnsi"/>
          <w:color w:val="262626"/>
          <w:lang w:eastAsia="en-GB"/>
        </w:rPr>
        <w:t>a quarter</w:t>
      </w:r>
      <w:r w:rsidR="00E6246F" w:rsidRPr="00D825DA">
        <w:rPr>
          <w:rFonts w:eastAsia="Calibri" w:cstheme="minorHAnsi"/>
          <w:color w:val="262626"/>
          <w:lang w:eastAsia="en-GB"/>
        </w:rPr>
        <w:t xml:space="preserve"> of the financing risks stem from its </w:t>
      </w:r>
      <w:r w:rsidR="004A7AF2">
        <w:rPr>
          <w:rFonts w:eastAsia="Calibri" w:cstheme="minorHAnsi"/>
          <w:color w:val="262626"/>
          <w:lang w:eastAsia="en-GB"/>
        </w:rPr>
        <w:t>cross-border</w:t>
      </w:r>
      <w:r w:rsidR="00E6246F" w:rsidRPr="00D825DA">
        <w:rPr>
          <w:rFonts w:eastAsia="Calibri" w:cstheme="minorHAnsi"/>
          <w:color w:val="262626"/>
          <w:lang w:eastAsia="en-GB"/>
        </w:rPr>
        <w:t xml:space="preserve"> nature. It is therefore important to specify whether </w:t>
      </w:r>
      <w:r w:rsidR="00E6246F" w:rsidRPr="00D825DA">
        <w:rPr>
          <w:rFonts w:eastAsia="Calibri" w:cstheme="minorHAnsi"/>
          <w:color w:val="000000"/>
          <w:lang w:eastAsia="en-GB"/>
        </w:rPr>
        <w:t xml:space="preserve">an issue is inherent irrespective of whether it is cross-border or not. An example </w:t>
      </w:r>
      <w:r w:rsidR="004A7AF2">
        <w:rPr>
          <w:rFonts w:eastAsia="Calibri" w:cstheme="minorHAnsi"/>
          <w:color w:val="000000"/>
          <w:lang w:eastAsia="en-GB"/>
        </w:rPr>
        <w:t xml:space="preserve">of this </w:t>
      </w:r>
      <w:r w:rsidR="00E6246F" w:rsidRPr="00D825DA">
        <w:rPr>
          <w:rFonts w:eastAsia="Calibri" w:cstheme="minorHAnsi"/>
          <w:color w:val="000000"/>
          <w:lang w:eastAsia="en-GB"/>
        </w:rPr>
        <w:t>is construction risk</w:t>
      </w:r>
      <w:r w:rsidR="00813D1E">
        <w:rPr>
          <w:rFonts w:eastAsia="Calibri" w:cstheme="minorHAnsi"/>
          <w:color w:val="000000"/>
          <w:lang w:eastAsia="en-GB"/>
        </w:rPr>
        <w:t xml:space="preserve"> which is the same irrespective of whether a project is</w:t>
      </w:r>
      <w:r w:rsidR="00813D1E" w:rsidRPr="00D825DA">
        <w:rPr>
          <w:rFonts w:eastAsia="Calibri" w:cstheme="minorHAnsi"/>
          <w:color w:val="000000"/>
          <w:lang w:eastAsia="en-GB"/>
        </w:rPr>
        <w:t xml:space="preserve"> national or cross-border infrastructure</w:t>
      </w:r>
      <w:r w:rsidR="00E6246F" w:rsidRPr="00D825DA">
        <w:rPr>
          <w:rFonts w:eastAsia="Calibri" w:cstheme="minorHAnsi"/>
          <w:color w:val="000000"/>
          <w:lang w:eastAsia="en-GB"/>
        </w:rPr>
        <w:t xml:space="preserve">. </w:t>
      </w:r>
      <w:r>
        <w:rPr>
          <w:rFonts w:eastAsia="Calibri" w:cstheme="minorHAnsi"/>
          <w:color w:val="262626"/>
          <w:lang w:eastAsia="en-GB"/>
        </w:rPr>
        <w:t>However</w:t>
      </w:r>
      <w:r w:rsidRPr="00D825DA">
        <w:rPr>
          <w:rFonts w:eastAsia="Calibri" w:cstheme="minorHAnsi"/>
          <w:color w:val="262626"/>
          <w:lang w:eastAsia="en-GB"/>
        </w:rPr>
        <w:t xml:space="preserve">, participants highlighted the fact that the </w:t>
      </w:r>
      <w:r>
        <w:rPr>
          <w:rFonts w:eastAsia="Calibri" w:cstheme="minorHAnsi"/>
          <w:color w:val="262626"/>
          <w:lang w:eastAsia="en-GB"/>
        </w:rPr>
        <w:t>investment structure in</w:t>
      </w:r>
      <w:r w:rsidRPr="00D825DA">
        <w:rPr>
          <w:rFonts w:eastAsia="Calibri" w:cstheme="minorHAnsi"/>
          <w:color w:val="262626"/>
          <w:lang w:eastAsia="en-GB"/>
        </w:rPr>
        <w:t xml:space="preserve"> an interconnection project follows the revenue structure </w:t>
      </w:r>
      <w:r>
        <w:rPr>
          <w:rFonts w:eastAsia="Calibri" w:cstheme="minorHAnsi"/>
          <w:color w:val="262626"/>
          <w:lang w:eastAsia="en-GB"/>
        </w:rPr>
        <w:t>of</w:t>
      </w:r>
      <w:r w:rsidRPr="00D825DA">
        <w:rPr>
          <w:rFonts w:eastAsia="Calibri" w:cstheme="minorHAnsi"/>
          <w:color w:val="262626"/>
          <w:lang w:eastAsia="en-GB"/>
        </w:rPr>
        <w:t xml:space="preserve"> the operational phase of the project. This revenue structure</w:t>
      </w:r>
      <w:r>
        <w:rPr>
          <w:rFonts w:eastAsia="Calibri" w:cstheme="minorHAnsi"/>
          <w:color w:val="262626"/>
          <w:lang w:eastAsia="en-GB"/>
        </w:rPr>
        <w:t>,</w:t>
      </w:r>
      <w:r w:rsidRPr="00D825DA">
        <w:rPr>
          <w:rFonts w:eastAsia="Calibri" w:cstheme="minorHAnsi"/>
          <w:color w:val="262626"/>
          <w:lang w:eastAsia="en-GB"/>
        </w:rPr>
        <w:t xml:space="preserve"> and what is permitted or not</w:t>
      </w:r>
      <w:r>
        <w:rPr>
          <w:rFonts w:eastAsia="Calibri" w:cstheme="minorHAnsi"/>
          <w:color w:val="262626"/>
          <w:lang w:eastAsia="en-GB"/>
        </w:rPr>
        <w:t>,</w:t>
      </w:r>
      <w:r w:rsidRPr="00D825DA">
        <w:rPr>
          <w:rFonts w:eastAsia="Calibri" w:cstheme="minorHAnsi"/>
          <w:color w:val="262626"/>
          <w:lang w:eastAsia="en-GB"/>
        </w:rPr>
        <w:t xml:space="preserve"> will differ from </w:t>
      </w:r>
      <w:r w:rsidR="00F30BD3">
        <w:rPr>
          <w:rFonts w:eastAsia="Calibri" w:cstheme="minorHAnsi"/>
          <w:color w:val="262626"/>
          <w:lang w:eastAsia="en-GB"/>
        </w:rPr>
        <w:t>country</w:t>
      </w:r>
      <w:r w:rsidRPr="00D825DA">
        <w:rPr>
          <w:rFonts w:eastAsia="Calibri" w:cstheme="minorHAnsi"/>
          <w:color w:val="262626"/>
          <w:lang w:eastAsia="en-GB"/>
        </w:rPr>
        <w:t xml:space="preserve"> to </w:t>
      </w:r>
      <w:r w:rsidR="00F30BD3">
        <w:rPr>
          <w:rFonts w:eastAsia="Calibri" w:cstheme="minorHAnsi"/>
          <w:color w:val="262626"/>
          <w:lang w:eastAsia="en-GB"/>
        </w:rPr>
        <w:t>country</w:t>
      </w:r>
      <w:r>
        <w:rPr>
          <w:rFonts w:eastAsia="Calibri" w:cstheme="minorHAnsi"/>
          <w:color w:val="262626"/>
          <w:lang w:eastAsia="en-GB"/>
        </w:rPr>
        <w:t xml:space="preserve"> making an investment more complex. </w:t>
      </w:r>
    </w:p>
    <w:p w14:paraId="62531801" w14:textId="77777777" w:rsidR="00D825DA" w:rsidRPr="00D825DA" w:rsidRDefault="00D825DA" w:rsidP="00C54CB2">
      <w:pPr>
        <w:widowControl w:val="0"/>
        <w:spacing w:after="0" w:line="240" w:lineRule="auto"/>
        <w:jc w:val="both"/>
        <w:rPr>
          <w:rFonts w:eastAsia="Calibri" w:cstheme="minorHAnsi"/>
          <w:color w:val="000000"/>
          <w:lang w:eastAsia="en-GB"/>
        </w:rPr>
      </w:pPr>
    </w:p>
    <w:p w14:paraId="646988BF" w14:textId="50D5C0FA" w:rsidR="00E6246F" w:rsidRDefault="00E6246F" w:rsidP="00C54CB2">
      <w:pPr>
        <w:widowControl w:val="0"/>
        <w:spacing w:after="0" w:line="240" w:lineRule="auto"/>
        <w:jc w:val="both"/>
        <w:rPr>
          <w:rFonts w:eastAsia="Calibri" w:cstheme="minorHAnsi"/>
          <w:color w:val="000000"/>
          <w:lang w:eastAsia="en-GB"/>
        </w:rPr>
      </w:pPr>
      <w:r w:rsidRPr="00D825DA">
        <w:rPr>
          <w:rFonts w:eastAsia="Calibri" w:cstheme="minorHAnsi"/>
          <w:color w:val="000000"/>
          <w:lang w:eastAsia="en-GB"/>
        </w:rPr>
        <w:t xml:space="preserve">A lawyer advising interconnection projects asserted that the major factor in cross-border projects is political and regulatory uncertainty. This includes sudden political changes in </w:t>
      </w:r>
      <w:r w:rsidR="008B3805">
        <w:rPr>
          <w:rFonts w:eastAsia="Calibri" w:cstheme="minorHAnsi"/>
          <w:color w:val="000000"/>
          <w:lang w:eastAsia="en-GB"/>
        </w:rPr>
        <w:t>member states</w:t>
      </w:r>
      <w:r w:rsidRPr="00D825DA">
        <w:rPr>
          <w:rFonts w:eastAsia="Calibri" w:cstheme="minorHAnsi"/>
          <w:color w:val="000000"/>
          <w:lang w:eastAsia="en-GB"/>
        </w:rPr>
        <w:t>. For this reason, it is “</w:t>
      </w:r>
      <w:r w:rsidRPr="008B3805">
        <w:rPr>
          <w:rFonts w:eastAsia="Calibri" w:cstheme="minorHAnsi"/>
          <w:i/>
          <w:iCs/>
          <w:color w:val="000000"/>
          <w:lang w:eastAsia="en-GB"/>
        </w:rPr>
        <w:t>nearly impossible to get financing externally for such projects</w:t>
      </w:r>
      <w:r w:rsidRPr="00D825DA">
        <w:rPr>
          <w:rFonts w:eastAsia="Calibri" w:cstheme="minorHAnsi"/>
          <w:color w:val="000000"/>
          <w:lang w:eastAsia="en-GB"/>
        </w:rPr>
        <w:t xml:space="preserve">” since investments are perceived to be too high risk. </w:t>
      </w:r>
      <w:r w:rsidR="002165EE" w:rsidRPr="00D825DA">
        <w:rPr>
          <w:rFonts w:eastAsia="Calibri" w:cstheme="minorHAnsi"/>
          <w:color w:val="000000"/>
          <w:lang w:eastAsia="en-GB"/>
        </w:rPr>
        <w:t xml:space="preserve">There are then issues pertaining to which </w:t>
      </w:r>
      <w:r w:rsidR="002165EE">
        <w:rPr>
          <w:rFonts w:eastAsia="Calibri" w:cstheme="minorHAnsi"/>
          <w:color w:val="000000"/>
          <w:lang w:eastAsia="en-GB"/>
        </w:rPr>
        <w:t xml:space="preserve">national </w:t>
      </w:r>
      <w:r w:rsidR="002165EE" w:rsidRPr="00D825DA">
        <w:rPr>
          <w:rFonts w:eastAsia="Calibri" w:cstheme="minorHAnsi"/>
          <w:color w:val="000000"/>
          <w:lang w:eastAsia="en-GB"/>
        </w:rPr>
        <w:t>law</w:t>
      </w:r>
      <w:r w:rsidR="002165EE">
        <w:rPr>
          <w:rFonts w:eastAsia="Calibri" w:cstheme="minorHAnsi"/>
          <w:color w:val="000000"/>
          <w:lang w:eastAsia="en-GB"/>
        </w:rPr>
        <w:t>s</w:t>
      </w:r>
      <w:r w:rsidR="002165EE" w:rsidRPr="00D825DA">
        <w:rPr>
          <w:rFonts w:eastAsia="Calibri" w:cstheme="minorHAnsi"/>
          <w:color w:val="000000"/>
          <w:lang w:eastAsia="en-GB"/>
        </w:rPr>
        <w:t xml:space="preserve"> appl</w:t>
      </w:r>
      <w:r w:rsidR="00E546E6">
        <w:rPr>
          <w:rFonts w:eastAsia="Calibri" w:cstheme="minorHAnsi"/>
          <w:color w:val="000000"/>
          <w:lang w:eastAsia="en-GB"/>
        </w:rPr>
        <w:t>y</w:t>
      </w:r>
      <w:r w:rsidR="002165EE" w:rsidRPr="00D825DA">
        <w:rPr>
          <w:rFonts w:eastAsia="Calibri" w:cstheme="minorHAnsi"/>
          <w:color w:val="000000"/>
          <w:lang w:eastAsia="en-GB"/>
        </w:rPr>
        <w:t xml:space="preserve"> to the </w:t>
      </w:r>
      <w:r w:rsidR="002165EE" w:rsidRPr="00D825DA">
        <w:rPr>
          <w:rFonts w:eastAsia="Calibri" w:cstheme="minorHAnsi"/>
          <w:color w:val="000000"/>
          <w:lang w:eastAsia="en-GB"/>
        </w:rPr>
        <w:lastRenderedPageBreak/>
        <w:t>interconnector and who to sue in which forum in case of an issue.</w:t>
      </w:r>
    </w:p>
    <w:p w14:paraId="0CFF38AF" w14:textId="362E4E0B" w:rsidR="00F30BD3" w:rsidRDefault="00F30BD3" w:rsidP="00C54CB2">
      <w:pPr>
        <w:widowControl w:val="0"/>
        <w:spacing w:after="0" w:line="240" w:lineRule="auto"/>
        <w:jc w:val="both"/>
        <w:rPr>
          <w:rFonts w:eastAsia="Calibri" w:cstheme="minorHAnsi"/>
          <w:color w:val="000000"/>
          <w:lang w:eastAsia="en-GB"/>
        </w:rPr>
      </w:pPr>
    </w:p>
    <w:p w14:paraId="5DE9A8FC" w14:textId="52DED10D" w:rsidR="00F30BD3" w:rsidRDefault="00F30BD3" w:rsidP="00F30BD3">
      <w:pPr>
        <w:widowControl w:val="0"/>
        <w:spacing w:after="0" w:line="240" w:lineRule="auto"/>
        <w:jc w:val="both"/>
        <w:rPr>
          <w:rFonts w:eastAsia="Calibri" w:cstheme="minorHAnsi"/>
          <w:color w:val="262626"/>
          <w:lang w:eastAsia="en-GB"/>
        </w:rPr>
      </w:pPr>
      <w:r w:rsidRPr="00D825DA">
        <w:rPr>
          <w:rFonts w:eastAsia="Calibri" w:cstheme="minorHAnsi"/>
          <w:color w:val="262626"/>
          <w:lang w:eastAsia="en-GB"/>
        </w:rPr>
        <w:t>The long lifespan of the project versus the regulatory uncertainty, especially given the lifespan of regulation can be short, is a mismatch. Political changes in Bulgaria, capacity market remuneration in the UK, and German renewable energy regimes changes have all contributed to a perception of considerable regulatory risk.</w:t>
      </w:r>
      <w:r>
        <w:rPr>
          <w:rFonts w:eastAsia="Times New Roman" w:cstheme="minorHAnsi"/>
          <w:color w:val="262626"/>
          <w:lang w:eastAsia="en-GB"/>
        </w:rPr>
        <w:t xml:space="preserve"> </w:t>
      </w:r>
      <w:r w:rsidRPr="00D825DA">
        <w:rPr>
          <w:rFonts w:eastAsia="Calibri" w:cstheme="minorHAnsi"/>
          <w:color w:val="262626"/>
          <w:lang w:eastAsia="en-GB"/>
        </w:rPr>
        <w:t xml:space="preserve">The more investments are being made, the more costs are generated and with that also comes higher political pressure of managing those costs. The regulatory authority faces public and political pressure </w:t>
      </w:r>
      <w:r w:rsidR="00175845">
        <w:rPr>
          <w:rFonts w:eastAsia="Calibri" w:cstheme="minorHAnsi"/>
          <w:color w:val="262626"/>
          <w:lang w:eastAsia="en-GB"/>
        </w:rPr>
        <w:t>so</w:t>
      </w:r>
      <w:r w:rsidRPr="00D825DA">
        <w:rPr>
          <w:rFonts w:eastAsia="Calibri" w:cstheme="minorHAnsi"/>
          <w:color w:val="262626"/>
          <w:lang w:eastAsia="en-GB"/>
        </w:rPr>
        <w:t xml:space="preserve"> it cannot be ruled out that adjustments are made which then conflict with the viability of the investment. However, it is of course possible to insure against political risk and the risk can be shared between project partners. Other attendees did not rank regulatory risk as highly. An investor would either like a regulator</w:t>
      </w:r>
      <w:r w:rsidR="00175845">
        <w:rPr>
          <w:rFonts w:eastAsia="Calibri" w:cstheme="minorHAnsi"/>
          <w:color w:val="262626"/>
          <w:lang w:eastAsia="en-GB"/>
        </w:rPr>
        <w:t>’s</w:t>
      </w:r>
      <w:r w:rsidRPr="00D825DA">
        <w:rPr>
          <w:rFonts w:eastAsia="Calibri" w:cstheme="minorHAnsi"/>
          <w:color w:val="262626"/>
          <w:lang w:eastAsia="en-GB"/>
        </w:rPr>
        <w:t xml:space="preserve"> track record or see that there has been delay</w:t>
      </w:r>
      <w:r w:rsidR="00175845">
        <w:rPr>
          <w:rFonts w:eastAsia="Calibri" w:cstheme="minorHAnsi"/>
          <w:color w:val="262626"/>
          <w:lang w:eastAsia="en-GB"/>
        </w:rPr>
        <w:t>s</w:t>
      </w:r>
      <w:r w:rsidRPr="00D825DA">
        <w:rPr>
          <w:rFonts w:eastAsia="Calibri" w:cstheme="minorHAnsi"/>
          <w:color w:val="262626"/>
          <w:lang w:eastAsia="en-GB"/>
        </w:rPr>
        <w:t xml:space="preserve"> in previous interconnections or projects due to regulatory issues and would then not invest in that member state in the first place.  </w:t>
      </w:r>
    </w:p>
    <w:p w14:paraId="54724A25" w14:textId="400B851D" w:rsidR="00D825DA" w:rsidRDefault="00D825DA" w:rsidP="00C54CB2">
      <w:pPr>
        <w:widowControl w:val="0"/>
        <w:spacing w:after="0" w:line="240" w:lineRule="auto"/>
        <w:jc w:val="both"/>
        <w:rPr>
          <w:rFonts w:eastAsia="Calibri" w:cstheme="minorHAnsi"/>
          <w:color w:val="000000"/>
          <w:lang w:eastAsia="en-GB"/>
        </w:rPr>
      </w:pPr>
    </w:p>
    <w:p w14:paraId="3FAFEB57" w14:textId="71BF6B4F" w:rsidR="00E6246F" w:rsidRDefault="00E6246F" w:rsidP="00C54CB2">
      <w:pPr>
        <w:widowControl w:val="0"/>
        <w:spacing w:after="0" w:line="240" w:lineRule="auto"/>
        <w:jc w:val="both"/>
        <w:rPr>
          <w:rFonts w:eastAsia="Calibri" w:cstheme="minorHAnsi"/>
          <w:color w:val="000000"/>
          <w:lang w:eastAsia="en-GB"/>
        </w:rPr>
      </w:pPr>
      <w:r w:rsidRPr="00D825DA">
        <w:rPr>
          <w:rFonts w:eastAsia="Calibri" w:cstheme="minorHAnsi"/>
          <w:color w:val="000000"/>
          <w:lang w:eastAsia="en-GB"/>
        </w:rPr>
        <w:t xml:space="preserve">Another workshop participant pointed out that there was a cultural difference in inspection </w:t>
      </w:r>
      <w:r w:rsidR="001A0D15">
        <w:rPr>
          <w:rFonts w:eastAsia="Calibri" w:cstheme="minorHAnsi"/>
          <w:color w:val="000000"/>
          <w:lang w:eastAsia="en-GB"/>
        </w:rPr>
        <w:t xml:space="preserve">between countries. </w:t>
      </w:r>
      <w:r w:rsidRPr="00D825DA">
        <w:rPr>
          <w:rFonts w:eastAsia="Calibri" w:cstheme="minorHAnsi"/>
          <w:color w:val="000000"/>
          <w:lang w:eastAsia="en-GB"/>
        </w:rPr>
        <w:t xml:space="preserve">In the UK, it is quite common to have a </w:t>
      </w:r>
      <w:r w:rsidR="002165EE">
        <w:rPr>
          <w:rFonts w:eastAsia="Calibri" w:cstheme="minorHAnsi"/>
          <w:color w:val="000000"/>
          <w:lang w:eastAsia="en-GB"/>
        </w:rPr>
        <w:t>third</w:t>
      </w:r>
      <w:r w:rsidRPr="00D825DA">
        <w:rPr>
          <w:rFonts w:eastAsia="Calibri" w:cstheme="minorHAnsi"/>
          <w:color w:val="000000"/>
          <w:lang w:eastAsia="en-GB"/>
        </w:rPr>
        <w:t xml:space="preserve"> party building an interconnector. That situation is not the norm on the continent. This adds another layer of complexity when it comes to cross-jurisdictional issues in interconnection. In a project, in which there are more UK investors, the technological structure becomes a crucial element of the project because it is possible to get European revenues in a tax-optimised way. The question is then “</w:t>
      </w:r>
      <w:r w:rsidRPr="001A0D15">
        <w:rPr>
          <w:rFonts w:eastAsia="Calibri" w:cstheme="minorHAnsi"/>
          <w:i/>
          <w:iCs/>
          <w:color w:val="000000"/>
          <w:lang w:eastAsia="en-GB"/>
        </w:rPr>
        <w:t>what do you structure as equity or as dead financing so that you have deductible interest payments which are taxed more in a country where you invest</w:t>
      </w:r>
      <w:r w:rsidRPr="00D825DA">
        <w:rPr>
          <w:rFonts w:eastAsia="Calibri" w:cstheme="minorHAnsi"/>
          <w:color w:val="000000"/>
          <w:lang w:eastAsia="en-GB"/>
        </w:rPr>
        <w:t>.”</w:t>
      </w:r>
    </w:p>
    <w:p w14:paraId="0EB83720" w14:textId="77777777" w:rsidR="00D825DA" w:rsidRPr="00D825DA" w:rsidRDefault="00D825DA" w:rsidP="00C54CB2">
      <w:pPr>
        <w:widowControl w:val="0"/>
        <w:spacing w:after="0" w:line="240" w:lineRule="auto"/>
        <w:jc w:val="both"/>
        <w:rPr>
          <w:rFonts w:eastAsia="Calibri" w:cstheme="minorHAnsi"/>
          <w:color w:val="000000"/>
          <w:lang w:eastAsia="en-GB"/>
        </w:rPr>
      </w:pPr>
    </w:p>
    <w:p w14:paraId="159B17DE" w14:textId="68791E7A" w:rsidR="00E6246F" w:rsidRDefault="00E6246F" w:rsidP="00C54CB2">
      <w:pPr>
        <w:widowControl w:val="0"/>
        <w:spacing w:after="0" w:line="240" w:lineRule="auto"/>
        <w:jc w:val="both"/>
        <w:rPr>
          <w:rFonts w:eastAsia="Calibri" w:cstheme="minorHAnsi"/>
          <w:color w:val="262626"/>
          <w:lang w:eastAsia="en-GB"/>
        </w:rPr>
      </w:pPr>
      <w:r w:rsidRPr="00D825DA">
        <w:rPr>
          <w:rFonts w:eastAsia="Calibri" w:cstheme="minorHAnsi"/>
          <w:color w:val="262626"/>
          <w:lang w:eastAsia="en-GB"/>
        </w:rPr>
        <w:t>One reason why some transmission line projects are predominantly financed by banks is that these already possess certain environmental and social compliance principles needed. A representative from a commercial bank explained three different finance sources</w:t>
      </w:r>
      <w:r w:rsidR="00944ED2">
        <w:rPr>
          <w:rFonts w:eastAsia="Calibri" w:cstheme="minorHAnsi"/>
          <w:color w:val="262626"/>
          <w:lang w:eastAsia="en-GB"/>
        </w:rPr>
        <w:t>.</w:t>
      </w:r>
      <w:r w:rsidRPr="00D825DA">
        <w:rPr>
          <w:rFonts w:eastAsia="Calibri" w:cstheme="minorHAnsi"/>
          <w:color w:val="262626"/>
          <w:lang w:eastAsia="en-GB"/>
        </w:rPr>
        <w:t xml:space="preserve"> </w:t>
      </w:r>
      <w:r w:rsidR="00944ED2">
        <w:rPr>
          <w:rFonts w:eastAsia="Calibri" w:cstheme="minorHAnsi"/>
          <w:color w:val="262626"/>
          <w:lang w:eastAsia="en-GB"/>
        </w:rPr>
        <w:t>Firstly, on balance sheet investment by</w:t>
      </w:r>
      <w:r w:rsidRPr="00D825DA">
        <w:rPr>
          <w:rFonts w:eastAsia="Calibri" w:cstheme="minorHAnsi"/>
          <w:color w:val="262626"/>
          <w:lang w:eastAsia="en-GB"/>
        </w:rPr>
        <w:t xml:space="preserve"> utilities and TSOs on the </w:t>
      </w:r>
      <w:r w:rsidR="00944ED2">
        <w:rPr>
          <w:rFonts w:eastAsia="Calibri" w:cstheme="minorHAnsi"/>
          <w:color w:val="262626"/>
          <w:lang w:eastAsia="en-GB"/>
        </w:rPr>
        <w:t>Regulatory Asset Base (</w:t>
      </w:r>
      <w:r w:rsidRPr="00D825DA">
        <w:rPr>
          <w:rFonts w:eastAsia="Calibri" w:cstheme="minorHAnsi"/>
          <w:color w:val="262626"/>
          <w:lang w:eastAsia="en-GB"/>
        </w:rPr>
        <w:t>RAB</w:t>
      </w:r>
      <w:r w:rsidR="00944ED2">
        <w:rPr>
          <w:rFonts w:eastAsia="Calibri" w:cstheme="minorHAnsi"/>
          <w:color w:val="262626"/>
          <w:lang w:eastAsia="en-GB"/>
        </w:rPr>
        <w:t>)</w:t>
      </w:r>
      <w:r w:rsidRPr="00D825DA">
        <w:rPr>
          <w:rFonts w:eastAsia="Calibri" w:cstheme="minorHAnsi"/>
          <w:color w:val="262626"/>
          <w:lang w:eastAsia="en-GB"/>
        </w:rPr>
        <w:t xml:space="preserve"> model</w:t>
      </w:r>
      <w:r w:rsidR="00944ED2">
        <w:rPr>
          <w:rFonts w:eastAsia="Calibri" w:cstheme="minorHAnsi"/>
          <w:color w:val="262626"/>
          <w:lang w:eastAsia="en-GB"/>
        </w:rPr>
        <w:t>. Secondly,</w:t>
      </w:r>
      <w:r w:rsidRPr="00D825DA">
        <w:rPr>
          <w:rFonts w:eastAsia="Calibri" w:cstheme="minorHAnsi"/>
          <w:color w:val="262626"/>
          <w:lang w:eastAsia="en-GB"/>
        </w:rPr>
        <w:t xml:space="preserve"> </w:t>
      </w:r>
      <w:r w:rsidR="00944ED2">
        <w:rPr>
          <w:rFonts w:eastAsia="Calibri" w:cstheme="minorHAnsi"/>
          <w:color w:val="262626"/>
          <w:lang w:eastAsia="en-GB"/>
        </w:rPr>
        <w:t>the</w:t>
      </w:r>
      <w:r w:rsidRPr="00D825DA">
        <w:rPr>
          <w:rFonts w:eastAsia="Calibri" w:cstheme="minorHAnsi"/>
          <w:color w:val="262626"/>
          <w:lang w:eastAsia="en-GB"/>
        </w:rPr>
        <w:t xml:space="preserve"> us</w:t>
      </w:r>
      <w:r w:rsidR="00944ED2">
        <w:rPr>
          <w:rFonts w:eastAsia="Calibri" w:cstheme="minorHAnsi"/>
          <w:color w:val="262626"/>
          <w:lang w:eastAsia="en-GB"/>
        </w:rPr>
        <w:t>e</w:t>
      </w:r>
      <w:r w:rsidRPr="00D825DA">
        <w:rPr>
          <w:rFonts w:eastAsia="Calibri" w:cstheme="minorHAnsi"/>
          <w:color w:val="262626"/>
          <w:lang w:eastAsia="en-GB"/>
        </w:rPr>
        <w:t xml:space="preserve"> </w:t>
      </w:r>
      <w:r w:rsidR="00944ED2">
        <w:rPr>
          <w:rFonts w:eastAsia="Calibri" w:cstheme="minorHAnsi"/>
          <w:color w:val="262626"/>
          <w:lang w:eastAsia="en-GB"/>
        </w:rPr>
        <w:t xml:space="preserve">of </w:t>
      </w:r>
      <w:r w:rsidRPr="00D825DA">
        <w:rPr>
          <w:rFonts w:eastAsia="Calibri" w:cstheme="minorHAnsi"/>
          <w:color w:val="262626"/>
          <w:lang w:eastAsia="en-GB"/>
        </w:rPr>
        <w:t xml:space="preserve">credit facilities to </w:t>
      </w:r>
      <w:r w:rsidRPr="00D825DA">
        <w:rPr>
          <w:rFonts w:eastAsia="Calibri" w:cstheme="minorHAnsi"/>
          <w:color w:val="000000"/>
          <w:lang w:eastAsia="en-GB"/>
        </w:rPr>
        <w:t xml:space="preserve">take some of that debt off their own balance sheets. There is thirdly project finance, which on the transmission side is mainly limited to the </w:t>
      </w:r>
      <w:r w:rsidR="00944ED2" w:rsidRPr="00944ED2">
        <w:rPr>
          <w:rFonts w:eastAsia="Calibri" w:cstheme="minorHAnsi"/>
          <w:color w:val="000000"/>
          <w:lang w:eastAsia="en-GB"/>
        </w:rPr>
        <w:t xml:space="preserve">Offshore Transmission Owners </w:t>
      </w:r>
      <w:r w:rsidR="00944ED2">
        <w:rPr>
          <w:rFonts w:eastAsia="Calibri" w:cstheme="minorHAnsi"/>
          <w:color w:val="000000"/>
          <w:lang w:eastAsia="en-GB"/>
        </w:rPr>
        <w:t>(</w:t>
      </w:r>
      <w:r w:rsidRPr="00D825DA">
        <w:rPr>
          <w:rFonts w:eastAsia="Calibri" w:cstheme="minorHAnsi"/>
          <w:color w:val="000000"/>
          <w:lang w:eastAsia="en-GB"/>
        </w:rPr>
        <w:t>OFTO</w:t>
      </w:r>
      <w:r w:rsidR="00944ED2">
        <w:rPr>
          <w:rFonts w:eastAsia="Calibri" w:cstheme="minorHAnsi"/>
          <w:color w:val="000000"/>
          <w:lang w:eastAsia="en-GB"/>
        </w:rPr>
        <w:t>)</w:t>
      </w:r>
      <w:r w:rsidRPr="00D825DA">
        <w:rPr>
          <w:rFonts w:eastAsia="Calibri" w:cstheme="minorHAnsi"/>
          <w:color w:val="000000"/>
          <w:lang w:eastAsia="en-GB"/>
        </w:rPr>
        <w:t xml:space="preserve"> regime in the UK. The strong contractual arrangement </w:t>
      </w:r>
      <w:r w:rsidR="00944ED2">
        <w:rPr>
          <w:rFonts w:eastAsia="Calibri" w:cstheme="minorHAnsi"/>
          <w:color w:val="000000"/>
          <w:lang w:eastAsia="en-GB"/>
        </w:rPr>
        <w:t xml:space="preserve">in this regime </w:t>
      </w:r>
      <w:r w:rsidRPr="00D825DA">
        <w:rPr>
          <w:rFonts w:eastAsia="Calibri" w:cstheme="minorHAnsi"/>
          <w:color w:val="000000"/>
          <w:lang w:eastAsia="en-GB"/>
        </w:rPr>
        <w:t xml:space="preserve">is very attractive to equity participants and to debt participants. This was thus deemed a great way to inject private financing into the regime. In general, other interconnector revenue flow regimes are less clear and less attractive for banks. </w:t>
      </w:r>
      <w:r w:rsidRPr="00D825DA">
        <w:rPr>
          <w:rFonts w:eastAsia="Calibri" w:cstheme="minorHAnsi"/>
          <w:color w:val="262626"/>
          <w:lang w:eastAsia="en-GB"/>
        </w:rPr>
        <w:t xml:space="preserve">The regulator also put in place an extensive information campaign and “Investor bridge” on the OFTO regime. </w:t>
      </w:r>
    </w:p>
    <w:p w14:paraId="018AA8D3" w14:textId="77777777" w:rsidR="00D825DA" w:rsidRPr="00D825DA" w:rsidRDefault="00D825DA" w:rsidP="00C54CB2">
      <w:pPr>
        <w:widowControl w:val="0"/>
        <w:spacing w:after="0" w:line="240" w:lineRule="auto"/>
        <w:jc w:val="both"/>
        <w:rPr>
          <w:rFonts w:eastAsia="Calibri" w:cstheme="minorHAnsi"/>
          <w:color w:val="262626"/>
          <w:lang w:eastAsia="en-GB"/>
        </w:rPr>
      </w:pPr>
    </w:p>
    <w:p w14:paraId="6E127BC2" w14:textId="6BD231ED" w:rsidR="00E6246F" w:rsidRDefault="00E6246F" w:rsidP="00944ED2">
      <w:pPr>
        <w:widowControl w:val="0"/>
        <w:spacing w:after="0" w:line="240" w:lineRule="auto"/>
        <w:jc w:val="both"/>
        <w:rPr>
          <w:rFonts w:eastAsia="Calibri" w:cstheme="minorHAnsi"/>
          <w:color w:val="000000"/>
          <w:lang w:eastAsia="en-GB"/>
        </w:rPr>
      </w:pPr>
      <w:r w:rsidRPr="00D825DA">
        <w:rPr>
          <w:rFonts w:eastAsia="Calibri" w:cstheme="minorHAnsi"/>
          <w:color w:val="000000"/>
          <w:lang w:eastAsia="en-GB"/>
        </w:rPr>
        <w:t>One attendee pointed out the issuance of bonds for financing the construction as well as grid acquisition.</w:t>
      </w:r>
      <w:bookmarkStart w:id="0" w:name="_Hlk10570122"/>
      <w:r w:rsidR="00944ED2">
        <w:rPr>
          <w:rFonts w:eastAsia="Calibri" w:cstheme="minorHAnsi"/>
          <w:color w:val="000000"/>
          <w:lang w:eastAsia="en-GB"/>
        </w:rPr>
        <w:t xml:space="preserve"> </w:t>
      </w:r>
      <w:r w:rsidRPr="00D825DA">
        <w:rPr>
          <w:rFonts w:eastAsia="Calibri" w:cstheme="minorHAnsi"/>
          <w:color w:val="000000"/>
          <w:lang w:eastAsia="en-GB"/>
        </w:rPr>
        <w:t xml:space="preserve">Another participant recalled their work on a merchant interconnector and the advantage of arbitrage – whether regarding a price differential or a time differential price. The slow elimination of these differentials and thus the self-eliminating nature and usage of an interconnector are difficult to forecast. It also cannot be easily comparable to OFTO, where the revenue stream is more straightforward to forecast. A bank representative highlighted the attractiveness of OFTO for investors as an “availability payment” and advocated the expansion of the regime to areas other than offshore wind. A regulatory agency participant stated that in the OFTO and its revenue stream – if it is seen as a fixed revenue stream, then it is quite clear to investors what their revenue from the interconnector is. The cost of debt on the asset is paid by the regulator and the regulatory asset base that is paid not just from the gearing portion, but the whole RAB. This means that equity still gets a return in a worst-case scenario. </w:t>
      </w:r>
    </w:p>
    <w:p w14:paraId="6E727494" w14:textId="0DB4103A" w:rsidR="00D825DA" w:rsidRDefault="00D825DA" w:rsidP="00C54CB2">
      <w:pPr>
        <w:spacing w:after="0" w:line="240" w:lineRule="auto"/>
        <w:jc w:val="both"/>
        <w:rPr>
          <w:rFonts w:eastAsia="Calibri" w:cstheme="minorHAnsi"/>
          <w:color w:val="000000"/>
          <w:lang w:eastAsia="en-GB"/>
        </w:rPr>
      </w:pPr>
    </w:p>
    <w:bookmarkEnd w:id="0"/>
    <w:p w14:paraId="5622BDC8" w14:textId="54C50516" w:rsidR="00E6246F" w:rsidRDefault="00A70D94" w:rsidP="00C54CB2">
      <w:pPr>
        <w:spacing w:after="0" w:line="240" w:lineRule="auto"/>
        <w:jc w:val="both"/>
        <w:rPr>
          <w:rFonts w:eastAsia="Calibri" w:cstheme="minorHAnsi"/>
          <w:color w:val="262626"/>
          <w:lang w:eastAsia="en-GB"/>
        </w:rPr>
      </w:pPr>
      <w:r>
        <w:rPr>
          <w:rFonts w:eastAsia="Calibri" w:cstheme="minorHAnsi"/>
          <w:color w:val="000000"/>
          <w:lang w:eastAsia="en-GB"/>
        </w:rPr>
        <w:t>However, a</w:t>
      </w:r>
      <w:r w:rsidR="00E6246F" w:rsidRPr="00D825DA">
        <w:rPr>
          <w:rFonts w:eastAsia="Calibri" w:cstheme="minorHAnsi"/>
          <w:color w:val="000000"/>
          <w:lang w:eastAsia="en-GB"/>
        </w:rPr>
        <w:t xml:space="preserve"> representative from a bank emphasised the issue of temporality. The revenue stream timeframe, which was definitely not “</w:t>
      </w:r>
      <w:r w:rsidR="00E6246F" w:rsidRPr="00A70D94">
        <w:rPr>
          <w:rFonts w:eastAsia="Calibri" w:cstheme="minorHAnsi"/>
          <w:i/>
          <w:iCs/>
          <w:color w:val="000000"/>
          <w:lang w:eastAsia="en-GB"/>
        </w:rPr>
        <w:t>regularly (every) six months</w:t>
      </w:r>
      <w:r w:rsidR="00E6246F" w:rsidRPr="00D825DA">
        <w:rPr>
          <w:rFonts w:eastAsia="Calibri" w:cstheme="minorHAnsi"/>
          <w:color w:val="000000"/>
          <w:lang w:eastAsia="en-GB"/>
        </w:rPr>
        <w:t xml:space="preserve">” was not as attractive for banks. </w:t>
      </w:r>
      <w:r w:rsidR="00E6246F" w:rsidRPr="00D825DA">
        <w:rPr>
          <w:rFonts w:eastAsia="Calibri" w:cstheme="minorHAnsi"/>
          <w:color w:val="000000"/>
          <w:lang w:eastAsia="en-GB"/>
        </w:rPr>
        <w:lastRenderedPageBreak/>
        <w:t xml:space="preserve">While the cost of debt and the return to equity may be clear, it is still not on a deep level of project finance asset by asset basis. As a large utility with a very big portfolio this is easier to hedge against. </w:t>
      </w:r>
    </w:p>
    <w:p w14:paraId="1D2F310A" w14:textId="77777777" w:rsidR="00D825DA" w:rsidRPr="00D825DA" w:rsidRDefault="00D825DA" w:rsidP="00C54CB2">
      <w:pPr>
        <w:spacing w:after="0" w:line="240" w:lineRule="auto"/>
        <w:jc w:val="both"/>
        <w:rPr>
          <w:rFonts w:eastAsia="Calibri" w:cstheme="minorHAnsi"/>
          <w:color w:val="262626"/>
          <w:lang w:eastAsia="en-GB"/>
        </w:rPr>
      </w:pPr>
    </w:p>
    <w:p w14:paraId="0DD788B0" w14:textId="09A437F9" w:rsidR="00E6246F" w:rsidRDefault="00E6246F" w:rsidP="00C54CB2">
      <w:pPr>
        <w:spacing w:after="0" w:line="240" w:lineRule="auto"/>
        <w:jc w:val="both"/>
        <w:rPr>
          <w:rFonts w:eastAsia="Calibri" w:cstheme="minorHAnsi"/>
          <w:color w:val="262626"/>
          <w:lang w:eastAsia="en-GB"/>
        </w:rPr>
      </w:pPr>
      <w:r w:rsidRPr="00D825DA">
        <w:rPr>
          <w:rFonts w:eastAsia="Calibri" w:cstheme="minorHAnsi"/>
          <w:color w:val="262626"/>
          <w:lang w:eastAsia="en-GB"/>
        </w:rPr>
        <w:t xml:space="preserve">An attendee from a utility noted that price differentials, arbitrage, were becoming less important for interconnection than in the past. This was now not as relevant anymore as future interconnection would need to be much more about transmitting RES from the wind and solar power houses of Europe to the urban centres of consumption and industry. </w:t>
      </w:r>
      <w:bookmarkStart w:id="1" w:name="_Hlk10570170"/>
      <w:r w:rsidRPr="00D825DA">
        <w:rPr>
          <w:rFonts w:eastAsia="Calibri" w:cstheme="minorHAnsi"/>
          <w:color w:val="262626"/>
          <w:lang w:eastAsia="en-GB"/>
        </w:rPr>
        <w:t xml:space="preserve">One participant wished to highlight the distinction between an interconnector between two large grids allowing electricity to flow in time of arbitrage and an </w:t>
      </w:r>
      <w:r w:rsidR="00490391" w:rsidRPr="002165EE">
        <w:rPr>
          <w:rFonts w:eastAsia="Calibri" w:cstheme="minorHAnsi"/>
          <w:color w:val="000000"/>
          <w:lang w:eastAsia="en-GB"/>
        </w:rPr>
        <w:t xml:space="preserve">high-voltage direct current </w:t>
      </w:r>
      <w:r w:rsidR="00490391">
        <w:rPr>
          <w:rFonts w:eastAsia="Calibri" w:cstheme="minorHAnsi"/>
          <w:color w:val="000000"/>
          <w:lang w:eastAsia="en-GB"/>
        </w:rPr>
        <w:t>(</w:t>
      </w:r>
      <w:r w:rsidRPr="00D825DA">
        <w:rPr>
          <w:rFonts w:eastAsia="Calibri" w:cstheme="minorHAnsi"/>
          <w:color w:val="262626"/>
          <w:lang w:eastAsia="en-GB"/>
        </w:rPr>
        <w:t>HVDC</w:t>
      </w:r>
      <w:r w:rsidR="00490391">
        <w:rPr>
          <w:rFonts w:eastAsia="Calibri" w:cstheme="minorHAnsi"/>
          <w:color w:val="262626"/>
          <w:lang w:eastAsia="en-GB"/>
        </w:rPr>
        <w:t>)</w:t>
      </w:r>
      <w:r w:rsidRPr="00D825DA">
        <w:rPr>
          <w:rFonts w:eastAsia="Calibri" w:cstheme="minorHAnsi"/>
          <w:color w:val="262626"/>
          <w:lang w:eastAsia="en-GB"/>
        </w:rPr>
        <w:t xml:space="preserve"> cable which connects a windfarm </w:t>
      </w:r>
      <w:r w:rsidR="00F90E98">
        <w:rPr>
          <w:rFonts w:eastAsia="Calibri" w:cstheme="minorHAnsi"/>
          <w:color w:val="262626"/>
          <w:lang w:eastAsia="en-GB"/>
        </w:rPr>
        <w:t xml:space="preserve">to a grid which </w:t>
      </w:r>
      <w:r w:rsidRPr="00D825DA">
        <w:rPr>
          <w:rFonts w:eastAsia="Calibri" w:cstheme="minorHAnsi"/>
          <w:color w:val="262626"/>
          <w:lang w:eastAsia="en-GB"/>
        </w:rPr>
        <w:t xml:space="preserve">is instead a unidirectional flow of one connection asset. Often this is a regulated asset with a regulated rate of return and thus different legally to an interconnector – those are two different types of assets. </w:t>
      </w:r>
    </w:p>
    <w:p w14:paraId="79301DCE" w14:textId="77777777" w:rsidR="00D825DA" w:rsidRPr="00D825DA" w:rsidRDefault="00D825DA" w:rsidP="00C54CB2">
      <w:pPr>
        <w:spacing w:after="0" w:line="240" w:lineRule="auto"/>
        <w:jc w:val="both"/>
        <w:rPr>
          <w:rFonts w:eastAsia="Calibri" w:cstheme="minorHAnsi"/>
          <w:color w:val="000000"/>
          <w:lang w:eastAsia="en-GB"/>
        </w:rPr>
      </w:pPr>
    </w:p>
    <w:bookmarkEnd w:id="1"/>
    <w:p w14:paraId="20A3720D" w14:textId="2F75FF3D" w:rsidR="00E6246F" w:rsidRDefault="00E6246F" w:rsidP="00C54CB2">
      <w:pPr>
        <w:spacing w:after="0" w:line="240" w:lineRule="auto"/>
        <w:jc w:val="both"/>
        <w:rPr>
          <w:rFonts w:eastAsia="Calibri" w:cstheme="minorHAnsi"/>
          <w:color w:val="262626"/>
          <w:lang w:eastAsia="en-GB"/>
        </w:rPr>
      </w:pPr>
      <w:r w:rsidRPr="00D825DA">
        <w:rPr>
          <w:rFonts w:eastAsia="Calibri" w:cstheme="minorHAnsi"/>
          <w:color w:val="000000"/>
          <w:lang w:eastAsia="en-GB"/>
        </w:rPr>
        <w:t>For capital subsidies, especially in the case of the project cost that EU financial pots will be willing to pay for a PCI, one participant felt that in order to qualify the project needed to basically be “uneconomic” by default –“</w:t>
      </w:r>
      <w:r w:rsidRPr="00F465C9">
        <w:rPr>
          <w:rFonts w:eastAsia="Calibri" w:cstheme="minorHAnsi"/>
          <w:i/>
          <w:iCs/>
          <w:color w:val="262626"/>
          <w:lang w:eastAsia="en-GB"/>
        </w:rPr>
        <w:t>you need to be in the broader social interest of the EU, but you can't really be particularly profitable or economic. […] but the difficulty is, in order for you to proceed as a project you need regulatory approval on both sides of the link, which essentially provides for the revenue model, be it exempt or capital flaw or tariff […] and that approval will very rarely be forthcoming if you're not economic […]. So, there is a little bit of a mismatch from the national perspectives for the regulatory approvals and how the support coming from the European level is forthcoming.</w:t>
      </w:r>
      <w:r w:rsidRPr="00D825DA">
        <w:rPr>
          <w:rFonts w:eastAsia="Calibri" w:cstheme="minorHAnsi"/>
          <w:color w:val="262626"/>
          <w:lang w:eastAsia="en-GB"/>
        </w:rPr>
        <w:t>”</w:t>
      </w:r>
    </w:p>
    <w:p w14:paraId="3B7D766C" w14:textId="77777777" w:rsidR="00D825DA" w:rsidRPr="00D825DA" w:rsidRDefault="00D825DA" w:rsidP="00C54CB2">
      <w:pPr>
        <w:spacing w:after="0" w:line="240" w:lineRule="auto"/>
        <w:jc w:val="both"/>
        <w:rPr>
          <w:rFonts w:eastAsia="Calibri" w:cstheme="minorHAnsi"/>
          <w:color w:val="262626"/>
          <w:lang w:eastAsia="en-GB"/>
        </w:rPr>
      </w:pPr>
    </w:p>
    <w:p w14:paraId="395B1359" w14:textId="2BDCA080" w:rsidR="00E6246F" w:rsidRDefault="00E6246F" w:rsidP="00C54CB2">
      <w:pPr>
        <w:spacing w:after="0" w:line="240" w:lineRule="auto"/>
        <w:jc w:val="both"/>
        <w:rPr>
          <w:rFonts w:eastAsia="Calibri" w:cstheme="minorHAnsi"/>
          <w:color w:val="262626"/>
          <w:lang w:eastAsia="en-GB"/>
        </w:rPr>
      </w:pPr>
      <w:r w:rsidRPr="00D825DA">
        <w:rPr>
          <w:rFonts w:eastAsia="Calibri" w:cstheme="minorHAnsi"/>
          <w:color w:val="262626"/>
          <w:lang w:eastAsia="en-GB"/>
        </w:rPr>
        <w:t xml:space="preserve">Attendees also discussed German </w:t>
      </w:r>
      <w:r w:rsidR="00F465C9">
        <w:rPr>
          <w:rFonts w:eastAsia="Calibri" w:cstheme="minorHAnsi"/>
          <w:color w:val="262626"/>
          <w:lang w:eastAsia="en-GB"/>
        </w:rPr>
        <w:t>Feed-in-Tariffs (</w:t>
      </w:r>
      <w:r w:rsidRPr="00D825DA">
        <w:rPr>
          <w:rFonts w:eastAsia="Calibri" w:cstheme="minorHAnsi"/>
          <w:color w:val="262626"/>
          <w:lang w:eastAsia="en-GB"/>
        </w:rPr>
        <w:t>FiTs</w:t>
      </w:r>
      <w:r w:rsidR="00F465C9">
        <w:rPr>
          <w:rFonts w:eastAsia="Calibri" w:cstheme="minorHAnsi"/>
          <w:color w:val="262626"/>
          <w:lang w:eastAsia="en-GB"/>
        </w:rPr>
        <w:t>)</w:t>
      </w:r>
      <w:r w:rsidRPr="00D825DA">
        <w:rPr>
          <w:rFonts w:eastAsia="Calibri" w:cstheme="minorHAnsi"/>
          <w:color w:val="262626"/>
          <w:lang w:eastAsia="en-GB"/>
        </w:rPr>
        <w:t xml:space="preserve"> and how they created arbitrage requiring interconnections. Most attendees favoured auctions to FiTs. Of greater urgency, since auctions had </w:t>
      </w:r>
      <w:r w:rsidR="00F465C9">
        <w:rPr>
          <w:rFonts w:eastAsia="Calibri" w:cstheme="minorHAnsi"/>
          <w:color w:val="262626"/>
          <w:lang w:eastAsia="en-GB"/>
        </w:rPr>
        <w:t xml:space="preserve">to be </w:t>
      </w:r>
      <w:r w:rsidRPr="00D825DA">
        <w:rPr>
          <w:rFonts w:eastAsia="Calibri" w:cstheme="minorHAnsi"/>
          <w:color w:val="262626"/>
          <w:lang w:eastAsia="en-GB"/>
        </w:rPr>
        <w:t xml:space="preserve">“won”, were long-term and day ahead ability for system operators to interrupt the pre-prescribed plan of the interconnector owner and what level of compensations could be applied by whom. This issue, of the day ahead markets was seen as a potential real risk to investors. It could potentially require </w:t>
      </w:r>
      <w:r w:rsidR="00F465C9">
        <w:rPr>
          <w:rFonts w:eastAsia="Calibri" w:cstheme="minorHAnsi"/>
          <w:color w:val="262626"/>
          <w:lang w:eastAsia="en-GB"/>
        </w:rPr>
        <w:t xml:space="preserve">a </w:t>
      </w:r>
      <w:r w:rsidRPr="00D825DA">
        <w:rPr>
          <w:rFonts w:eastAsia="Calibri" w:cstheme="minorHAnsi"/>
          <w:color w:val="262626"/>
          <w:lang w:eastAsia="en-GB"/>
        </w:rPr>
        <w:t>redesign</w:t>
      </w:r>
      <w:r w:rsidR="00F465C9">
        <w:rPr>
          <w:rFonts w:eastAsia="Calibri" w:cstheme="minorHAnsi"/>
          <w:color w:val="262626"/>
          <w:lang w:eastAsia="en-GB"/>
        </w:rPr>
        <w:t xml:space="preserve"> of</w:t>
      </w:r>
      <w:r w:rsidRPr="00D825DA">
        <w:rPr>
          <w:rFonts w:eastAsia="Calibri" w:cstheme="minorHAnsi"/>
          <w:color w:val="262626"/>
          <w:lang w:eastAsia="en-GB"/>
        </w:rPr>
        <w:t xml:space="preserve"> the electricity markets in member countries. Market design is key to ease congestion and interconnectors could even worsen this. The example of NorthConnect connecting Scotland to Norway was given as an interconnector that could just as easily worsen or ease congestion. </w:t>
      </w:r>
    </w:p>
    <w:p w14:paraId="49EF085F" w14:textId="4A76499D" w:rsidR="00D825DA" w:rsidRDefault="00D825DA" w:rsidP="00C54CB2">
      <w:pPr>
        <w:spacing w:after="0" w:line="240" w:lineRule="auto"/>
        <w:jc w:val="both"/>
        <w:rPr>
          <w:rFonts w:eastAsia="Calibri" w:cstheme="minorHAnsi"/>
          <w:color w:val="262626"/>
          <w:lang w:eastAsia="en-GB"/>
        </w:rPr>
      </w:pPr>
    </w:p>
    <w:p w14:paraId="1EDF9A42" w14:textId="71A0D1ED" w:rsidR="002165EE" w:rsidRDefault="002165EE" w:rsidP="002165EE">
      <w:pPr>
        <w:widowControl w:val="0"/>
        <w:spacing w:after="0" w:line="240" w:lineRule="auto"/>
        <w:jc w:val="both"/>
        <w:rPr>
          <w:rFonts w:eastAsia="Calibri" w:cstheme="minorHAnsi"/>
          <w:color w:val="000000"/>
          <w:lang w:eastAsia="en-GB"/>
        </w:rPr>
      </w:pPr>
      <w:r w:rsidRPr="00D825DA">
        <w:rPr>
          <w:rFonts w:eastAsia="Calibri" w:cstheme="minorHAnsi"/>
          <w:color w:val="000000"/>
          <w:lang w:eastAsia="en-GB"/>
        </w:rPr>
        <w:t xml:space="preserve">An engineer emphasized that the amount of internal capacity </w:t>
      </w:r>
      <w:r>
        <w:rPr>
          <w:rFonts w:eastAsia="Calibri" w:cstheme="minorHAnsi"/>
          <w:color w:val="000000"/>
          <w:lang w:eastAsia="en-GB"/>
        </w:rPr>
        <w:t xml:space="preserve">within members states </w:t>
      </w:r>
      <w:r w:rsidRPr="00D825DA">
        <w:rPr>
          <w:rFonts w:eastAsia="Calibri" w:cstheme="minorHAnsi"/>
          <w:color w:val="000000"/>
          <w:lang w:eastAsia="en-GB"/>
        </w:rPr>
        <w:t xml:space="preserve">was considerably higher in most countries than external capacity and then often interconnection has to be HVDC purely from a technical standpoint. </w:t>
      </w:r>
    </w:p>
    <w:p w14:paraId="36F2E247" w14:textId="032D8F00" w:rsidR="002165EE" w:rsidRDefault="002165EE" w:rsidP="00C54CB2">
      <w:pPr>
        <w:spacing w:after="0" w:line="240" w:lineRule="auto"/>
        <w:jc w:val="both"/>
        <w:rPr>
          <w:rFonts w:eastAsia="Calibri" w:cstheme="minorHAnsi"/>
          <w:color w:val="262626"/>
          <w:lang w:eastAsia="en-GB"/>
        </w:rPr>
      </w:pPr>
    </w:p>
    <w:p w14:paraId="760200C4" w14:textId="3E593B05" w:rsidR="00E6246F" w:rsidRPr="00D825DA" w:rsidRDefault="00E6246F" w:rsidP="00C54CB2">
      <w:pPr>
        <w:spacing w:after="0" w:line="240" w:lineRule="auto"/>
        <w:jc w:val="both"/>
        <w:rPr>
          <w:rFonts w:eastAsia="Calibri" w:cstheme="minorHAnsi"/>
          <w:color w:val="262626"/>
          <w:lang w:eastAsia="en-GB"/>
        </w:rPr>
      </w:pPr>
      <w:r w:rsidRPr="00D825DA">
        <w:rPr>
          <w:rFonts w:eastAsia="Calibri" w:cstheme="minorHAnsi"/>
          <w:color w:val="262626"/>
          <w:lang w:eastAsia="en-GB"/>
        </w:rPr>
        <w:t xml:space="preserve">Issues around the cap and floor regime as well as environmental consenting were also discussed.     </w:t>
      </w:r>
    </w:p>
    <w:p w14:paraId="7CA25172" w14:textId="157742B5" w:rsidR="00BB2B94" w:rsidRDefault="00BB2B94" w:rsidP="00C54CB2">
      <w:pPr>
        <w:spacing w:after="0" w:line="240" w:lineRule="auto"/>
        <w:jc w:val="both"/>
      </w:pPr>
    </w:p>
    <w:p w14:paraId="113E6021" w14:textId="05899DAB" w:rsidR="00042046" w:rsidRPr="00BB2B94" w:rsidRDefault="00042046" w:rsidP="00C54CB2">
      <w:pPr>
        <w:pStyle w:val="Heading3"/>
        <w:spacing w:before="0" w:line="240" w:lineRule="auto"/>
        <w:jc w:val="left"/>
        <w:rPr>
          <w:u w:val="none"/>
        </w:rPr>
      </w:pPr>
      <w:r>
        <w:rPr>
          <w:u w:val="none"/>
        </w:rPr>
        <w:t>3.1</w:t>
      </w:r>
      <w:r w:rsidRPr="00BB2B94">
        <w:rPr>
          <w:u w:val="none"/>
        </w:rPr>
        <w:t xml:space="preserve">. </w:t>
      </w:r>
      <w:r>
        <w:rPr>
          <w:u w:val="none"/>
        </w:rPr>
        <w:t xml:space="preserve">Cost benefit allocation </w:t>
      </w:r>
      <w:r w:rsidRPr="00BB2B94">
        <w:rPr>
          <w:u w:val="none"/>
        </w:rPr>
        <w:t xml:space="preserve">  </w:t>
      </w:r>
    </w:p>
    <w:p w14:paraId="20FA95F3" w14:textId="77777777" w:rsidR="00042046" w:rsidRDefault="00042046" w:rsidP="00C54CB2">
      <w:pPr>
        <w:spacing w:after="0" w:line="240" w:lineRule="auto"/>
        <w:jc w:val="both"/>
      </w:pPr>
    </w:p>
    <w:p w14:paraId="0C779226" w14:textId="4C71EEE4" w:rsidR="00E6246F" w:rsidRDefault="00E6246F" w:rsidP="00C54CB2">
      <w:pPr>
        <w:spacing w:after="0" w:line="240" w:lineRule="auto"/>
        <w:jc w:val="both"/>
        <w:rPr>
          <w:rFonts w:eastAsia="Calibri" w:cstheme="minorHAnsi"/>
          <w:color w:val="262626"/>
          <w:lang w:eastAsia="en-GB"/>
        </w:rPr>
      </w:pPr>
      <w:r w:rsidRPr="00D825DA">
        <w:rPr>
          <w:rFonts w:eastAsia="Calibri" w:cstheme="minorHAnsi"/>
          <w:color w:val="262626"/>
          <w:lang w:eastAsia="en-GB"/>
        </w:rPr>
        <w:t xml:space="preserve">Interconnector projects are assessed </w:t>
      </w:r>
      <w:r w:rsidR="00C62BA1">
        <w:rPr>
          <w:rFonts w:eastAsia="Calibri" w:cstheme="minorHAnsi"/>
          <w:color w:val="262626"/>
          <w:lang w:eastAsia="en-GB"/>
        </w:rPr>
        <w:t xml:space="preserve">with </w:t>
      </w:r>
      <w:r w:rsidRPr="00D825DA">
        <w:rPr>
          <w:rFonts w:eastAsia="Calibri" w:cstheme="minorHAnsi"/>
          <w:color w:val="262626"/>
          <w:lang w:eastAsia="en-GB"/>
        </w:rPr>
        <w:t>regard</w:t>
      </w:r>
      <w:r w:rsidR="00C62BA1">
        <w:rPr>
          <w:rFonts w:eastAsia="Calibri" w:cstheme="minorHAnsi"/>
          <w:color w:val="262626"/>
          <w:lang w:eastAsia="en-GB"/>
        </w:rPr>
        <w:t>s</w:t>
      </w:r>
      <w:r w:rsidRPr="00D825DA">
        <w:rPr>
          <w:rFonts w:eastAsia="Calibri" w:cstheme="minorHAnsi"/>
          <w:color w:val="262626"/>
          <w:lang w:eastAsia="en-GB"/>
        </w:rPr>
        <w:t xml:space="preserve"> the benefits of connecting to producers, consumers, </w:t>
      </w:r>
      <w:r w:rsidR="00C62BA1">
        <w:rPr>
          <w:rFonts w:eastAsia="Calibri" w:cstheme="minorHAnsi"/>
          <w:color w:val="262626"/>
          <w:lang w:eastAsia="en-GB"/>
        </w:rPr>
        <w:t xml:space="preserve">and </w:t>
      </w:r>
      <w:r w:rsidRPr="00D825DA">
        <w:rPr>
          <w:rFonts w:eastAsia="Calibri" w:cstheme="minorHAnsi"/>
          <w:color w:val="262626"/>
          <w:lang w:eastAsia="en-GB"/>
        </w:rPr>
        <w:t>markets. The ENTSO-E methodology use</w:t>
      </w:r>
      <w:r w:rsidR="00C62BA1">
        <w:rPr>
          <w:rFonts w:eastAsia="Calibri" w:cstheme="minorHAnsi"/>
          <w:color w:val="262626"/>
          <w:lang w:eastAsia="en-GB"/>
        </w:rPr>
        <w:t>s</w:t>
      </w:r>
      <w:r w:rsidRPr="00D825DA">
        <w:rPr>
          <w:rFonts w:eastAsia="Calibri" w:cstheme="minorHAnsi"/>
          <w:color w:val="262626"/>
          <w:lang w:eastAsia="en-GB"/>
        </w:rPr>
        <w:t xml:space="preserve"> information from all member states, TSOs and projections to understand if a project would be in the best interest of the EU as a whole and then additionally, each member state will assess the impact on their own country. If a project is beneficial for one country, but not for the other a framework has to be put in place to allow the projects to proceed if there is a</w:t>
      </w:r>
      <w:r w:rsidR="00C62BA1">
        <w:rPr>
          <w:rFonts w:eastAsia="Calibri" w:cstheme="minorHAnsi"/>
          <w:color w:val="262626"/>
          <w:lang w:eastAsia="en-GB"/>
        </w:rPr>
        <w:t>n</w:t>
      </w:r>
      <w:r w:rsidRPr="00D825DA">
        <w:rPr>
          <w:rFonts w:eastAsia="Calibri" w:cstheme="minorHAnsi"/>
          <w:color w:val="262626"/>
          <w:lang w:eastAsia="en-GB"/>
        </w:rPr>
        <w:t xml:space="preserve"> </w:t>
      </w:r>
      <w:r w:rsidR="00C62BA1">
        <w:rPr>
          <w:rFonts w:eastAsia="Calibri" w:cstheme="minorHAnsi"/>
          <w:color w:val="262626"/>
          <w:lang w:eastAsia="en-GB"/>
        </w:rPr>
        <w:t xml:space="preserve">overall </w:t>
      </w:r>
      <w:r w:rsidRPr="00D825DA">
        <w:rPr>
          <w:rFonts w:eastAsia="Calibri" w:cstheme="minorHAnsi"/>
          <w:color w:val="262626"/>
          <w:lang w:eastAsia="en-GB"/>
        </w:rPr>
        <w:t xml:space="preserve">benefit compared to the capital need to build the project. </w:t>
      </w:r>
    </w:p>
    <w:p w14:paraId="3E45A7B6" w14:textId="77777777" w:rsidR="00D825DA" w:rsidRPr="00D825DA" w:rsidRDefault="00D825DA" w:rsidP="00C54CB2">
      <w:pPr>
        <w:spacing w:after="0" w:line="240" w:lineRule="auto"/>
        <w:jc w:val="both"/>
        <w:rPr>
          <w:rFonts w:eastAsia="Calibri" w:cstheme="minorHAnsi"/>
          <w:color w:val="262626"/>
          <w:lang w:eastAsia="en-GB"/>
        </w:rPr>
      </w:pPr>
    </w:p>
    <w:p w14:paraId="622E6D2E" w14:textId="2BA6D2AA" w:rsidR="00E6246F" w:rsidRDefault="00E6246F" w:rsidP="00C54CB2">
      <w:pPr>
        <w:spacing w:after="0" w:line="240" w:lineRule="auto"/>
        <w:jc w:val="both"/>
        <w:rPr>
          <w:rFonts w:eastAsia="Calibri" w:cstheme="minorHAnsi"/>
          <w:color w:val="262626"/>
          <w:lang w:eastAsia="en-GB"/>
        </w:rPr>
      </w:pPr>
      <w:r w:rsidRPr="00D825DA">
        <w:rPr>
          <w:rFonts w:eastAsia="Calibri" w:cstheme="minorHAnsi"/>
          <w:color w:val="262626"/>
          <w:lang w:eastAsia="en-GB"/>
        </w:rPr>
        <w:t xml:space="preserve">There are certain differences between member states regarding the producer benefits and costs. For example, countries in Northern Europe with large hydro potential and a large industry that relies on cheap electricity, focus more on the potential financial impact of projects and tariffs on producers. Countries with fuel poverty instead focus more on the consumer side and raising tariffs to finance an interconnection is more sensitive. These different considerations and poverty/industry levels need to be taken into account and need to be brought together </w:t>
      </w:r>
      <w:r w:rsidR="000D1F1C">
        <w:rPr>
          <w:rFonts w:eastAsia="Calibri" w:cstheme="minorHAnsi"/>
          <w:color w:val="262626"/>
          <w:lang w:eastAsia="en-GB"/>
        </w:rPr>
        <w:t>into</w:t>
      </w:r>
      <w:r w:rsidRPr="00D825DA">
        <w:rPr>
          <w:rFonts w:eastAsia="Calibri" w:cstheme="minorHAnsi"/>
          <w:color w:val="262626"/>
          <w:lang w:eastAsia="en-GB"/>
        </w:rPr>
        <w:t xml:space="preserve"> a coherent structure. </w:t>
      </w:r>
    </w:p>
    <w:p w14:paraId="5948D31F" w14:textId="77777777" w:rsidR="00D825DA" w:rsidRPr="00D825DA" w:rsidRDefault="00D825DA" w:rsidP="00C54CB2">
      <w:pPr>
        <w:spacing w:after="0" w:line="240" w:lineRule="auto"/>
        <w:jc w:val="both"/>
        <w:rPr>
          <w:rFonts w:eastAsia="Calibri" w:cstheme="minorHAnsi"/>
          <w:color w:val="262626"/>
          <w:lang w:eastAsia="en-GB"/>
        </w:rPr>
      </w:pPr>
    </w:p>
    <w:p w14:paraId="2A1F7273" w14:textId="499C09F0" w:rsidR="00E6246F" w:rsidRDefault="000D1F1C" w:rsidP="00C54CB2">
      <w:pPr>
        <w:spacing w:after="0" w:line="240" w:lineRule="auto"/>
        <w:jc w:val="both"/>
        <w:rPr>
          <w:rFonts w:eastAsia="Calibri" w:cstheme="minorHAnsi"/>
          <w:color w:val="262626"/>
          <w:lang w:eastAsia="en-GB"/>
        </w:rPr>
      </w:pPr>
      <w:bookmarkStart w:id="2" w:name="_Hlk10570403"/>
      <w:r>
        <w:rPr>
          <w:rFonts w:eastAsia="Calibri" w:cstheme="minorHAnsi"/>
          <w:color w:val="262626"/>
          <w:lang w:eastAsia="en-GB"/>
        </w:rPr>
        <w:t>One</w:t>
      </w:r>
      <w:r w:rsidR="00E6246F" w:rsidRPr="00D825DA">
        <w:rPr>
          <w:rFonts w:eastAsia="Calibri" w:cstheme="minorHAnsi"/>
          <w:color w:val="262626"/>
          <w:lang w:eastAsia="en-GB"/>
        </w:rPr>
        <w:t xml:space="preserve"> participant cautioned that in the future, these cost-benefit allocations would become much more complex due to the intermediate category of prosumer. </w:t>
      </w:r>
      <w:bookmarkEnd w:id="2"/>
      <w:r w:rsidR="00E6246F" w:rsidRPr="00D825DA">
        <w:rPr>
          <w:rFonts w:eastAsia="Calibri" w:cstheme="minorHAnsi"/>
          <w:color w:val="262626"/>
          <w:lang w:eastAsia="en-GB"/>
        </w:rPr>
        <w:t xml:space="preserve">Cost–benefit allocation processes of interconnection or storage projects in the future will </w:t>
      </w:r>
      <w:r>
        <w:rPr>
          <w:rFonts w:eastAsia="Calibri" w:cstheme="minorHAnsi"/>
          <w:color w:val="262626"/>
          <w:lang w:eastAsia="en-GB"/>
        </w:rPr>
        <w:t>need to account for</w:t>
      </w:r>
      <w:r w:rsidR="00E6246F" w:rsidRPr="00D825DA">
        <w:rPr>
          <w:rFonts w:eastAsia="Calibri" w:cstheme="minorHAnsi"/>
          <w:color w:val="262626"/>
          <w:lang w:eastAsia="en-GB"/>
        </w:rPr>
        <w:t xml:space="preserve"> an expansion of this intermediate category</w:t>
      </w:r>
      <w:r>
        <w:rPr>
          <w:rFonts w:eastAsia="Calibri" w:cstheme="minorHAnsi"/>
          <w:color w:val="262626"/>
          <w:lang w:eastAsia="en-GB"/>
        </w:rPr>
        <w:t xml:space="preserve"> and</w:t>
      </w:r>
      <w:r w:rsidR="00E6246F" w:rsidRPr="00D825DA">
        <w:rPr>
          <w:rFonts w:eastAsia="Calibri" w:cstheme="minorHAnsi"/>
          <w:color w:val="262626"/>
          <w:lang w:eastAsia="en-GB"/>
        </w:rPr>
        <w:t xml:space="preserve"> </w:t>
      </w:r>
      <w:r>
        <w:rPr>
          <w:rFonts w:eastAsia="Calibri" w:cstheme="minorHAnsi"/>
          <w:color w:val="262626"/>
          <w:lang w:eastAsia="en-GB"/>
        </w:rPr>
        <w:t>w</w:t>
      </w:r>
      <w:r w:rsidR="00E6246F" w:rsidRPr="00D825DA">
        <w:rPr>
          <w:rFonts w:eastAsia="Calibri" w:cstheme="minorHAnsi"/>
          <w:color w:val="262626"/>
          <w:lang w:eastAsia="en-GB"/>
        </w:rPr>
        <w:t xml:space="preserve">hile it is clear that this category </w:t>
      </w:r>
      <w:r w:rsidR="00E6246F" w:rsidRPr="00D825DA">
        <w:rPr>
          <w:rFonts w:eastAsia="Calibri" w:cstheme="minorHAnsi"/>
          <w:i/>
          <w:color w:val="262626"/>
          <w:lang w:eastAsia="en-GB"/>
        </w:rPr>
        <w:t>will</w:t>
      </w:r>
      <w:r w:rsidR="00E6246F" w:rsidRPr="00D825DA">
        <w:rPr>
          <w:rFonts w:eastAsia="Calibri" w:cstheme="minorHAnsi"/>
          <w:color w:val="262626"/>
          <w:lang w:eastAsia="en-GB"/>
        </w:rPr>
        <w:t xml:space="preserve"> expand in the future, it is by no means clear to what extent or in which ways or where geographically. All of this makes designing or improving cost</w:t>
      </w:r>
      <w:r>
        <w:rPr>
          <w:rFonts w:eastAsia="Calibri" w:cstheme="minorHAnsi"/>
          <w:color w:val="262626"/>
          <w:lang w:eastAsia="en-GB"/>
        </w:rPr>
        <w:t>-</w:t>
      </w:r>
      <w:r w:rsidR="00E6246F" w:rsidRPr="00D825DA">
        <w:rPr>
          <w:rFonts w:eastAsia="Calibri" w:cstheme="minorHAnsi"/>
          <w:color w:val="262626"/>
          <w:lang w:eastAsia="en-GB"/>
        </w:rPr>
        <w:t xml:space="preserve">benefit allocation mechanisms more complex. Large consumers or producers may have interests diametrically opposed to those of future prosumers. </w:t>
      </w:r>
    </w:p>
    <w:p w14:paraId="56B8A868" w14:textId="77777777" w:rsidR="00D825DA" w:rsidRPr="00D825DA" w:rsidRDefault="00D825DA" w:rsidP="00C54CB2">
      <w:pPr>
        <w:spacing w:after="0" w:line="240" w:lineRule="auto"/>
        <w:jc w:val="both"/>
        <w:rPr>
          <w:rFonts w:eastAsia="Calibri" w:cstheme="minorHAnsi"/>
          <w:color w:val="262626"/>
          <w:lang w:eastAsia="en-GB"/>
        </w:rPr>
      </w:pPr>
    </w:p>
    <w:p w14:paraId="13767F78" w14:textId="1EDD60B0" w:rsidR="00E6246F" w:rsidRDefault="00E6246F" w:rsidP="00C54CB2">
      <w:pPr>
        <w:spacing w:after="0" w:line="240" w:lineRule="auto"/>
        <w:jc w:val="both"/>
        <w:rPr>
          <w:rFonts w:eastAsia="Calibri" w:cstheme="minorHAnsi"/>
          <w:color w:val="262626"/>
          <w:lang w:eastAsia="en-GB"/>
        </w:rPr>
      </w:pPr>
      <w:r w:rsidRPr="00D825DA">
        <w:rPr>
          <w:rFonts w:eastAsia="Calibri" w:cstheme="minorHAnsi"/>
          <w:color w:val="262626"/>
          <w:lang w:eastAsia="en-GB"/>
        </w:rPr>
        <w:t xml:space="preserve">An expert from a regulatory agency agreed, both regarding prosumers and interconnector </w:t>
      </w:r>
      <w:r w:rsidR="00F72BDC">
        <w:rPr>
          <w:rFonts w:eastAsia="Calibri" w:cstheme="minorHAnsi"/>
          <w:color w:val="262626"/>
          <w:lang w:eastAsia="en-GB"/>
        </w:rPr>
        <w:t>cost-benefit analysis</w:t>
      </w:r>
      <w:r w:rsidRPr="00D825DA">
        <w:rPr>
          <w:rFonts w:eastAsia="Calibri" w:cstheme="minorHAnsi"/>
          <w:color w:val="262626"/>
          <w:lang w:eastAsia="en-GB"/>
        </w:rPr>
        <w:t xml:space="preserve"> and </w:t>
      </w:r>
      <w:r w:rsidR="00F72BDC">
        <w:rPr>
          <w:rFonts w:eastAsia="Calibri" w:cstheme="minorHAnsi"/>
          <w:color w:val="262626"/>
          <w:lang w:eastAsia="en-GB"/>
        </w:rPr>
        <w:t>around</w:t>
      </w:r>
      <w:r w:rsidRPr="00D825DA">
        <w:rPr>
          <w:rFonts w:eastAsia="Calibri" w:cstheme="minorHAnsi"/>
          <w:color w:val="262626"/>
          <w:lang w:eastAsia="en-GB"/>
        </w:rPr>
        <w:t xml:space="preserve"> different member states’ preferences on whose interests to emphasise. If an interconnector can benefit both consumers and producers in a given country </w:t>
      </w:r>
      <w:r w:rsidR="00F72BDC">
        <w:rPr>
          <w:rFonts w:eastAsia="Calibri" w:cstheme="minorHAnsi"/>
          <w:color w:val="262626"/>
          <w:lang w:eastAsia="en-GB"/>
        </w:rPr>
        <w:t>then this is a simpler model</w:t>
      </w:r>
      <w:r w:rsidRPr="00D825DA">
        <w:rPr>
          <w:rFonts w:eastAsia="Calibri" w:cstheme="minorHAnsi"/>
          <w:color w:val="262626"/>
          <w:lang w:eastAsia="en-GB"/>
        </w:rPr>
        <w:t xml:space="preserve">. </w:t>
      </w:r>
      <w:r w:rsidR="00F72BDC">
        <w:rPr>
          <w:rFonts w:eastAsia="Calibri" w:cstheme="minorHAnsi"/>
          <w:color w:val="262626"/>
          <w:lang w:eastAsia="en-GB"/>
        </w:rPr>
        <w:t>However, p</w:t>
      </w:r>
      <w:r w:rsidRPr="00D825DA">
        <w:rPr>
          <w:rFonts w:eastAsia="Calibri" w:cstheme="minorHAnsi"/>
          <w:color w:val="262626"/>
          <w:lang w:eastAsia="en-GB"/>
        </w:rPr>
        <w:t xml:space="preserve">rice inflation benefitting producers is more difficult </w:t>
      </w:r>
      <w:r w:rsidR="00175FF6">
        <w:rPr>
          <w:rFonts w:eastAsia="Calibri" w:cstheme="minorHAnsi"/>
          <w:color w:val="262626"/>
          <w:lang w:eastAsia="en-GB"/>
        </w:rPr>
        <w:t>even within one country</w:t>
      </w:r>
      <w:r w:rsidRPr="00D825DA">
        <w:rPr>
          <w:rFonts w:eastAsia="Calibri" w:cstheme="minorHAnsi"/>
          <w:color w:val="262626"/>
          <w:lang w:eastAsia="en-GB"/>
        </w:rPr>
        <w:t xml:space="preserve">. </w:t>
      </w:r>
      <w:r w:rsidR="00F72BDC">
        <w:rPr>
          <w:rFonts w:eastAsia="Calibri" w:cstheme="minorHAnsi"/>
          <w:color w:val="262626"/>
          <w:lang w:eastAsia="en-GB"/>
        </w:rPr>
        <w:t>I</w:t>
      </w:r>
      <w:r w:rsidRPr="00D825DA">
        <w:rPr>
          <w:rFonts w:eastAsia="Calibri" w:cstheme="minorHAnsi"/>
          <w:color w:val="262626"/>
          <w:lang w:eastAsia="en-GB"/>
        </w:rPr>
        <w:t xml:space="preserve">t is important </w:t>
      </w:r>
      <w:r w:rsidR="00F72BDC">
        <w:rPr>
          <w:rFonts w:eastAsia="Calibri" w:cstheme="minorHAnsi"/>
          <w:color w:val="262626"/>
          <w:lang w:eastAsia="en-GB"/>
        </w:rPr>
        <w:t xml:space="preserve">to understand </w:t>
      </w:r>
      <w:r w:rsidRPr="00D825DA">
        <w:rPr>
          <w:rFonts w:eastAsia="Calibri" w:cstheme="minorHAnsi"/>
          <w:color w:val="262626"/>
          <w:lang w:eastAsia="en-GB"/>
        </w:rPr>
        <w:t xml:space="preserve">how different countries structure revenue returns. If there is sufficient </w:t>
      </w:r>
      <w:r w:rsidR="00F72BDC">
        <w:rPr>
          <w:rFonts w:eastAsia="Calibri" w:cstheme="minorHAnsi"/>
          <w:color w:val="262626"/>
          <w:lang w:eastAsia="en-GB"/>
        </w:rPr>
        <w:t>difference</w:t>
      </w:r>
      <w:r w:rsidRPr="00D825DA">
        <w:rPr>
          <w:rFonts w:eastAsia="Calibri" w:cstheme="minorHAnsi"/>
          <w:color w:val="262626"/>
          <w:lang w:eastAsia="en-GB"/>
        </w:rPr>
        <w:t xml:space="preserve"> between them, the process to finding a solution might be onerous. It could be that a project is identified as being beneficial to the EU as a whole, and then get</w:t>
      </w:r>
      <w:r w:rsidR="00F72BDC">
        <w:rPr>
          <w:rFonts w:eastAsia="Calibri" w:cstheme="minorHAnsi"/>
          <w:color w:val="262626"/>
          <w:lang w:eastAsia="en-GB"/>
        </w:rPr>
        <w:t>s</w:t>
      </w:r>
      <w:r w:rsidRPr="00D825DA">
        <w:rPr>
          <w:rFonts w:eastAsia="Calibri" w:cstheme="minorHAnsi"/>
          <w:color w:val="262626"/>
          <w:lang w:eastAsia="en-GB"/>
        </w:rPr>
        <w:t xml:space="preserve"> PCI status, but at member state level the view could be different. </w:t>
      </w:r>
    </w:p>
    <w:p w14:paraId="0ECC5862" w14:textId="77777777" w:rsidR="00D825DA" w:rsidRPr="00D825DA" w:rsidRDefault="00D825DA" w:rsidP="00C54CB2">
      <w:pPr>
        <w:spacing w:after="0" w:line="240" w:lineRule="auto"/>
        <w:jc w:val="both"/>
        <w:rPr>
          <w:rFonts w:eastAsia="Calibri" w:cstheme="minorHAnsi"/>
          <w:color w:val="262626"/>
          <w:lang w:eastAsia="en-GB"/>
        </w:rPr>
      </w:pPr>
    </w:p>
    <w:p w14:paraId="4404E254" w14:textId="50676305" w:rsidR="00E6246F" w:rsidRDefault="00E6246F" w:rsidP="00C54CB2">
      <w:pPr>
        <w:spacing w:after="0" w:line="240" w:lineRule="auto"/>
        <w:jc w:val="both"/>
        <w:rPr>
          <w:rFonts w:eastAsia="Calibri" w:cstheme="minorHAnsi"/>
          <w:color w:val="262626"/>
          <w:lang w:eastAsia="en-GB"/>
        </w:rPr>
      </w:pPr>
      <w:r w:rsidRPr="00D825DA">
        <w:rPr>
          <w:rFonts w:eastAsia="Calibri" w:cstheme="minorHAnsi"/>
          <w:color w:val="262626"/>
          <w:lang w:eastAsia="en-GB"/>
        </w:rPr>
        <w:t>An academic argued that uncertainty of revenue streams and regulatory risk are what really kills a project – and the consumer or producer focus is less relevant, as long as the revenue arrangements are crystal clear and not likely to change.</w:t>
      </w:r>
    </w:p>
    <w:p w14:paraId="294E923B" w14:textId="77777777" w:rsidR="00D825DA" w:rsidRPr="00D825DA" w:rsidRDefault="00D825DA" w:rsidP="00C54CB2">
      <w:pPr>
        <w:spacing w:after="0" w:line="240" w:lineRule="auto"/>
        <w:jc w:val="both"/>
        <w:rPr>
          <w:rFonts w:eastAsia="Calibri" w:cstheme="minorHAnsi"/>
          <w:color w:val="262626"/>
          <w:lang w:eastAsia="en-GB"/>
        </w:rPr>
      </w:pPr>
    </w:p>
    <w:p w14:paraId="0A6B9227" w14:textId="35EE0B2B" w:rsidR="00E6246F" w:rsidRDefault="00E6246F" w:rsidP="00C54CB2">
      <w:pPr>
        <w:spacing w:after="0" w:line="240" w:lineRule="auto"/>
        <w:jc w:val="both"/>
        <w:rPr>
          <w:rFonts w:eastAsia="Calibri" w:cstheme="minorHAnsi"/>
          <w:color w:val="262626"/>
          <w:lang w:eastAsia="en-GB"/>
        </w:rPr>
      </w:pPr>
      <w:r w:rsidRPr="00D825DA">
        <w:rPr>
          <w:rFonts w:eastAsia="Calibri" w:cstheme="minorHAnsi"/>
          <w:color w:val="262626"/>
          <w:lang w:eastAsia="en-GB"/>
        </w:rPr>
        <w:t xml:space="preserve">A developer stated that this clarity, or lack thereof, of course determined the revenue stream. Another major factor in financing is the timeframe of any approvals necessary. They pointed out that the </w:t>
      </w:r>
      <w:r w:rsidR="00B62EDA" w:rsidRPr="00B62EDA">
        <w:rPr>
          <w:rFonts w:eastAsia="Calibri" w:cstheme="minorHAnsi"/>
          <w:color w:val="262626"/>
          <w:lang w:eastAsia="en-GB"/>
        </w:rPr>
        <w:t>Ten-Year Network Development Plan</w:t>
      </w:r>
      <w:r w:rsidRPr="00D825DA">
        <w:rPr>
          <w:rFonts w:eastAsia="Calibri" w:cstheme="minorHAnsi"/>
          <w:color w:val="262626"/>
          <w:lang w:eastAsia="en-GB"/>
        </w:rPr>
        <w:t xml:space="preserve"> only being published every two years was problematic, as two year old data was not particularly useful. However</w:t>
      </w:r>
      <w:r w:rsidR="00B62EDA">
        <w:rPr>
          <w:rFonts w:eastAsia="Calibri" w:cstheme="minorHAnsi"/>
          <w:color w:val="262626"/>
          <w:lang w:eastAsia="en-GB"/>
        </w:rPr>
        <w:t>,</w:t>
      </w:r>
      <w:r w:rsidRPr="00D825DA">
        <w:rPr>
          <w:rFonts w:eastAsia="Calibri" w:cstheme="minorHAnsi"/>
          <w:color w:val="262626"/>
          <w:lang w:eastAsia="en-GB"/>
        </w:rPr>
        <w:t xml:space="preserve"> it was being used by financiers as a key metric to determine whether a project will proceed or not - although this had never been the </w:t>
      </w:r>
      <w:r w:rsidR="00B62EDA">
        <w:rPr>
          <w:rFonts w:eastAsia="Calibri" w:cstheme="minorHAnsi"/>
          <w:color w:val="262626"/>
          <w:lang w:eastAsia="en-GB"/>
        </w:rPr>
        <w:t>plan</w:t>
      </w:r>
      <w:r w:rsidRPr="00D825DA">
        <w:rPr>
          <w:rFonts w:eastAsia="Calibri" w:cstheme="minorHAnsi"/>
          <w:color w:val="262626"/>
          <w:lang w:eastAsia="en-GB"/>
        </w:rPr>
        <w:t xml:space="preserve">’s intended purpose. It would be beneficial from a developer’s perspective for a project to get all approvals necessary already in the early PCI stage. While there are reasons this may be difficult including lack of certainty regarding the overall costs of a project, for a developer it would be a major improvement.     </w:t>
      </w:r>
    </w:p>
    <w:p w14:paraId="2A036BE6" w14:textId="77777777" w:rsidR="00D825DA" w:rsidRPr="00D825DA" w:rsidRDefault="00D825DA" w:rsidP="00C54CB2">
      <w:pPr>
        <w:spacing w:after="0" w:line="240" w:lineRule="auto"/>
        <w:jc w:val="both"/>
        <w:rPr>
          <w:rFonts w:eastAsia="Calibri" w:cstheme="minorHAnsi"/>
          <w:color w:val="262626"/>
          <w:lang w:eastAsia="en-GB"/>
        </w:rPr>
      </w:pPr>
    </w:p>
    <w:p w14:paraId="325F9C77" w14:textId="10734674" w:rsidR="00E6246F" w:rsidRDefault="00E6246F" w:rsidP="00C54CB2">
      <w:pPr>
        <w:spacing w:after="0" w:line="240" w:lineRule="auto"/>
        <w:jc w:val="both"/>
        <w:rPr>
          <w:rFonts w:eastAsia="Calibri" w:cstheme="minorHAnsi"/>
          <w:color w:val="262626"/>
          <w:lang w:eastAsia="en-GB"/>
        </w:rPr>
      </w:pPr>
      <w:r w:rsidRPr="00D825DA">
        <w:rPr>
          <w:rFonts w:eastAsia="Calibri" w:cstheme="minorHAnsi"/>
          <w:color w:val="262626"/>
          <w:lang w:eastAsia="en-GB"/>
        </w:rPr>
        <w:t>Developers generally supported the EU moving away from a</w:t>
      </w:r>
      <w:r w:rsidR="007F57EF">
        <w:rPr>
          <w:rFonts w:eastAsia="Calibri" w:cstheme="minorHAnsi"/>
          <w:color w:val="262626"/>
          <w:lang w:eastAsia="en-GB"/>
        </w:rPr>
        <w:t>n</w:t>
      </w:r>
      <w:r w:rsidRPr="00D825DA">
        <w:rPr>
          <w:rFonts w:eastAsia="Calibri" w:cstheme="minorHAnsi"/>
          <w:color w:val="262626"/>
          <w:lang w:eastAsia="en-GB"/>
        </w:rPr>
        <w:t xml:space="preserve"> </w:t>
      </w:r>
      <w:r w:rsidR="007F57EF">
        <w:rPr>
          <w:rFonts w:eastAsia="Calibri" w:cstheme="minorHAnsi"/>
          <w:color w:val="262626"/>
          <w:lang w:eastAsia="en-GB"/>
        </w:rPr>
        <w:t>equal</w:t>
      </w:r>
      <w:r w:rsidRPr="00D825DA">
        <w:rPr>
          <w:rFonts w:eastAsia="Calibri" w:cstheme="minorHAnsi"/>
          <w:color w:val="262626"/>
          <w:lang w:eastAsia="en-GB"/>
        </w:rPr>
        <w:t xml:space="preserve"> allocation of revenue and costs for cross-border infrastructure and that this would also help a project to get funding from the market. Nonetheless, in cases in which one state believed it should be </w:t>
      </w:r>
      <w:r w:rsidR="007F57EF">
        <w:rPr>
          <w:rFonts w:eastAsia="Calibri" w:cstheme="minorHAnsi"/>
          <w:color w:val="262626"/>
          <w:lang w:eastAsia="en-GB"/>
        </w:rPr>
        <w:t>equal</w:t>
      </w:r>
      <w:r w:rsidRPr="00D825DA">
        <w:rPr>
          <w:rFonts w:eastAsia="Calibri" w:cstheme="minorHAnsi"/>
          <w:color w:val="262626"/>
          <w:lang w:eastAsia="en-GB"/>
        </w:rPr>
        <w:t xml:space="preserve">, it was still complex and the decision reached needed to also work for regulators, developers and other stakeholders. Equally, there is the risk of member states not being prepared to accept less than 50%, be it ownership costs or revenues, from a territorial sovereignty perspective or simply a perceived governance of project perspective, which can cause some difficulties.  </w:t>
      </w:r>
    </w:p>
    <w:p w14:paraId="548857D6" w14:textId="77777777" w:rsidR="00D825DA" w:rsidRPr="00D825DA" w:rsidRDefault="00D825DA" w:rsidP="00C54CB2">
      <w:pPr>
        <w:spacing w:after="0" w:line="240" w:lineRule="auto"/>
        <w:jc w:val="both"/>
        <w:rPr>
          <w:rFonts w:eastAsia="Calibri" w:cstheme="minorHAnsi"/>
          <w:color w:val="262626"/>
          <w:lang w:eastAsia="en-GB"/>
        </w:rPr>
      </w:pPr>
    </w:p>
    <w:p w14:paraId="19025E5E" w14:textId="3D6EF1E2" w:rsidR="00E6246F" w:rsidRDefault="00E6246F" w:rsidP="00C54CB2">
      <w:pPr>
        <w:spacing w:after="0" w:line="240" w:lineRule="auto"/>
        <w:jc w:val="both"/>
        <w:rPr>
          <w:rFonts w:eastAsia="Calibri" w:cstheme="minorHAnsi"/>
          <w:color w:val="262626"/>
          <w:lang w:eastAsia="en-GB"/>
        </w:rPr>
      </w:pPr>
      <w:bookmarkStart w:id="3" w:name="_Hlk10570491"/>
      <w:r w:rsidRPr="00D825DA">
        <w:rPr>
          <w:rFonts w:eastAsia="Calibri" w:cstheme="minorHAnsi"/>
          <w:color w:val="262626"/>
          <w:lang w:eastAsia="en-GB"/>
        </w:rPr>
        <w:t xml:space="preserve">A representative of a regulating agency explained that there was not yet a structure in place to address issues of practicality in terms of how finance prices future risk, e.g. how a </w:t>
      </w:r>
      <w:r w:rsidRPr="00D825DA">
        <w:rPr>
          <w:rFonts w:eastAsia="Calibri" w:cstheme="minorHAnsi"/>
          <w:i/>
          <w:color w:val="262626"/>
          <w:lang w:eastAsia="en-GB"/>
        </w:rPr>
        <w:t>force majeure</w:t>
      </w:r>
      <w:r w:rsidRPr="00D825DA">
        <w:rPr>
          <w:rFonts w:eastAsia="Calibri" w:cstheme="minorHAnsi"/>
          <w:color w:val="262626"/>
          <w:lang w:eastAsia="en-GB"/>
        </w:rPr>
        <w:t xml:space="preserve"> would be defined. Many states have different perceptions on what risks should be covered. </w:t>
      </w:r>
      <w:bookmarkEnd w:id="3"/>
      <w:r w:rsidRPr="00D825DA">
        <w:rPr>
          <w:rFonts w:eastAsia="Calibri" w:cstheme="minorHAnsi"/>
          <w:color w:val="262626"/>
          <w:lang w:eastAsia="en-GB"/>
        </w:rPr>
        <w:t xml:space="preserve">These differences again create greater risk and make the project less attractive for investors. There are furthermore unaddressed issues surrounding reaching an acceptable income or what will happen if a fixed revenue stream falls away. If all these issues cannot be solved in ways that provide sufficient clarity for lenders/investors, then the projects will fail to attract the investments needed. One partner in an interconnector explained that the issue was the proof or definition of </w:t>
      </w:r>
      <w:r w:rsidRPr="00D825DA">
        <w:rPr>
          <w:rFonts w:eastAsia="Calibri" w:cstheme="minorHAnsi"/>
          <w:i/>
          <w:color w:val="262626"/>
          <w:lang w:eastAsia="en-GB"/>
        </w:rPr>
        <w:t>force majeure</w:t>
      </w:r>
      <w:r w:rsidRPr="00D825DA">
        <w:rPr>
          <w:rFonts w:eastAsia="Calibri" w:cstheme="minorHAnsi"/>
          <w:color w:val="262626"/>
          <w:lang w:eastAsia="en-GB"/>
        </w:rPr>
        <w:t xml:space="preserve"> and what was outside of the other partners’ hands.  </w:t>
      </w:r>
    </w:p>
    <w:p w14:paraId="142264E0" w14:textId="77777777" w:rsidR="00D825DA" w:rsidRPr="00D825DA" w:rsidRDefault="00D825DA" w:rsidP="00C54CB2">
      <w:pPr>
        <w:spacing w:after="0" w:line="240" w:lineRule="auto"/>
        <w:jc w:val="both"/>
        <w:rPr>
          <w:rFonts w:eastAsia="Calibri" w:cstheme="minorHAnsi"/>
          <w:color w:val="262626"/>
          <w:lang w:eastAsia="en-GB"/>
        </w:rPr>
      </w:pPr>
    </w:p>
    <w:p w14:paraId="0AEB0D86" w14:textId="77777777" w:rsidR="00E6246F" w:rsidRPr="00D825DA" w:rsidRDefault="00E6246F" w:rsidP="00C54CB2">
      <w:pPr>
        <w:spacing w:after="0" w:line="240" w:lineRule="auto"/>
        <w:jc w:val="both"/>
        <w:rPr>
          <w:rFonts w:eastAsia="Calibri" w:cstheme="minorHAnsi"/>
          <w:color w:val="262626"/>
          <w:lang w:eastAsia="en-GB"/>
        </w:rPr>
      </w:pPr>
      <w:r w:rsidRPr="00D825DA">
        <w:rPr>
          <w:rFonts w:eastAsia="Calibri" w:cstheme="minorHAnsi"/>
          <w:color w:val="262626"/>
          <w:lang w:eastAsia="en-GB"/>
        </w:rPr>
        <w:t xml:space="preserve">A developer underlined that there was also an issue of temporality creating difficulties and increased risk for cross-border projects – if the countries involved had different timeframe preferences or a </w:t>
      </w:r>
      <w:r w:rsidRPr="00D825DA">
        <w:rPr>
          <w:rFonts w:eastAsia="Calibri" w:cstheme="minorHAnsi"/>
          <w:color w:val="262626"/>
          <w:lang w:eastAsia="en-GB"/>
        </w:rPr>
        <w:lastRenderedPageBreak/>
        <w:t xml:space="preserve">differing sense of urgency and this could not be aligned, then investors would perceive this risk again as too high. </w:t>
      </w:r>
      <w:bookmarkStart w:id="4" w:name="_Hlk10570522"/>
      <w:r w:rsidRPr="00D825DA">
        <w:rPr>
          <w:rFonts w:eastAsia="Calibri" w:cstheme="minorHAnsi"/>
          <w:color w:val="262626"/>
          <w:lang w:eastAsia="en-GB"/>
        </w:rPr>
        <w:t xml:space="preserve">There are additionally differences in who is perceived to be a suitable, acceptable investor in cross-border interconnection projects. On the European continent, project partners for critical national infrastructure in this sector are almost exclusively the national monopoly TSOs who know each other very well and frequently cooperate. Such trust will be more complex if the party providing the funding, the equity participant or the project partners are, like is the case in the UK, not from that country. </w:t>
      </w:r>
    </w:p>
    <w:bookmarkEnd w:id="4"/>
    <w:p w14:paraId="638E4FFA" w14:textId="7511ED8E" w:rsidR="00E6246F" w:rsidRDefault="00E6246F" w:rsidP="00C54CB2">
      <w:pPr>
        <w:spacing w:after="0" w:line="240" w:lineRule="auto"/>
        <w:jc w:val="both"/>
      </w:pPr>
    </w:p>
    <w:p w14:paraId="3A169C59" w14:textId="3BFE3AC6" w:rsidR="00293BC7" w:rsidRPr="00BB2B94" w:rsidRDefault="00293BC7" w:rsidP="00C54CB2">
      <w:pPr>
        <w:pStyle w:val="Heading3"/>
        <w:spacing w:before="0" w:line="240" w:lineRule="auto"/>
        <w:jc w:val="left"/>
        <w:rPr>
          <w:u w:val="none"/>
        </w:rPr>
      </w:pPr>
      <w:r>
        <w:rPr>
          <w:u w:val="none"/>
        </w:rPr>
        <w:t>3.</w:t>
      </w:r>
      <w:r w:rsidR="00042046">
        <w:rPr>
          <w:u w:val="none"/>
        </w:rPr>
        <w:t>2</w:t>
      </w:r>
      <w:r w:rsidRPr="00BB2B94">
        <w:rPr>
          <w:u w:val="none"/>
        </w:rPr>
        <w:t xml:space="preserve">. </w:t>
      </w:r>
      <w:r w:rsidR="00042046">
        <w:rPr>
          <w:u w:val="none"/>
        </w:rPr>
        <w:t>Legal, jurisdictional and g</w:t>
      </w:r>
      <w:r>
        <w:rPr>
          <w:u w:val="none"/>
        </w:rPr>
        <w:t xml:space="preserve">overnance </w:t>
      </w:r>
      <w:r w:rsidR="00042046">
        <w:rPr>
          <w:u w:val="none"/>
        </w:rPr>
        <w:t>issues</w:t>
      </w:r>
      <w:r w:rsidRPr="00BB2B94">
        <w:rPr>
          <w:u w:val="none"/>
        </w:rPr>
        <w:t xml:space="preserve">  </w:t>
      </w:r>
    </w:p>
    <w:p w14:paraId="79868E86" w14:textId="77777777" w:rsidR="00293BC7" w:rsidRPr="00D825DA" w:rsidRDefault="00293BC7" w:rsidP="00C54CB2">
      <w:pPr>
        <w:spacing w:after="0" w:line="240" w:lineRule="auto"/>
        <w:jc w:val="both"/>
      </w:pPr>
    </w:p>
    <w:p w14:paraId="5110B606" w14:textId="2212222B" w:rsidR="00E6246F" w:rsidRDefault="00E6246F" w:rsidP="00C54CB2">
      <w:pPr>
        <w:spacing w:after="0" w:line="240" w:lineRule="auto"/>
        <w:jc w:val="both"/>
        <w:rPr>
          <w:rFonts w:eastAsia="Calibri" w:cstheme="minorHAnsi"/>
          <w:color w:val="262626"/>
          <w:lang w:eastAsia="en-GB"/>
        </w:rPr>
      </w:pPr>
      <w:r w:rsidRPr="00D825DA">
        <w:rPr>
          <w:rFonts w:eastAsia="Calibri" w:cstheme="minorHAnsi"/>
          <w:color w:val="262626"/>
          <w:lang w:eastAsia="en-GB"/>
        </w:rPr>
        <w:t xml:space="preserve">Coordination of different regimes is key. There is a need for cross-jurisdictional authority. On one hand, in projects with two jurisdictions, project investors understand that it will be more difficult to effect a change – positively or negatively. </w:t>
      </w:r>
      <w:r w:rsidR="00745430">
        <w:rPr>
          <w:rFonts w:eastAsia="Calibri" w:cstheme="minorHAnsi"/>
          <w:color w:val="262626"/>
          <w:lang w:eastAsia="en-GB"/>
        </w:rPr>
        <w:t>However in this case c</w:t>
      </w:r>
      <w:r w:rsidRPr="00D825DA">
        <w:rPr>
          <w:rFonts w:eastAsia="Calibri" w:cstheme="minorHAnsi"/>
          <w:color w:val="262626"/>
          <w:lang w:eastAsia="en-GB"/>
        </w:rPr>
        <w:t xml:space="preserve">ountries will be less likely to fundamentally change the income factors of an electricity project in this case, which makes it less risky from a finance perspective.  </w:t>
      </w:r>
    </w:p>
    <w:p w14:paraId="4515F058" w14:textId="77777777" w:rsidR="00D825DA" w:rsidRPr="00D825DA" w:rsidRDefault="00D825DA" w:rsidP="00C54CB2">
      <w:pPr>
        <w:spacing w:after="0" w:line="240" w:lineRule="auto"/>
        <w:jc w:val="both"/>
        <w:rPr>
          <w:rFonts w:eastAsia="Calibri" w:cstheme="minorHAnsi"/>
          <w:color w:val="262626"/>
          <w:lang w:eastAsia="en-GB"/>
        </w:rPr>
      </w:pPr>
    </w:p>
    <w:p w14:paraId="0923F6D3" w14:textId="75B2402C" w:rsidR="00E6246F" w:rsidRDefault="00E6246F" w:rsidP="00C54CB2">
      <w:pPr>
        <w:spacing w:after="0" w:line="240" w:lineRule="auto"/>
        <w:jc w:val="both"/>
        <w:rPr>
          <w:rFonts w:eastAsia="Calibri" w:cstheme="minorHAnsi"/>
          <w:color w:val="262626"/>
          <w:lang w:eastAsia="en-GB"/>
        </w:rPr>
      </w:pPr>
      <w:r w:rsidRPr="00D825DA">
        <w:rPr>
          <w:rFonts w:eastAsia="Calibri" w:cstheme="minorHAnsi"/>
          <w:color w:val="262626"/>
          <w:lang w:eastAsia="en-GB"/>
        </w:rPr>
        <w:t xml:space="preserve">One key issue that the group discussed was the lack of regulatory certainty and how this makes actually investing quite difficult, because since investors may not know what their return is going to be in five years, ten years, fifteen years’ time and infrastructure investments require much larger sums invested in single assets. </w:t>
      </w:r>
    </w:p>
    <w:p w14:paraId="5254E0E1" w14:textId="77777777" w:rsidR="00D825DA" w:rsidRPr="00D825DA" w:rsidRDefault="00D825DA" w:rsidP="00C54CB2">
      <w:pPr>
        <w:spacing w:after="0" w:line="240" w:lineRule="auto"/>
        <w:jc w:val="both"/>
        <w:rPr>
          <w:rFonts w:eastAsia="Calibri" w:cstheme="minorHAnsi"/>
          <w:color w:val="262626"/>
          <w:lang w:eastAsia="en-GB"/>
        </w:rPr>
      </w:pPr>
    </w:p>
    <w:p w14:paraId="0009F597" w14:textId="778DD5C0" w:rsidR="00745430" w:rsidRDefault="00E6246F" w:rsidP="00745430">
      <w:pPr>
        <w:spacing w:after="0" w:line="240" w:lineRule="auto"/>
        <w:jc w:val="both"/>
      </w:pPr>
      <w:bookmarkStart w:id="5" w:name="_Hlk10570559"/>
      <w:r w:rsidRPr="00D825DA">
        <w:rPr>
          <w:rFonts w:eastAsia="Calibri" w:cstheme="minorHAnsi"/>
          <w:color w:val="262626"/>
          <w:lang w:eastAsia="en-GB"/>
        </w:rPr>
        <w:t xml:space="preserve">Arbitrage risks were another key point in discussion and that while this de-risks the project for the investor, it moves it onto the consumer. </w:t>
      </w:r>
      <w:bookmarkEnd w:id="5"/>
      <w:r w:rsidRPr="00D825DA">
        <w:rPr>
          <w:rFonts w:eastAsia="Calibri" w:cstheme="minorHAnsi"/>
          <w:color w:val="262626"/>
          <w:lang w:eastAsia="en-GB"/>
        </w:rPr>
        <w:t xml:space="preserve">Several attendees highlighted that regulators imposing certain regulations on interconnector projects did not seem to fully understand how this meant that the risk was moved from developer to consumer. There needs to be arbitrage coordination, but the group could not agree on the parameters for that. Another key point that was made concerned the EU’s opposition to merchant investments or the EU not allowing </w:t>
      </w:r>
      <w:r w:rsidR="00035336">
        <w:rPr>
          <w:rFonts w:eastAsia="Calibri" w:cstheme="minorHAnsi"/>
          <w:color w:val="262626"/>
          <w:lang w:eastAsia="en-GB"/>
        </w:rPr>
        <w:t xml:space="preserve">the use of </w:t>
      </w:r>
      <w:r w:rsidRPr="00D825DA">
        <w:rPr>
          <w:rFonts w:eastAsia="Calibri" w:cstheme="minorHAnsi"/>
          <w:color w:val="262626"/>
          <w:lang w:eastAsia="en-GB"/>
        </w:rPr>
        <w:t>transmission revenue for anything other than to lower prices or to re-invest. This in and of itself deterred a lot of private capital, especially from abroad.</w:t>
      </w:r>
    </w:p>
    <w:p w14:paraId="600B6738" w14:textId="77777777" w:rsidR="00745430" w:rsidRDefault="00745430" w:rsidP="00745430">
      <w:pPr>
        <w:spacing w:after="0" w:line="240" w:lineRule="auto"/>
        <w:jc w:val="both"/>
      </w:pPr>
    </w:p>
    <w:p w14:paraId="7C3CC7C3" w14:textId="191F479F" w:rsidR="00745430" w:rsidRPr="00745430" w:rsidRDefault="00745430" w:rsidP="00745430">
      <w:pPr>
        <w:spacing w:after="0" w:line="240" w:lineRule="auto"/>
        <w:jc w:val="both"/>
      </w:pPr>
      <w:r w:rsidRPr="00D825DA">
        <w:rPr>
          <w:rFonts w:eastAsia="Calibri" w:cstheme="minorHAnsi"/>
          <w:color w:val="262626"/>
          <w:lang w:eastAsia="en-GB"/>
        </w:rPr>
        <w:t xml:space="preserve">Ultimately too many countries focus a lot on security of energy supply, but not on the positive role interconnectors could play in this. </w:t>
      </w:r>
    </w:p>
    <w:p w14:paraId="441B74BB" w14:textId="768FCF09" w:rsidR="00E6246F" w:rsidRDefault="00E6246F" w:rsidP="00C54CB2">
      <w:pPr>
        <w:spacing w:after="0" w:line="240" w:lineRule="auto"/>
        <w:jc w:val="both"/>
      </w:pPr>
    </w:p>
    <w:p w14:paraId="427EC431" w14:textId="77777777" w:rsidR="002E4B4A" w:rsidRPr="00BB2B94" w:rsidRDefault="002E4B4A" w:rsidP="00C54CB2">
      <w:pPr>
        <w:pStyle w:val="Heading3"/>
        <w:spacing w:before="0" w:line="240" w:lineRule="auto"/>
        <w:jc w:val="left"/>
        <w:rPr>
          <w:u w:val="none"/>
        </w:rPr>
      </w:pPr>
      <w:r>
        <w:rPr>
          <w:u w:val="none"/>
        </w:rPr>
        <w:t>3.3</w:t>
      </w:r>
      <w:r w:rsidRPr="00BB2B94">
        <w:rPr>
          <w:u w:val="none"/>
        </w:rPr>
        <w:t xml:space="preserve">. </w:t>
      </w:r>
      <w:r>
        <w:rPr>
          <w:u w:val="none"/>
        </w:rPr>
        <w:t>Projects between EU and non-EU countries</w:t>
      </w:r>
      <w:r w:rsidRPr="00BB2B94">
        <w:rPr>
          <w:u w:val="none"/>
        </w:rPr>
        <w:t xml:space="preserve">  </w:t>
      </w:r>
    </w:p>
    <w:p w14:paraId="14396844" w14:textId="77777777" w:rsidR="002E4B4A" w:rsidRPr="00D825DA" w:rsidRDefault="002E4B4A" w:rsidP="00C54CB2">
      <w:pPr>
        <w:spacing w:after="0" w:line="240" w:lineRule="auto"/>
        <w:jc w:val="both"/>
      </w:pPr>
    </w:p>
    <w:p w14:paraId="7961B1B8" w14:textId="2ADE5007" w:rsidR="002E4B4A" w:rsidRPr="00D825DA" w:rsidRDefault="002E4B4A" w:rsidP="00C54CB2">
      <w:pPr>
        <w:spacing w:after="0" w:line="240" w:lineRule="auto"/>
        <w:jc w:val="both"/>
        <w:rPr>
          <w:rFonts w:eastAsia="Calibri" w:cstheme="minorHAnsi"/>
          <w:color w:val="000000"/>
          <w:lang w:eastAsia="en-GB"/>
        </w:rPr>
      </w:pPr>
      <w:bookmarkStart w:id="6" w:name="_Hlk10570213"/>
      <w:r w:rsidRPr="00D825DA">
        <w:rPr>
          <w:rFonts w:eastAsia="Calibri" w:cstheme="minorHAnsi"/>
          <w:color w:val="262626"/>
          <w:lang w:eastAsia="en-GB"/>
        </w:rPr>
        <w:t xml:space="preserve">Since third countries are not covered by EU legislation, there are obvious jurisdictional issues and the investors have to deal with national laws first. The European Commission in such a case would be required to put in place a renewables recognition agreement, as ruled by the November 2014 ECJ case “Green Network v Autorità per l’energia elettrica e il gas” (ECJ, 2014). In the case in question, the ECJ was asked to rule about the Free Trade Agreement with Switzerland and renewable energy certificates in Italy. The Italian Electricity and Gas Authority had fined the Italian Green Network company for failing to purchase green certificates in an amount corresponding to the quantity of electricity which that company had imported into Italy from Switzerland. </w:t>
      </w:r>
      <w:r w:rsidRPr="00D825DA">
        <w:rPr>
          <w:rFonts w:eastAsia="Calibri" w:cstheme="minorHAnsi"/>
          <w:color w:val="000000"/>
          <w:lang w:eastAsia="en-GB"/>
        </w:rPr>
        <w:t xml:space="preserve">Green Network argued that they had supplied guarantees of origin proving the renewable energy characteristics of such electricity and thus considered their obligation under Italian law to have a certain amount of renewable energy in their energy supply mix to be met. Italian law provided that guarantees of origin from third countries, i.e. outside the European Union [like Switzerland], would be eligible for meeting this obligation subject to the existence of an international agreement to that end and Italy had such an agreement with Switzerland (Fouquet, D. and Nysten, J. 2014). </w:t>
      </w:r>
      <w:bookmarkEnd w:id="6"/>
      <w:r w:rsidRPr="00D825DA">
        <w:rPr>
          <w:rFonts w:eastAsia="Calibri" w:cstheme="minorHAnsi"/>
          <w:color w:val="000000"/>
          <w:lang w:eastAsia="en-GB"/>
        </w:rPr>
        <w:t>The European Court of Justice ruled that the EU enjoyed “</w:t>
      </w:r>
      <w:r w:rsidRPr="00D92573">
        <w:rPr>
          <w:rFonts w:eastAsia="Calibri" w:cstheme="minorHAnsi"/>
          <w:i/>
          <w:iCs/>
          <w:color w:val="000000"/>
          <w:lang w:eastAsia="en-GB"/>
        </w:rPr>
        <w:t xml:space="preserve">exclusive external competence relating to the promotion of electricity from renewable energy sources </w:t>
      </w:r>
      <w:r w:rsidRPr="00D92573">
        <w:rPr>
          <w:rFonts w:eastAsia="Calibri" w:cstheme="minorHAnsi"/>
          <w:i/>
          <w:iCs/>
          <w:color w:val="000000"/>
          <w:lang w:eastAsia="en-GB"/>
        </w:rPr>
        <w:lastRenderedPageBreak/>
        <w:t>through guarantees of origin in the Internal Market</w:t>
      </w:r>
      <w:r w:rsidRPr="00D825DA">
        <w:rPr>
          <w:rFonts w:eastAsia="Calibri" w:cstheme="minorHAnsi"/>
          <w:color w:val="000000"/>
          <w:lang w:eastAsia="en-GB"/>
        </w:rPr>
        <w:t xml:space="preserve">” – therefore Italy’s bilateral agreement with Switzerland had been in conflict with European law. </w:t>
      </w:r>
    </w:p>
    <w:p w14:paraId="572ECCBA" w14:textId="77777777" w:rsidR="00D825DA" w:rsidRPr="00D825DA" w:rsidRDefault="00D825DA" w:rsidP="00C54CB2">
      <w:pPr>
        <w:spacing w:after="0" w:line="240" w:lineRule="auto"/>
        <w:jc w:val="both"/>
        <w:rPr>
          <w:rFonts w:eastAsia="Calibri" w:cstheme="minorHAnsi"/>
          <w:color w:val="000000"/>
          <w:lang w:eastAsia="en-GB"/>
        </w:rPr>
      </w:pPr>
    </w:p>
    <w:p w14:paraId="33EBE8D0" w14:textId="76878ECC" w:rsidR="002E4B4A" w:rsidRPr="00D825DA" w:rsidRDefault="002E4B4A" w:rsidP="00C54CB2">
      <w:pPr>
        <w:spacing w:after="0" w:line="240" w:lineRule="auto"/>
        <w:jc w:val="both"/>
        <w:rPr>
          <w:rFonts w:eastAsia="Calibri" w:cstheme="minorHAnsi"/>
          <w:color w:val="262626"/>
          <w:lang w:eastAsia="en-GB"/>
        </w:rPr>
      </w:pPr>
      <w:r w:rsidRPr="00D825DA">
        <w:rPr>
          <w:rFonts w:eastAsia="Calibri" w:cstheme="minorHAnsi"/>
          <w:color w:val="000000"/>
          <w:lang w:eastAsia="en-GB"/>
        </w:rPr>
        <w:t xml:space="preserve">Remaining in the area of legal issues, shareholder rights might change as the </w:t>
      </w:r>
      <w:r w:rsidRPr="00D825DA">
        <w:rPr>
          <w:rFonts w:eastAsia="Calibri" w:cstheme="minorHAnsi"/>
          <w:color w:val="262626"/>
          <w:lang w:eastAsia="en-GB"/>
        </w:rPr>
        <w:t xml:space="preserve">interconnector crosses from the third party to the EU country. This would mean that it may be necessary to have a single buyer to circumvent third party access issues. </w:t>
      </w:r>
      <w:r w:rsidRPr="00D825DA">
        <w:rPr>
          <w:rFonts w:eastAsia="Calibri" w:cstheme="minorHAnsi"/>
          <w:color w:val="000000"/>
          <w:lang w:eastAsia="en-GB"/>
        </w:rPr>
        <w:t xml:space="preserve">Nonetheless, some participants reasoned that </w:t>
      </w:r>
      <w:r w:rsidRPr="00D825DA">
        <w:rPr>
          <w:rFonts w:eastAsia="Calibri" w:cstheme="minorHAnsi"/>
          <w:color w:val="262626"/>
          <w:lang w:eastAsia="en-GB"/>
        </w:rPr>
        <w:t xml:space="preserve">arbitrage, thus electricity price differences between the two countries, </w:t>
      </w:r>
      <w:r w:rsidRPr="00D825DA">
        <w:rPr>
          <w:rFonts w:eastAsia="Calibri" w:cstheme="minorHAnsi"/>
          <w:i/>
          <w:color w:val="262626"/>
          <w:lang w:eastAsia="en-GB"/>
        </w:rPr>
        <w:t>may</w:t>
      </w:r>
      <w:r w:rsidRPr="00D825DA">
        <w:rPr>
          <w:rFonts w:eastAsia="Calibri" w:cstheme="minorHAnsi"/>
          <w:color w:val="262626"/>
          <w:lang w:eastAsia="en-GB"/>
        </w:rPr>
        <w:t xml:space="preserve"> give the third country a lower incentive to adopt the EU norms. </w:t>
      </w:r>
    </w:p>
    <w:p w14:paraId="497E2B89" w14:textId="3753FD44" w:rsidR="00D825DA" w:rsidRDefault="00D825DA" w:rsidP="00C54CB2">
      <w:pPr>
        <w:spacing w:after="0" w:line="240" w:lineRule="auto"/>
        <w:jc w:val="both"/>
        <w:rPr>
          <w:rFonts w:eastAsia="Calibri" w:cstheme="minorHAnsi"/>
          <w:color w:val="000000"/>
          <w:lang w:eastAsia="en-GB"/>
        </w:rPr>
      </w:pPr>
    </w:p>
    <w:p w14:paraId="5E5B0921" w14:textId="63466B43" w:rsidR="005D68F5" w:rsidRDefault="005D68F5" w:rsidP="005D68F5">
      <w:pPr>
        <w:spacing w:after="0" w:line="240" w:lineRule="auto"/>
        <w:jc w:val="both"/>
        <w:rPr>
          <w:rFonts w:eastAsia="Calibri" w:cstheme="minorHAnsi"/>
          <w:color w:val="262626"/>
          <w:lang w:eastAsia="en-GB"/>
        </w:rPr>
      </w:pPr>
      <w:r>
        <w:rPr>
          <w:rFonts w:eastAsia="Calibri" w:cstheme="minorHAnsi"/>
          <w:color w:val="262626"/>
          <w:lang w:eastAsia="en-GB"/>
        </w:rPr>
        <w:t>One</w:t>
      </w:r>
      <w:r w:rsidRPr="00D825DA">
        <w:rPr>
          <w:rFonts w:eastAsia="Calibri" w:cstheme="minorHAnsi"/>
          <w:color w:val="262626"/>
          <w:lang w:eastAsia="en-GB"/>
        </w:rPr>
        <w:t xml:space="preserve"> attendee reasoned that cost-benefit allocations would play a major role in the future in 3</w:t>
      </w:r>
      <w:r w:rsidRPr="00D825DA">
        <w:rPr>
          <w:rFonts w:eastAsia="Calibri" w:cstheme="minorHAnsi"/>
          <w:color w:val="262626"/>
          <w:vertAlign w:val="superscript"/>
          <w:lang w:eastAsia="en-GB"/>
        </w:rPr>
        <w:t>rd</w:t>
      </w:r>
      <w:r w:rsidRPr="00D825DA">
        <w:rPr>
          <w:rFonts w:eastAsia="Calibri" w:cstheme="minorHAnsi"/>
          <w:color w:val="262626"/>
          <w:lang w:eastAsia="en-GB"/>
        </w:rPr>
        <w:t xml:space="preserve"> country connections – since many of the countries wishing to export renewable energy to the EU are less wealthy than the EU, e.g. Northern African states</w:t>
      </w:r>
      <w:r>
        <w:rPr>
          <w:rFonts w:eastAsia="Calibri" w:cstheme="minorHAnsi"/>
          <w:color w:val="262626"/>
          <w:lang w:eastAsia="en-GB"/>
        </w:rPr>
        <w:t>.</w:t>
      </w:r>
      <w:r w:rsidRPr="00D825DA">
        <w:rPr>
          <w:rFonts w:eastAsia="Calibri" w:cstheme="minorHAnsi"/>
          <w:color w:val="262626"/>
          <w:lang w:eastAsia="en-GB"/>
        </w:rPr>
        <w:t xml:space="preserve"> </w:t>
      </w:r>
      <w:r>
        <w:rPr>
          <w:rFonts w:eastAsia="Calibri" w:cstheme="minorHAnsi"/>
          <w:color w:val="262626"/>
          <w:lang w:eastAsia="en-GB"/>
        </w:rPr>
        <w:t>In this case i</w:t>
      </w:r>
      <w:r w:rsidRPr="00D825DA">
        <w:rPr>
          <w:rFonts w:eastAsia="Calibri" w:cstheme="minorHAnsi"/>
          <w:color w:val="262626"/>
          <w:lang w:eastAsia="en-GB"/>
        </w:rPr>
        <w:t xml:space="preserve">t </w:t>
      </w:r>
      <w:r>
        <w:rPr>
          <w:rFonts w:eastAsia="Calibri" w:cstheme="minorHAnsi"/>
          <w:color w:val="262626"/>
          <w:lang w:eastAsia="en-GB"/>
        </w:rPr>
        <w:t>i</w:t>
      </w:r>
      <w:r w:rsidRPr="00D825DA">
        <w:rPr>
          <w:rFonts w:eastAsia="Calibri" w:cstheme="minorHAnsi"/>
          <w:color w:val="262626"/>
          <w:lang w:eastAsia="en-GB"/>
        </w:rPr>
        <w:t>s important that a transmission line does not mean that the social or environmental cost of energy is exported. Another participant added that this is not only an issue for 3</w:t>
      </w:r>
      <w:r w:rsidRPr="00D825DA">
        <w:rPr>
          <w:rFonts w:eastAsia="Calibri" w:cstheme="minorHAnsi"/>
          <w:color w:val="262626"/>
          <w:vertAlign w:val="superscript"/>
          <w:lang w:eastAsia="en-GB"/>
        </w:rPr>
        <w:t>rd</w:t>
      </w:r>
      <w:r w:rsidRPr="00D825DA">
        <w:rPr>
          <w:rFonts w:eastAsia="Calibri" w:cstheme="minorHAnsi"/>
          <w:color w:val="262626"/>
          <w:lang w:eastAsia="en-GB"/>
        </w:rPr>
        <w:t xml:space="preserve"> countries, especially those with a lower purchasing power, but also a dilemma even for UK-France interconnectors as the nuclear risk is borne predominantly by France. </w:t>
      </w:r>
    </w:p>
    <w:p w14:paraId="2C27E921" w14:textId="77777777" w:rsidR="005D68F5" w:rsidRPr="00D825DA" w:rsidRDefault="005D68F5" w:rsidP="00C54CB2">
      <w:pPr>
        <w:spacing w:after="0" w:line="240" w:lineRule="auto"/>
        <w:jc w:val="both"/>
        <w:rPr>
          <w:rFonts w:eastAsia="Calibri" w:cstheme="minorHAnsi"/>
          <w:color w:val="000000"/>
          <w:lang w:eastAsia="en-GB"/>
        </w:rPr>
      </w:pPr>
    </w:p>
    <w:p w14:paraId="7C4F4EE6" w14:textId="65D1FDDD" w:rsidR="002E4B4A" w:rsidRPr="00D825DA" w:rsidRDefault="002E4B4A" w:rsidP="00C54CB2">
      <w:pPr>
        <w:spacing w:after="0" w:line="240" w:lineRule="auto"/>
        <w:jc w:val="both"/>
        <w:rPr>
          <w:rFonts w:eastAsia="Calibri" w:cstheme="minorHAnsi"/>
          <w:color w:val="262626"/>
          <w:lang w:eastAsia="en-GB"/>
        </w:rPr>
      </w:pPr>
      <w:r w:rsidRPr="00D825DA">
        <w:rPr>
          <w:rFonts w:eastAsia="Calibri" w:cstheme="minorHAnsi"/>
          <w:color w:val="262626"/>
          <w:lang w:eastAsia="en-GB"/>
        </w:rPr>
        <w:t xml:space="preserve">Regarding actual construction of infrastructure, while engineering standards drive for conformity of equipment, there could be various construction contract issues e.g. delay damages, enforceability of claims. Similarly, there is a large political risk for third countries, both for North Africa as well as interconnections to get solar energy from Turkey. These concerns would make investment riskier and thus potentially less attractive – especially for pension funds. </w:t>
      </w:r>
    </w:p>
    <w:p w14:paraId="29C49B53" w14:textId="77777777" w:rsidR="00D825DA" w:rsidRPr="00D825DA" w:rsidRDefault="00D825DA" w:rsidP="00C54CB2">
      <w:pPr>
        <w:spacing w:after="0" w:line="240" w:lineRule="auto"/>
        <w:jc w:val="both"/>
        <w:rPr>
          <w:rFonts w:eastAsia="Calibri" w:cstheme="minorHAnsi"/>
          <w:color w:val="262626"/>
          <w:lang w:eastAsia="en-GB"/>
        </w:rPr>
      </w:pPr>
    </w:p>
    <w:p w14:paraId="0992B782" w14:textId="4404FC40" w:rsidR="002E4B4A" w:rsidRPr="00D825DA" w:rsidRDefault="002E4B4A" w:rsidP="00C54CB2">
      <w:pPr>
        <w:spacing w:after="0" w:line="240" w:lineRule="auto"/>
        <w:jc w:val="both"/>
        <w:rPr>
          <w:rFonts w:eastAsia="Calibri" w:cstheme="minorHAnsi"/>
          <w:color w:val="262626"/>
          <w:lang w:eastAsia="en-GB"/>
        </w:rPr>
      </w:pPr>
      <w:r w:rsidRPr="00D825DA">
        <w:rPr>
          <w:rFonts w:eastAsia="Calibri" w:cstheme="minorHAnsi"/>
          <w:color w:val="262626"/>
          <w:lang w:eastAsia="en-GB"/>
        </w:rPr>
        <w:t>When the small group discussion turned to Brexit and infrastructure finance with the UK as a future 3</w:t>
      </w:r>
      <w:r w:rsidRPr="00D825DA">
        <w:rPr>
          <w:rFonts w:eastAsia="Calibri" w:cstheme="minorHAnsi"/>
          <w:color w:val="262626"/>
          <w:vertAlign w:val="superscript"/>
          <w:lang w:eastAsia="en-GB"/>
        </w:rPr>
        <w:t>rd</w:t>
      </w:r>
      <w:r w:rsidRPr="00D825DA">
        <w:rPr>
          <w:rFonts w:eastAsia="Calibri" w:cstheme="minorHAnsi"/>
          <w:color w:val="262626"/>
          <w:lang w:eastAsia="en-GB"/>
        </w:rPr>
        <w:t xml:space="preserve"> country, participants expressed concerns about major investment delays and strong cost of capital for electricity infrastructure and interconnections involving the UK. Construction costs themselves would go up regardless, especially in a No Deal Brexit, due to British pound exchange rate issues and necessary import of materials.  In case of a No Deal Brexit, there would be major uncertainty and the EU Renewable Energy Directive (2009) would no longer apply. The UK would have to put in place a statutory instrument. The UK will also fall out of EU trade agreements with (other) 3</w:t>
      </w:r>
      <w:r w:rsidRPr="00D825DA">
        <w:rPr>
          <w:rFonts w:eastAsia="Calibri" w:cstheme="minorHAnsi"/>
          <w:color w:val="262626"/>
          <w:vertAlign w:val="superscript"/>
          <w:lang w:eastAsia="en-GB"/>
        </w:rPr>
        <w:t>rd</w:t>
      </w:r>
      <w:r w:rsidRPr="00D825DA">
        <w:rPr>
          <w:rFonts w:eastAsia="Calibri" w:cstheme="minorHAnsi"/>
          <w:color w:val="262626"/>
          <w:lang w:eastAsia="en-GB"/>
        </w:rPr>
        <w:t xml:space="preserve"> countries and would be hit with the GATT 97 tariff wall. Even trading electricity with Ireland without an EU deal would be an issue. </w:t>
      </w:r>
    </w:p>
    <w:p w14:paraId="06068090" w14:textId="77777777" w:rsidR="002E4B4A" w:rsidRPr="00D825DA" w:rsidRDefault="002E4B4A" w:rsidP="00C54CB2">
      <w:pPr>
        <w:spacing w:after="0" w:line="240" w:lineRule="auto"/>
        <w:jc w:val="both"/>
      </w:pPr>
    </w:p>
    <w:p w14:paraId="34A0A17D" w14:textId="7D815C84" w:rsidR="006D2515" w:rsidRDefault="002D6AFC" w:rsidP="001005AD">
      <w:pPr>
        <w:pStyle w:val="Heading2"/>
        <w:numPr>
          <w:ilvl w:val="0"/>
          <w:numId w:val="8"/>
        </w:numPr>
      </w:pPr>
      <w:r>
        <w:t xml:space="preserve">Discussion </w:t>
      </w:r>
    </w:p>
    <w:p w14:paraId="5A06F735" w14:textId="64125893" w:rsidR="00BB2B94" w:rsidRDefault="00845BF9" w:rsidP="00C54CB2">
      <w:pPr>
        <w:spacing w:after="0" w:line="240" w:lineRule="auto"/>
        <w:jc w:val="both"/>
      </w:pPr>
      <w:r>
        <w:t>Through this</w:t>
      </w:r>
      <w:r w:rsidR="00186DD5">
        <w:t xml:space="preserve"> analysis</w:t>
      </w:r>
      <w:r w:rsidR="006F3254">
        <w:t xml:space="preserve"> and the scoping review</w:t>
      </w:r>
      <w:r w:rsidR="00186DD5">
        <w:t xml:space="preserve"> </w:t>
      </w:r>
      <w:r>
        <w:t>we have</w:t>
      </w:r>
      <w:r w:rsidR="00186DD5">
        <w:t xml:space="preserve"> identified </w:t>
      </w:r>
      <w:r w:rsidR="00BB2B94">
        <w:t>eight priority barriers (sub-themes)</w:t>
      </w:r>
      <w:r w:rsidR="00186DD5">
        <w:t xml:space="preserve"> under</w:t>
      </w:r>
      <w:r w:rsidR="00BB2B94">
        <w:t xml:space="preserve"> two overall themes – governance/legislative barriers and technological barriers</w:t>
      </w:r>
      <w:r w:rsidR="00186DD5">
        <w:t>.</w:t>
      </w:r>
      <w:r w:rsidR="00BB2B94">
        <w:t xml:space="preserve"> The following summarise each of those two themes and sub-themes. </w:t>
      </w:r>
    </w:p>
    <w:p w14:paraId="58469BF9" w14:textId="77777777" w:rsidR="00BB2B94" w:rsidRDefault="00BB2B94" w:rsidP="00C54CB2">
      <w:pPr>
        <w:spacing w:after="0" w:line="240" w:lineRule="auto"/>
        <w:jc w:val="both"/>
      </w:pPr>
    </w:p>
    <w:p w14:paraId="27DA72A1" w14:textId="2F44A92D" w:rsidR="00BB2B94" w:rsidRPr="00BB2B94" w:rsidRDefault="00BB2B94" w:rsidP="00C54CB2">
      <w:pPr>
        <w:pStyle w:val="Heading3"/>
        <w:spacing w:before="0" w:line="240" w:lineRule="auto"/>
        <w:jc w:val="left"/>
        <w:rPr>
          <w:u w:val="none"/>
        </w:rPr>
      </w:pPr>
      <w:r w:rsidRPr="00BB2B94">
        <w:rPr>
          <w:u w:val="none"/>
        </w:rPr>
        <w:t xml:space="preserve">4.1 Technological barriers </w:t>
      </w:r>
      <w:r w:rsidR="00987E91">
        <w:rPr>
          <w:u w:val="none"/>
        </w:rPr>
        <w:t>including cost of technology solutions</w:t>
      </w:r>
    </w:p>
    <w:p w14:paraId="026C55CC" w14:textId="77777777" w:rsidR="00BB2B94" w:rsidRPr="00BB2B94" w:rsidRDefault="00BB2B94" w:rsidP="00C54CB2">
      <w:pPr>
        <w:spacing w:after="0" w:line="240" w:lineRule="auto"/>
      </w:pPr>
    </w:p>
    <w:p w14:paraId="11241548" w14:textId="6AC5A0D7" w:rsidR="00BB2B94" w:rsidRPr="00BB2B94" w:rsidRDefault="00BB2B94" w:rsidP="00C54CB2">
      <w:pPr>
        <w:pStyle w:val="Heading3"/>
        <w:spacing w:before="0" w:line="240" w:lineRule="auto"/>
        <w:jc w:val="left"/>
        <w:rPr>
          <w:u w:val="none"/>
        </w:rPr>
      </w:pPr>
      <w:r w:rsidRPr="00BB2B94">
        <w:rPr>
          <w:u w:val="none"/>
        </w:rPr>
        <w:t xml:space="preserve">4.1.1. HVDC technology; converters; overland lines; transformers  </w:t>
      </w:r>
    </w:p>
    <w:p w14:paraId="3051180B" w14:textId="742F9507" w:rsidR="00BB2B94" w:rsidRPr="00720CC0" w:rsidRDefault="00BB2B94" w:rsidP="00C54CB2">
      <w:pPr>
        <w:spacing w:after="0" w:line="240" w:lineRule="auto"/>
        <w:jc w:val="both"/>
      </w:pPr>
      <w:r>
        <w:t>Other than Spain and Poland, the areas furthest behind in interconnection are Malta, Cyprus and large Greek and Italian islands (Crete, Sicily) (</w:t>
      </w:r>
      <w:r>
        <w:rPr>
          <w:rFonts w:eastAsia="Calibri" w:cstheme="minorHAnsi"/>
          <w:lang w:eastAsia="en-GB"/>
        </w:rPr>
        <w:t>Puka, &amp;</w:t>
      </w:r>
      <w:r w:rsidRPr="00D93209">
        <w:rPr>
          <w:rFonts w:eastAsia="Calibri" w:cstheme="minorHAnsi"/>
          <w:lang w:eastAsia="en-GB"/>
        </w:rPr>
        <w:t xml:space="preserve"> Szulecki</w:t>
      </w:r>
      <w:r>
        <w:rPr>
          <w:rFonts w:eastAsia="Calibri" w:cstheme="minorHAnsi"/>
          <w:lang w:eastAsia="en-GB"/>
        </w:rPr>
        <w:t>, 2014; Micallef, 2011; Silva et al., 2017</w:t>
      </w:r>
      <w:r>
        <w:t>)</w:t>
      </w:r>
      <w:r w:rsidRPr="2BD70B1A">
        <w:t>.</w:t>
      </w:r>
      <w:r>
        <w:t xml:space="preserve"> Some studies also identify the “offshore triangle” of the British Isles, Norway and Germany as in need of further interconnection. It has been designated by TEN-E (Trans-European Networks for Energy) as one of four priority electricity infrastructure corridors (Sunila et al., 2019). Connecting the European islands or any offshore wind farm to mainland Europe requires more expensive underwater HVDC cables (Andersen, 2014)</w:t>
      </w:r>
      <w:r w:rsidRPr="2BD70B1A">
        <w:t xml:space="preserve">. </w:t>
      </w:r>
      <w:r w:rsidRPr="00CC3BCB">
        <w:t>Since HVDC can only transmit 1000</w:t>
      </w:r>
      <w:r>
        <w:t xml:space="preserve"> MW, for bulk transmission many </w:t>
      </w:r>
      <w:r w:rsidRPr="00CC3BCB">
        <w:t>cables have to be install</w:t>
      </w:r>
      <w:r>
        <w:t xml:space="preserve">ed in parallel, increasing </w:t>
      </w:r>
      <w:r w:rsidRPr="00CC3BCB">
        <w:t>cost</w:t>
      </w:r>
      <w:r>
        <w:t>s</w:t>
      </w:r>
      <w:r w:rsidRPr="00CC3BCB">
        <w:t xml:space="preserve"> further</w:t>
      </w:r>
      <w:r>
        <w:t xml:space="preserve">. Additionally, there is a </w:t>
      </w:r>
      <w:r w:rsidRPr="00CC3BCB">
        <w:t xml:space="preserve">small number of suppliers of HVDC cables. Andersen </w:t>
      </w:r>
      <w:r>
        <w:t xml:space="preserve">(2014) </w:t>
      </w:r>
      <w:r w:rsidRPr="00CC3BCB">
        <w:t>thus cautions that due to technical immaturity</w:t>
      </w:r>
      <w:r w:rsidR="004631A3">
        <w:t>,</w:t>
      </w:r>
      <w:r w:rsidRPr="00CC3BCB">
        <w:t xml:space="preserve"> financing for HVDC is particularly challenging to find.</w:t>
      </w:r>
    </w:p>
    <w:p w14:paraId="321420E9" w14:textId="77777777" w:rsidR="00BB2B94" w:rsidRDefault="00BB2B94" w:rsidP="00C54CB2">
      <w:pPr>
        <w:spacing w:after="0" w:line="240" w:lineRule="auto"/>
        <w:jc w:val="both"/>
        <w:rPr>
          <w:b/>
          <w:bCs/>
        </w:rPr>
      </w:pPr>
    </w:p>
    <w:p w14:paraId="493F45FD" w14:textId="77777777" w:rsidR="00BB2B94" w:rsidRDefault="00BB2B94" w:rsidP="00C54CB2">
      <w:pPr>
        <w:spacing w:after="0" w:line="240" w:lineRule="auto"/>
        <w:jc w:val="both"/>
        <w:rPr>
          <w:highlight w:val="white"/>
        </w:rPr>
      </w:pPr>
      <w:r>
        <w:rPr>
          <w:highlight w:val="white"/>
        </w:rPr>
        <w:t>O</w:t>
      </w:r>
      <w:r w:rsidRPr="00445303">
        <w:rPr>
          <w:highlight w:val="white"/>
        </w:rPr>
        <w:t>ffshore wind farms in Europe are often relatively close to several states</w:t>
      </w:r>
      <w:r>
        <w:rPr>
          <w:highlight w:val="white"/>
        </w:rPr>
        <w:t xml:space="preserve"> and so</w:t>
      </w:r>
      <w:r w:rsidRPr="00445303">
        <w:rPr>
          <w:highlight w:val="white"/>
        </w:rPr>
        <w:t xml:space="preserve"> it </w:t>
      </w:r>
      <w:r>
        <w:rPr>
          <w:highlight w:val="white"/>
        </w:rPr>
        <w:t>may</w:t>
      </w:r>
      <w:r w:rsidRPr="00445303">
        <w:rPr>
          <w:highlight w:val="white"/>
        </w:rPr>
        <w:t xml:space="preserve"> be beneficial to create connection</w:t>
      </w:r>
      <w:r>
        <w:rPr>
          <w:highlight w:val="white"/>
        </w:rPr>
        <w:t>s</w:t>
      </w:r>
      <w:r w:rsidRPr="00445303">
        <w:rPr>
          <w:highlight w:val="white"/>
        </w:rPr>
        <w:t xml:space="preserve"> with more than one country. Meshed offshore grids (MOGs) are such “</w:t>
      </w:r>
      <w:r w:rsidRPr="00725FC5">
        <w:rPr>
          <w:i/>
          <w:highlight w:val="white"/>
        </w:rPr>
        <w:t xml:space="preserve">integrated offshore infrastructure where offshore wind power hubs are </w:t>
      </w:r>
      <w:r w:rsidRPr="00725FC5">
        <w:rPr>
          <w:i/>
        </w:rPr>
        <w:t xml:space="preserve">interconnected </w:t>
      </w:r>
      <w:r w:rsidRPr="00725FC5">
        <w:rPr>
          <w:i/>
          <w:highlight w:val="white"/>
        </w:rPr>
        <w:t>to several countries as opposed to radial connection linking the wind farm to one single country and market</w:t>
      </w:r>
      <w:r w:rsidRPr="00445303">
        <w:rPr>
          <w:highlight w:val="white"/>
        </w:rPr>
        <w:t>”</w:t>
      </w:r>
      <w:r>
        <w:rPr>
          <w:highlight w:val="white"/>
        </w:rPr>
        <w:t xml:space="preserve"> (Sunila, et al., 2019; PROMOTION, 2019)</w:t>
      </w:r>
      <w:r w:rsidRPr="00445303">
        <w:rPr>
          <w:highlight w:val="white"/>
        </w:rPr>
        <w:t xml:space="preserve">. However, the majority of undersea trading cables are line-commuted convertors (LCC), which cannot be cheaply upgraded to </w:t>
      </w:r>
      <w:r>
        <w:rPr>
          <w:highlight w:val="white"/>
        </w:rPr>
        <w:t>transnational</w:t>
      </w:r>
      <w:r w:rsidRPr="00445303">
        <w:rPr>
          <w:highlight w:val="white"/>
        </w:rPr>
        <w:t xml:space="preserve"> wind-farms. </w:t>
      </w:r>
    </w:p>
    <w:p w14:paraId="1B6CCF5B" w14:textId="77777777" w:rsidR="00BB2B94" w:rsidRDefault="00BB2B94" w:rsidP="00C54CB2">
      <w:pPr>
        <w:spacing w:after="0" w:line="240" w:lineRule="auto"/>
        <w:jc w:val="both"/>
        <w:rPr>
          <w:highlight w:val="white"/>
        </w:rPr>
      </w:pPr>
    </w:p>
    <w:p w14:paraId="385BA4BC" w14:textId="77777777" w:rsidR="00BB2B94" w:rsidRDefault="00BB2B94" w:rsidP="00C54CB2">
      <w:pPr>
        <w:spacing w:after="0" w:line="240" w:lineRule="auto"/>
        <w:jc w:val="both"/>
        <w:rPr>
          <w:b/>
          <w:bCs/>
        </w:rPr>
      </w:pPr>
      <w:r w:rsidRPr="00445303">
        <w:rPr>
          <w:highlight w:val="white"/>
        </w:rPr>
        <w:t>Voltage source convertors (VSCs) for this are costly and lead to a lower Energy Return on Investment (EROI). There is</w:t>
      </w:r>
      <w:r>
        <w:rPr>
          <w:highlight w:val="white"/>
        </w:rPr>
        <w:t>, additionally to VSC immaturity</w:t>
      </w:r>
      <w:r w:rsidRPr="00445303">
        <w:rPr>
          <w:highlight w:val="white"/>
        </w:rPr>
        <w:t>, the technical issue of breakers for HVDC – these currently do not exist. This means that if there is an outage in one windfarm, the entire meshed offshore grid is taken out. This leads to energ</w:t>
      </w:r>
      <w:r>
        <w:rPr>
          <w:highlight w:val="white"/>
        </w:rPr>
        <w:t>y companies’ and TSOs’ reluctance</w:t>
      </w:r>
      <w:r w:rsidRPr="00445303">
        <w:rPr>
          <w:highlight w:val="white"/>
        </w:rPr>
        <w:t xml:space="preserve"> to invest in MOGs. German windfarms use HVDC which lends itself to easier meshing and enable</w:t>
      </w:r>
      <w:r>
        <w:rPr>
          <w:highlight w:val="white"/>
        </w:rPr>
        <w:t>s</w:t>
      </w:r>
      <w:r w:rsidRPr="00445303">
        <w:rPr>
          <w:highlight w:val="white"/>
        </w:rPr>
        <w:t xml:space="preserve"> transmission of longer distances, but UK, Danish and Dutch of</w:t>
      </w:r>
      <w:r>
        <w:rPr>
          <w:highlight w:val="white"/>
        </w:rPr>
        <w:t xml:space="preserve">fshore windfarms mainly use </w:t>
      </w:r>
      <w:r w:rsidRPr="00445303">
        <w:rPr>
          <w:highlight w:val="white"/>
        </w:rPr>
        <w:t>cheaper HVAC transmission systems, which cannot be connected. The reason that this approach was taken is that the windturbines themselves use alternating current (AC) and German windfarms thus require expensive AC-</w:t>
      </w:r>
      <w:r>
        <w:rPr>
          <w:highlight w:val="white"/>
        </w:rPr>
        <w:t xml:space="preserve">DC converters at sea - </w:t>
      </w:r>
      <w:r w:rsidRPr="00445303">
        <w:rPr>
          <w:highlight w:val="white"/>
        </w:rPr>
        <w:t>also prone to outage</w:t>
      </w:r>
      <w:r>
        <w:rPr>
          <w:highlight w:val="white"/>
        </w:rPr>
        <w:t xml:space="preserve"> (Andersen, 2014)</w:t>
      </w:r>
      <w:r w:rsidRPr="00445303">
        <w:rPr>
          <w:highlight w:val="white"/>
        </w:rPr>
        <w:t xml:space="preserve">. </w:t>
      </w:r>
    </w:p>
    <w:p w14:paraId="2ECB8F7F" w14:textId="77777777" w:rsidR="00BB2B94" w:rsidRDefault="00BB2B94" w:rsidP="00C54CB2">
      <w:pPr>
        <w:spacing w:after="0" w:line="240" w:lineRule="auto"/>
        <w:jc w:val="both"/>
      </w:pPr>
    </w:p>
    <w:p w14:paraId="524CD4C0" w14:textId="77777777" w:rsidR="00BB2B94" w:rsidRDefault="00BB2B94" w:rsidP="00C54CB2">
      <w:pPr>
        <w:spacing w:after="0" w:line="240" w:lineRule="auto"/>
        <w:jc w:val="both"/>
      </w:pPr>
      <w:r>
        <w:t>More expensive DC underground cables are also needed for crossborder interconnections on land due to poor public acceptance of overhead lines (</w:t>
      </w:r>
      <w:r>
        <w:rPr>
          <w:rFonts w:eastAsia="Arial" w:cstheme="minorHAnsi"/>
        </w:rPr>
        <w:t xml:space="preserve">Ciupuliga, &amp; </w:t>
      </w:r>
      <w:r w:rsidRPr="00D93209">
        <w:rPr>
          <w:rFonts w:eastAsia="Arial" w:cstheme="minorHAnsi"/>
        </w:rPr>
        <w:t>Cuppen</w:t>
      </w:r>
      <w:r>
        <w:rPr>
          <w:rFonts w:eastAsia="Arial" w:cstheme="minorHAnsi"/>
        </w:rPr>
        <w:t>, 2013; Menges, &amp;</w:t>
      </w:r>
      <w:r w:rsidRPr="00D93209">
        <w:rPr>
          <w:rFonts w:eastAsia="Arial" w:cstheme="minorHAnsi"/>
        </w:rPr>
        <w:t xml:space="preserve"> Beyer</w:t>
      </w:r>
      <w:r>
        <w:rPr>
          <w:rFonts w:eastAsia="Arial" w:cstheme="minorHAnsi"/>
        </w:rPr>
        <w:t>, 2014</w:t>
      </w:r>
      <w:r>
        <w:t>). It may be that the public would be even less inclined to accept lines for energy export (</w:t>
      </w:r>
      <w:r>
        <w:rPr>
          <w:rFonts w:eastAsia="Arial" w:cstheme="minorHAnsi"/>
        </w:rPr>
        <w:t xml:space="preserve">Ciupuliga, &amp; </w:t>
      </w:r>
      <w:r w:rsidRPr="00D93209">
        <w:rPr>
          <w:rFonts w:eastAsia="Arial" w:cstheme="minorHAnsi"/>
        </w:rPr>
        <w:t>Cuppen</w:t>
      </w:r>
      <w:r>
        <w:rPr>
          <w:rFonts w:eastAsia="Arial" w:cstheme="minorHAnsi"/>
        </w:rPr>
        <w:t>, 2013; Devine-Wright, 2013</w:t>
      </w:r>
      <w:r>
        <w:t xml:space="preserve">). For example, the Baixas-Santa Llogaia interconnector, </w:t>
      </w:r>
      <w:r w:rsidRPr="2BD70B1A">
        <w:t>“Europe’s first integrate</w:t>
      </w:r>
      <w:r>
        <w:t>d onshore HVDC interconnection” (Francos et al., 2012), between France and Spain took 30 years to be approved and built. In order to cope with public protests against overhead lines, in 2006 France and Spain asked the European Commission to provide a European facilitator/mediator for the project (</w:t>
      </w:r>
      <w:r>
        <w:rPr>
          <w:rFonts w:eastAsia="Arial" w:cstheme="minorHAnsi"/>
        </w:rPr>
        <w:t xml:space="preserve">Ciupuliga, &amp; </w:t>
      </w:r>
      <w:r w:rsidRPr="00D93209">
        <w:rPr>
          <w:rFonts w:eastAsia="Arial" w:cstheme="minorHAnsi"/>
        </w:rPr>
        <w:t>Cuppen</w:t>
      </w:r>
      <w:r>
        <w:rPr>
          <w:rFonts w:eastAsia="Arial" w:cstheme="minorHAnsi"/>
        </w:rPr>
        <w:t>, 2013</w:t>
      </w:r>
      <w:r>
        <w:t>).</w:t>
      </w:r>
    </w:p>
    <w:p w14:paraId="688AACE1" w14:textId="77777777" w:rsidR="00BB2B94" w:rsidRDefault="00BB2B94" w:rsidP="00C54CB2">
      <w:pPr>
        <w:spacing w:after="0" w:line="240" w:lineRule="auto"/>
        <w:jc w:val="both"/>
      </w:pPr>
    </w:p>
    <w:p w14:paraId="2B17197E" w14:textId="77777777" w:rsidR="00BB2B94" w:rsidRDefault="00BB2B94" w:rsidP="00C54CB2">
      <w:pPr>
        <w:spacing w:after="0" w:line="240" w:lineRule="auto"/>
        <w:jc w:val="both"/>
      </w:pPr>
      <w:r w:rsidRPr="00C411B4">
        <w:t>Costly transformers are also needed to equalize voltage between different TSOs</w:t>
      </w:r>
      <w:r>
        <w:t xml:space="preserve"> (Newman, 2015; ENTSO-E, 2017)</w:t>
      </w:r>
      <w:r w:rsidRPr="00C411B4">
        <w:t xml:space="preserve">. </w:t>
      </w:r>
    </w:p>
    <w:p w14:paraId="3039C3E0" w14:textId="77777777" w:rsidR="00BB2B94" w:rsidRDefault="00BB2B94" w:rsidP="00C54CB2">
      <w:pPr>
        <w:spacing w:after="0" w:line="240" w:lineRule="auto"/>
        <w:jc w:val="both"/>
        <w:rPr>
          <w:b/>
          <w:bCs/>
        </w:rPr>
      </w:pPr>
    </w:p>
    <w:p w14:paraId="331C3EB2" w14:textId="4CC4A495" w:rsidR="00BB2B94" w:rsidRPr="00BB2B94" w:rsidRDefault="00BB2B94" w:rsidP="00C54CB2">
      <w:pPr>
        <w:pStyle w:val="Heading3"/>
        <w:spacing w:before="0" w:line="240" w:lineRule="auto"/>
        <w:jc w:val="left"/>
        <w:rPr>
          <w:u w:val="none"/>
        </w:rPr>
      </w:pPr>
      <w:r w:rsidRPr="00BB2B94">
        <w:rPr>
          <w:u w:val="none"/>
        </w:rPr>
        <w:t>4.1.2. Loop flows</w:t>
      </w:r>
    </w:p>
    <w:p w14:paraId="5D9DEFBB" w14:textId="17524922" w:rsidR="00BB2B94" w:rsidRPr="00DA2E45" w:rsidRDefault="00BB2B94" w:rsidP="00C54CB2">
      <w:pPr>
        <w:spacing w:after="0" w:line="240" w:lineRule="auto"/>
        <w:jc w:val="both"/>
      </w:pPr>
      <w:r>
        <w:t xml:space="preserve">A loop flow occurs when electricity generated in one place encounters congestion in the grid and therefore flows through other (countries’) grids, to reach the consumer. Loop flows, unscheduled flows, lead to free-riding, congestion and issues of cost-sharing. Currently only about 30% of physical electricity infrastructure capacity is used for trade (European Parliament, 2019; Simon, 2018). TSOs usually shut off cross-border trade in case of congestion due to loop flows. </w:t>
      </w:r>
    </w:p>
    <w:p w14:paraId="0F02B433" w14:textId="77777777" w:rsidR="00BB2B94" w:rsidRPr="00BB2B94" w:rsidRDefault="00BB2B94" w:rsidP="00C54CB2">
      <w:pPr>
        <w:pStyle w:val="ListParagraph"/>
        <w:spacing w:before="0" w:after="0" w:line="240" w:lineRule="auto"/>
        <w:rPr>
          <w:b/>
          <w:bCs/>
          <w:lang w:val="en-GB"/>
        </w:rPr>
      </w:pPr>
    </w:p>
    <w:p w14:paraId="75C7C524" w14:textId="029E108D" w:rsidR="00BB2B94" w:rsidRPr="00BB2B94" w:rsidRDefault="00BB2B94" w:rsidP="00C54CB2">
      <w:pPr>
        <w:pStyle w:val="Heading3"/>
        <w:spacing w:before="0" w:line="240" w:lineRule="auto"/>
        <w:jc w:val="left"/>
        <w:rPr>
          <w:u w:val="none"/>
        </w:rPr>
      </w:pPr>
      <w:r w:rsidRPr="00BB2B94">
        <w:rPr>
          <w:u w:val="none"/>
        </w:rPr>
        <w:t xml:space="preserve">4.2. Governance/legislative barriers </w:t>
      </w:r>
    </w:p>
    <w:p w14:paraId="0BE2F443" w14:textId="77777777" w:rsidR="00BB2B94" w:rsidRPr="00BB2B94" w:rsidRDefault="00BB2B94" w:rsidP="00C54CB2">
      <w:pPr>
        <w:spacing w:after="0" w:line="240" w:lineRule="auto"/>
        <w:jc w:val="both"/>
        <w:rPr>
          <w:b/>
          <w:bCs/>
        </w:rPr>
      </w:pPr>
    </w:p>
    <w:p w14:paraId="1CC15D53" w14:textId="296A3482" w:rsidR="00BB2B94" w:rsidRPr="00BB2B94" w:rsidRDefault="00BB2B94" w:rsidP="00C54CB2">
      <w:pPr>
        <w:pStyle w:val="Heading3"/>
        <w:spacing w:before="0" w:line="240" w:lineRule="auto"/>
        <w:jc w:val="left"/>
        <w:rPr>
          <w:u w:val="none"/>
        </w:rPr>
      </w:pPr>
      <w:r w:rsidRPr="00BB2B94">
        <w:rPr>
          <w:u w:val="none"/>
        </w:rPr>
        <w:t xml:space="preserve">4.2.1. Finance model </w:t>
      </w:r>
    </w:p>
    <w:p w14:paraId="4125E85C" w14:textId="77777777" w:rsidR="00BB2B94" w:rsidRDefault="00BB2B94" w:rsidP="00C54CB2">
      <w:pPr>
        <w:spacing w:after="0" w:line="240" w:lineRule="auto"/>
        <w:jc w:val="both"/>
      </w:pPr>
      <w:r>
        <w:t>Under the Regulated Asset Base (RAB) model, capital expenditures are usually passed on to consumers. This is problematic as member states with some of the more significant interconnection needs are former communist and poorer Mediterranean states already experiencing high energy poverty (</w:t>
      </w:r>
      <w:r>
        <w:rPr>
          <w:rFonts w:eastAsia="Times New Roman" w:cstheme="minorHAnsi"/>
          <w:lang w:eastAsia="en-GB"/>
        </w:rPr>
        <w:t xml:space="preserve">Bouzarovski &amp; </w:t>
      </w:r>
      <w:r w:rsidRPr="00D93209">
        <w:rPr>
          <w:rFonts w:eastAsia="Times New Roman" w:cstheme="minorHAnsi"/>
          <w:lang w:eastAsia="en-GB"/>
        </w:rPr>
        <w:t>Tirado Herrero</w:t>
      </w:r>
      <w:r>
        <w:rPr>
          <w:rFonts w:eastAsia="Times New Roman" w:cstheme="minorHAnsi"/>
          <w:lang w:eastAsia="en-GB"/>
        </w:rPr>
        <w:t>, 2017</w:t>
      </w:r>
      <w:r>
        <w:t xml:space="preserve">). Raising electricity prices to the level that would trigger the required investment is thus politically too sensitive. </w:t>
      </w:r>
    </w:p>
    <w:p w14:paraId="664FD588" w14:textId="77777777" w:rsidR="00BB2B94" w:rsidRDefault="00BB2B94" w:rsidP="00C54CB2">
      <w:pPr>
        <w:spacing w:after="0" w:line="240" w:lineRule="auto"/>
        <w:jc w:val="both"/>
      </w:pPr>
    </w:p>
    <w:p w14:paraId="1FBFA085" w14:textId="77777777" w:rsidR="00BB2B94" w:rsidRDefault="00BB2B94" w:rsidP="00C54CB2">
      <w:pPr>
        <w:spacing w:after="0" w:line="240" w:lineRule="auto"/>
        <w:jc w:val="both"/>
      </w:pPr>
      <w:r>
        <w:t>Merchant model financing is the norm in many locations outside the European Union, especially in North America. In the EU, it is only allowed in very limited circumstances. Financial risk is higher under the merchant model and thus investors expect a shorter payback period, making it in that sense more attractive. EU opposition to the merchant model</w:t>
      </w:r>
      <w:r w:rsidRPr="0063430A">
        <w:t xml:space="preserve"> in and of itself deter</w:t>
      </w:r>
      <w:r>
        <w:t>s</w:t>
      </w:r>
      <w:r w:rsidRPr="0063430A">
        <w:t xml:space="preserve"> a lot of private capital, especially from abroad</w:t>
      </w:r>
      <w:r w:rsidRPr="2BD70B1A">
        <w:t xml:space="preserve">. </w:t>
      </w:r>
    </w:p>
    <w:p w14:paraId="157DC731" w14:textId="77777777" w:rsidR="00BB2B94" w:rsidRDefault="00BB2B94" w:rsidP="00C54CB2">
      <w:pPr>
        <w:spacing w:after="0" w:line="240" w:lineRule="auto"/>
        <w:jc w:val="both"/>
      </w:pPr>
    </w:p>
    <w:p w14:paraId="154F511C" w14:textId="623BB7E3" w:rsidR="00BB2B94" w:rsidRDefault="00BB2B94" w:rsidP="00C54CB2">
      <w:pPr>
        <w:spacing w:after="0" w:line="240" w:lineRule="auto"/>
        <w:jc w:val="both"/>
      </w:pPr>
      <w:r w:rsidRPr="00A164BC">
        <w:t>Due to long</w:t>
      </w:r>
      <w:r>
        <w:t>er</w:t>
      </w:r>
      <w:r w:rsidRPr="00A164BC">
        <w:t xml:space="preserve"> payback periods</w:t>
      </w:r>
      <w:r>
        <w:t xml:space="preserve"> under the RAB model</w:t>
      </w:r>
      <w:r w:rsidRPr="2BD70B1A">
        <w:t xml:space="preserve">, </w:t>
      </w:r>
      <w:r>
        <w:t xml:space="preserve">long term-oriented </w:t>
      </w:r>
      <w:r w:rsidRPr="00A164BC">
        <w:t xml:space="preserve">pension funds </w:t>
      </w:r>
      <w:r>
        <w:t xml:space="preserve">and insurance companies </w:t>
      </w:r>
      <w:r w:rsidRPr="00A164BC">
        <w:t>would be</w:t>
      </w:r>
      <w:r w:rsidRPr="2BD70B1A">
        <w:t xml:space="preserve"> </w:t>
      </w:r>
      <w:r w:rsidRPr="00A164BC">
        <w:t>natural invest</w:t>
      </w:r>
      <w:r>
        <w:t>ors</w:t>
      </w:r>
      <w:r w:rsidRPr="2BD70B1A">
        <w:t xml:space="preserve">. </w:t>
      </w:r>
      <w:r>
        <w:t>However, these</w:t>
      </w:r>
      <w:r w:rsidRPr="00A164BC">
        <w:t xml:space="preserve"> often choose to invest in already operating assets over planned projects. Pension funds </w:t>
      </w:r>
      <w:r>
        <w:t>are also</w:t>
      </w:r>
      <w:r w:rsidRPr="00A164BC">
        <w:t xml:space="preserve"> </w:t>
      </w:r>
      <w:r>
        <w:t>regionally specific and</w:t>
      </w:r>
      <w:r w:rsidRPr="00A164BC">
        <w:t xml:space="preserve"> predisposed to investment </w:t>
      </w:r>
      <w:r w:rsidR="00716A2E">
        <w:t>in their national territories</w:t>
      </w:r>
      <w:r>
        <w:t xml:space="preserve"> (OECD, 2015)</w:t>
      </w:r>
      <w:r w:rsidRPr="00A164BC">
        <w:t>.</w:t>
      </w:r>
      <w:r w:rsidRPr="2BD70B1A">
        <w:t xml:space="preserve"> </w:t>
      </w:r>
    </w:p>
    <w:p w14:paraId="1EE75C64" w14:textId="77777777" w:rsidR="00BB2B94" w:rsidRDefault="00BB2B94" w:rsidP="00C54CB2">
      <w:pPr>
        <w:spacing w:after="0" w:line="240" w:lineRule="auto"/>
        <w:jc w:val="both"/>
      </w:pPr>
    </w:p>
    <w:p w14:paraId="2CD02B2A" w14:textId="77777777" w:rsidR="00BB2B94" w:rsidRDefault="00BB2B94" w:rsidP="00C54CB2">
      <w:pPr>
        <w:spacing w:after="0" w:line="240" w:lineRule="auto"/>
        <w:jc w:val="both"/>
      </w:pPr>
      <w:r>
        <w:t>Additionally, many TSOs are restricted in their access to equity by their country’s regulatory framework (European Commission, 2018). With the exception of Elia and TenneT, all TSOs are purely national (</w:t>
      </w:r>
      <w:r>
        <w:rPr>
          <w:rFonts w:eastAsia="Calibri" w:cstheme="minorHAnsi"/>
        </w:rPr>
        <w:t>de Clercq, Jewkes &amp;</w:t>
      </w:r>
      <w:r w:rsidRPr="00D93209">
        <w:rPr>
          <w:rFonts w:eastAsia="Calibri" w:cstheme="minorHAnsi"/>
        </w:rPr>
        <w:t xml:space="preserve"> Davies</w:t>
      </w:r>
      <w:r>
        <w:rPr>
          <w:rFonts w:eastAsia="Calibri" w:cstheme="minorHAnsi"/>
        </w:rPr>
        <w:t>, 2013</w:t>
      </w:r>
      <w:r>
        <w:t>). Nonetheless, even TenneT placed transmission restrictions on their Denmark – Germany connection, for which they were fined by the European Commission as an antitrust breach (Eckert, 2018)</w:t>
      </w:r>
      <w:r w:rsidRPr="2BD70B1A">
        <w:t>.</w:t>
      </w:r>
    </w:p>
    <w:p w14:paraId="4914C4FF" w14:textId="77777777" w:rsidR="00BB2B94" w:rsidRPr="009354D1" w:rsidRDefault="00BB2B94" w:rsidP="00C54CB2">
      <w:pPr>
        <w:spacing w:after="0" w:line="240" w:lineRule="auto"/>
        <w:jc w:val="both"/>
      </w:pPr>
    </w:p>
    <w:p w14:paraId="3CD64334" w14:textId="79610BD2" w:rsidR="00BB2B94" w:rsidRPr="00BB2B94" w:rsidRDefault="00BB2B94" w:rsidP="00C54CB2">
      <w:pPr>
        <w:pStyle w:val="Heading3"/>
        <w:spacing w:before="0" w:line="240" w:lineRule="auto"/>
        <w:jc w:val="left"/>
        <w:rPr>
          <w:u w:val="none"/>
        </w:rPr>
      </w:pPr>
      <w:r w:rsidRPr="00BB2B94">
        <w:rPr>
          <w:u w:val="none"/>
        </w:rPr>
        <w:t>4.2.2. Electricity monopolies, unbundling</w:t>
      </w:r>
    </w:p>
    <w:p w14:paraId="02DCF032" w14:textId="54643663" w:rsidR="00BB2B94" w:rsidRDefault="00BB2B94" w:rsidP="00C54CB2">
      <w:pPr>
        <w:spacing w:after="0" w:line="240" w:lineRule="auto"/>
        <w:jc w:val="both"/>
      </w:pPr>
      <w:r>
        <w:t>About one third of European TSOs are not unbundled, thus still own both power plants and the transmission infrastructure (</w:t>
      </w:r>
      <w:r w:rsidRPr="00D93209">
        <w:rPr>
          <w:rFonts w:eastAsia="Calibri" w:cstheme="minorHAnsi"/>
        </w:rPr>
        <w:t>Council of European Energy Regulators</w:t>
      </w:r>
      <w:r>
        <w:rPr>
          <w:rFonts w:eastAsia="Calibri" w:cstheme="minorHAnsi"/>
        </w:rPr>
        <w:t>, 2016</w:t>
      </w:r>
      <w:r>
        <w:t xml:space="preserve">, </w:t>
      </w:r>
      <w:r w:rsidRPr="004B2854">
        <w:t>p.7</w:t>
      </w:r>
      <w:r>
        <w:t>). This represents further perverse incentives to not expand transmission as additional electricity imports would create competition for the power plants owned. National electricity companies are often close to monopolistic in their respective nation states (</w:t>
      </w:r>
      <w:r w:rsidRPr="0017609A">
        <w:rPr>
          <w:rFonts w:eastAsia="Calibri" w:cstheme="minorHAnsi"/>
          <w:lang w:eastAsia="en-GB"/>
        </w:rPr>
        <w:t xml:space="preserve">van Nuffel </w:t>
      </w:r>
      <w:r w:rsidRPr="0017609A">
        <w:rPr>
          <w:rFonts w:eastAsia="Calibri" w:cstheme="minorHAnsi"/>
          <w:iCs/>
          <w:lang w:eastAsia="en-GB"/>
        </w:rPr>
        <w:t>et al., 2017</w:t>
      </w:r>
      <w:r>
        <w:t xml:space="preserve">) and thus have strong lobbying power to thwart further interconnection.  </w:t>
      </w:r>
    </w:p>
    <w:p w14:paraId="23874916" w14:textId="180B91A8" w:rsidR="00147188" w:rsidRDefault="00147188" w:rsidP="00C54CB2">
      <w:pPr>
        <w:spacing w:after="0" w:line="240" w:lineRule="auto"/>
        <w:jc w:val="both"/>
      </w:pPr>
    </w:p>
    <w:p w14:paraId="0EDFAA82" w14:textId="359CF3DA" w:rsidR="00147188" w:rsidRDefault="00147188" w:rsidP="00C54CB2">
      <w:pPr>
        <w:spacing w:after="0" w:line="240" w:lineRule="auto"/>
        <w:jc w:val="both"/>
      </w:pPr>
      <w:r>
        <w:t xml:space="preserve">Profit from interconnectors comes from price differences between two electricity zones and congestion in the network. TSOs are the entities in charge of building additional interconnection and yet gain from auctioning off capacity in times of grid congestion. This provides a perverse incentive. To counter this issue, EU regulations stipulate that TSOs need to reinvest income from grid congestion auctions either to build more interconnection – which however then would lower their future income from congestion auctions – or to lower their tariffs. Neither of these options would incentivise investment. Flynn argues that </w:t>
      </w:r>
      <w:r w:rsidRPr="6A122806">
        <w:rPr>
          <w:highlight w:val="white"/>
        </w:rPr>
        <w:t>British wind investors are not interested in further</w:t>
      </w:r>
      <w:r>
        <w:rPr>
          <w:highlight w:val="white"/>
        </w:rPr>
        <w:t xml:space="preserve"> crossborder</w:t>
      </w:r>
      <w:r w:rsidRPr="6A122806">
        <w:rPr>
          <w:highlight w:val="white"/>
        </w:rPr>
        <w:t xml:space="preserve"> interconnection since “</w:t>
      </w:r>
      <w:r w:rsidRPr="00D82507">
        <w:rPr>
          <w:i/>
          <w:iCs/>
          <w:highlight w:val="white"/>
        </w:rPr>
        <w:t>their core business model is selling wind electricity into the UK and gaining premiums for that via CfD auctions</w:t>
      </w:r>
      <w:r w:rsidRPr="6A122806">
        <w:rPr>
          <w:highlight w:val="white"/>
        </w:rPr>
        <w:t>”</w:t>
      </w:r>
      <w:r>
        <w:rPr>
          <w:highlight w:val="white"/>
        </w:rPr>
        <w:t xml:space="preserve"> (Flynn, 2016)</w:t>
      </w:r>
      <w:r w:rsidRPr="6A122806">
        <w:rPr>
          <w:highlight w:val="white"/>
        </w:rPr>
        <w:t>.</w:t>
      </w:r>
      <w:r>
        <w:t xml:space="preserve"> Engie, RWE, Scottish Power and EDF all argued against interconnection in the case of the Greenlink project, stating that this would create unwanted economic competition for them (Dutton &amp; Lockwood, 2017)</w:t>
      </w:r>
      <w:r w:rsidRPr="2BD70B1A">
        <w:t xml:space="preserve">.  </w:t>
      </w:r>
    </w:p>
    <w:p w14:paraId="70F75A85" w14:textId="77777777" w:rsidR="00BB2B94" w:rsidRDefault="00BB2B94" w:rsidP="00C54CB2">
      <w:pPr>
        <w:spacing w:after="0" w:line="240" w:lineRule="auto"/>
        <w:jc w:val="both"/>
      </w:pPr>
    </w:p>
    <w:p w14:paraId="5C588E89" w14:textId="3AFD9361" w:rsidR="00BB2B94" w:rsidRPr="00BB2B94" w:rsidRDefault="00BB2B94" w:rsidP="00C54CB2">
      <w:pPr>
        <w:pStyle w:val="Heading3"/>
        <w:spacing w:before="0" w:line="240" w:lineRule="auto"/>
        <w:jc w:val="left"/>
        <w:rPr>
          <w:u w:val="none"/>
        </w:rPr>
      </w:pPr>
      <w:r w:rsidRPr="00BB2B94">
        <w:rPr>
          <w:u w:val="none"/>
        </w:rPr>
        <w:t>4.2.3. Lack of harmonisation across Member States</w:t>
      </w:r>
    </w:p>
    <w:p w14:paraId="63B3C8DE" w14:textId="7B4F1DBC" w:rsidR="00BB2B94" w:rsidRDefault="00BB2B94" w:rsidP="00C54CB2">
      <w:pPr>
        <w:spacing w:after="0" w:line="240" w:lineRule="auto"/>
        <w:jc w:val="both"/>
      </w:pPr>
      <w:r>
        <w:t>Due to RE intermittency, several countries introduced capacity remuneration mechanisms (CRM) for coal plants and other conventional power plants to provide continued capacity – even though this otherwise could become uneconomic. CRMs are not harmonised. Foreign generators and interconnection are not taken into account. This is a disincentive to further interconnection investment. CRMs accord different participation rights to imported electricity/interconnectors: from Spain and Portugal, where they cannot participate at all, to the UK (</w:t>
      </w:r>
      <w:r>
        <w:rPr>
          <w:rFonts w:cstheme="minorHAnsi"/>
          <w:lang w:val="en-US"/>
        </w:rPr>
        <w:t>Höschle, Le Cadre, &amp;</w:t>
      </w:r>
      <w:r w:rsidRPr="00232C3C">
        <w:rPr>
          <w:rFonts w:cstheme="minorHAnsi"/>
          <w:lang w:val="en-US"/>
        </w:rPr>
        <w:t xml:space="preserve"> Belmans</w:t>
      </w:r>
      <w:r>
        <w:rPr>
          <w:rFonts w:cstheme="minorHAnsi"/>
          <w:lang w:val="en-US"/>
        </w:rPr>
        <w:t>, 2018</w:t>
      </w:r>
      <w:r>
        <w:t>), where from 2019/2020 onwards in theory interconnectors will be able to contribute 2900 MW, a figure which will be deducted from installed capacity generation (Cepeda, 2018). While Hoeschle, Le Cadre and Belmans (2018) believe inclusion of imported capacity provides a positive investment signal, Mastropietro, Rodilla and Batlle (2015) caution that ”</w:t>
      </w:r>
      <w:r w:rsidRPr="00E8042C">
        <w:rPr>
          <w:i/>
          <w:iCs/>
        </w:rPr>
        <w:t>paradoxically [...] the presence of cross-border interconnection could increase the amount of capacity to be procured and could result in overinvestment in the country implementing the CRM</w:t>
      </w:r>
      <w:r>
        <w:t>.” Meyer and Gore (2015) believe CRMs are detrimental for consumers and producers.</w:t>
      </w:r>
      <w:r w:rsidRPr="2BD70B1A">
        <w:t xml:space="preserve"> </w:t>
      </w:r>
      <w:r>
        <w:t xml:space="preserve">Grigorjeva (2015) instead recalls that the German government has argued that France’s CRM will be good for German consumers, since due to crossborder interconnection greater capacity in France will result in cheaper prices for German consumers without further investments. </w:t>
      </w:r>
    </w:p>
    <w:p w14:paraId="032DDC72" w14:textId="77777777" w:rsidR="00BB2B94" w:rsidRDefault="00BB2B94" w:rsidP="00C54CB2">
      <w:pPr>
        <w:spacing w:after="0" w:line="240" w:lineRule="auto"/>
        <w:jc w:val="both"/>
      </w:pPr>
    </w:p>
    <w:p w14:paraId="116EB531" w14:textId="56796F9D" w:rsidR="00BB2B94" w:rsidRDefault="00BB2B94" w:rsidP="00C54CB2">
      <w:pPr>
        <w:spacing w:after="0" w:line="240" w:lineRule="auto"/>
        <w:jc w:val="both"/>
      </w:pPr>
      <w:r>
        <w:lastRenderedPageBreak/>
        <w:t>In the case of a crossborder interconnection transporting RE or connecting an offshore wind farm, a project would likely be able to benefit from subsidies – but these are national. This has led to conflicts and European Court of Justice (ECJ) cases. In the 2014 cases “Ålands</w:t>
      </w:r>
      <w:r w:rsidRPr="2BD70B1A">
        <w:t xml:space="preserve"> </w:t>
      </w:r>
      <w:r>
        <w:t>Vindkraft vs. Swedish Energy Agency”</w:t>
      </w:r>
      <w:r w:rsidRPr="2BD70B1A">
        <w:rPr>
          <w:rFonts w:eastAsiaTheme="minorEastAsia"/>
          <w:color w:val="343D41"/>
        </w:rPr>
        <w:t xml:space="preserve"> (C-573/12)</w:t>
      </w:r>
      <w:r>
        <w:t xml:space="preserve"> and “Essent vs Flanders DSO” (C-204 to 208/12), the European Court of Justice upheld member states’ rights to exclude foreign RE entities from accessing </w:t>
      </w:r>
      <w:r w:rsidR="007A2C08">
        <w:t xml:space="preserve">generation </w:t>
      </w:r>
      <w:r>
        <w:t>subsidies in certain circumstances (Durand &amp; Keay, 2014; Szydlo, 2015). This favours national electricity production, the disparate geographical RE potential in Europe notwithstanding. However, the subsequent C-492/14 case (2016), again involving energy company Essent importing Dutch RE to Flanders, ruled preferential grid tariffs could not exclude electricity import (Pentinnen, 2018).</w:t>
      </w:r>
      <w:r w:rsidRPr="0097501A">
        <w:t xml:space="preserve"> </w:t>
      </w:r>
      <w:r>
        <w:t>Due to the subsidies issues, the COBRA cable</w:t>
      </w:r>
      <w:r>
        <w:rPr>
          <w:rFonts w:ascii="Calibri" w:eastAsia="Calibri" w:hAnsi="Calibri" w:cs="Calibri"/>
        </w:rPr>
        <w:t>,</w:t>
      </w:r>
      <w:r w:rsidRPr="6A122806">
        <w:rPr>
          <w:rFonts w:ascii="Calibri" w:eastAsia="Calibri" w:hAnsi="Calibri" w:cs="Calibri"/>
        </w:rPr>
        <w:t xml:space="preserve"> a PCI by Dutch-German TenneT and Danish Energinet and</w:t>
      </w:r>
      <w:r>
        <w:rPr>
          <w:rFonts w:ascii="Calibri" w:eastAsia="Calibri" w:hAnsi="Calibri" w:cs="Calibri"/>
        </w:rPr>
        <w:t xml:space="preserve"> going through German </w:t>
      </w:r>
      <w:r w:rsidRPr="6A122806">
        <w:rPr>
          <w:rFonts w:ascii="Calibri" w:eastAsia="Calibri" w:hAnsi="Calibri" w:cs="Calibri"/>
        </w:rPr>
        <w:t>waters</w:t>
      </w:r>
      <w:r>
        <w:rPr>
          <w:rFonts w:ascii="Calibri" w:eastAsia="Calibri" w:hAnsi="Calibri" w:cs="Calibri"/>
        </w:rPr>
        <w:t>, was not interconnected to Germany initially (Flynn, 2016)</w:t>
      </w:r>
      <w:r w:rsidRPr="6A122806">
        <w:rPr>
          <w:rFonts w:ascii="Calibri" w:eastAsia="Calibri" w:hAnsi="Calibri" w:cs="Calibri"/>
        </w:rPr>
        <w:t>.</w:t>
      </w:r>
    </w:p>
    <w:p w14:paraId="5F29DFFC" w14:textId="77777777" w:rsidR="00BB2B94" w:rsidRDefault="00BB2B94" w:rsidP="00C54CB2">
      <w:pPr>
        <w:spacing w:after="0" w:line="240" w:lineRule="auto"/>
        <w:jc w:val="both"/>
      </w:pPr>
    </w:p>
    <w:p w14:paraId="6482A674" w14:textId="5E4B493C" w:rsidR="00BB2B94" w:rsidRDefault="00BB2B94" w:rsidP="00C54CB2">
      <w:pPr>
        <w:spacing w:after="0" w:line="240" w:lineRule="auto"/>
        <w:jc w:val="both"/>
        <w:rPr>
          <w:highlight w:val="yellow"/>
        </w:rPr>
      </w:pPr>
      <w:r>
        <w:t>Other harmonisation issues are the crossborder day-ahead market (PCR) and the intraday market (XBID). Crossborder interconnection use improved for countries after joining the PCR (Gomez et al., 2019). XBID</w:t>
      </w:r>
      <w:r w:rsidR="00BB1149">
        <w:t>, under the Target Model,</w:t>
      </w:r>
      <w:r>
        <w:t xml:space="preserve"> allows for participants to order electricity in one market and for that to automatically be met by capacity from another market if transmission capacity is available (Le, Ilea &amp; Bovo, 2019).</w:t>
      </w:r>
      <w:r w:rsidRPr="2BD70B1A">
        <w:t xml:space="preserve"> </w:t>
      </w:r>
      <w:r>
        <w:t>Glachant (2016) nonetheless argues that the Target Model is deeply flawed as it continues national TSO fiefdoms and pre-dates RE expansion, which the system cannot cope with well. Whereas for PCR and XBID, pricing “</w:t>
      </w:r>
      <w:r w:rsidRPr="00BB1149">
        <w:rPr>
          <w:i/>
          <w:iCs/>
        </w:rPr>
        <w:t>is based on</w:t>
      </w:r>
      <w:r w:rsidRPr="00BB1149">
        <w:rPr>
          <w:rFonts w:ascii="Calibri" w:eastAsia="Calibri" w:hAnsi="Calibri" w:cs="Calibri"/>
          <w:i/>
          <w:iCs/>
        </w:rPr>
        <w:t xml:space="preserve"> implicit auctions (uniform clearing price for energy reflecting cross-zonal congestion)”, ”in the continuous trading mode [...] the associated cross-zonal capacity [is] allocated for free […]</w:t>
      </w:r>
      <w:r w:rsidRPr="6A122806">
        <w:rPr>
          <w:rFonts w:ascii="Calibri" w:eastAsia="Calibri" w:hAnsi="Calibri" w:cs="Calibri"/>
        </w:rPr>
        <w:t>”</w:t>
      </w:r>
      <w:r>
        <w:rPr>
          <w:rFonts w:ascii="Calibri" w:eastAsia="Calibri" w:hAnsi="Calibri" w:cs="Calibri"/>
        </w:rPr>
        <w:t xml:space="preserve"> (Glachant, 2016)</w:t>
      </w:r>
      <w:r w:rsidR="00BB1149">
        <w:rPr>
          <w:rFonts w:ascii="Calibri" w:eastAsia="Calibri" w:hAnsi="Calibri" w:cs="Calibri"/>
        </w:rPr>
        <w:t>.</w:t>
      </w:r>
      <w:r>
        <w:rPr>
          <w:rFonts w:ascii="Calibri" w:eastAsia="Calibri" w:hAnsi="Calibri" w:cs="Calibri"/>
        </w:rPr>
        <w:t xml:space="preserve"> </w:t>
      </w:r>
      <w:r w:rsidRPr="6A122806">
        <w:rPr>
          <w:rFonts w:ascii="Calibri" w:eastAsia="Calibri" w:hAnsi="Calibri" w:cs="Calibri"/>
        </w:rPr>
        <w:t>Balancing markets similarly have not been harmonised yet and operating reserve types to be used need to be decided at European level</w:t>
      </w:r>
      <w:r>
        <w:rPr>
          <w:rFonts w:ascii="Calibri" w:eastAsia="Calibri" w:hAnsi="Calibri" w:cs="Calibri"/>
        </w:rPr>
        <w:t xml:space="preserve"> (Gomez et al., 2019)</w:t>
      </w:r>
      <w:r w:rsidRPr="6A122806">
        <w:rPr>
          <w:rFonts w:ascii="Calibri" w:eastAsia="Calibri" w:hAnsi="Calibri" w:cs="Calibri"/>
        </w:rPr>
        <w:t>.</w:t>
      </w:r>
    </w:p>
    <w:p w14:paraId="03389D2A" w14:textId="77777777" w:rsidR="00BB2B94" w:rsidRDefault="00BB2B94" w:rsidP="00C54CB2">
      <w:pPr>
        <w:spacing w:after="0" w:line="240" w:lineRule="auto"/>
        <w:jc w:val="both"/>
        <w:rPr>
          <w:rFonts w:ascii="Calibri" w:eastAsia="Calibri" w:hAnsi="Calibri" w:cs="Calibri"/>
        </w:rPr>
      </w:pPr>
    </w:p>
    <w:p w14:paraId="2DF212C0" w14:textId="77777777" w:rsidR="00BB2B94" w:rsidRDefault="00BB2B94" w:rsidP="00C54CB2">
      <w:pPr>
        <w:spacing w:after="0" w:line="240" w:lineRule="auto"/>
        <w:jc w:val="both"/>
      </w:pPr>
      <w:r>
        <w:t xml:space="preserve">Issues of harmonisation besieged the KriegersFlak project, the first “hybrid project” </w:t>
      </w:r>
      <w:r w:rsidRPr="2BD70B1A">
        <w:t xml:space="preserve">- </w:t>
      </w:r>
      <w:r>
        <w:t>offshore wind energy project feeding electricity into more than one market. Initially, German, Danish and Swedish TSOs did a cost-benefit analysis regarding a trinational project. However, regulatory differences meant investment by Sweden would not make sense and the Swedish TSO withdrew from KriegersFlak in 2010 (Meeus, 2014; Mekonnen, Huang &amp; de Vos, 2016)</w:t>
      </w:r>
      <w:r w:rsidRPr="2BD70B1A">
        <w:t>.</w:t>
      </w:r>
      <w:r>
        <w:t xml:space="preserve"> There are three competing régimes which make cross-border cooperation complex - countries either apply deep connection, shallow connection or supershallow connection charging policies. In the case of a </w:t>
      </w:r>
      <w:r w:rsidRPr="2BD70B1A">
        <w:rPr>
          <w:i/>
          <w:iCs/>
          <w:u w:val="single"/>
        </w:rPr>
        <w:t xml:space="preserve">deep </w:t>
      </w:r>
      <w:r>
        <w:t xml:space="preserve">connection charging policy, the wind farm developers are responsible for the costs of connecting the windfarm to the main grid and any reinforcement requirement. A </w:t>
      </w:r>
      <w:r w:rsidRPr="2BD70B1A">
        <w:rPr>
          <w:i/>
          <w:iCs/>
          <w:u w:val="single"/>
        </w:rPr>
        <w:t>shallow</w:t>
      </w:r>
      <w:r>
        <w:t xml:space="preserve"> connection charging policy means that the generators are only responsible for the costs of the wind farm connection to the main grid. Finally, in a </w:t>
      </w:r>
      <w:r w:rsidRPr="2BD70B1A">
        <w:rPr>
          <w:i/>
          <w:iCs/>
          <w:u w:val="single"/>
        </w:rPr>
        <w:t xml:space="preserve">supershallow </w:t>
      </w:r>
      <w:r>
        <w:t>connection charging system the TSOs are instead responsible for the costs of the connection to the main grid (van Nuffel et al., 2017).</w:t>
      </w:r>
    </w:p>
    <w:p w14:paraId="3AC615F6" w14:textId="77777777" w:rsidR="00BB2B94" w:rsidRPr="004B2854" w:rsidRDefault="00BB2B94" w:rsidP="00C54CB2">
      <w:pPr>
        <w:spacing w:after="0" w:line="240" w:lineRule="auto"/>
        <w:jc w:val="both"/>
      </w:pPr>
    </w:p>
    <w:p w14:paraId="5C45506A" w14:textId="52DF1C25" w:rsidR="00BB2B94" w:rsidRDefault="00BB2B94" w:rsidP="00C54CB2">
      <w:pPr>
        <w:spacing w:after="0" w:line="240" w:lineRule="auto"/>
        <w:jc w:val="both"/>
        <w:rPr>
          <w:rFonts w:ascii="Calibri" w:eastAsia="Calibri" w:hAnsi="Calibri" w:cs="Calibri"/>
          <w:color w:val="000000" w:themeColor="text1"/>
        </w:rPr>
      </w:pPr>
      <w:r w:rsidRPr="2BD70B1A">
        <w:rPr>
          <w:rFonts w:ascii="Calibri" w:eastAsia="Calibri" w:hAnsi="Calibri" w:cs="Calibri"/>
          <w:color w:val="000000" w:themeColor="text1"/>
        </w:rPr>
        <w:t xml:space="preserve">The grid tariffs that a </w:t>
      </w:r>
      <w:r w:rsidR="00D876A7">
        <w:rPr>
          <w:rFonts w:ascii="Calibri" w:eastAsia="Calibri" w:hAnsi="Calibri" w:cs="Calibri"/>
          <w:color w:val="000000" w:themeColor="text1"/>
        </w:rPr>
        <w:t xml:space="preserve">regulated </w:t>
      </w:r>
      <w:r w:rsidRPr="2BD70B1A">
        <w:rPr>
          <w:rFonts w:ascii="Calibri" w:eastAsia="Calibri" w:hAnsi="Calibri" w:cs="Calibri"/>
          <w:color w:val="000000" w:themeColor="text1"/>
        </w:rPr>
        <w:t>electricity company is allowed to charge are also not h</w:t>
      </w:r>
      <w:r>
        <w:rPr>
          <w:rFonts w:ascii="Calibri" w:eastAsia="Calibri" w:hAnsi="Calibri" w:cs="Calibri"/>
          <w:color w:val="000000" w:themeColor="text1"/>
        </w:rPr>
        <w:t>armonised – it can be either “cost-plus”,</w:t>
      </w:r>
      <w:r w:rsidRPr="2BD70B1A">
        <w:rPr>
          <w:rFonts w:ascii="Calibri" w:eastAsia="Calibri" w:hAnsi="Calibri" w:cs="Calibri"/>
          <w:color w:val="000000" w:themeColor="text1"/>
        </w:rPr>
        <w:t xml:space="preserve"> “Incentive-based”, “performance</w:t>
      </w:r>
      <w:r>
        <w:rPr>
          <w:rFonts w:ascii="Calibri" w:eastAsia="Calibri" w:hAnsi="Calibri" w:cs="Calibri"/>
          <w:color w:val="000000" w:themeColor="text1"/>
        </w:rPr>
        <w:t>-based” or “output-based”</w:t>
      </w:r>
      <w:r w:rsidRPr="2BD70B1A">
        <w:rPr>
          <w:rFonts w:ascii="Calibri" w:eastAsia="Calibri" w:hAnsi="Calibri" w:cs="Calibri"/>
          <w:color w:val="000000" w:themeColor="text1"/>
        </w:rPr>
        <w:t xml:space="preserve">. In the cost-plus remuneration system, the company is entitled to OPEX and an ‘allowed’ profit margin, </w:t>
      </w:r>
      <w:r>
        <w:rPr>
          <w:rFonts w:ascii="Calibri" w:eastAsia="Calibri" w:hAnsi="Calibri" w:cs="Calibri"/>
          <w:color w:val="000000" w:themeColor="text1"/>
        </w:rPr>
        <w:t>which critics argue means that one</w:t>
      </w:r>
      <w:r w:rsidRPr="2BD70B1A">
        <w:rPr>
          <w:rFonts w:ascii="Calibri" w:eastAsia="Calibri" w:hAnsi="Calibri" w:cs="Calibri"/>
          <w:color w:val="000000" w:themeColor="text1"/>
        </w:rPr>
        <w:t xml:space="preserve"> way for the company to make more money is to artificially increase ‘costs’</w:t>
      </w:r>
      <w:r>
        <w:rPr>
          <w:rFonts w:ascii="Calibri" w:eastAsia="Calibri" w:hAnsi="Calibri" w:cs="Calibri"/>
          <w:color w:val="000000" w:themeColor="text1"/>
        </w:rPr>
        <w:t xml:space="preserve"> (Matschoss et al., 2019)</w:t>
      </w:r>
      <w:r w:rsidRPr="2BD70B1A">
        <w:rPr>
          <w:rFonts w:ascii="Calibri" w:eastAsia="Calibri" w:hAnsi="Calibri" w:cs="Calibri"/>
          <w:color w:val="000000" w:themeColor="text1"/>
        </w:rPr>
        <w:t>. The remuneration can furthermore depend on whether it is calculated based on the grid congestion level or on physical capacity transmitted</w:t>
      </w:r>
      <w:r>
        <w:rPr>
          <w:rFonts w:ascii="Calibri" w:eastAsia="Calibri" w:hAnsi="Calibri" w:cs="Calibri"/>
          <w:color w:val="000000" w:themeColor="text1"/>
        </w:rPr>
        <w:t xml:space="preserve"> (</w:t>
      </w:r>
      <w:r>
        <w:t>van Nuffel et al., 2017; Mekonnen et al., 2016</w:t>
      </w:r>
      <w:r>
        <w:rPr>
          <w:rFonts w:ascii="Calibri" w:eastAsia="Calibri" w:hAnsi="Calibri" w:cs="Calibri"/>
          <w:color w:val="000000" w:themeColor="text1"/>
        </w:rPr>
        <w:t>)</w:t>
      </w:r>
      <w:r w:rsidRPr="2BD70B1A">
        <w:rPr>
          <w:rFonts w:ascii="Calibri" w:eastAsia="Calibri" w:hAnsi="Calibri" w:cs="Calibri"/>
          <w:color w:val="000000" w:themeColor="text1"/>
        </w:rPr>
        <w:t xml:space="preserve">.  </w:t>
      </w:r>
    </w:p>
    <w:p w14:paraId="6A2AC860" w14:textId="77777777" w:rsidR="00BB2B94" w:rsidRDefault="00BB2B94" w:rsidP="00C54CB2">
      <w:pPr>
        <w:spacing w:after="0" w:line="240" w:lineRule="auto"/>
        <w:jc w:val="both"/>
      </w:pPr>
    </w:p>
    <w:p w14:paraId="0655EADD" w14:textId="02C1171E" w:rsidR="00BB2B94" w:rsidRPr="00BB2B94" w:rsidRDefault="00BB2B94" w:rsidP="00C54CB2">
      <w:pPr>
        <w:pStyle w:val="Heading3"/>
        <w:spacing w:before="0" w:line="240" w:lineRule="auto"/>
        <w:jc w:val="left"/>
        <w:rPr>
          <w:u w:val="none"/>
        </w:rPr>
      </w:pPr>
      <w:r w:rsidRPr="00BB2B94">
        <w:rPr>
          <w:u w:val="none"/>
        </w:rPr>
        <w:t>4.2.4. Inter-TSO compensation (ITC)</w:t>
      </w:r>
    </w:p>
    <w:p w14:paraId="6AFA84C0" w14:textId="5815B8ED" w:rsidR="00BB2B94" w:rsidRDefault="00BB2B94" w:rsidP="00C54CB2">
      <w:pPr>
        <w:spacing w:after="0" w:line="240" w:lineRule="auto"/>
        <w:jc w:val="both"/>
      </w:pPr>
      <w:r>
        <w:t xml:space="preserve">A country may function primarily as transmission transit state and while interconnectors will be physically on their soil, they will not benefit from the increased transmission. In the case of electricity export demand from a country with higher electricity prices, the price may even go up. It is therefore necessary to find ways to remunerate transit countries. To address this, the Inter-TSO Compensation mechanism (ITC) was created. It is however in need of reform. The biggest issue is that the ITC treats </w:t>
      </w:r>
      <w:r>
        <w:lastRenderedPageBreak/>
        <w:t>existing lines and planned lines in the same way – thus countries with existing lines can get the most money (</w:t>
      </w:r>
      <w:r>
        <w:rPr>
          <w:rFonts w:eastAsia="Calibri" w:cstheme="minorHAnsi"/>
          <w:lang w:eastAsia="en-GB"/>
        </w:rPr>
        <w:t>Neuhoff, Boyd</w:t>
      </w:r>
      <w:r w:rsidRPr="00751B8B">
        <w:rPr>
          <w:rFonts w:eastAsia="Calibri" w:cstheme="minorHAnsi"/>
          <w:lang w:eastAsia="en-GB"/>
        </w:rPr>
        <w:t xml:space="preserve"> &amp; Glachant</w:t>
      </w:r>
      <w:r>
        <w:rPr>
          <w:rFonts w:eastAsia="Calibri" w:cstheme="minorHAnsi"/>
          <w:lang w:eastAsia="en-GB"/>
        </w:rPr>
        <w:t>, 2012</w:t>
      </w:r>
      <w:r>
        <w:t>).</w:t>
      </w:r>
      <w:r w:rsidRPr="2BD70B1A">
        <w:t xml:space="preserve"> </w:t>
      </w:r>
      <w:r>
        <w:t xml:space="preserve">Hadush, de Jonghe and Belmans (2015) in their assessment find no strong correlation between actual </w:t>
      </w:r>
      <w:r w:rsidRPr="006E686F">
        <w:t xml:space="preserve">transit and Inter-TSO compensation (ITC). Currently, the ITC is too small to entice investment, too complex to be explained to potential private investors easily and is not taken into account in investment decisions.  </w:t>
      </w:r>
    </w:p>
    <w:p w14:paraId="27C39AC9" w14:textId="77777777" w:rsidR="00BB2B94" w:rsidRDefault="00BB2B94" w:rsidP="00C54CB2">
      <w:pPr>
        <w:spacing w:after="0" w:line="240" w:lineRule="auto"/>
        <w:jc w:val="both"/>
      </w:pPr>
    </w:p>
    <w:p w14:paraId="1615CD31" w14:textId="128C1FDB" w:rsidR="00BB2B94" w:rsidRPr="00BB2B94" w:rsidRDefault="00BB2B94" w:rsidP="00C54CB2">
      <w:pPr>
        <w:pStyle w:val="Heading3"/>
        <w:spacing w:before="0" w:line="240" w:lineRule="auto"/>
        <w:jc w:val="left"/>
        <w:rPr>
          <w:u w:val="none"/>
        </w:rPr>
      </w:pPr>
      <w:r w:rsidRPr="00BB2B94">
        <w:rPr>
          <w:u w:val="none"/>
        </w:rPr>
        <w:t xml:space="preserve">4.2.5. Investment volume needed surpasses TSOs’ capacity </w:t>
      </w:r>
    </w:p>
    <w:p w14:paraId="5D6D7ECE" w14:textId="77777777" w:rsidR="00BB2B94" w:rsidRPr="00720CC0" w:rsidRDefault="00BB2B94" w:rsidP="00C54CB2">
      <w:pPr>
        <w:spacing w:after="0" w:line="240" w:lineRule="auto"/>
        <w:jc w:val="both"/>
      </w:pPr>
      <w:r>
        <w:t xml:space="preserve">Former communist and smaller island states’ TSOs are under greater financial pressure due to previous lack of interconnection while often </w:t>
      </w:r>
      <w:r w:rsidRPr="6A122806">
        <w:rPr>
          <w:highlight w:val="white"/>
        </w:rPr>
        <w:t>lacking</w:t>
      </w:r>
      <w:r>
        <w:t xml:space="preserve"> knowledge of how to attract funding. Some TSOs have little experience of outside finance and a PCI may have been the first time the TSO interacts with outside finance (Ammermann et al., 2016).</w:t>
      </w:r>
    </w:p>
    <w:p w14:paraId="4CA692E8" w14:textId="77777777" w:rsidR="00BB2B94" w:rsidRDefault="00BB2B94" w:rsidP="00C54CB2">
      <w:pPr>
        <w:spacing w:after="0" w:line="240" w:lineRule="auto"/>
        <w:jc w:val="both"/>
      </w:pPr>
    </w:p>
    <w:p w14:paraId="2D5EA19A" w14:textId="61FA6A65" w:rsidR="00BB2B94" w:rsidRPr="00BB2B94" w:rsidRDefault="00BB2B94" w:rsidP="00C54CB2">
      <w:pPr>
        <w:pStyle w:val="Heading3"/>
        <w:spacing w:before="0" w:line="240" w:lineRule="auto"/>
        <w:jc w:val="left"/>
        <w:rPr>
          <w:u w:val="none"/>
        </w:rPr>
      </w:pPr>
      <w:r w:rsidRPr="00BB2B94">
        <w:rPr>
          <w:u w:val="none"/>
        </w:rPr>
        <w:t xml:space="preserve">4.2.6. Capital reserve requirements </w:t>
      </w:r>
    </w:p>
    <w:p w14:paraId="226A6A30" w14:textId="77777777" w:rsidR="00BB2B94" w:rsidRDefault="00BB2B94" w:rsidP="00C54CB2">
      <w:pPr>
        <w:spacing w:after="0" w:line="240" w:lineRule="auto"/>
        <w:jc w:val="both"/>
      </w:pPr>
      <w:r>
        <w:t>The 3</w:t>
      </w:r>
      <w:r w:rsidRPr="00FB7B98">
        <w:t>rd</w:t>
      </w:r>
      <w:r>
        <w:t xml:space="preserve"> Basel Accord contains international banking regulations, to be implemented by 2019. Basel III redefined assets that qualify as capital and increased the minimum amount capital a bank needs to hold. Similar regulations exist for insurance companies and pension funds (European Commission directive Solvency II, IORP II). Insurance companies are a major investor in interconnection projects. These requirements mean a higher cost of capital for any infrastructure project (</w:t>
      </w:r>
      <w:r w:rsidRPr="00945A44">
        <w:rPr>
          <w:rFonts w:eastAsia="Calibri" w:cstheme="minorHAnsi"/>
        </w:rPr>
        <w:t>Narbel</w:t>
      </w:r>
      <w:r>
        <w:rPr>
          <w:rFonts w:eastAsia="Calibri" w:cstheme="minorHAnsi"/>
        </w:rPr>
        <w:t xml:space="preserve">, 2013; </w:t>
      </w:r>
      <w:r w:rsidRPr="00945A44">
        <w:rPr>
          <w:rFonts w:eastAsia="Calibri" w:cstheme="minorHAnsi"/>
        </w:rPr>
        <w:t>Brei</w:t>
      </w:r>
      <w:r>
        <w:rPr>
          <w:rFonts w:eastAsia="Calibri" w:cstheme="minorHAnsi"/>
        </w:rPr>
        <w:t xml:space="preserve">tschopf &amp; Pudlik, 2013; </w:t>
      </w:r>
      <w:r w:rsidRPr="004B2854">
        <w:rPr>
          <w:rFonts w:cstheme="minorHAnsi"/>
          <w:lang w:val="en-US"/>
        </w:rPr>
        <w:t xml:space="preserve">Ang, </w:t>
      </w:r>
      <w:r>
        <w:rPr>
          <w:rFonts w:cstheme="minorHAnsi"/>
          <w:lang w:val="en-US"/>
        </w:rPr>
        <w:t>Röttgers</w:t>
      </w:r>
      <w:r w:rsidRPr="004B2854">
        <w:rPr>
          <w:rFonts w:cstheme="minorHAnsi"/>
          <w:lang w:val="en-US"/>
        </w:rPr>
        <w:t xml:space="preserve"> &amp; Burli</w:t>
      </w:r>
      <w:r>
        <w:rPr>
          <w:rFonts w:cstheme="minorHAnsi"/>
          <w:lang w:val="en-US"/>
        </w:rPr>
        <w:t>, 2017</w:t>
      </w:r>
      <w:r>
        <w:t xml:space="preserve">). </w:t>
      </w:r>
    </w:p>
    <w:p w14:paraId="6BDEB65D" w14:textId="77777777" w:rsidR="00BB2B94" w:rsidRDefault="00BB2B94" w:rsidP="00C54CB2">
      <w:pPr>
        <w:spacing w:after="0" w:line="240" w:lineRule="auto"/>
        <w:jc w:val="both"/>
      </w:pPr>
    </w:p>
    <w:p w14:paraId="7AC2E841" w14:textId="0285C23B" w:rsidR="001005AD" w:rsidRDefault="001005AD" w:rsidP="001005AD">
      <w:pPr>
        <w:pStyle w:val="Heading2"/>
        <w:numPr>
          <w:ilvl w:val="0"/>
          <w:numId w:val="8"/>
        </w:numPr>
      </w:pPr>
      <w:r>
        <w:t xml:space="preserve">Conclusions </w:t>
      </w:r>
    </w:p>
    <w:p w14:paraId="115FFCAC" w14:textId="5FD2BC0E" w:rsidR="006D2515" w:rsidRDefault="00F27C2E" w:rsidP="00C54CB2">
      <w:pPr>
        <w:spacing w:after="0" w:line="240" w:lineRule="auto"/>
        <w:jc w:val="both"/>
      </w:pPr>
      <w:r>
        <w:t>In this paper w</w:t>
      </w:r>
      <w:r w:rsidR="002F3F78">
        <w:t>e have delineated key barriers to investment in crossborder interconnection in Europe</w:t>
      </w:r>
      <w:r>
        <w:t xml:space="preserve"> found after a scoping literature review and workshop with stakeholders in energy, law and finance</w:t>
      </w:r>
      <w:r w:rsidR="002F3F78">
        <w:t xml:space="preserve">. </w:t>
      </w:r>
    </w:p>
    <w:p w14:paraId="4131ED7B" w14:textId="77777777" w:rsidR="00012EF5" w:rsidRDefault="00012EF5" w:rsidP="00C54CB2">
      <w:pPr>
        <w:spacing w:after="0" w:line="240" w:lineRule="auto"/>
        <w:jc w:val="both"/>
      </w:pPr>
    </w:p>
    <w:p w14:paraId="0E48912B" w14:textId="77777777" w:rsidR="00A4356E" w:rsidRPr="00FB7B98" w:rsidRDefault="00F27C2E" w:rsidP="00A4356E">
      <w:pPr>
        <w:spacing w:after="0" w:line="240" w:lineRule="auto"/>
        <w:jc w:val="both"/>
      </w:pPr>
      <w:r>
        <w:t>While infrastructure risk remains even without crossborder connections to reduce the crossborder specific risks</w:t>
      </w:r>
      <w:r w:rsidR="00320257">
        <w:t xml:space="preserve"> further European harmonisation is tantamount</w:t>
      </w:r>
      <w:r>
        <w:t>.</w:t>
      </w:r>
      <w:r w:rsidR="00320257">
        <w:t xml:space="preserve"> </w:t>
      </w:r>
      <w:r>
        <w:t>T</w:t>
      </w:r>
      <w:r w:rsidR="00320257">
        <w:t>his includes the voltage that we use</w:t>
      </w:r>
      <w:r w:rsidR="0011035F">
        <w:t xml:space="preserve">, </w:t>
      </w:r>
      <w:r w:rsidR="00320257">
        <w:t>subsidies for renewable energy</w:t>
      </w:r>
      <w:r w:rsidR="0011035F">
        <w:t xml:space="preserve"> as well as CRMs and </w:t>
      </w:r>
      <w:r w:rsidR="009606DF">
        <w:t>charging regimes</w:t>
      </w:r>
      <w:r w:rsidR="00320257">
        <w:t xml:space="preserve">. Unbundling </w:t>
      </w:r>
      <w:r>
        <w:t xml:space="preserve">of TSOs </w:t>
      </w:r>
      <w:r w:rsidR="00320257">
        <w:t>will need to be completed</w:t>
      </w:r>
      <w:r>
        <w:t xml:space="preserve"> to avoid internal disincentives to investment</w:t>
      </w:r>
      <w:r w:rsidR="00320257">
        <w:t xml:space="preserve">. </w:t>
      </w:r>
      <w:r w:rsidR="009606DF">
        <w:t>Permitting has to become further</w:t>
      </w:r>
      <w:r w:rsidR="005D3C36">
        <w:t xml:space="preserve"> streamlined</w:t>
      </w:r>
      <w:r w:rsidR="009606DF">
        <w:t>.</w:t>
      </w:r>
      <w:r w:rsidR="005D3C36">
        <w:t xml:space="preserve"> </w:t>
      </w:r>
      <w:r w:rsidR="00A4356E" w:rsidRPr="00FB7B98">
        <w:t xml:space="preserve">To solve the systemic incongruences concerning meshed offgrid, Gorenstein-Dedecca et al. </w:t>
      </w:r>
      <w:r w:rsidR="00A4356E">
        <w:t xml:space="preserve">(2018) </w:t>
      </w:r>
      <w:r w:rsidR="00A4356E" w:rsidRPr="00FB7B98">
        <w:t xml:space="preserve">and Sunila et al. </w:t>
      </w:r>
      <w:r w:rsidR="00A4356E">
        <w:t xml:space="preserve">(2019) </w:t>
      </w:r>
      <w:r w:rsidR="00A4356E" w:rsidRPr="00FB7B98">
        <w:t xml:space="preserve">urgently suggest the introduction of a European supranational TSO responsible for all offshore windfarms. </w:t>
      </w:r>
    </w:p>
    <w:p w14:paraId="4DCD77DF" w14:textId="77777777" w:rsidR="00AA68FD" w:rsidRDefault="00AA68FD" w:rsidP="00C54CB2">
      <w:pPr>
        <w:spacing w:after="0" w:line="240" w:lineRule="auto"/>
        <w:jc w:val="both"/>
      </w:pPr>
    </w:p>
    <w:p w14:paraId="7931D615" w14:textId="6E1F9CC1" w:rsidR="00970A08" w:rsidRDefault="000807D3" w:rsidP="00C54CB2">
      <w:pPr>
        <w:spacing w:after="0" w:line="240" w:lineRule="auto"/>
        <w:jc w:val="both"/>
      </w:pPr>
      <w:r>
        <w:t xml:space="preserve">In order to make projects more attractive to outside investors, the introduction of </w:t>
      </w:r>
      <w:r w:rsidRPr="00FB7B98">
        <w:t>Offshore Transmission Owner (OfTO)</w:t>
      </w:r>
      <w:r>
        <w:t xml:space="preserve"> style l</w:t>
      </w:r>
      <w:r w:rsidRPr="002367F4">
        <w:t>icence</w:t>
      </w:r>
      <w:r>
        <w:t xml:space="preserve">s to European projects other than offshore wind has been suggested. In the British OfTO remuneration, the cost of the debt on the asset is paid across the whole RAB and not just the particular invested asset lowering the risk on equity </w:t>
      </w:r>
      <w:r w:rsidRPr="00FB7B98">
        <w:t>investments</w:t>
      </w:r>
      <w:r w:rsidR="00AA68FD">
        <w:t xml:space="preserve"> (</w:t>
      </w:r>
      <w:r w:rsidR="00AA68FD" w:rsidRPr="00F47F56">
        <w:rPr>
          <w:rFonts w:eastAsia="Calibri" w:cstheme="minorHAnsi"/>
        </w:rPr>
        <w:t>Fitch-Roy</w:t>
      </w:r>
      <w:r w:rsidR="00AA68FD">
        <w:rPr>
          <w:rFonts w:eastAsia="Calibri" w:cstheme="minorHAnsi"/>
        </w:rPr>
        <w:t xml:space="preserve">, 2016; </w:t>
      </w:r>
      <w:r w:rsidR="00AA68FD" w:rsidRPr="00F47F56">
        <w:rPr>
          <w:rFonts w:eastAsia="Calibri" w:cstheme="minorHAnsi"/>
        </w:rPr>
        <w:t>Bhagwat</w:t>
      </w:r>
      <w:r w:rsidR="00AA68FD">
        <w:rPr>
          <w:rFonts w:eastAsia="Calibri" w:cstheme="minorHAnsi"/>
        </w:rPr>
        <w:t xml:space="preserve"> &amp;</w:t>
      </w:r>
      <w:r w:rsidR="00AA68FD" w:rsidRPr="00F47F56">
        <w:rPr>
          <w:rFonts w:eastAsia="Calibri" w:cstheme="minorHAnsi"/>
        </w:rPr>
        <w:t xml:space="preserve"> Lind</w:t>
      </w:r>
      <w:r w:rsidR="00AA68FD">
        <w:rPr>
          <w:rFonts w:eastAsia="Calibri" w:cstheme="minorHAnsi"/>
        </w:rPr>
        <w:t xml:space="preserve">, 2018; </w:t>
      </w:r>
      <w:r w:rsidR="00AA68FD" w:rsidRPr="00F47F56">
        <w:rPr>
          <w:rFonts w:eastAsia="Calibri" w:cstheme="minorHAnsi"/>
        </w:rPr>
        <w:t>Meeus</w:t>
      </w:r>
      <w:r w:rsidR="00AA68FD">
        <w:rPr>
          <w:rFonts w:eastAsia="Calibri" w:cstheme="minorHAnsi"/>
        </w:rPr>
        <w:t>, 2014</w:t>
      </w:r>
      <w:r w:rsidR="00AA68FD">
        <w:t>)</w:t>
      </w:r>
      <w:r w:rsidRPr="00FB7B98">
        <w:t>.</w:t>
      </w:r>
      <w:r w:rsidR="000B2F50" w:rsidRPr="00FB7B98">
        <w:t xml:space="preserve"> </w:t>
      </w:r>
      <w:r>
        <w:t xml:space="preserve">Another suggestion has been the expansion of also predominantly British YieldCo, where RE assets are bundled together to de-risk these energy infrastructure projects. </w:t>
      </w:r>
      <w:r w:rsidR="009606DF">
        <w:t xml:space="preserve">To tackle some TSOs’ </w:t>
      </w:r>
      <w:r w:rsidR="00970A08">
        <w:t xml:space="preserve">unattractiveness for outside investment due to </w:t>
      </w:r>
      <w:r w:rsidR="009606DF">
        <w:t xml:space="preserve">bad risk ratings, Ammermann et al. </w:t>
      </w:r>
      <w:r w:rsidR="00AA68FD">
        <w:t xml:space="preserve">(2016) </w:t>
      </w:r>
      <w:r w:rsidR="009606DF">
        <w:t>suggest separating PCIs from the rest of the TSO’s work to de-risk the PCI</w:t>
      </w:r>
      <w:r w:rsidR="009606DF" w:rsidRPr="2BD70B1A">
        <w:t>.</w:t>
      </w:r>
      <w:r w:rsidR="009606DF">
        <w:t xml:space="preserve"> </w:t>
      </w:r>
    </w:p>
    <w:p w14:paraId="6A10968E" w14:textId="77777777" w:rsidR="00AA68FD" w:rsidRDefault="00AA68FD" w:rsidP="00C54CB2">
      <w:pPr>
        <w:spacing w:after="0" w:line="240" w:lineRule="auto"/>
        <w:jc w:val="both"/>
      </w:pPr>
    </w:p>
    <w:p w14:paraId="2DE9E6E9" w14:textId="77777777" w:rsidR="00A4356E" w:rsidRDefault="00970A08" w:rsidP="00A4356E">
      <w:pPr>
        <w:spacing w:after="0" w:line="240" w:lineRule="auto"/>
        <w:jc w:val="both"/>
      </w:pPr>
      <w:r>
        <w:t xml:space="preserve">It </w:t>
      </w:r>
      <w:r w:rsidR="00DE7E0D">
        <w:t>likely</w:t>
      </w:r>
      <w:r>
        <w:t xml:space="preserve"> that technological barriers can be overcome with more </w:t>
      </w:r>
      <w:r w:rsidR="00DE7E0D">
        <w:t>research and development as well as more deployment of</w:t>
      </w:r>
      <w:r>
        <w:t xml:space="preserve"> HVDC breakers </w:t>
      </w:r>
      <w:r w:rsidR="00DE7E0D">
        <w:t xml:space="preserve">and subsea cables so that the technology learning curve can help drive prices to a more </w:t>
      </w:r>
      <w:r>
        <w:t xml:space="preserve">affordable </w:t>
      </w:r>
      <w:r w:rsidR="00DE7E0D">
        <w:t>level</w:t>
      </w:r>
      <w:r>
        <w:t xml:space="preserve">. </w:t>
      </w:r>
      <w:r w:rsidR="009F4A4D">
        <w:t xml:space="preserve">Therefore, it is key that the EU prioritises this research investment through programmes such as Horizon Europe. </w:t>
      </w:r>
      <w:r w:rsidR="00A4356E">
        <w:t>To address loop flows, the European Commission Expert Group on Interconnection suggests that “</w:t>
      </w:r>
      <w:r w:rsidR="00A4356E" w:rsidRPr="00CE21E2">
        <w:rPr>
          <w:i/>
          <w:iCs/>
        </w:rPr>
        <w:t>the costs of remedial actions should be shared based on the ‘polluter-pays principle’, where the unscheduled flows over the overloaded network elements should be identified as ‘polluters’ and they should contribute to the costs in proportion to their contribution to the overload</w:t>
      </w:r>
      <w:r w:rsidR="00A4356E" w:rsidRPr="00FB7B98">
        <w:t>”</w:t>
      </w:r>
      <w:r w:rsidR="00A4356E">
        <w:t xml:space="preserve"> (EC, 2017</w:t>
      </w:r>
      <w:r w:rsidR="00A4356E" w:rsidRPr="004B2854">
        <w:t>, p.16</w:t>
      </w:r>
      <w:r w:rsidR="00A4356E">
        <w:t>).</w:t>
      </w:r>
    </w:p>
    <w:p w14:paraId="1B10B20E" w14:textId="77777777" w:rsidR="00F27C2E" w:rsidRDefault="00F27C2E" w:rsidP="00C54CB2">
      <w:pPr>
        <w:spacing w:after="0" w:line="240" w:lineRule="auto"/>
        <w:jc w:val="both"/>
      </w:pPr>
    </w:p>
    <w:p w14:paraId="46C0F488" w14:textId="572DB490" w:rsidR="009606DF" w:rsidRPr="00720CC0" w:rsidRDefault="009606DF" w:rsidP="00C54CB2">
      <w:pPr>
        <w:spacing w:after="0" w:line="240" w:lineRule="auto"/>
        <w:jc w:val="both"/>
      </w:pPr>
      <w:r>
        <w:lastRenderedPageBreak/>
        <w:t>These suggestions nonetheless</w:t>
      </w:r>
      <w:r w:rsidR="00970A08">
        <w:t xml:space="preserve"> do not address</w:t>
      </w:r>
      <w:r w:rsidR="005D3C36">
        <w:t xml:space="preserve"> all</w:t>
      </w:r>
      <w:r w:rsidR="00970A08">
        <w:t xml:space="preserve"> underlying dilemmas concerning perverse incentives </w:t>
      </w:r>
      <w:r w:rsidR="005D3C36">
        <w:t>stemming from the overall business model – intrinsic issues. This includes the lobbying power of the almost monopoly companies, congestion rent and price differentials as driving force for (non)investment. As long as there is no sensible price on carbon</w:t>
      </w:r>
      <w:r w:rsidR="002772D9">
        <w:t xml:space="preserve"> </w:t>
      </w:r>
      <w:r w:rsidR="00F81C41">
        <w:t xml:space="preserve">and regulatory questions of crossborder interconnection projects, conservative investors like pension funds may still prefer fossil fuels or national RE projects. </w:t>
      </w:r>
      <w:r w:rsidR="002772D9">
        <w:t xml:space="preserve">However, the growing momentum towards zero carbon targets coupled with campaigns for divestment from fossil fuels represents an opportunity for radical change within the energy sector. </w:t>
      </w:r>
      <w:r w:rsidR="00F81C41">
        <w:t xml:space="preserve"> </w:t>
      </w:r>
    </w:p>
    <w:p w14:paraId="4CC84C6B" w14:textId="1E16FFBF" w:rsidR="00AE2594" w:rsidRPr="009354D1" w:rsidRDefault="00AE2594" w:rsidP="00C54CB2">
      <w:pPr>
        <w:spacing w:after="0" w:line="240" w:lineRule="auto"/>
        <w:rPr>
          <w:b/>
        </w:rPr>
      </w:pPr>
    </w:p>
    <w:p w14:paraId="224E86AC" w14:textId="25A11577" w:rsidR="00AE2594" w:rsidRDefault="00AE2594" w:rsidP="001005AD">
      <w:pPr>
        <w:pStyle w:val="Heading2"/>
        <w:numPr>
          <w:ilvl w:val="0"/>
          <w:numId w:val="8"/>
        </w:numPr>
      </w:pPr>
      <w:r>
        <w:t xml:space="preserve">Acknowledgements </w:t>
      </w:r>
    </w:p>
    <w:p w14:paraId="39912843" w14:textId="37569B46" w:rsidR="00AE2594" w:rsidRDefault="00AE2594" w:rsidP="00C54CB2">
      <w:pPr>
        <w:spacing w:after="0" w:line="240" w:lineRule="auto"/>
        <w:jc w:val="both"/>
      </w:pPr>
      <w:r>
        <w:t>The research was</w:t>
      </w:r>
      <w:r w:rsidRPr="00F25F5C">
        <w:t xml:space="preserve"> fund</w:t>
      </w:r>
      <w:r>
        <w:t>ed</w:t>
      </w:r>
      <w:r w:rsidRPr="00F25F5C">
        <w:t xml:space="preserve"> </w:t>
      </w:r>
      <w:r>
        <w:t>by</w:t>
      </w:r>
      <w:r w:rsidRPr="00F25F5C">
        <w:t xml:space="preserve"> the European Union’s Horizon 2020 research and innovation program under grant agreement No. 691287: MEDEAS – Modelling the Renewable Energy Transition in Europe.</w:t>
      </w:r>
    </w:p>
    <w:p w14:paraId="43D155B8" w14:textId="77777777" w:rsidR="00C00084" w:rsidRDefault="00C00084" w:rsidP="00C54CB2">
      <w:pPr>
        <w:spacing w:after="0" w:line="240" w:lineRule="auto"/>
        <w:jc w:val="both"/>
      </w:pPr>
    </w:p>
    <w:p w14:paraId="62545078" w14:textId="7E061A7A" w:rsidR="00C00084" w:rsidRDefault="00C00084" w:rsidP="001005AD">
      <w:pPr>
        <w:pStyle w:val="Heading2"/>
        <w:numPr>
          <w:ilvl w:val="0"/>
          <w:numId w:val="8"/>
        </w:numPr>
      </w:pPr>
      <w:r>
        <w:t>Declaration of interests</w:t>
      </w:r>
    </w:p>
    <w:p w14:paraId="108FA8AB" w14:textId="2D93B46A" w:rsidR="00A5360F" w:rsidRDefault="00C00084" w:rsidP="00C54CB2">
      <w:pPr>
        <w:spacing w:after="0" w:line="240" w:lineRule="auto"/>
        <w:jc w:val="both"/>
      </w:pPr>
      <w:r>
        <w:t>The authors declare that they have no known competing financial interests or personal relationships that could have appeared to influence the work reported in this paper.</w:t>
      </w:r>
    </w:p>
    <w:p w14:paraId="50F006CC" w14:textId="77777777" w:rsidR="00C00084" w:rsidRDefault="00C00084" w:rsidP="00C54CB2">
      <w:pPr>
        <w:spacing w:after="0" w:line="240" w:lineRule="auto"/>
        <w:jc w:val="both"/>
      </w:pPr>
    </w:p>
    <w:p w14:paraId="6DAAAA8C" w14:textId="4F32B0BE" w:rsidR="00CC0BD2" w:rsidRPr="00CC0BD2" w:rsidRDefault="00A5360F" w:rsidP="001005AD">
      <w:pPr>
        <w:pStyle w:val="Heading2"/>
        <w:numPr>
          <w:ilvl w:val="0"/>
          <w:numId w:val="8"/>
        </w:numPr>
      </w:pPr>
      <w:r>
        <w:t xml:space="preserve">References </w:t>
      </w:r>
    </w:p>
    <w:p w14:paraId="4D77384E" w14:textId="77777777" w:rsidR="00F449B8" w:rsidRPr="00D93209" w:rsidRDefault="00F449B8" w:rsidP="00C54CB2">
      <w:pPr>
        <w:pStyle w:val="EndnoteText"/>
        <w:jc w:val="both"/>
        <w:rPr>
          <w:rFonts w:cstheme="minorHAnsi"/>
          <w:sz w:val="22"/>
          <w:szCs w:val="22"/>
        </w:rPr>
      </w:pPr>
      <w:r w:rsidRPr="00CC77C5">
        <w:rPr>
          <w:rFonts w:cstheme="minorHAnsi"/>
          <w:sz w:val="22"/>
          <w:szCs w:val="22"/>
        </w:rPr>
        <w:t>Agency for the Cooperation of Energy Regulators</w:t>
      </w:r>
      <w:r>
        <w:rPr>
          <w:rFonts w:cstheme="minorHAnsi"/>
          <w:sz w:val="22"/>
          <w:szCs w:val="22"/>
        </w:rPr>
        <w:t>, 2016.</w:t>
      </w:r>
      <w:r w:rsidRPr="00D93209">
        <w:rPr>
          <w:rFonts w:cstheme="minorHAnsi"/>
          <w:sz w:val="22"/>
          <w:szCs w:val="22"/>
        </w:rPr>
        <w:t xml:space="preserve"> Consolidated Report on the progress of electricity and gas Projects of Com</w:t>
      </w:r>
      <w:r>
        <w:rPr>
          <w:rFonts w:cstheme="minorHAnsi"/>
          <w:sz w:val="22"/>
          <w:szCs w:val="22"/>
        </w:rPr>
        <w:t>mon Interest for the Year 2016.</w:t>
      </w:r>
    </w:p>
    <w:p w14:paraId="71B7EA57" w14:textId="77777777" w:rsidR="00F449B8" w:rsidRDefault="00F449B8" w:rsidP="00F449B8">
      <w:pPr>
        <w:pStyle w:val="EndnoteText"/>
        <w:jc w:val="both"/>
        <w:rPr>
          <w:rFonts w:cstheme="minorHAnsi"/>
          <w:sz w:val="22"/>
          <w:szCs w:val="22"/>
          <w:lang w:val="en-US"/>
        </w:rPr>
      </w:pPr>
    </w:p>
    <w:p w14:paraId="7629F246" w14:textId="77777777" w:rsidR="00F449B8" w:rsidRDefault="00F449B8" w:rsidP="00F449B8">
      <w:pPr>
        <w:pStyle w:val="EndnoteText"/>
        <w:jc w:val="both"/>
        <w:rPr>
          <w:rFonts w:cstheme="minorHAnsi"/>
          <w:sz w:val="22"/>
          <w:szCs w:val="22"/>
        </w:rPr>
      </w:pPr>
      <w:r w:rsidRPr="0017609A">
        <w:rPr>
          <w:rFonts w:cstheme="minorHAnsi"/>
          <w:sz w:val="22"/>
          <w:szCs w:val="22"/>
          <w:lang w:val="de-DE"/>
        </w:rPr>
        <w:t>Ammermann, H., Diederich, H., Janousch A., Krebs, M., Ruf, Y</w:t>
      </w:r>
      <w:r w:rsidRPr="0017609A">
        <w:rPr>
          <w:rFonts w:cstheme="minorHAnsi"/>
          <w:i/>
          <w:iCs/>
          <w:sz w:val="22"/>
          <w:szCs w:val="22"/>
          <w:lang w:val="de-DE"/>
        </w:rPr>
        <w:t xml:space="preserve">., 2016. </w:t>
      </w:r>
      <w:r w:rsidRPr="00AE1EA0">
        <w:rPr>
          <w:rFonts w:cstheme="minorHAnsi"/>
          <w:i/>
          <w:iCs/>
          <w:sz w:val="22"/>
          <w:szCs w:val="22"/>
        </w:rPr>
        <w:t>Cost-Effective Financing Structures for Mature Projects of Common Interest (PCIs) in Energy</w:t>
      </w:r>
      <w:r w:rsidRPr="00D93209">
        <w:rPr>
          <w:rFonts w:cstheme="minorHAnsi"/>
          <w:sz w:val="22"/>
          <w:szCs w:val="22"/>
        </w:rPr>
        <w:t xml:space="preserve">. </w:t>
      </w:r>
      <w:r>
        <w:rPr>
          <w:rFonts w:cstheme="minorHAnsi"/>
          <w:sz w:val="22"/>
          <w:szCs w:val="22"/>
        </w:rPr>
        <w:t xml:space="preserve">Brussels: </w:t>
      </w:r>
      <w:r w:rsidRPr="00D93209">
        <w:rPr>
          <w:rFonts w:cstheme="minorHAnsi"/>
          <w:sz w:val="22"/>
          <w:szCs w:val="22"/>
        </w:rPr>
        <w:t>Roland Berger</w:t>
      </w:r>
      <w:r>
        <w:rPr>
          <w:rFonts w:cstheme="minorHAnsi"/>
          <w:sz w:val="22"/>
          <w:szCs w:val="22"/>
        </w:rPr>
        <w:t xml:space="preserve"> </w:t>
      </w:r>
    </w:p>
    <w:p w14:paraId="42406B27" w14:textId="77777777" w:rsidR="00F449B8" w:rsidRDefault="00F449B8" w:rsidP="00F449B8">
      <w:pPr>
        <w:pStyle w:val="EndnoteText"/>
        <w:jc w:val="both"/>
        <w:rPr>
          <w:rFonts w:cstheme="minorHAnsi"/>
          <w:sz w:val="22"/>
          <w:szCs w:val="22"/>
        </w:rPr>
      </w:pPr>
    </w:p>
    <w:p w14:paraId="107D6DAD" w14:textId="77777777" w:rsidR="00F449B8" w:rsidRPr="00D93209" w:rsidRDefault="00F449B8" w:rsidP="00F449B8">
      <w:pPr>
        <w:pStyle w:val="EndnoteText"/>
        <w:jc w:val="both"/>
        <w:rPr>
          <w:rFonts w:cstheme="minorHAnsi"/>
          <w:sz w:val="22"/>
          <w:szCs w:val="22"/>
        </w:rPr>
      </w:pPr>
      <w:r>
        <w:rPr>
          <w:rFonts w:eastAsia="Calibri" w:cstheme="minorHAnsi"/>
          <w:sz w:val="22"/>
          <w:szCs w:val="22"/>
        </w:rPr>
        <w:t>Andersen, A</w:t>
      </w:r>
      <w:r w:rsidRPr="00D93209">
        <w:rPr>
          <w:rFonts w:eastAsia="Calibri" w:cstheme="minorHAnsi"/>
          <w:sz w:val="22"/>
          <w:szCs w:val="22"/>
        </w:rPr>
        <w:t>.</w:t>
      </w:r>
      <w:r>
        <w:rPr>
          <w:rFonts w:eastAsia="Calibri" w:cstheme="minorHAnsi"/>
          <w:sz w:val="22"/>
          <w:szCs w:val="22"/>
        </w:rPr>
        <w:t>, 2014.</w:t>
      </w:r>
      <w:r w:rsidRPr="00D93209">
        <w:rPr>
          <w:rFonts w:eastAsia="Calibri" w:cstheme="minorHAnsi"/>
          <w:sz w:val="22"/>
          <w:szCs w:val="22"/>
        </w:rPr>
        <w:t xml:space="preserve"> No transition without transmission: HVDC electricity infrastructure as an enabler for renewable energy? </w:t>
      </w:r>
      <w:r w:rsidRPr="003014A2">
        <w:rPr>
          <w:rFonts w:eastAsia="Calibri" w:cstheme="minorHAnsi"/>
          <w:i/>
          <w:iCs/>
          <w:sz w:val="22"/>
          <w:szCs w:val="22"/>
        </w:rPr>
        <w:t>Environmental Innovation and Societal Transitions</w:t>
      </w:r>
      <w:r>
        <w:rPr>
          <w:rFonts w:eastAsia="Calibri" w:cstheme="minorHAnsi"/>
          <w:i/>
          <w:iCs/>
          <w:sz w:val="22"/>
          <w:szCs w:val="22"/>
        </w:rPr>
        <w:t>,</w:t>
      </w:r>
      <w:r w:rsidRPr="00D93209">
        <w:rPr>
          <w:rFonts w:eastAsia="Calibri" w:cstheme="minorHAnsi"/>
          <w:sz w:val="22"/>
          <w:szCs w:val="22"/>
        </w:rPr>
        <w:t xml:space="preserve"> </w:t>
      </w:r>
      <w:r w:rsidRPr="007C4104">
        <w:rPr>
          <w:rFonts w:eastAsia="Calibri" w:cstheme="minorHAnsi"/>
          <w:b/>
          <w:bCs/>
          <w:sz w:val="22"/>
          <w:szCs w:val="22"/>
        </w:rPr>
        <w:t>13</w:t>
      </w:r>
      <w:r w:rsidRPr="00D93209">
        <w:rPr>
          <w:rFonts w:eastAsia="Calibri" w:cstheme="minorHAnsi"/>
          <w:sz w:val="22"/>
          <w:szCs w:val="22"/>
        </w:rPr>
        <w:t xml:space="preserve">, </w:t>
      </w:r>
      <w:r>
        <w:rPr>
          <w:rFonts w:eastAsia="Calibri" w:cstheme="minorHAnsi"/>
          <w:sz w:val="22"/>
          <w:szCs w:val="22"/>
        </w:rPr>
        <w:t xml:space="preserve">75-95 </w:t>
      </w:r>
    </w:p>
    <w:p w14:paraId="36E5489C" w14:textId="77777777" w:rsidR="00F449B8" w:rsidRDefault="00F449B8" w:rsidP="00F449B8">
      <w:pPr>
        <w:pStyle w:val="EndnoteText"/>
        <w:rPr>
          <w:rFonts w:cstheme="minorHAnsi"/>
          <w:sz w:val="22"/>
          <w:szCs w:val="22"/>
        </w:rPr>
      </w:pPr>
    </w:p>
    <w:p w14:paraId="4AA374B8" w14:textId="77777777" w:rsidR="00F449B8" w:rsidRDefault="00F449B8" w:rsidP="00F449B8">
      <w:pPr>
        <w:pStyle w:val="EndnoteText"/>
        <w:jc w:val="both"/>
        <w:rPr>
          <w:rFonts w:cstheme="minorHAnsi"/>
          <w:sz w:val="22"/>
          <w:szCs w:val="22"/>
          <w:lang w:val="en-US"/>
        </w:rPr>
      </w:pPr>
      <w:r w:rsidRPr="004B2854">
        <w:rPr>
          <w:rFonts w:cstheme="minorHAnsi"/>
          <w:sz w:val="22"/>
          <w:szCs w:val="22"/>
          <w:lang w:val="en-US"/>
        </w:rPr>
        <w:t>Ang, G., Röttgers, D., &amp; Burli, P.</w:t>
      </w:r>
      <w:r>
        <w:rPr>
          <w:rFonts w:cstheme="minorHAnsi"/>
          <w:sz w:val="22"/>
          <w:szCs w:val="22"/>
          <w:lang w:val="en-US"/>
        </w:rPr>
        <w:t>, 2017.</w:t>
      </w:r>
      <w:r w:rsidRPr="004B2854">
        <w:rPr>
          <w:rFonts w:cstheme="minorHAnsi"/>
          <w:sz w:val="22"/>
          <w:szCs w:val="22"/>
          <w:lang w:val="en-US"/>
        </w:rPr>
        <w:t xml:space="preserve"> The empirics of enabling investment and innovation in renew</w:t>
      </w:r>
      <w:r>
        <w:rPr>
          <w:rFonts w:cstheme="minorHAnsi"/>
          <w:sz w:val="22"/>
          <w:szCs w:val="22"/>
          <w:lang w:val="en-US"/>
        </w:rPr>
        <w:t xml:space="preserve">able energy. Paris: OECD  </w:t>
      </w:r>
    </w:p>
    <w:p w14:paraId="7BC18285" w14:textId="77777777" w:rsidR="00F449B8" w:rsidRPr="00012EF5" w:rsidRDefault="00F449B8" w:rsidP="00F449B8">
      <w:pPr>
        <w:pStyle w:val="EndnoteText"/>
        <w:jc w:val="both"/>
        <w:rPr>
          <w:rFonts w:cstheme="minorHAnsi"/>
          <w:sz w:val="22"/>
          <w:szCs w:val="22"/>
          <w:lang w:val="en-US"/>
        </w:rPr>
      </w:pPr>
    </w:p>
    <w:p w14:paraId="1652318E" w14:textId="77777777" w:rsidR="00F044E3" w:rsidRDefault="00F044E3" w:rsidP="00F044E3">
      <w:pPr>
        <w:pStyle w:val="EndnoteText"/>
        <w:jc w:val="both"/>
        <w:rPr>
          <w:rFonts w:eastAsia="Calibri" w:cstheme="minorHAnsi"/>
          <w:sz w:val="22"/>
          <w:szCs w:val="22"/>
        </w:rPr>
      </w:pPr>
      <w:r w:rsidRPr="00F47F56">
        <w:rPr>
          <w:rFonts w:eastAsia="Calibri" w:cstheme="minorHAnsi"/>
          <w:sz w:val="22"/>
          <w:szCs w:val="22"/>
        </w:rPr>
        <w:t>Bhagwat, P. and Lind, L.</w:t>
      </w:r>
      <w:r>
        <w:rPr>
          <w:rFonts w:eastAsia="Calibri" w:cstheme="minorHAnsi"/>
          <w:sz w:val="22"/>
          <w:szCs w:val="22"/>
        </w:rPr>
        <w:t>, 2018.</w:t>
      </w:r>
      <w:r w:rsidRPr="00F47F56">
        <w:rPr>
          <w:rFonts w:eastAsia="Calibri" w:cstheme="minorHAnsi"/>
          <w:sz w:val="22"/>
          <w:szCs w:val="22"/>
        </w:rPr>
        <w:t xml:space="preserve"> Towards a more investment friendly economic incentive regime for offshore infrastructure projects. Florence: European University Institute Florence School o</w:t>
      </w:r>
      <w:r>
        <w:rPr>
          <w:rFonts w:eastAsia="Calibri" w:cstheme="minorHAnsi"/>
          <w:sz w:val="22"/>
          <w:szCs w:val="22"/>
        </w:rPr>
        <w:t>f Regulation Policy Brief</w:t>
      </w:r>
      <w:r w:rsidRPr="00F47F56">
        <w:rPr>
          <w:rFonts w:eastAsia="Calibri" w:cstheme="minorHAnsi"/>
          <w:sz w:val="22"/>
          <w:szCs w:val="22"/>
        </w:rPr>
        <w:t>.</w:t>
      </w:r>
    </w:p>
    <w:p w14:paraId="6A43CF8D" w14:textId="77777777" w:rsidR="00F044E3" w:rsidRPr="00F47F56" w:rsidRDefault="00F044E3" w:rsidP="00F044E3">
      <w:pPr>
        <w:pStyle w:val="EndnoteText"/>
        <w:jc w:val="both"/>
        <w:rPr>
          <w:rFonts w:eastAsia="Calibri" w:cstheme="minorHAnsi"/>
          <w:sz w:val="22"/>
          <w:szCs w:val="22"/>
        </w:rPr>
      </w:pPr>
    </w:p>
    <w:p w14:paraId="23C753E6" w14:textId="77777777" w:rsidR="00F449B8" w:rsidRPr="00D93209" w:rsidRDefault="00F449B8" w:rsidP="00F449B8">
      <w:pPr>
        <w:spacing w:after="0" w:line="240" w:lineRule="auto"/>
        <w:jc w:val="both"/>
        <w:rPr>
          <w:rFonts w:eastAsia="Times New Roman" w:cstheme="minorHAnsi"/>
          <w:lang w:eastAsia="en-GB"/>
        </w:rPr>
      </w:pPr>
      <w:r w:rsidRPr="0017609A">
        <w:rPr>
          <w:rFonts w:eastAsia="Times New Roman" w:cstheme="minorHAnsi"/>
          <w:lang w:val="it-IT" w:eastAsia="en-GB"/>
        </w:rPr>
        <w:t xml:space="preserve">Bouzarovski, S. &amp; Tirado Herrero, S., 2017. </w:t>
      </w:r>
      <w:r w:rsidRPr="00D93209">
        <w:rPr>
          <w:rFonts w:eastAsia="Times New Roman" w:cstheme="minorHAnsi"/>
          <w:lang w:eastAsia="en-GB"/>
        </w:rPr>
        <w:t xml:space="preserve">The energy divide: Integrating energy transitions, regional inequalities and poverty trends in the European Union. </w:t>
      </w:r>
      <w:r w:rsidRPr="00D93209">
        <w:rPr>
          <w:rFonts w:eastAsia="Times New Roman" w:cstheme="minorHAnsi"/>
          <w:i/>
          <w:iCs/>
          <w:lang w:eastAsia="en-GB"/>
        </w:rPr>
        <w:t>European Urban and Regional Studies</w:t>
      </w:r>
      <w:r>
        <w:rPr>
          <w:rFonts w:eastAsia="Times New Roman" w:cstheme="minorHAnsi"/>
          <w:i/>
          <w:iCs/>
          <w:lang w:eastAsia="en-GB"/>
        </w:rPr>
        <w:t>,</w:t>
      </w:r>
      <w:r w:rsidRPr="00D93209">
        <w:rPr>
          <w:rFonts w:eastAsia="Times New Roman" w:cstheme="minorHAnsi"/>
          <w:lang w:eastAsia="en-GB"/>
        </w:rPr>
        <w:t xml:space="preserve"> </w:t>
      </w:r>
      <w:r w:rsidRPr="00521128">
        <w:rPr>
          <w:rFonts w:eastAsia="Times New Roman" w:cstheme="minorHAnsi"/>
          <w:b/>
          <w:bCs/>
          <w:iCs/>
          <w:lang w:eastAsia="en-GB"/>
        </w:rPr>
        <w:t>24</w:t>
      </w:r>
      <w:r>
        <w:rPr>
          <w:rFonts w:eastAsia="Times New Roman" w:cstheme="minorHAnsi"/>
          <w:b/>
          <w:bCs/>
          <w:lang w:eastAsia="en-GB"/>
        </w:rPr>
        <w:t xml:space="preserve"> </w:t>
      </w:r>
      <w:r w:rsidRPr="00137778">
        <w:rPr>
          <w:rFonts w:eastAsia="Times New Roman" w:cstheme="minorHAnsi"/>
          <w:b/>
          <w:bCs/>
          <w:lang w:eastAsia="en-GB"/>
        </w:rPr>
        <w:t>(1)</w:t>
      </w:r>
      <w:r w:rsidRPr="00521128">
        <w:rPr>
          <w:rFonts w:eastAsia="Times New Roman" w:cstheme="minorHAnsi"/>
          <w:lang w:eastAsia="en-GB"/>
        </w:rPr>
        <w:t>,</w:t>
      </w:r>
      <w:r w:rsidRPr="00D93209">
        <w:rPr>
          <w:rFonts w:eastAsia="Times New Roman" w:cstheme="minorHAnsi"/>
          <w:lang w:eastAsia="en-GB"/>
        </w:rPr>
        <w:t xml:space="preserve"> 69-86</w:t>
      </w:r>
      <w:r>
        <w:rPr>
          <w:rFonts w:eastAsia="Times New Roman" w:cstheme="minorHAnsi"/>
          <w:lang w:eastAsia="en-GB"/>
        </w:rPr>
        <w:t xml:space="preserve"> </w:t>
      </w:r>
    </w:p>
    <w:p w14:paraId="30EA6464" w14:textId="77777777" w:rsidR="00F449B8" w:rsidRDefault="00F449B8" w:rsidP="00F449B8">
      <w:pPr>
        <w:pStyle w:val="EndnoteText"/>
        <w:jc w:val="both"/>
        <w:rPr>
          <w:rFonts w:cstheme="minorHAnsi"/>
          <w:sz w:val="22"/>
          <w:szCs w:val="22"/>
        </w:rPr>
      </w:pPr>
    </w:p>
    <w:p w14:paraId="1814AC3F" w14:textId="77777777" w:rsidR="004132EE" w:rsidRDefault="004132EE" w:rsidP="004132EE">
      <w:pPr>
        <w:pBdr>
          <w:top w:val="nil"/>
          <w:left w:val="nil"/>
          <w:bottom w:val="nil"/>
          <w:right w:val="nil"/>
          <w:between w:val="nil"/>
        </w:pBdr>
        <w:spacing w:before="120" w:after="0" w:line="300" w:lineRule="auto"/>
        <w:jc w:val="both"/>
        <w:rPr>
          <w:rFonts w:eastAsia="Calibri" w:cstheme="minorHAnsi"/>
          <w:color w:val="000000"/>
          <w:lang w:eastAsia="en-GB"/>
        </w:rPr>
      </w:pPr>
      <w:r>
        <w:rPr>
          <w:rFonts w:eastAsia="Calibri" w:cstheme="minorHAnsi"/>
          <w:color w:val="000000"/>
          <w:lang w:eastAsia="en-GB"/>
        </w:rPr>
        <w:t>Braun, V. &amp;</w:t>
      </w:r>
      <w:r w:rsidRPr="00B72F8C">
        <w:rPr>
          <w:rFonts w:eastAsia="Calibri" w:cstheme="minorHAnsi"/>
          <w:color w:val="000000"/>
          <w:lang w:eastAsia="en-GB"/>
        </w:rPr>
        <w:t xml:space="preserve"> Clarke, V.</w:t>
      </w:r>
      <w:r>
        <w:rPr>
          <w:rFonts w:eastAsia="Calibri" w:cstheme="minorHAnsi"/>
          <w:color w:val="000000"/>
          <w:lang w:eastAsia="en-GB"/>
        </w:rPr>
        <w:t>, 2006.</w:t>
      </w:r>
      <w:r w:rsidRPr="00B72F8C">
        <w:rPr>
          <w:rFonts w:eastAsia="Calibri" w:cstheme="minorHAnsi"/>
          <w:color w:val="000000"/>
          <w:lang w:eastAsia="en-GB"/>
        </w:rPr>
        <w:t xml:space="preserve"> Using </w:t>
      </w:r>
      <w:r>
        <w:rPr>
          <w:rFonts w:eastAsia="Calibri" w:cstheme="minorHAnsi"/>
          <w:color w:val="000000"/>
          <w:lang w:eastAsia="en-GB"/>
        </w:rPr>
        <w:t>thematic analysis in psychology.</w:t>
      </w:r>
      <w:r w:rsidRPr="00B72F8C">
        <w:rPr>
          <w:rFonts w:eastAsia="Calibri" w:cstheme="minorHAnsi"/>
          <w:color w:val="000000"/>
          <w:lang w:eastAsia="en-GB"/>
        </w:rPr>
        <w:t xml:space="preserve"> </w:t>
      </w:r>
      <w:r w:rsidRPr="003A313C">
        <w:rPr>
          <w:rFonts w:eastAsia="Calibri" w:cstheme="minorHAnsi"/>
          <w:i/>
          <w:color w:val="000000"/>
          <w:lang w:eastAsia="en-GB"/>
        </w:rPr>
        <w:t>Qualitative Research in Psychology</w:t>
      </w:r>
      <w:r>
        <w:rPr>
          <w:rFonts w:eastAsia="Calibri" w:cstheme="minorHAnsi"/>
          <w:i/>
          <w:color w:val="000000"/>
          <w:lang w:eastAsia="en-GB"/>
        </w:rPr>
        <w:t>,</w:t>
      </w:r>
      <w:r w:rsidRPr="00B72F8C">
        <w:rPr>
          <w:rFonts w:eastAsia="Calibri" w:cstheme="minorHAnsi"/>
          <w:color w:val="000000"/>
          <w:lang w:eastAsia="en-GB"/>
        </w:rPr>
        <w:t xml:space="preserve"> </w:t>
      </w:r>
      <w:r w:rsidRPr="002E179B">
        <w:rPr>
          <w:rFonts w:eastAsia="Calibri" w:cstheme="minorHAnsi"/>
          <w:b/>
          <w:color w:val="000000"/>
          <w:lang w:eastAsia="en-GB"/>
        </w:rPr>
        <w:t>3(2)</w:t>
      </w:r>
      <w:r>
        <w:rPr>
          <w:rFonts w:eastAsia="Calibri" w:cstheme="minorHAnsi"/>
          <w:color w:val="000000"/>
          <w:lang w:eastAsia="en-GB"/>
        </w:rPr>
        <w:t>, 77-101</w:t>
      </w:r>
    </w:p>
    <w:p w14:paraId="3EDC719B" w14:textId="77777777" w:rsidR="004132EE" w:rsidRDefault="004132EE" w:rsidP="00F449B8">
      <w:pPr>
        <w:pStyle w:val="EndnoteText"/>
        <w:jc w:val="both"/>
        <w:rPr>
          <w:rFonts w:eastAsia="Calibri" w:cstheme="minorHAnsi"/>
          <w:sz w:val="22"/>
          <w:szCs w:val="22"/>
        </w:rPr>
      </w:pPr>
    </w:p>
    <w:p w14:paraId="6B8E55F9" w14:textId="6C20BC15" w:rsidR="00F449B8" w:rsidRPr="00F47F56" w:rsidRDefault="00F449B8" w:rsidP="00F449B8">
      <w:pPr>
        <w:pStyle w:val="EndnoteText"/>
        <w:jc w:val="both"/>
        <w:rPr>
          <w:rFonts w:eastAsia="Calibri" w:cstheme="minorHAnsi"/>
          <w:sz w:val="22"/>
          <w:szCs w:val="22"/>
        </w:rPr>
      </w:pPr>
      <w:r w:rsidRPr="00945A44">
        <w:rPr>
          <w:rFonts w:eastAsia="Calibri" w:cstheme="minorHAnsi"/>
          <w:sz w:val="22"/>
          <w:szCs w:val="22"/>
        </w:rPr>
        <w:t>Brei</w:t>
      </w:r>
      <w:r>
        <w:rPr>
          <w:rFonts w:eastAsia="Calibri" w:cstheme="minorHAnsi"/>
          <w:sz w:val="22"/>
          <w:szCs w:val="22"/>
        </w:rPr>
        <w:t>tschopf, B., &amp; Pudlik, M</w:t>
      </w:r>
      <w:r w:rsidRPr="00945A44">
        <w:rPr>
          <w:rFonts w:eastAsia="Calibri" w:cstheme="minorHAnsi"/>
          <w:sz w:val="22"/>
          <w:szCs w:val="22"/>
        </w:rPr>
        <w:t>.</w:t>
      </w:r>
      <w:r>
        <w:rPr>
          <w:rFonts w:eastAsia="Calibri" w:cstheme="minorHAnsi"/>
          <w:sz w:val="22"/>
          <w:szCs w:val="22"/>
        </w:rPr>
        <w:t>, 2013.</w:t>
      </w:r>
      <w:r w:rsidRPr="00945A44">
        <w:rPr>
          <w:rFonts w:eastAsia="Calibri" w:cstheme="minorHAnsi"/>
          <w:sz w:val="22"/>
          <w:szCs w:val="22"/>
        </w:rPr>
        <w:t xml:space="preserve"> Basel III and Solvency II: Are the risk margins for investments in PV and wind adequate?. </w:t>
      </w:r>
      <w:r w:rsidRPr="00945A44">
        <w:rPr>
          <w:rFonts w:eastAsia="Calibri" w:cstheme="minorHAnsi"/>
          <w:i/>
          <w:iCs/>
          <w:sz w:val="22"/>
          <w:szCs w:val="22"/>
        </w:rPr>
        <w:t>Energy &amp; Environment</w:t>
      </w:r>
      <w:r>
        <w:rPr>
          <w:rFonts w:eastAsia="Calibri" w:cstheme="minorHAnsi"/>
          <w:i/>
          <w:iCs/>
          <w:sz w:val="22"/>
          <w:szCs w:val="22"/>
        </w:rPr>
        <w:t>,</w:t>
      </w:r>
      <w:r w:rsidRPr="00945A44">
        <w:rPr>
          <w:rFonts w:eastAsia="Calibri" w:cstheme="minorHAnsi"/>
          <w:sz w:val="22"/>
          <w:szCs w:val="22"/>
        </w:rPr>
        <w:t xml:space="preserve"> </w:t>
      </w:r>
      <w:r w:rsidRPr="00945A44">
        <w:rPr>
          <w:rFonts w:eastAsia="Calibri" w:cstheme="minorHAnsi"/>
          <w:b/>
          <w:sz w:val="22"/>
          <w:szCs w:val="22"/>
        </w:rPr>
        <w:t>24(1-2)</w:t>
      </w:r>
      <w:r w:rsidRPr="00945A44">
        <w:rPr>
          <w:rFonts w:eastAsia="Calibri" w:cstheme="minorHAnsi"/>
          <w:sz w:val="22"/>
          <w:szCs w:val="22"/>
        </w:rPr>
        <w:t>, 171-194</w:t>
      </w:r>
      <w:r>
        <w:rPr>
          <w:rFonts w:eastAsia="Calibri" w:cstheme="minorHAnsi"/>
          <w:sz w:val="22"/>
          <w:szCs w:val="22"/>
        </w:rPr>
        <w:t xml:space="preserve"> </w:t>
      </w:r>
    </w:p>
    <w:p w14:paraId="4E853362" w14:textId="77777777" w:rsidR="00F449B8" w:rsidRDefault="00F449B8" w:rsidP="00F449B8">
      <w:pPr>
        <w:pStyle w:val="EndnoteText"/>
        <w:jc w:val="both"/>
        <w:rPr>
          <w:rFonts w:cstheme="minorHAnsi"/>
          <w:sz w:val="22"/>
          <w:szCs w:val="22"/>
        </w:rPr>
      </w:pPr>
    </w:p>
    <w:p w14:paraId="1AF399AB" w14:textId="77777777" w:rsidR="00F449B8" w:rsidRPr="00D93209" w:rsidRDefault="00F449B8" w:rsidP="00F449B8">
      <w:pPr>
        <w:spacing w:after="0" w:line="240" w:lineRule="auto"/>
        <w:jc w:val="both"/>
        <w:rPr>
          <w:rFonts w:cstheme="minorHAnsi"/>
        </w:rPr>
      </w:pPr>
      <w:r w:rsidRPr="00D93209">
        <w:rPr>
          <w:rFonts w:cstheme="minorHAnsi"/>
        </w:rPr>
        <w:t>Cepeda, M.</w:t>
      </w:r>
      <w:r>
        <w:rPr>
          <w:rFonts w:cstheme="minorHAnsi"/>
        </w:rPr>
        <w:t>, 2018.</w:t>
      </w:r>
      <w:r w:rsidRPr="00D93209">
        <w:rPr>
          <w:rFonts w:cstheme="minorHAnsi"/>
        </w:rPr>
        <w:t xml:space="preserve"> Assessing cross-border integration of capacity mechanisms in coupled electricity markets. </w:t>
      </w:r>
      <w:r w:rsidRPr="00D93209">
        <w:rPr>
          <w:rFonts w:cstheme="minorHAnsi"/>
          <w:i/>
          <w:iCs/>
        </w:rPr>
        <w:t xml:space="preserve">Energy </w:t>
      </w:r>
      <w:r>
        <w:rPr>
          <w:rFonts w:cstheme="minorHAnsi"/>
          <w:i/>
          <w:iCs/>
        </w:rPr>
        <w:t>P</w:t>
      </w:r>
      <w:r w:rsidRPr="00D93209">
        <w:rPr>
          <w:rFonts w:cstheme="minorHAnsi"/>
          <w:i/>
          <w:iCs/>
        </w:rPr>
        <w:t>olicy</w:t>
      </w:r>
      <w:r>
        <w:rPr>
          <w:rFonts w:cstheme="minorHAnsi"/>
          <w:i/>
          <w:iCs/>
        </w:rPr>
        <w:t>,</w:t>
      </w:r>
      <w:r w:rsidRPr="00D93209">
        <w:rPr>
          <w:rFonts w:cstheme="minorHAnsi"/>
        </w:rPr>
        <w:t xml:space="preserve"> </w:t>
      </w:r>
      <w:r w:rsidRPr="00945A44">
        <w:rPr>
          <w:rFonts w:cstheme="minorHAnsi"/>
          <w:b/>
          <w:bCs/>
          <w:iCs/>
        </w:rPr>
        <w:t>119</w:t>
      </w:r>
      <w:r w:rsidRPr="00D93209">
        <w:rPr>
          <w:rFonts w:cstheme="minorHAnsi"/>
        </w:rPr>
        <w:t>,</w:t>
      </w:r>
      <w:r>
        <w:rPr>
          <w:rFonts w:cstheme="minorHAnsi"/>
        </w:rPr>
        <w:t xml:space="preserve"> </w:t>
      </w:r>
      <w:r w:rsidRPr="00D93209">
        <w:rPr>
          <w:rFonts w:cstheme="minorHAnsi"/>
        </w:rPr>
        <w:t>28-40</w:t>
      </w:r>
      <w:r>
        <w:rPr>
          <w:rFonts w:cstheme="minorHAnsi"/>
        </w:rPr>
        <w:t xml:space="preserve"> </w:t>
      </w:r>
    </w:p>
    <w:p w14:paraId="0E5B07EC" w14:textId="77777777" w:rsidR="00F449B8" w:rsidRDefault="00F449B8" w:rsidP="00F449B8">
      <w:pPr>
        <w:spacing w:after="0" w:line="240" w:lineRule="auto"/>
        <w:jc w:val="both"/>
        <w:rPr>
          <w:rFonts w:cstheme="minorHAnsi"/>
        </w:rPr>
      </w:pPr>
    </w:p>
    <w:p w14:paraId="30CB6B3B" w14:textId="77777777" w:rsidR="00F449B8" w:rsidRPr="00D93209" w:rsidRDefault="00F449B8" w:rsidP="00F449B8">
      <w:pPr>
        <w:pStyle w:val="EndnoteText"/>
        <w:jc w:val="both"/>
        <w:rPr>
          <w:rFonts w:cstheme="minorHAnsi"/>
          <w:sz w:val="22"/>
          <w:szCs w:val="22"/>
        </w:rPr>
      </w:pPr>
      <w:r>
        <w:rPr>
          <w:rFonts w:eastAsia="Arial" w:cstheme="minorHAnsi"/>
          <w:sz w:val="22"/>
          <w:szCs w:val="22"/>
        </w:rPr>
        <w:t xml:space="preserve">Ciupuliga, A.R. &amp; </w:t>
      </w:r>
      <w:r w:rsidRPr="00D93209">
        <w:rPr>
          <w:rFonts w:eastAsia="Arial" w:cstheme="minorHAnsi"/>
          <w:sz w:val="22"/>
          <w:szCs w:val="22"/>
        </w:rPr>
        <w:t>Cuppen, E.</w:t>
      </w:r>
      <w:r>
        <w:rPr>
          <w:rFonts w:eastAsia="Arial" w:cstheme="minorHAnsi"/>
          <w:sz w:val="22"/>
          <w:szCs w:val="22"/>
        </w:rPr>
        <w:t>, 2013</w:t>
      </w:r>
      <w:r w:rsidRPr="00D93209">
        <w:rPr>
          <w:rFonts w:eastAsia="Arial" w:cstheme="minorHAnsi"/>
          <w:sz w:val="22"/>
          <w:szCs w:val="22"/>
        </w:rPr>
        <w:t xml:space="preserve"> The role of dialogue in fostering acceptance of transmission lines: the case of a France–Spain interconnection project. </w:t>
      </w:r>
      <w:r w:rsidRPr="00D93209">
        <w:rPr>
          <w:rFonts w:eastAsia="Arial" w:cstheme="minorHAnsi"/>
          <w:i/>
          <w:iCs/>
          <w:sz w:val="22"/>
          <w:szCs w:val="22"/>
        </w:rPr>
        <w:t>Energy Policy</w:t>
      </w:r>
      <w:r>
        <w:rPr>
          <w:rFonts w:eastAsia="Arial" w:cstheme="minorHAnsi"/>
          <w:i/>
          <w:iCs/>
          <w:sz w:val="22"/>
          <w:szCs w:val="22"/>
        </w:rPr>
        <w:t>,</w:t>
      </w:r>
      <w:r w:rsidRPr="00D93209">
        <w:rPr>
          <w:rFonts w:eastAsia="Arial" w:cstheme="minorHAnsi"/>
          <w:sz w:val="22"/>
          <w:szCs w:val="22"/>
        </w:rPr>
        <w:t xml:space="preserve"> </w:t>
      </w:r>
      <w:r w:rsidRPr="00F85221">
        <w:rPr>
          <w:rFonts w:eastAsia="Arial" w:cstheme="minorHAnsi"/>
          <w:b/>
          <w:bCs/>
          <w:sz w:val="22"/>
          <w:szCs w:val="22"/>
        </w:rPr>
        <w:t>60</w:t>
      </w:r>
      <w:r w:rsidRPr="00D93209">
        <w:rPr>
          <w:rFonts w:eastAsia="Arial" w:cstheme="minorHAnsi"/>
          <w:sz w:val="22"/>
          <w:szCs w:val="22"/>
        </w:rPr>
        <w:t>, 224-233</w:t>
      </w:r>
    </w:p>
    <w:p w14:paraId="06DD8ABB" w14:textId="77777777" w:rsidR="00F449B8" w:rsidRDefault="00F449B8" w:rsidP="00F449B8">
      <w:pPr>
        <w:pStyle w:val="EndnoteText"/>
        <w:jc w:val="both"/>
        <w:rPr>
          <w:rFonts w:cstheme="minorHAnsi"/>
          <w:sz w:val="22"/>
          <w:szCs w:val="22"/>
        </w:rPr>
      </w:pPr>
    </w:p>
    <w:p w14:paraId="41230F16" w14:textId="77777777" w:rsidR="00F449B8" w:rsidRPr="00D93209" w:rsidRDefault="00F449B8" w:rsidP="00F449B8">
      <w:pPr>
        <w:pStyle w:val="EndnoteText"/>
        <w:jc w:val="both"/>
        <w:rPr>
          <w:rFonts w:eastAsia="Calibri" w:cstheme="minorHAnsi"/>
          <w:sz w:val="22"/>
          <w:szCs w:val="22"/>
        </w:rPr>
      </w:pPr>
      <w:r w:rsidRPr="00D93209">
        <w:rPr>
          <w:rFonts w:eastAsia="Calibri" w:cstheme="minorHAnsi"/>
          <w:sz w:val="22"/>
          <w:szCs w:val="22"/>
        </w:rPr>
        <w:lastRenderedPageBreak/>
        <w:t>Council</w:t>
      </w:r>
      <w:r>
        <w:rPr>
          <w:rFonts w:eastAsia="Calibri" w:cstheme="minorHAnsi"/>
          <w:sz w:val="22"/>
          <w:szCs w:val="22"/>
        </w:rPr>
        <w:t xml:space="preserve"> of European Energy Regulators, 2016</w:t>
      </w:r>
      <w:r w:rsidRPr="00D93209">
        <w:rPr>
          <w:rFonts w:eastAsia="Calibri" w:cstheme="minorHAnsi"/>
          <w:sz w:val="22"/>
          <w:szCs w:val="22"/>
        </w:rPr>
        <w:t>. Status Review on the Implementation of Transmission System Operators’ Unbundling Provisions of the 3</w:t>
      </w:r>
      <w:r w:rsidRPr="00D93209">
        <w:rPr>
          <w:rFonts w:eastAsia="Calibri" w:cstheme="minorHAnsi"/>
          <w:sz w:val="22"/>
          <w:szCs w:val="22"/>
          <w:vertAlign w:val="superscript"/>
        </w:rPr>
        <w:t>rd</w:t>
      </w:r>
      <w:r w:rsidRPr="00D93209">
        <w:rPr>
          <w:rFonts w:eastAsia="Calibri" w:cstheme="minorHAnsi"/>
          <w:sz w:val="22"/>
          <w:szCs w:val="22"/>
        </w:rPr>
        <w:t xml:space="preserve"> Energy</w:t>
      </w:r>
      <w:r>
        <w:rPr>
          <w:rFonts w:eastAsia="Calibri" w:cstheme="minorHAnsi"/>
          <w:sz w:val="22"/>
          <w:szCs w:val="22"/>
        </w:rPr>
        <w:t xml:space="preserve"> Package. Brussels: April 2016.</w:t>
      </w:r>
    </w:p>
    <w:p w14:paraId="79068978" w14:textId="77777777" w:rsidR="00F449B8" w:rsidRDefault="00F449B8" w:rsidP="00F449B8">
      <w:pPr>
        <w:pStyle w:val="EndnoteText"/>
        <w:jc w:val="both"/>
        <w:rPr>
          <w:rFonts w:cstheme="minorHAnsi"/>
          <w:sz w:val="22"/>
          <w:szCs w:val="22"/>
        </w:rPr>
      </w:pPr>
    </w:p>
    <w:p w14:paraId="0AD4AF91" w14:textId="77777777" w:rsidR="00F449B8" w:rsidRPr="00751B8B" w:rsidRDefault="00F449B8" w:rsidP="00F449B8">
      <w:pPr>
        <w:pStyle w:val="EndnoteText"/>
        <w:jc w:val="both"/>
        <w:rPr>
          <w:rStyle w:val="Hyperlink"/>
        </w:rPr>
      </w:pPr>
      <w:r>
        <w:rPr>
          <w:rFonts w:eastAsia="Calibri" w:cstheme="minorHAnsi"/>
          <w:sz w:val="22"/>
          <w:szCs w:val="22"/>
        </w:rPr>
        <w:t>de Clercq, G., Jewkes, S. &amp;</w:t>
      </w:r>
      <w:r w:rsidRPr="00D93209">
        <w:rPr>
          <w:rFonts w:eastAsia="Calibri" w:cstheme="minorHAnsi"/>
          <w:sz w:val="22"/>
          <w:szCs w:val="22"/>
        </w:rPr>
        <w:t xml:space="preserve"> Davies, A.</w:t>
      </w:r>
      <w:r>
        <w:rPr>
          <w:rFonts w:eastAsia="Calibri" w:cstheme="minorHAnsi"/>
          <w:sz w:val="22"/>
          <w:szCs w:val="22"/>
        </w:rPr>
        <w:t>, 2017.</w:t>
      </w:r>
      <w:r w:rsidRPr="00D93209">
        <w:rPr>
          <w:rFonts w:eastAsia="Calibri" w:cstheme="minorHAnsi"/>
          <w:sz w:val="22"/>
          <w:szCs w:val="22"/>
        </w:rPr>
        <w:t xml:space="preserve"> “EU grid champion stuck in tangle of wires and pipes”, </w:t>
      </w:r>
      <w:r w:rsidRPr="00D93209">
        <w:rPr>
          <w:rFonts w:eastAsia="Calibri" w:cstheme="minorHAnsi"/>
          <w:i/>
          <w:iCs/>
          <w:sz w:val="22"/>
          <w:szCs w:val="22"/>
        </w:rPr>
        <w:t>Reuters</w:t>
      </w:r>
      <w:r>
        <w:rPr>
          <w:rFonts w:eastAsia="Calibri" w:cstheme="minorHAnsi"/>
          <w:sz w:val="22"/>
          <w:szCs w:val="22"/>
        </w:rPr>
        <w:t>, April 10, 2013.</w:t>
      </w:r>
      <w:r w:rsidRPr="00D93209">
        <w:rPr>
          <w:rFonts w:eastAsia="Calibri" w:cstheme="minorHAnsi"/>
          <w:sz w:val="22"/>
          <w:szCs w:val="22"/>
        </w:rPr>
        <w:t xml:space="preserve"> </w:t>
      </w:r>
      <w:hyperlink r:id="rId9">
        <w:r w:rsidRPr="00751B8B">
          <w:rPr>
            <w:rStyle w:val="Hyperlink"/>
            <w:rFonts w:eastAsia="Calibri" w:cstheme="minorHAnsi"/>
            <w:sz w:val="22"/>
            <w:szCs w:val="22"/>
          </w:rPr>
          <w:t>https://uk.reuters.com/article/uk-europe-grids-consolidation-eu/eu-grid-champion-stuck-in-tangle-of-wires-and-pipes-idUKBRE9390N520130410</w:t>
        </w:r>
      </w:hyperlink>
    </w:p>
    <w:p w14:paraId="1C60019B" w14:textId="77777777" w:rsidR="00F449B8" w:rsidRDefault="00F449B8" w:rsidP="00F449B8">
      <w:pPr>
        <w:pStyle w:val="EndnoteText"/>
        <w:jc w:val="both"/>
        <w:rPr>
          <w:rFonts w:cstheme="minorHAnsi"/>
          <w:sz w:val="22"/>
          <w:szCs w:val="22"/>
        </w:rPr>
      </w:pPr>
    </w:p>
    <w:p w14:paraId="514D0C23" w14:textId="77777777" w:rsidR="00F449B8" w:rsidRPr="00D93209" w:rsidRDefault="00F449B8" w:rsidP="00F449B8">
      <w:pPr>
        <w:pStyle w:val="EndnoteText"/>
        <w:jc w:val="both"/>
        <w:rPr>
          <w:rFonts w:cstheme="minorHAnsi"/>
          <w:sz w:val="22"/>
          <w:szCs w:val="22"/>
        </w:rPr>
      </w:pPr>
      <w:r w:rsidRPr="00D93209">
        <w:rPr>
          <w:rFonts w:eastAsia="Arial" w:cstheme="minorHAnsi"/>
          <w:sz w:val="22"/>
          <w:szCs w:val="22"/>
        </w:rPr>
        <w:t xml:space="preserve">Devine-Wright, P. </w:t>
      </w:r>
      <w:r>
        <w:rPr>
          <w:rFonts w:eastAsia="Arial" w:cstheme="minorHAnsi"/>
          <w:sz w:val="22"/>
          <w:szCs w:val="22"/>
        </w:rPr>
        <w:t xml:space="preserve">2013. </w:t>
      </w:r>
      <w:r w:rsidRPr="00D93209">
        <w:rPr>
          <w:rFonts w:eastAsia="Arial" w:cstheme="minorHAnsi"/>
          <w:sz w:val="22"/>
          <w:szCs w:val="22"/>
        </w:rPr>
        <w:t xml:space="preserve">Explaining “NIMBY” objections to a power line: The role of personal, place attachment and project-related factors. </w:t>
      </w:r>
      <w:r w:rsidRPr="00D93209">
        <w:rPr>
          <w:rFonts w:eastAsia="Arial" w:cstheme="minorHAnsi"/>
          <w:i/>
          <w:iCs/>
          <w:sz w:val="22"/>
          <w:szCs w:val="22"/>
        </w:rPr>
        <w:t xml:space="preserve">Environment and </w:t>
      </w:r>
      <w:r>
        <w:rPr>
          <w:rFonts w:eastAsia="Arial" w:cstheme="minorHAnsi"/>
          <w:i/>
          <w:iCs/>
          <w:sz w:val="22"/>
          <w:szCs w:val="22"/>
        </w:rPr>
        <w:t>B</w:t>
      </w:r>
      <w:r w:rsidRPr="00D93209">
        <w:rPr>
          <w:rFonts w:eastAsia="Arial" w:cstheme="minorHAnsi"/>
          <w:i/>
          <w:iCs/>
          <w:sz w:val="22"/>
          <w:szCs w:val="22"/>
        </w:rPr>
        <w:t>ehavior</w:t>
      </w:r>
      <w:r>
        <w:rPr>
          <w:rFonts w:eastAsia="Arial" w:cstheme="minorHAnsi"/>
          <w:i/>
          <w:iCs/>
          <w:sz w:val="22"/>
          <w:szCs w:val="22"/>
        </w:rPr>
        <w:t>,</w:t>
      </w:r>
      <w:r w:rsidRPr="00D93209">
        <w:rPr>
          <w:rFonts w:eastAsia="Arial" w:cstheme="minorHAnsi"/>
          <w:sz w:val="22"/>
          <w:szCs w:val="22"/>
        </w:rPr>
        <w:t xml:space="preserve"> </w:t>
      </w:r>
      <w:r w:rsidRPr="00521128">
        <w:rPr>
          <w:rFonts w:eastAsia="Arial" w:cstheme="minorHAnsi"/>
          <w:b/>
          <w:bCs/>
          <w:iCs/>
          <w:sz w:val="22"/>
          <w:szCs w:val="22"/>
        </w:rPr>
        <w:t>45</w:t>
      </w:r>
      <w:r w:rsidRPr="00CC77C5">
        <w:rPr>
          <w:rFonts w:eastAsia="Arial" w:cstheme="minorHAnsi"/>
          <w:b/>
          <w:bCs/>
          <w:sz w:val="22"/>
          <w:szCs w:val="22"/>
        </w:rPr>
        <w:t>(6)</w:t>
      </w:r>
      <w:r w:rsidRPr="00D93209">
        <w:rPr>
          <w:rFonts w:eastAsia="Arial" w:cstheme="minorHAnsi"/>
          <w:sz w:val="22"/>
          <w:szCs w:val="22"/>
        </w:rPr>
        <w:t>, 761-781</w:t>
      </w:r>
      <w:r>
        <w:rPr>
          <w:rFonts w:eastAsia="Arial" w:cstheme="minorHAnsi"/>
          <w:sz w:val="22"/>
          <w:szCs w:val="22"/>
        </w:rPr>
        <w:t xml:space="preserve"> </w:t>
      </w:r>
    </w:p>
    <w:p w14:paraId="13D7845E" w14:textId="77777777" w:rsidR="00F449B8" w:rsidRDefault="00F449B8" w:rsidP="00F449B8">
      <w:pPr>
        <w:spacing w:after="0" w:line="240" w:lineRule="auto"/>
        <w:jc w:val="both"/>
        <w:rPr>
          <w:rFonts w:cstheme="minorHAnsi"/>
          <w:highlight w:val="yellow"/>
        </w:rPr>
      </w:pPr>
    </w:p>
    <w:p w14:paraId="7208240E" w14:textId="77777777" w:rsidR="00F449B8" w:rsidRDefault="00F449B8" w:rsidP="00F449B8">
      <w:pPr>
        <w:pStyle w:val="EndnoteText"/>
        <w:jc w:val="both"/>
        <w:rPr>
          <w:rFonts w:eastAsia="Calibri" w:cstheme="minorHAnsi"/>
          <w:sz w:val="22"/>
          <w:szCs w:val="22"/>
        </w:rPr>
      </w:pPr>
      <w:r w:rsidRPr="00D93209">
        <w:rPr>
          <w:rFonts w:eastAsia="Calibri" w:cstheme="minorHAnsi"/>
          <w:sz w:val="22"/>
          <w:szCs w:val="22"/>
        </w:rPr>
        <w:t>Durand, É. and Keay, M.</w:t>
      </w:r>
      <w:r>
        <w:rPr>
          <w:rFonts w:eastAsia="Calibri" w:cstheme="minorHAnsi"/>
          <w:sz w:val="22"/>
          <w:szCs w:val="22"/>
        </w:rPr>
        <w:t>, 2014.</w:t>
      </w:r>
      <w:r w:rsidRPr="00D93209">
        <w:rPr>
          <w:rFonts w:eastAsia="Calibri" w:cstheme="minorHAnsi"/>
          <w:sz w:val="22"/>
          <w:szCs w:val="22"/>
        </w:rPr>
        <w:t xml:space="preserve"> National support for renewable electricity and the single market in Europe: the Ålands Vindkraft case. </w:t>
      </w:r>
      <w:r w:rsidRPr="00A7547F">
        <w:rPr>
          <w:rFonts w:eastAsia="Calibri" w:cstheme="minorHAnsi"/>
          <w:i/>
          <w:iCs/>
          <w:sz w:val="22"/>
          <w:szCs w:val="22"/>
        </w:rPr>
        <w:t>Oxford Energy Comment</w:t>
      </w:r>
      <w:r w:rsidRPr="00D93209">
        <w:rPr>
          <w:rFonts w:eastAsia="Calibri" w:cstheme="minorHAnsi"/>
          <w:sz w:val="22"/>
          <w:szCs w:val="22"/>
        </w:rPr>
        <w:t>. Oxford Institute for Energy Studies</w:t>
      </w:r>
    </w:p>
    <w:p w14:paraId="3D5C13AA" w14:textId="77777777" w:rsidR="00F449B8" w:rsidRDefault="00F449B8" w:rsidP="00F449B8">
      <w:pPr>
        <w:pStyle w:val="EndnoteText"/>
        <w:jc w:val="both"/>
        <w:rPr>
          <w:rFonts w:eastAsia="Calibri" w:cstheme="minorHAnsi"/>
          <w:sz w:val="22"/>
          <w:szCs w:val="22"/>
        </w:rPr>
      </w:pPr>
    </w:p>
    <w:p w14:paraId="6FC1A50B" w14:textId="77777777" w:rsidR="00F044E3" w:rsidRDefault="00F044E3" w:rsidP="00F044E3">
      <w:pPr>
        <w:spacing w:after="0" w:line="240" w:lineRule="auto"/>
        <w:jc w:val="both"/>
        <w:rPr>
          <w:rFonts w:cstheme="minorHAnsi"/>
        </w:rPr>
      </w:pPr>
      <w:r>
        <w:rPr>
          <w:rFonts w:cstheme="minorHAnsi"/>
        </w:rPr>
        <w:t>Dutton, J. &amp;</w:t>
      </w:r>
      <w:r w:rsidRPr="00D93209">
        <w:rPr>
          <w:rFonts w:cstheme="minorHAnsi"/>
        </w:rPr>
        <w:t xml:space="preserve"> Lockwood, M.</w:t>
      </w:r>
      <w:r>
        <w:rPr>
          <w:rFonts w:cstheme="minorHAnsi"/>
        </w:rPr>
        <w:t>, 2017.</w:t>
      </w:r>
      <w:r w:rsidRPr="00D93209">
        <w:rPr>
          <w:rFonts w:cstheme="minorHAnsi"/>
        </w:rPr>
        <w:t xml:space="preserve"> Ideas, institutions and interests in the politics of cross-border electricity interconnection: Greenlink, Britain and Ireland. </w:t>
      </w:r>
      <w:r w:rsidRPr="00D93209">
        <w:rPr>
          <w:rFonts w:cstheme="minorHAnsi"/>
          <w:i/>
          <w:iCs/>
        </w:rPr>
        <w:t>Energy Policy</w:t>
      </w:r>
      <w:r>
        <w:rPr>
          <w:rFonts w:cstheme="minorHAnsi"/>
          <w:i/>
          <w:iCs/>
        </w:rPr>
        <w:t>,</w:t>
      </w:r>
      <w:r w:rsidRPr="00D93209">
        <w:rPr>
          <w:rFonts w:cstheme="minorHAnsi"/>
        </w:rPr>
        <w:t xml:space="preserve"> </w:t>
      </w:r>
      <w:r w:rsidRPr="002E179B">
        <w:rPr>
          <w:rFonts w:cstheme="minorHAnsi"/>
          <w:b/>
          <w:bCs/>
          <w:iCs/>
        </w:rPr>
        <w:t>105</w:t>
      </w:r>
      <w:r w:rsidRPr="00D93209">
        <w:rPr>
          <w:rFonts w:cstheme="minorHAnsi"/>
        </w:rPr>
        <w:t xml:space="preserve">, </w:t>
      </w:r>
      <w:r>
        <w:rPr>
          <w:rFonts w:cstheme="minorHAnsi"/>
        </w:rPr>
        <w:t xml:space="preserve">375-385 </w:t>
      </w:r>
    </w:p>
    <w:p w14:paraId="72E5801E" w14:textId="77777777" w:rsidR="00F044E3" w:rsidRPr="00D93209" w:rsidRDefault="00F044E3" w:rsidP="00F044E3">
      <w:pPr>
        <w:spacing w:after="0" w:line="240" w:lineRule="auto"/>
        <w:jc w:val="both"/>
        <w:rPr>
          <w:rFonts w:cstheme="minorHAnsi"/>
        </w:rPr>
      </w:pPr>
    </w:p>
    <w:p w14:paraId="10AE0DE1" w14:textId="77777777" w:rsidR="00F449B8" w:rsidRPr="00E47ED7" w:rsidRDefault="00F449B8" w:rsidP="00F449B8">
      <w:pPr>
        <w:pStyle w:val="EndnoteText"/>
        <w:jc w:val="both"/>
        <w:rPr>
          <w:rFonts w:cstheme="minorHAnsi"/>
          <w:sz w:val="22"/>
          <w:szCs w:val="22"/>
        </w:rPr>
      </w:pPr>
      <w:r>
        <w:rPr>
          <w:rFonts w:cstheme="minorHAnsi"/>
          <w:sz w:val="22"/>
          <w:szCs w:val="22"/>
        </w:rPr>
        <w:t>EC, 2017.</w:t>
      </w:r>
      <w:r w:rsidRPr="00E47ED7">
        <w:rPr>
          <w:rFonts w:cstheme="minorHAnsi"/>
          <w:sz w:val="22"/>
          <w:szCs w:val="22"/>
        </w:rPr>
        <w:t xml:space="preserve"> European Commission DG ENER Expert Group on electricity interconnection targets, November 2017. Towards a sustainable and integrated Europe. </w:t>
      </w:r>
    </w:p>
    <w:p w14:paraId="0057275D" w14:textId="77777777" w:rsidR="00F449B8" w:rsidRDefault="00324FFA" w:rsidP="00F449B8">
      <w:pPr>
        <w:pStyle w:val="EndnoteText"/>
        <w:jc w:val="both"/>
        <w:rPr>
          <w:rFonts w:cstheme="minorHAnsi"/>
          <w:sz w:val="22"/>
          <w:szCs w:val="22"/>
        </w:rPr>
      </w:pPr>
      <w:hyperlink r:id="rId10" w:history="1">
        <w:r w:rsidR="00F449B8" w:rsidRPr="003D70B0">
          <w:rPr>
            <w:rStyle w:val="Hyperlink"/>
            <w:rFonts w:cstheme="minorHAnsi"/>
            <w:sz w:val="22"/>
            <w:szCs w:val="22"/>
          </w:rPr>
          <w:t>https://ec.europa.eu/energy/sites/ener/files/documents/report_of_the_commission_expert_group_on_electricity_interconnection_targets.pdf</w:t>
        </w:r>
      </w:hyperlink>
    </w:p>
    <w:p w14:paraId="2A8DDE39" w14:textId="77777777" w:rsidR="00F449B8" w:rsidRPr="008E1812" w:rsidRDefault="00F449B8" w:rsidP="00F449B8">
      <w:pPr>
        <w:spacing w:after="0" w:line="240" w:lineRule="auto"/>
        <w:jc w:val="both"/>
        <w:rPr>
          <w:rFonts w:cstheme="minorHAnsi"/>
          <w:lang w:val="en-US"/>
        </w:rPr>
      </w:pPr>
    </w:p>
    <w:p w14:paraId="5B4BDBBF" w14:textId="77777777" w:rsidR="00F449B8" w:rsidRPr="00751B8B" w:rsidRDefault="00F449B8" w:rsidP="00F449B8">
      <w:pPr>
        <w:pStyle w:val="EndnoteText"/>
        <w:jc w:val="both"/>
        <w:rPr>
          <w:rFonts w:cstheme="minorHAnsi"/>
          <w:sz w:val="22"/>
          <w:szCs w:val="22"/>
          <w:vertAlign w:val="superscript"/>
        </w:rPr>
      </w:pPr>
      <w:r>
        <w:rPr>
          <w:rFonts w:eastAsia="Calibri" w:cstheme="minorHAnsi"/>
          <w:sz w:val="22"/>
          <w:szCs w:val="22"/>
        </w:rPr>
        <w:t>Eckert, V., 2018.</w:t>
      </w:r>
      <w:r w:rsidRPr="00945A44">
        <w:rPr>
          <w:rFonts w:eastAsia="Calibri" w:cstheme="minorHAnsi"/>
          <w:sz w:val="22"/>
          <w:szCs w:val="22"/>
        </w:rPr>
        <w:t xml:space="preserve"> EU tells German grid operator TenneT to raise access for Nordic power. </w:t>
      </w:r>
      <w:r w:rsidRPr="00751B8B">
        <w:rPr>
          <w:rFonts w:eastAsia="Calibri" w:cstheme="minorHAnsi"/>
          <w:i/>
          <w:iCs/>
          <w:sz w:val="22"/>
          <w:szCs w:val="22"/>
        </w:rPr>
        <w:t>Reuters</w:t>
      </w:r>
      <w:r w:rsidRPr="00751B8B">
        <w:rPr>
          <w:rFonts w:eastAsia="Calibri" w:cstheme="minorHAnsi"/>
          <w:sz w:val="22"/>
          <w:szCs w:val="22"/>
        </w:rPr>
        <w:t xml:space="preserve">, </w:t>
      </w:r>
      <w:r w:rsidRPr="00945A44">
        <w:rPr>
          <w:rFonts w:eastAsia="Calibri" w:cstheme="minorHAnsi"/>
          <w:sz w:val="22"/>
          <w:szCs w:val="22"/>
        </w:rPr>
        <w:t>7 December 2018</w:t>
      </w:r>
      <w:r>
        <w:rPr>
          <w:rFonts w:eastAsia="Calibri" w:cstheme="minorHAnsi"/>
          <w:sz w:val="22"/>
          <w:szCs w:val="22"/>
        </w:rPr>
        <w:t>.</w:t>
      </w:r>
      <w:r w:rsidRPr="00751B8B">
        <w:rPr>
          <w:rFonts w:eastAsia="Calibri" w:cstheme="minorHAnsi"/>
          <w:sz w:val="22"/>
          <w:szCs w:val="22"/>
        </w:rPr>
        <w:t xml:space="preserve"> </w:t>
      </w:r>
      <w:hyperlink r:id="rId11" w:history="1">
        <w:r w:rsidRPr="00751B8B">
          <w:rPr>
            <w:rStyle w:val="Hyperlink"/>
            <w:rFonts w:eastAsia="Calibri" w:cstheme="minorHAnsi"/>
            <w:sz w:val="22"/>
            <w:szCs w:val="22"/>
          </w:rPr>
          <w:t>https://uk.reuters.com/article/uk-eu-antitrust-tennet/eu-tells-german-grid-operator-tennet-to-raise-access-for-nordic-power-idUKKBN1O619E</w:t>
        </w:r>
      </w:hyperlink>
    </w:p>
    <w:p w14:paraId="083A02D6" w14:textId="77777777" w:rsidR="00F449B8" w:rsidRPr="00751B8B" w:rsidRDefault="00F449B8" w:rsidP="00F449B8">
      <w:pPr>
        <w:pStyle w:val="EndnoteText"/>
        <w:jc w:val="both"/>
        <w:rPr>
          <w:rFonts w:cstheme="minorHAnsi"/>
          <w:sz w:val="22"/>
          <w:szCs w:val="22"/>
        </w:rPr>
      </w:pPr>
    </w:p>
    <w:p w14:paraId="0D049C60" w14:textId="77777777" w:rsidR="00F449B8" w:rsidRPr="00D93209" w:rsidRDefault="00F449B8" w:rsidP="00F449B8">
      <w:pPr>
        <w:pStyle w:val="EndnoteText"/>
        <w:jc w:val="both"/>
        <w:rPr>
          <w:rFonts w:cstheme="minorHAnsi"/>
          <w:sz w:val="22"/>
          <w:szCs w:val="22"/>
        </w:rPr>
      </w:pPr>
      <w:r w:rsidRPr="0017609A">
        <w:rPr>
          <w:rFonts w:cstheme="minorHAnsi"/>
          <w:sz w:val="22"/>
          <w:szCs w:val="22"/>
          <w:lang w:val="de-DE"/>
        </w:rPr>
        <w:t xml:space="preserve">Egli, F., Steffen, B. &amp; Schmidt, T.S., 2018. </w:t>
      </w:r>
      <w:r w:rsidRPr="00D93209">
        <w:rPr>
          <w:rFonts w:cstheme="minorHAnsi"/>
          <w:sz w:val="22"/>
          <w:szCs w:val="22"/>
        </w:rPr>
        <w:t xml:space="preserve">A dynamic analysis of financing conditions for renewable energy technologies. </w:t>
      </w:r>
      <w:r w:rsidRPr="00D93209">
        <w:rPr>
          <w:rFonts w:cstheme="minorHAnsi"/>
          <w:i/>
          <w:iCs/>
          <w:sz w:val="22"/>
          <w:szCs w:val="22"/>
        </w:rPr>
        <w:t>Nat</w:t>
      </w:r>
      <w:r>
        <w:rPr>
          <w:rFonts w:cstheme="minorHAnsi"/>
          <w:i/>
          <w:iCs/>
          <w:sz w:val="22"/>
          <w:szCs w:val="22"/>
        </w:rPr>
        <w:t>ure</w:t>
      </w:r>
      <w:r w:rsidRPr="00D93209">
        <w:rPr>
          <w:rFonts w:cstheme="minorHAnsi"/>
          <w:i/>
          <w:iCs/>
          <w:sz w:val="22"/>
          <w:szCs w:val="22"/>
        </w:rPr>
        <w:t xml:space="preserve"> Energy</w:t>
      </w:r>
      <w:r>
        <w:rPr>
          <w:rFonts w:cstheme="minorHAnsi"/>
          <w:i/>
          <w:iCs/>
          <w:sz w:val="22"/>
          <w:szCs w:val="22"/>
        </w:rPr>
        <w:t>,</w:t>
      </w:r>
      <w:r w:rsidRPr="00D93209">
        <w:rPr>
          <w:rFonts w:cstheme="minorHAnsi"/>
          <w:sz w:val="22"/>
          <w:szCs w:val="22"/>
        </w:rPr>
        <w:t xml:space="preserve"> </w:t>
      </w:r>
      <w:r w:rsidRPr="00D93209">
        <w:rPr>
          <w:rFonts w:cstheme="minorHAnsi"/>
          <w:b/>
          <w:bCs/>
          <w:sz w:val="22"/>
          <w:szCs w:val="22"/>
        </w:rPr>
        <w:t xml:space="preserve">3, </w:t>
      </w:r>
      <w:r w:rsidRPr="00D93209">
        <w:rPr>
          <w:rFonts w:cstheme="minorHAnsi"/>
          <w:sz w:val="22"/>
          <w:szCs w:val="22"/>
        </w:rPr>
        <w:t>1084–1092</w:t>
      </w:r>
      <w:r>
        <w:rPr>
          <w:rFonts w:cstheme="minorHAnsi"/>
          <w:sz w:val="22"/>
          <w:szCs w:val="22"/>
        </w:rPr>
        <w:t>.</w:t>
      </w:r>
    </w:p>
    <w:p w14:paraId="6ADA1939" w14:textId="77777777" w:rsidR="00F449B8" w:rsidRDefault="00F449B8" w:rsidP="00E47ED7">
      <w:pPr>
        <w:pStyle w:val="EndnoteText"/>
        <w:jc w:val="both"/>
        <w:rPr>
          <w:rFonts w:eastAsia="Arial" w:cstheme="minorHAnsi"/>
          <w:sz w:val="22"/>
          <w:szCs w:val="22"/>
        </w:rPr>
      </w:pPr>
    </w:p>
    <w:p w14:paraId="33EF243F" w14:textId="77777777" w:rsidR="00F449B8" w:rsidRDefault="00F449B8" w:rsidP="00F449B8">
      <w:pPr>
        <w:spacing w:after="0" w:line="240" w:lineRule="auto"/>
        <w:jc w:val="both"/>
        <w:rPr>
          <w:rFonts w:cstheme="minorHAnsi"/>
        </w:rPr>
      </w:pPr>
      <w:r>
        <w:rPr>
          <w:rFonts w:cstheme="minorHAnsi"/>
        </w:rPr>
        <w:t xml:space="preserve">ENTSO-E, 2017. </w:t>
      </w:r>
      <w:r w:rsidRPr="00D93209">
        <w:rPr>
          <w:rFonts w:cstheme="minorHAnsi"/>
        </w:rPr>
        <w:t>For a list of European TSOs’ voltages see ENTSO-E, Overview of Transmission Tariffs in Europe, June 2017, p. 37</w:t>
      </w:r>
      <w:r>
        <w:rPr>
          <w:rFonts w:cstheme="minorHAnsi"/>
        </w:rPr>
        <w:t>.</w:t>
      </w:r>
    </w:p>
    <w:p w14:paraId="784E43AC" w14:textId="77777777" w:rsidR="00F449B8" w:rsidRPr="00D93209" w:rsidRDefault="00F449B8" w:rsidP="00F449B8">
      <w:pPr>
        <w:spacing w:after="0" w:line="240" w:lineRule="auto"/>
        <w:jc w:val="both"/>
        <w:rPr>
          <w:rFonts w:cstheme="minorHAnsi"/>
          <w:b/>
          <w:bCs/>
        </w:rPr>
      </w:pPr>
    </w:p>
    <w:p w14:paraId="25F93378" w14:textId="77777777" w:rsidR="00F449B8" w:rsidRDefault="00F449B8" w:rsidP="00F449B8">
      <w:pPr>
        <w:pStyle w:val="EndnoteText"/>
        <w:jc w:val="both"/>
        <w:rPr>
          <w:rFonts w:eastAsia="Calibri" w:cstheme="minorHAnsi"/>
          <w:sz w:val="22"/>
          <w:szCs w:val="22"/>
          <w:lang w:eastAsia="en-GB"/>
        </w:rPr>
      </w:pPr>
      <w:r w:rsidRPr="004B2854">
        <w:rPr>
          <w:rFonts w:eastAsia="Calibri" w:cstheme="minorHAnsi"/>
          <w:sz w:val="22"/>
          <w:szCs w:val="22"/>
          <w:lang w:eastAsia="en-GB"/>
        </w:rPr>
        <w:t>European Commission</w:t>
      </w:r>
      <w:r>
        <w:rPr>
          <w:rFonts w:eastAsia="Calibri" w:cstheme="minorHAnsi"/>
          <w:sz w:val="22"/>
          <w:szCs w:val="22"/>
          <w:lang w:eastAsia="en-GB"/>
        </w:rPr>
        <w:t>, 2018.</w:t>
      </w:r>
      <w:r w:rsidRPr="004B2854">
        <w:rPr>
          <w:rFonts w:eastAsia="Calibri" w:cstheme="minorHAnsi"/>
          <w:sz w:val="22"/>
          <w:szCs w:val="22"/>
          <w:lang w:eastAsia="en-GB"/>
        </w:rPr>
        <w:t xml:space="preserve"> European Commission Staff Working Document, Mid Term Evaluation C</w:t>
      </w:r>
      <w:r>
        <w:rPr>
          <w:rFonts w:eastAsia="Calibri" w:cstheme="minorHAnsi"/>
          <w:sz w:val="22"/>
          <w:szCs w:val="22"/>
          <w:lang w:eastAsia="en-GB"/>
        </w:rPr>
        <w:t>onnecting Europe Facility (C</w:t>
      </w:r>
      <w:r w:rsidRPr="004B2854">
        <w:rPr>
          <w:rFonts w:eastAsia="Calibri" w:cstheme="minorHAnsi"/>
          <w:sz w:val="22"/>
          <w:szCs w:val="22"/>
          <w:lang w:eastAsia="en-GB"/>
        </w:rPr>
        <w:t>EF</w:t>
      </w:r>
      <w:r>
        <w:rPr>
          <w:rFonts w:eastAsia="Calibri" w:cstheme="minorHAnsi"/>
          <w:sz w:val="22"/>
          <w:szCs w:val="22"/>
          <w:lang w:eastAsia="en-GB"/>
        </w:rPr>
        <w:t>)</w:t>
      </w:r>
      <w:r w:rsidRPr="004B2854">
        <w:rPr>
          <w:rFonts w:eastAsia="Calibri" w:cstheme="minorHAnsi"/>
          <w:sz w:val="22"/>
          <w:szCs w:val="22"/>
          <w:lang w:eastAsia="en-GB"/>
        </w:rPr>
        <w:t xml:space="preserve">, </w:t>
      </w:r>
      <w:hyperlink r:id="rId12" w:history="1">
        <w:r w:rsidRPr="00BD5E99">
          <w:rPr>
            <w:rStyle w:val="Hyperlink"/>
            <w:rFonts w:eastAsia="Calibri" w:cstheme="minorHAnsi"/>
            <w:sz w:val="22"/>
            <w:szCs w:val="22"/>
            <w:lang w:eastAsia="en-GB"/>
          </w:rPr>
          <w:t>https://ec.europa.eu/info/publications/mid-term-evaluation-connecting-europe-facility-cef_en</w:t>
        </w:r>
      </w:hyperlink>
    </w:p>
    <w:p w14:paraId="64384C3F" w14:textId="77777777" w:rsidR="00F449B8" w:rsidRDefault="00F449B8" w:rsidP="00F449B8">
      <w:pPr>
        <w:pStyle w:val="EndnoteText"/>
        <w:jc w:val="both"/>
        <w:rPr>
          <w:rFonts w:cstheme="minorHAnsi"/>
          <w:sz w:val="22"/>
          <w:szCs w:val="22"/>
        </w:rPr>
      </w:pPr>
    </w:p>
    <w:p w14:paraId="6D8725ED" w14:textId="77777777" w:rsidR="00F449B8" w:rsidRDefault="00F449B8" w:rsidP="00F449B8">
      <w:pPr>
        <w:spacing w:after="0" w:line="240" w:lineRule="auto"/>
        <w:jc w:val="both"/>
        <w:rPr>
          <w:rFonts w:eastAsia="Calibri" w:cstheme="minorHAnsi"/>
          <w:lang w:eastAsia="en-GB"/>
        </w:rPr>
      </w:pPr>
      <w:r w:rsidRPr="00D93209">
        <w:rPr>
          <w:rFonts w:eastAsia="Calibri" w:cstheme="minorHAnsi"/>
          <w:lang w:eastAsia="en-GB"/>
        </w:rPr>
        <w:t>European Parliament</w:t>
      </w:r>
      <w:r>
        <w:rPr>
          <w:rFonts w:eastAsia="Calibri" w:cstheme="minorHAnsi"/>
          <w:lang w:eastAsia="en-GB"/>
        </w:rPr>
        <w:t>, 2016.</w:t>
      </w:r>
      <w:r w:rsidRPr="00D93209">
        <w:rPr>
          <w:rFonts w:eastAsia="Calibri" w:cstheme="minorHAnsi"/>
          <w:lang w:eastAsia="en-GB"/>
        </w:rPr>
        <w:t xml:space="preserve"> European Parliament legislative resolution of 26 March 2019 on the proposal for a regulation of the European Parliament and of the Council on the internal market for electricity (recast) (COM(2016)0861 – C8-0492/2016 – 2016/0379(COD)). </w:t>
      </w:r>
    </w:p>
    <w:p w14:paraId="74C6EC75" w14:textId="77777777" w:rsidR="00F449B8" w:rsidRDefault="00F449B8" w:rsidP="00F449B8">
      <w:pPr>
        <w:spacing w:after="0" w:line="240" w:lineRule="auto"/>
        <w:jc w:val="both"/>
        <w:rPr>
          <w:rFonts w:eastAsia="Calibri" w:cstheme="minorHAnsi"/>
          <w:lang w:eastAsia="en-GB"/>
        </w:rPr>
      </w:pPr>
    </w:p>
    <w:p w14:paraId="200BD83E" w14:textId="77777777" w:rsidR="00F044E3" w:rsidRDefault="00F044E3" w:rsidP="00F044E3">
      <w:pPr>
        <w:pStyle w:val="EndnoteText"/>
        <w:jc w:val="both"/>
        <w:rPr>
          <w:rFonts w:eastAsia="Calibri" w:cstheme="minorHAnsi"/>
          <w:sz w:val="22"/>
          <w:szCs w:val="22"/>
        </w:rPr>
      </w:pPr>
      <w:r w:rsidRPr="00F47F56">
        <w:rPr>
          <w:rFonts w:eastAsia="Calibri" w:cstheme="minorHAnsi"/>
          <w:sz w:val="22"/>
          <w:szCs w:val="22"/>
        </w:rPr>
        <w:t>Fitch-Roy, O.</w:t>
      </w:r>
      <w:r>
        <w:rPr>
          <w:rFonts w:eastAsia="Calibri" w:cstheme="minorHAnsi"/>
          <w:sz w:val="22"/>
          <w:szCs w:val="22"/>
        </w:rPr>
        <w:t>, 2016.</w:t>
      </w:r>
      <w:r w:rsidRPr="00F47F56">
        <w:rPr>
          <w:rFonts w:eastAsia="Calibri" w:cstheme="minorHAnsi"/>
          <w:sz w:val="22"/>
          <w:szCs w:val="22"/>
        </w:rPr>
        <w:t xml:space="preserve"> An offshore wind union? Diversity and convergence in European offshore wind governance. </w:t>
      </w:r>
      <w:r w:rsidRPr="003A313C">
        <w:rPr>
          <w:rFonts w:eastAsia="Calibri" w:cstheme="minorHAnsi"/>
          <w:i/>
          <w:sz w:val="22"/>
          <w:szCs w:val="22"/>
        </w:rPr>
        <w:t>Climate Policy</w:t>
      </w:r>
      <w:r>
        <w:rPr>
          <w:rFonts w:eastAsia="Calibri" w:cstheme="minorHAnsi"/>
          <w:i/>
          <w:sz w:val="22"/>
          <w:szCs w:val="22"/>
        </w:rPr>
        <w:t>,</w:t>
      </w:r>
      <w:r w:rsidRPr="00F47F56">
        <w:rPr>
          <w:rFonts w:eastAsia="Calibri" w:cstheme="minorHAnsi"/>
          <w:sz w:val="22"/>
          <w:szCs w:val="22"/>
        </w:rPr>
        <w:t xml:space="preserve"> </w:t>
      </w:r>
      <w:r w:rsidRPr="00F47F56">
        <w:rPr>
          <w:rFonts w:eastAsia="Calibri" w:cstheme="minorHAnsi"/>
          <w:b/>
          <w:bCs/>
          <w:sz w:val="22"/>
          <w:szCs w:val="22"/>
        </w:rPr>
        <w:t>16(5),</w:t>
      </w:r>
      <w:r>
        <w:rPr>
          <w:rFonts w:eastAsia="Calibri" w:cstheme="minorHAnsi"/>
          <w:sz w:val="22"/>
          <w:szCs w:val="22"/>
        </w:rPr>
        <w:t xml:space="preserve"> 586-605</w:t>
      </w:r>
    </w:p>
    <w:p w14:paraId="0173970C" w14:textId="77777777" w:rsidR="00F044E3" w:rsidRPr="00F47F56" w:rsidRDefault="00F044E3" w:rsidP="00F044E3">
      <w:pPr>
        <w:pStyle w:val="EndnoteText"/>
        <w:jc w:val="both"/>
        <w:rPr>
          <w:rFonts w:eastAsia="Calibri" w:cstheme="minorHAnsi"/>
          <w:sz w:val="22"/>
          <w:szCs w:val="22"/>
        </w:rPr>
      </w:pPr>
    </w:p>
    <w:p w14:paraId="478715A3" w14:textId="77777777" w:rsidR="00F449B8" w:rsidRPr="00D93209" w:rsidRDefault="00F449B8" w:rsidP="00F449B8">
      <w:pPr>
        <w:spacing w:after="0" w:line="240" w:lineRule="auto"/>
        <w:jc w:val="both"/>
        <w:rPr>
          <w:rFonts w:cstheme="minorHAnsi"/>
        </w:rPr>
      </w:pPr>
      <w:r w:rsidRPr="00D93209">
        <w:rPr>
          <w:rFonts w:cstheme="minorHAnsi"/>
        </w:rPr>
        <w:t>Flynn, B.</w:t>
      </w:r>
      <w:r>
        <w:rPr>
          <w:rFonts w:cstheme="minorHAnsi"/>
        </w:rPr>
        <w:t>, 2016.</w:t>
      </w:r>
      <w:r w:rsidRPr="00D93209">
        <w:rPr>
          <w:rFonts w:cstheme="minorHAnsi"/>
        </w:rPr>
        <w:t xml:space="preserve"> Marine wind energy and the North Sea Offshore Grid Initiative: A Multi-Level Perspective on a stalled technology transition?. </w:t>
      </w:r>
      <w:r w:rsidRPr="00D93209">
        <w:rPr>
          <w:rFonts w:cstheme="minorHAnsi"/>
          <w:i/>
          <w:iCs/>
        </w:rPr>
        <w:t xml:space="preserve">Energy </w:t>
      </w:r>
      <w:r>
        <w:rPr>
          <w:rFonts w:cstheme="minorHAnsi"/>
          <w:i/>
          <w:iCs/>
        </w:rPr>
        <w:t>R</w:t>
      </w:r>
      <w:r w:rsidRPr="00D93209">
        <w:rPr>
          <w:rFonts w:cstheme="minorHAnsi"/>
          <w:i/>
          <w:iCs/>
        </w:rPr>
        <w:t xml:space="preserve">esearch &amp; </w:t>
      </w:r>
      <w:r>
        <w:rPr>
          <w:rFonts w:cstheme="minorHAnsi"/>
          <w:i/>
          <w:iCs/>
        </w:rPr>
        <w:t>S</w:t>
      </w:r>
      <w:r w:rsidRPr="00D93209">
        <w:rPr>
          <w:rFonts w:cstheme="minorHAnsi"/>
          <w:i/>
          <w:iCs/>
        </w:rPr>
        <w:t xml:space="preserve">ocial </w:t>
      </w:r>
      <w:r>
        <w:rPr>
          <w:rFonts w:cstheme="minorHAnsi"/>
          <w:i/>
          <w:iCs/>
        </w:rPr>
        <w:t>S</w:t>
      </w:r>
      <w:r w:rsidRPr="00D93209">
        <w:rPr>
          <w:rFonts w:cstheme="minorHAnsi"/>
          <w:i/>
          <w:iCs/>
        </w:rPr>
        <w:t>cience</w:t>
      </w:r>
      <w:r>
        <w:rPr>
          <w:rFonts w:cstheme="minorHAnsi"/>
          <w:i/>
          <w:iCs/>
        </w:rPr>
        <w:t>,</w:t>
      </w:r>
      <w:r w:rsidRPr="00D93209">
        <w:rPr>
          <w:rFonts w:cstheme="minorHAnsi"/>
        </w:rPr>
        <w:t xml:space="preserve"> </w:t>
      </w:r>
      <w:r w:rsidRPr="00945A44">
        <w:rPr>
          <w:rFonts w:cstheme="minorHAnsi"/>
          <w:b/>
          <w:bCs/>
          <w:iCs/>
        </w:rPr>
        <w:t>22</w:t>
      </w:r>
      <w:r w:rsidRPr="00D93209">
        <w:rPr>
          <w:rFonts w:cstheme="minorHAnsi"/>
        </w:rPr>
        <w:t>, 36-51</w:t>
      </w:r>
      <w:r>
        <w:rPr>
          <w:rFonts w:cstheme="minorHAnsi"/>
        </w:rPr>
        <w:t xml:space="preserve"> </w:t>
      </w:r>
    </w:p>
    <w:p w14:paraId="2455E3B6" w14:textId="77777777" w:rsidR="00F449B8" w:rsidRDefault="00F449B8" w:rsidP="00F449B8">
      <w:pPr>
        <w:spacing w:after="0" w:line="240" w:lineRule="auto"/>
        <w:jc w:val="both"/>
        <w:rPr>
          <w:rFonts w:cstheme="minorHAnsi"/>
        </w:rPr>
      </w:pPr>
    </w:p>
    <w:p w14:paraId="0F975589" w14:textId="77777777" w:rsidR="00F449B8" w:rsidRPr="00D93209" w:rsidRDefault="00F449B8" w:rsidP="00F449B8">
      <w:pPr>
        <w:spacing w:after="0" w:line="240" w:lineRule="auto"/>
        <w:jc w:val="both"/>
        <w:rPr>
          <w:rFonts w:cstheme="minorHAnsi"/>
        </w:rPr>
      </w:pPr>
      <w:r w:rsidRPr="00D93209">
        <w:rPr>
          <w:rFonts w:cstheme="minorHAnsi"/>
        </w:rPr>
        <w:t>Francos, P.L., Verdugo, S.S.,</w:t>
      </w:r>
      <w:r>
        <w:rPr>
          <w:rFonts w:cstheme="minorHAnsi"/>
        </w:rPr>
        <w:t xml:space="preserve"> Álvarez, H.F., Guyomarch, S. &amp;</w:t>
      </w:r>
      <w:r w:rsidRPr="00D93209">
        <w:rPr>
          <w:rFonts w:cstheme="minorHAnsi"/>
        </w:rPr>
        <w:t xml:space="preserve"> Loncle, J.</w:t>
      </w:r>
      <w:r>
        <w:rPr>
          <w:rFonts w:cstheme="minorHAnsi"/>
        </w:rPr>
        <w:t>, 2012.</w:t>
      </w:r>
      <w:r w:rsidRPr="00D93209">
        <w:rPr>
          <w:rFonts w:cstheme="minorHAnsi"/>
        </w:rPr>
        <w:t xml:space="preserve"> INELFE—Europe's first integrated onshore HVDC interconnection. In </w:t>
      </w:r>
      <w:r w:rsidRPr="00D93209">
        <w:rPr>
          <w:rFonts w:cstheme="minorHAnsi"/>
          <w:i/>
          <w:iCs/>
        </w:rPr>
        <w:t>2012 IEEE power and energy society general meeting</w:t>
      </w:r>
      <w:r>
        <w:rPr>
          <w:rFonts w:cstheme="minorHAnsi"/>
        </w:rPr>
        <w:t xml:space="preserve">. </w:t>
      </w:r>
      <w:r w:rsidRPr="00D93209">
        <w:rPr>
          <w:rFonts w:cstheme="minorHAnsi"/>
        </w:rPr>
        <w:t>1-8</w:t>
      </w:r>
      <w:r>
        <w:rPr>
          <w:rFonts w:cstheme="minorHAnsi"/>
        </w:rPr>
        <w:t xml:space="preserve"> </w:t>
      </w:r>
      <w:r w:rsidRPr="00D93209">
        <w:rPr>
          <w:rFonts w:cstheme="minorHAnsi"/>
        </w:rPr>
        <w:t>.</w:t>
      </w:r>
    </w:p>
    <w:p w14:paraId="3BB930A0" w14:textId="77777777" w:rsidR="00F449B8" w:rsidRDefault="00F449B8" w:rsidP="00F449B8">
      <w:pPr>
        <w:spacing w:after="0" w:line="240" w:lineRule="auto"/>
        <w:jc w:val="both"/>
        <w:rPr>
          <w:rFonts w:cstheme="minorHAnsi"/>
        </w:rPr>
      </w:pPr>
    </w:p>
    <w:p w14:paraId="1F05A7AF" w14:textId="77777777" w:rsidR="00F449B8" w:rsidRPr="0017609A" w:rsidRDefault="00F449B8" w:rsidP="00F449B8">
      <w:pPr>
        <w:spacing w:after="0" w:line="240" w:lineRule="auto"/>
        <w:jc w:val="both"/>
        <w:rPr>
          <w:rFonts w:cstheme="minorHAnsi"/>
          <w:lang w:val="it-IT"/>
        </w:rPr>
      </w:pPr>
      <w:r w:rsidRPr="00D93209">
        <w:rPr>
          <w:rFonts w:cstheme="minorHAnsi"/>
        </w:rPr>
        <w:t>Glachant, J.M.</w:t>
      </w:r>
      <w:r>
        <w:rPr>
          <w:rFonts w:cstheme="minorHAnsi"/>
        </w:rPr>
        <w:t>, 2016.</w:t>
      </w:r>
      <w:r w:rsidRPr="00D93209">
        <w:rPr>
          <w:rFonts w:cstheme="minorHAnsi"/>
        </w:rPr>
        <w:t xml:space="preserve"> Tacking stock of the EU “Power Target Model”… and steering its future course. </w:t>
      </w:r>
      <w:r w:rsidRPr="0017609A">
        <w:rPr>
          <w:rFonts w:cstheme="minorHAnsi"/>
          <w:i/>
          <w:iCs/>
          <w:lang w:val="it-IT"/>
        </w:rPr>
        <w:t>Energy Policy,</w:t>
      </w:r>
      <w:r w:rsidRPr="0017609A">
        <w:rPr>
          <w:rFonts w:cstheme="minorHAnsi"/>
          <w:lang w:val="it-IT"/>
        </w:rPr>
        <w:t xml:space="preserve"> </w:t>
      </w:r>
      <w:r w:rsidRPr="0017609A">
        <w:rPr>
          <w:rFonts w:cstheme="minorHAnsi"/>
          <w:b/>
          <w:bCs/>
          <w:iCs/>
          <w:lang w:val="it-IT"/>
        </w:rPr>
        <w:t>96</w:t>
      </w:r>
      <w:r w:rsidRPr="0017609A">
        <w:rPr>
          <w:rFonts w:cstheme="minorHAnsi"/>
          <w:lang w:val="it-IT"/>
        </w:rPr>
        <w:t>, 673-679</w:t>
      </w:r>
    </w:p>
    <w:p w14:paraId="36FEB1D3" w14:textId="77777777" w:rsidR="00F449B8" w:rsidRPr="0017609A" w:rsidRDefault="00F449B8" w:rsidP="00F449B8">
      <w:pPr>
        <w:pStyle w:val="EndnoteText"/>
        <w:jc w:val="both"/>
        <w:rPr>
          <w:rFonts w:cstheme="minorHAnsi"/>
          <w:sz w:val="22"/>
          <w:szCs w:val="22"/>
          <w:lang w:val="it-IT"/>
        </w:rPr>
      </w:pPr>
    </w:p>
    <w:p w14:paraId="63F8CFE8" w14:textId="77777777" w:rsidR="00F449B8" w:rsidRPr="00D93209" w:rsidRDefault="00F449B8" w:rsidP="00F449B8">
      <w:pPr>
        <w:spacing w:after="0" w:line="240" w:lineRule="auto"/>
        <w:jc w:val="both"/>
        <w:rPr>
          <w:rFonts w:cstheme="minorHAnsi"/>
        </w:rPr>
      </w:pPr>
      <w:r w:rsidRPr="0017609A">
        <w:rPr>
          <w:rFonts w:cstheme="minorHAnsi"/>
          <w:lang w:val="it-IT"/>
        </w:rPr>
        <w:t xml:space="preserve">Gomez, T., Herrero, I., Rodilla, P., Escobar, R., Lanza, S., de la Fuente, I., Llorens, M.L. &amp; Junco, P., 2019. </w:t>
      </w:r>
      <w:r w:rsidRPr="00D93209">
        <w:rPr>
          <w:rFonts w:cstheme="minorHAnsi"/>
        </w:rPr>
        <w:t xml:space="preserve">European Union electricity markets: Current practice and future view. </w:t>
      </w:r>
      <w:r w:rsidRPr="00D93209">
        <w:rPr>
          <w:rFonts w:cstheme="minorHAnsi"/>
          <w:i/>
          <w:iCs/>
        </w:rPr>
        <w:t>IEEE Power and Energy Magazine</w:t>
      </w:r>
      <w:r>
        <w:rPr>
          <w:rFonts w:cstheme="minorHAnsi"/>
          <w:i/>
          <w:iCs/>
        </w:rPr>
        <w:t>,</w:t>
      </w:r>
      <w:r w:rsidRPr="00D93209">
        <w:rPr>
          <w:rFonts w:cstheme="minorHAnsi"/>
        </w:rPr>
        <w:t xml:space="preserve"> </w:t>
      </w:r>
      <w:r w:rsidRPr="00945A44">
        <w:rPr>
          <w:rFonts w:cstheme="minorHAnsi"/>
          <w:b/>
          <w:bCs/>
          <w:iCs/>
        </w:rPr>
        <w:t>17</w:t>
      </w:r>
      <w:r w:rsidRPr="00693C35">
        <w:rPr>
          <w:rFonts w:cstheme="minorHAnsi"/>
          <w:b/>
          <w:bCs/>
        </w:rPr>
        <w:t>(1)</w:t>
      </w:r>
      <w:r w:rsidRPr="00D93209">
        <w:rPr>
          <w:rFonts w:cstheme="minorHAnsi"/>
        </w:rPr>
        <w:t>,</w:t>
      </w:r>
      <w:r>
        <w:rPr>
          <w:rFonts w:cstheme="minorHAnsi"/>
        </w:rPr>
        <w:t xml:space="preserve"> </w:t>
      </w:r>
      <w:r w:rsidRPr="00D93209">
        <w:rPr>
          <w:rFonts w:cstheme="minorHAnsi"/>
        </w:rPr>
        <w:t>24</w:t>
      </w:r>
      <w:r>
        <w:rPr>
          <w:rFonts w:cstheme="minorHAnsi"/>
        </w:rPr>
        <w:t xml:space="preserve"> </w:t>
      </w:r>
    </w:p>
    <w:p w14:paraId="5B4CD278" w14:textId="77777777" w:rsidR="00F449B8" w:rsidRDefault="00F449B8" w:rsidP="00F449B8">
      <w:pPr>
        <w:spacing w:after="0" w:line="240" w:lineRule="auto"/>
        <w:jc w:val="both"/>
        <w:rPr>
          <w:rFonts w:cstheme="minorHAnsi"/>
        </w:rPr>
      </w:pPr>
    </w:p>
    <w:p w14:paraId="6169CE1E" w14:textId="77777777" w:rsidR="00F044E3" w:rsidRDefault="00F044E3" w:rsidP="00F044E3">
      <w:pPr>
        <w:pStyle w:val="EndnoteText"/>
        <w:jc w:val="both"/>
        <w:rPr>
          <w:rFonts w:cstheme="minorHAnsi"/>
          <w:sz w:val="22"/>
          <w:szCs w:val="22"/>
        </w:rPr>
      </w:pPr>
      <w:r w:rsidRPr="00D93209">
        <w:rPr>
          <w:rFonts w:eastAsia="Calibri" w:cstheme="minorHAnsi"/>
          <w:sz w:val="22"/>
          <w:szCs w:val="22"/>
        </w:rPr>
        <w:t>Gorenstein-Dedecca, J., Lumbreras, S., Ramos, A., Hakvoort, R. and Herder, P.</w:t>
      </w:r>
      <w:r>
        <w:rPr>
          <w:rFonts w:eastAsia="Calibri" w:cstheme="minorHAnsi"/>
          <w:sz w:val="22"/>
          <w:szCs w:val="22"/>
        </w:rPr>
        <w:t>, 2018.</w:t>
      </w:r>
      <w:r w:rsidRPr="00D93209">
        <w:rPr>
          <w:rFonts w:eastAsia="Calibri" w:cstheme="minorHAnsi"/>
          <w:sz w:val="22"/>
          <w:szCs w:val="22"/>
        </w:rPr>
        <w:t xml:space="preserve"> Expansion planning of the North Sea offshore grid: Simulation of integrated governance constraints. </w:t>
      </w:r>
      <w:r w:rsidRPr="00D93209">
        <w:rPr>
          <w:rFonts w:eastAsia="Calibri" w:cstheme="minorHAnsi"/>
          <w:i/>
          <w:iCs/>
          <w:sz w:val="22"/>
          <w:szCs w:val="22"/>
        </w:rPr>
        <w:t>Energy Economics</w:t>
      </w:r>
      <w:r>
        <w:rPr>
          <w:rFonts w:eastAsia="Calibri" w:cstheme="minorHAnsi"/>
          <w:i/>
          <w:iCs/>
          <w:sz w:val="22"/>
          <w:szCs w:val="22"/>
        </w:rPr>
        <w:t>,</w:t>
      </w:r>
      <w:r w:rsidRPr="00D93209">
        <w:rPr>
          <w:rFonts w:eastAsia="Calibri" w:cstheme="minorHAnsi"/>
          <w:sz w:val="22"/>
          <w:szCs w:val="22"/>
        </w:rPr>
        <w:t xml:space="preserve"> </w:t>
      </w:r>
      <w:r w:rsidRPr="00AE1EA0">
        <w:rPr>
          <w:rFonts w:eastAsia="Calibri" w:cstheme="minorHAnsi"/>
          <w:b/>
          <w:bCs/>
          <w:sz w:val="22"/>
          <w:szCs w:val="22"/>
        </w:rPr>
        <w:t>72</w:t>
      </w:r>
      <w:r w:rsidRPr="00D93209">
        <w:rPr>
          <w:rFonts w:eastAsia="Calibri" w:cstheme="minorHAnsi"/>
          <w:sz w:val="22"/>
          <w:szCs w:val="22"/>
        </w:rPr>
        <w:t>, 376-392</w:t>
      </w:r>
      <w:r>
        <w:rPr>
          <w:rFonts w:eastAsia="Calibri" w:cstheme="minorHAnsi"/>
          <w:sz w:val="22"/>
          <w:szCs w:val="22"/>
        </w:rPr>
        <w:t xml:space="preserve"> </w:t>
      </w:r>
    </w:p>
    <w:p w14:paraId="33153A6D" w14:textId="77777777" w:rsidR="00F044E3" w:rsidRDefault="00F044E3" w:rsidP="00F044E3">
      <w:pPr>
        <w:pStyle w:val="EndnoteText"/>
        <w:jc w:val="both"/>
        <w:rPr>
          <w:rFonts w:cstheme="minorHAnsi"/>
          <w:sz w:val="22"/>
          <w:szCs w:val="22"/>
        </w:rPr>
      </w:pPr>
    </w:p>
    <w:p w14:paraId="2D33219B" w14:textId="77777777" w:rsidR="00F449B8" w:rsidRDefault="00F449B8" w:rsidP="00F449B8">
      <w:pPr>
        <w:spacing w:after="0" w:line="240" w:lineRule="auto"/>
        <w:jc w:val="both"/>
        <w:rPr>
          <w:rFonts w:cstheme="minorHAnsi"/>
        </w:rPr>
      </w:pPr>
      <w:r w:rsidRPr="00D93209">
        <w:rPr>
          <w:rFonts w:cstheme="minorHAnsi"/>
        </w:rPr>
        <w:t>Grigorjeva, J.</w:t>
      </w:r>
      <w:r>
        <w:rPr>
          <w:rFonts w:cstheme="minorHAnsi"/>
        </w:rPr>
        <w:t>, 2015.</w:t>
      </w:r>
      <w:r w:rsidRPr="00D93209">
        <w:rPr>
          <w:rFonts w:cstheme="minorHAnsi"/>
        </w:rPr>
        <w:t xml:space="preserve"> Capacity Mechanisms in the EU: </w:t>
      </w:r>
      <w:r>
        <w:rPr>
          <w:rFonts w:cstheme="minorHAnsi"/>
        </w:rPr>
        <w:t xml:space="preserve">Nationalizing Energy Security?, </w:t>
      </w:r>
      <w:r w:rsidRPr="00D93209">
        <w:rPr>
          <w:rFonts w:cstheme="minorHAnsi"/>
        </w:rPr>
        <w:t>Berlin:</w:t>
      </w:r>
      <w:r>
        <w:rPr>
          <w:rFonts w:cstheme="minorHAnsi"/>
        </w:rPr>
        <w:t xml:space="preserve"> Jacques-Delors-Institute.</w:t>
      </w:r>
    </w:p>
    <w:p w14:paraId="1D9D133F" w14:textId="77777777" w:rsidR="00F449B8" w:rsidRDefault="00F449B8" w:rsidP="00F449B8">
      <w:pPr>
        <w:spacing w:after="0" w:line="240" w:lineRule="auto"/>
        <w:jc w:val="both"/>
        <w:rPr>
          <w:rFonts w:cstheme="minorHAnsi"/>
        </w:rPr>
      </w:pPr>
    </w:p>
    <w:p w14:paraId="70464458" w14:textId="77777777" w:rsidR="00F449B8" w:rsidRPr="00D93209" w:rsidRDefault="00F449B8" w:rsidP="00F449B8">
      <w:pPr>
        <w:pStyle w:val="EndnoteText"/>
        <w:jc w:val="both"/>
        <w:rPr>
          <w:rFonts w:cstheme="minorHAnsi"/>
          <w:sz w:val="22"/>
          <w:szCs w:val="22"/>
          <w:highlight w:val="yellow"/>
        </w:rPr>
      </w:pPr>
      <w:r w:rsidRPr="0017609A">
        <w:rPr>
          <w:rFonts w:cstheme="minorHAnsi"/>
          <w:sz w:val="22"/>
          <w:szCs w:val="22"/>
          <w:lang w:val="nl-NL"/>
        </w:rPr>
        <w:t xml:space="preserve">Hadush, S., de Jonghe, C. &amp; Belmans, R., 2015. </w:t>
      </w:r>
      <w:r w:rsidRPr="00D93209">
        <w:rPr>
          <w:rFonts w:cstheme="minorHAnsi"/>
          <w:sz w:val="22"/>
          <w:szCs w:val="22"/>
        </w:rPr>
        <w:t xml:space="preserve">The implication of the European inter-TSO compensation mechanism for cross-border electricity transmission investments. </w:t>
      </w:r>
      <w:r w:rsidRPr="00985C91">
        <w:rPr>
          <w:rFonts w:cstheme="minorHAnsi"/>
          <w:i/>
          <w:iCs/>
          <w:sz w:val="22"/>
          <w:szCs w:val="22"/>
        </w:rPr>
        <w:t>International Journal of Electrical Power &amp; Energy Systems</w:t>
      </w:r>
      <w:r>
        <w:rPr>
          <w:rFonts w:cstheme="minorHAnsi"/>
          <w:i/>
          <w:iCs/>
          <w:sz w:val="22"/>
          <w:szCs w:val="22"/>
        </w:rPr>
        <w:t>,</w:t>
      </w:r>
      <w:r>
        <w:rPr>
          <w:rFonts w:cstheme="minorHAnsi"/>
          <w:sz w:val="22"/>
          <w:szCs w:val="22"/>
        </w:rPr>
        <w:t xml:space="preserve"> </w:t>
      </w:r>
      <w:r w:rsidRPr="00985C91">
        <w:rPr>
          <w:rFonts w:cstheme="minorHAnsi"/>
          <w:b/>
          <w:bCs/>
          <w:sz w:val="22"/>
          <w:szCs w:val="22"/>
        </w:rPr>
        <w:t>73</w:t>
      </w:r>
      <w:r>
        <w:rPr>
          <w:rFonts w:cstheme="minorHAnsi"/>
          <w:sz w:val="22"/>
          <w:szCs w:val="22"/>
        </w:rPr>
        <w:t>,</w:t>
      </w:r>
      <w:r w:rsidRPr="00D93209">
        <w:rPr>
          <w:rFonts w:cstheme="minorHAnsi"/>
          <w:sz w:val="22"/>
          <w:szCs w:val="22"/>
        </w:rPr>
        <w:t xml:space="preserve"> 674-683</w:t>
      </w:r>
    </w:p>
    <w:p w14:paraId="52B8D290" w14:textId="77777777" w:rsidR="00F449B8" w:rsidRDefault="00F449B8" w:rsidP="00F449B8">
      <w:pPr>
        <w:pStyle w:val="EndnoteText"/>
        <w:jc w:val="both"/>
        <w:rPr>
          <w:rFonts w:cstheme="minorHAnsi"/>
          <w:sz w:val="22"/>
          <w:szCs w:val="22"/>
          <w:highlight w:val="yellow"/>
        </w:rPr>
      </w:pPr>
    </w:p>
    <w:p w14:paraId="3D1619E6" w14:textId="0B6B46A9" w:rsidR="002467A7" w:rsidRDefault="002467A7" w:rsidP="00F449B8">
      <w:pPr>
        <w:pStyle w:val="EndnoteText"/>
        <w:jc w:val="both"/>
        <w:rPr>
          <w:rFonts w:cstheme="minorHAnsi"/>
          <w:sz w:val="22"/>
          <w:szCs w:val="22"/>
          <w:lang w:val="en-US"/>
        </w:rPr>
      </w:pPr>
      <w:r w:rsidRPr="002467A7">
        <w:rPr>
          <w:rFonts w:cstheme="minorHAnsi"/>
          <w:sz w:val="22"/>
          <w:szCs w:val="22"/>
          <w:lang w:val="en-US"/>
        </w:rPr>
        <w:t xml:space="preserve">Hafner, S., Jones, A., Anger, A., &amp; Pohl, J., 2020, Closing the green finance gap: a systems perspective, </w:t>
      </w:r>
      <w:r w:rsidRPr="002467A7">
        <w:rPr>
          <w:rFonts w:cstheme="minorHAnsi"/>
          <w:i/>
          <w:iCs/>
          <w:sz w:val="22"/>
          <w:szCs w:val="22"/>
          <w:lang w:val="en-US"/>
        </w:rPr>
        <w:t>Environmental Innovation and Societal Transitions</w:t>
      </w:r>
      <w:r w:rsidRPr="002467A7">
        <w:rPr>
          <w:rFonts w:cstheme="minorHAnsi"/>
          <w:sz w:val="22"/>
          <w:szCs w:val="22"/>
          <w:lang w:val="en-US"/>
        </w:rPr>
        <w:t>, 34, 26</w:t>
      </w:r>
    </w:p>
    <w:p w14:paraId="6DDC30F9" w14:textId="77777777" w:rsidR="002467A7" w:rsidRDefault="002467A7" w:rsidP="00F449B8">
      <w:pPr>
        <w:pStyle w:val="EndnoteText"/>
        <w:jc w:val="both"/>
        <w:rPr>
          <w:rFonts w:cstheme="minorHAnsi"/>
          <w:sz w:val="22"/>
          <w:szCs w:val="22"/>
          <w:lang w:val="en-US"/>
        </w:rPr>
      </w:pPr>
    </w:p>
    <w:p w14:paraId="2DF82CDB" w14:textId="13EC5DEE" w:rsidR="00F449B8" w:rsidRDefault="00F449B8" w:rsidP="00F449B8">
      <w:pPr>
        <w:pStyle w:val="EndnoteText"/>
        <w:jc w:val="both"/>
        <w:rPr>
          <w:rFonts w:cstheme="minorHAnsi"/>
          <w:sz w:val="22"/>
          <w:szCs w:val="22"/>
        </w:rPr>
      </w:pPr>
      <w:r w:rsidRPr="0017609A">
        <w:rPr>
          <w:rFonts w:cstheme="minorHAnsi"/>
          <w:sz w:val="22"/>
          <w:szCs w:val="22"/>
          <w:lang w:val="fr-FR"/>
        </w:rPr>
        <w:t xml:space="preserve">Höschle, H., Le Cadre, H. &amp; Belmans, R., 2018. </w:t>
      </w:r>
      <w:r w:rsidRPr="00D93209">
        <w:rPr>
          <w:rFonts w:cstheme="minorHAnsi"/>
          <w:sz w:val="22"/>
          <w:szCs w:val="22"/>
        </w:rPr>
        <w:t xml:space="preserve">Inefficiencies caused by non-harmonized capacity mechanisms in an interconnected electricity market. </w:t>
      </w:r>
      <w:r w:rsidRPr="00137778">
        <w:rPr>
          <w:rFonts w:cstheme="minorHAnsi"/>
          <w:i/>
          <w:iCs/>
          <w:sz w:val="22"/>
          <w:szCs w:val="22"/>
        </w:rPr>
        <w:t>Sustainable Energy, Grids and Networks</w:t>
      </w:r>
      <w:r>
        <w:rPr>
          <w:rFonts w:cstheme="minorHAnsi"/>
          <w:i/>
          <w:iCs/>
          <w:sz w:val="22"/>
          <w:szCs w:val="22"/>
        </w:rPr>
        <w:t>,</w:t>
      </w:r>
      <w:r w:rsidRPr="00D93209">
        <w:rPr>
          <w:rFonts w:cstheme="minorHAnsi"/>
          <w:sz w:val="22"/>
          <w:szCs w:val="22"/>
        </w:rPr>
        <w:t xml:space="preserve"> </w:t>
      </w:r>
      <w:r w:rsidRPr="00232C3C">
        <w:rPr>
          <w:rFonts w:cstheme="minorHAnsi"/>
          <w:b/>
          <w:bCs/>
          <w:i/>
          <w:iCs/>
          <w:sz w:val="22"/>
          <w:szCs w:val="22"/>
        </w:rPr>
        <w:t>13</w:t>
      </w:r>
      <w:r w:rsidRPr="00D93209">
        <w:rPr>
          <w:rFonts w:cstheme="minorHAnsi"/>
          <w:sz w:val="22"/>
          <w:szCs w:val="22"/>
        </w:rPr>
        <w:t xml:space="preserve">, </w:t>
      </w:r>
      <w:r>
        <w:rPr>
          <w:rFonts w:cstheme="minorHAnsi"/>
          <w:sz w:val="22"/>
          <w:szCs w:val="22"/>
        </w:rPr>
        <w:t xml:space="preserve">29-41 </w:t>
      </w:r>
    </w:p>
    <w:p w14:paraId="24DDA6A6" w14:textId="77777777" w:rsidR="00F449B8" w:rsidRDefault="00F449B8" w:rsidP="00F449B8">
      <w:pPr>
        <w:pStyle w:val="EndnoteText"/>
        <w:jc w:val="both"/>
        <w:rPr>
          <w:rFonts w:cstheme="minorHAnsi"/>
          <w:sz w:val="22"/>
          <w:szCs w:val="22"/>
        </w:rPr>
      </w:pPr>
    </w:p>
    <w:p w14:paraId="56BC1BE4" w14:textId="77777777" w:rsidR="00F449B8" w:rsidRPr="00D93209" w:rsidRDefault="00F449B8" w:rsidP="00F449B8">
      <w:pPr>
        <w:pStyle w:val="EndnoteText"/>
        <w:jc w:val="both"/>
        <w:rPr>
          <w:rFonts w:cstheme="minorHAnsi"/>
          <w:sz w:val="22"/>
          <w:szCs w:val="22"/>
        </w:rPr>
      </w:pPr>
      <w:r>
        <w:rPr>
          <w:rFonts w:eastAsia="Arial" w:cstheme="minorHAnsi"/>
          <w:sz w:val="22"/>
          <w:szCs w:val="22"/>
        </w:rPr>
        <w:t>Jacobsson, R. &amp;</w:t>
      </w:r>
      <w:r w:rsidRPr="00D93209">
        <w:rPr>
          <w:rFonts w:eastAsia="Arial" w:cstheme="minorHAnsi"/>
          <w:sz w:val="22"/>
          <w:szCs w:val="22"/>
        </w:rPr>
        <w:t xml:space="preserve"> Jacobsson, S.</w:t>
      </w:r>
      <w:r>
        <w:rPr>
          <w:rFonts w:eastAsia="Arial" w:cstheme="minorHAnsi"/>
          <w:sz w:val="22"/>
          <w:szCs w:val="22"/>
        </w:rPr>
        <w:t>, 2012.</w:t>
      </w:r>
      <w:r w:rsidRPr="00D93209">
        <w:rPr>
          <w:rFonts w:eastAsia="Arial" w:cstheme="minorHAnsi"/>
          <w:sz w:val="22"/>
          <w:szCs w:val="22"/>
        </w:rPr>
        <w:t xml:space="preserve"> The emerging funding gap for the European Energy Sector—Wil</w:t>
      </w:r>
      <w:r>
        <w:rPr>
          <w:rFonts w:eastAsia="Arial" w:cstheme="minorHAnsi"/>
          <w:sz w:val="22"/>
          <w:szCs w:val="22"/>
        </w:rPr>
        <w:t>l the financial sector deliver?</w:t>
      </w:r>
      <w:r w:rsidRPr="00D93209">
        <w:rPr>
          <w:rFonts w:eastAsia="Arial" w:cstheme="minorHAnsi"/>
          <w:sz w:val="22"/>
          <w:szCs w:val="22"/>
        </w:rPr>
        <w:t xml:space="preserve"> </w:t>
      </w:r>
      <w:r w:rsidRPr="00D93209">
        <w:rPr>
          <w:rFonts w:eastAsia="Arial" w:cstheme="minorHAnsi"/>
          <w:i/>
          <w:iCs/>
          <w:sz w:val="22"/>
          <w:szCs w:val="22"/>
        </w:rPr>
        <w:t>Environmental Innovation and Societal Transitions</w:t>
      </w:r>
      <w:r>
        <w:rPr>
          <w:rFonts w:eastAsia="Arial" w:cstheme="minorHAnsi"/>
          <w:i/>
          <w:iCs/>
          <w:sz w:val="22"/>
          <w:szCs w:val="22"/>
        </w:rPr>
        <w:t>,</w:t>
      </w:r>
      <w:r w:rsidRPr="00D93209">
        <w:rPr>
          <w:rFonts w:eastAsia="Arial" w:cstheme="minorHAnsi"/>
          <w:sz w:val="22"/>
          <w:szCs w:val="22"/>
        </w:rPr>
        <w:t xml:space="preserve"> </w:t>
      </w:r>
      <w:r w:rsidRPr="00D93209">
        <w:rPr>
          <w:rFonts w:eastAsia="Arial" w:cstheme="minorHAnsi"/>
          <w:b/>
          <w:bCs/>
          <w:i/>
          <w:iCs/>
          <w:sz w:val="22"/>
          <w:szCs w:val="22"/>
        </w:rPr>
        <w:t>5</w:t>
      </w:r>
      <w:r w:rsidRPr="00D93209">
        <w:rPr>
          <w:rFonts w:eastAsia="Arial" w:cstheme="minorHAnsi"/>
          <w:sz w:val="22"/>
          <w:szCs w:val="22"/>
        </w:rPr>
        <w:t>, 49-59</w:t>
      </w:r>
      <w:r>
        <w:rPr>
          <w:rFonts w:eastAsia="Arial" w:cstheme="minorHAnsi"/>
          <w:sz w:val="22"/>
          <w:szCs w:val="22"/>
        </w:rPr>
        <w:t>.</w:t>
      </w:r>
    </w:p>
    <w:p w14:paraId="0C4E03ED" w14:textId="77777777" w:rsidR="00F449B8" w:rsidRDefault="00F449B8" w:rsidP="00E47ED7">
      <w:pPr>
        <w:pStyle w:val="EndnoteText"/>
        <w:jc w:val="both"/>
        <w:rPr>
          <w:rFonts w:eastAsia="Arial" w:cstheme="minorHAnsi"/>
          <w:sz w:val="22"/>
          <w:szCs w:val="22"/>
        </w:rPr>
      </w:pPr>
    </w:p>
    <w:p w14:paraId="619AC20E" w14:textId="2848CF86" w:rsidR="00CC0BD2" w:rsidRPr="00D93209" w:rsidRDefault="00CC0BD2" w:rsidP="00E47ED7">
      <w:pPr>
        <w:pStyle w:val="EndnoteText"/>
        <w:jc w:val="both"/>
        <w:rPr>
          <w:rFonts w:eastAsia="Arial" w:cstheme="minorHAnsi"/>
          <w:sz w:val="22"/>
          <w:szCs w:val="22"/>
        </w:rPr>
      </w:pPr>
      <w:r w:rsidRPr="00D93209">
        <w:rPr>
          <w:rFonts w:eastAsia="Arial" w:cstheme="minorHAnsi"/>
          <w:sz w:val="22"/>
          <w:szCs w:val="22"/>
        </w:rPr>
        <w:t>Jones, A.W.</w:t>
      </w:r>
      <w:r w:rsidR="00F66749">
        <w:rPr>
          <w:rFonts w:eastAsia="Arial" w:cstheme="minorHAnsi"/>
          <w:sz w:val="22"/>
          <w:szCs w:val="22"/>
        </w:rPr>
        <w:t>, 2015.</w:t>
      </w:r>
      <w:r w:rsidRPr="00D93209">
        <w:rPr>
          <w:rFonts w:eastAsia="Arial" w:cstheme="minorHAnsi"/>
          <w:sz w:val="22"/>
          <w:szCs w:val="22"/>
        </w:rPr>
        <w:t xml:space="preserve"> Perceived barriers and policy solutions in clean energy infrastructure investment. </w:t>
      </w:r>
      <w:r w:rsidRPr="00D93209">
        <w:rPr>
          <w:rFonts w:eastAsia="Arial" w:cstheme="minorHAnsi"/>
          <w:i/>
          <w:iCs/>
          <w:sz w:val="22"/>
          <w:szCs w:val="22"/>
        </w:rPr>
        <w:t>Journal of Cleaner Production</w:t>
      </w:r>
      <w:r w:rsidR="006C5F9A">
        <w:rPr>
          <w:rFonts w:eastAsia="Arial" w:cstheme="minorHAnsi"/>
          <w:i/>
          <w:iCs/>
          <w:sz w:val="22"/>
          <w:szCs w:val="22"/>
        </w:rPr>
        <w:t>,</w:t>
      </w:r>
      <w:r w:rsidRPr="00D93209">
        <w:rPr>
          <w:rFonts w:eastAsia="Arial" w:cstheme="minorHAnsi"/>
          <w:sz w:val="22"/>
          <w:szCs w:val="22"/>
        </w:rPr>
        <w:t xml:space="preserve"> </w:t>
      </w:r>
      <w:r w:rsidRPr="00E47ED7">
        <w:rPr>
          <w:rFonts w:eastAsia="Arial" w:cstheme="minorHAnsi"/>
          <w:b/>
          <w:bCs/>
          <w:iCs/>
          <w:sz w:val="22"/>
          <w:szCs w:val="22"/>
        </w:rPr>
        <w:t>104</w:t>
      </w:r>
      <w:r w:rsidR="00F66749">
        <w:rPr>
          <w:rFonts w:eastAsia="Arial" w:cstheme="minorHAnsi"/>
          <w:sz w:val="22"/>
          <w:szCs w:val="22"/>
        </w:rPr>
        <w:t>, 297-304</w:t>
      </w:r>
      <w:r w:rsidR="00E47ED7">
        <w:rPr>
          <w:rFonts w:eastAsia="Arial" w:cstheme="minorHAnsi"/>
          <w:sz w:val="22"/>
          <w:szCs w:val="22"/>
        </w:rPr>
        <w:t>.</w:t>
      </w:r>
      <w:r w:rsidRPr="00D93209">
        <w:rPr>
          <w:rFonts w:eastAsia="Arial" w:cstheme="minorHAnsi"/>
          <w:sz w:val="22"/>
          <w:szCs w:val="22"/>
        </w:rPr>
        <w:t xml:space="preserve"> </w:t>
      </w:r>
    </w:p>
    <w:p w14:paraId="7D5E5433" w14:textId="77777777" w:rsidR="00CC77C5" w:rsidRDefault="00CC77C5" w:rsidP="00CC0BD2">
      <w:pPr>
        <w:pStyle w:val="EndnoteText"/>
        <w:jc w:val="both"/>
        <w:rPr>
          <w:rFonts w:cstheme="minorHAnsi"/>
          <w:sz w:val="22"/>
          <w:szCs w:val="22"/>
        </w:rPr>
      </w:pPr>
    </w:p>
    <w:p w14:paraId="5B9E7156" w14:textId="77777777" w:rsidR="00F449B8" w:rsidRPr="00D93209" w:rsidRDefault="00F449B8" w:rsidP="00F449B8">
      <w:pPr>
        <w:spacing w:after="0" w:line="240" w:lineRule="auto"/>
        <w:jc w:val="both"/>
        <w:rPr>
          <w:rFonts w:cstheme="minorHAnsi"/>
        </w:rPr>
      </w:pPr>
      <w:r w:rsidRPr="00D93209">
        <w:rPr>
          <w:rFonts w:cstheme="minorHAnsi"/>
        </w:rPr>
        <w:t>Le, H.L., Ilea,</w:t>
      </w:r>
      <w:r>
        <w:rPr>
          <w:rFonts w:cstheme="minorHAnsi"/>
        </w:rPr>
        <w:t xml:space="preserve"> V. &amp;</w:t>
      </w:r>
      <w:r w:rsidRPr="00D93209">
        <w:rPr>
          <w:rFonts w:cstheme="minorHAnsi"/>
        </w:rPr>
        <w:t xml:space="preserve"> Bovo, C.</w:t>
      </w:r>
      <w:r>
        <w:rPr>
          <w:rFonts w:cstheme="minorHAnsi"/>
        </w:rPr>
        <w:t>, 2019.</w:t>
      </w:r>
      <w:r w:rsidRPr="00D93209">
        <w:rPr>
          <w:rFonts w:cstheme="minorHAnsi"/>
        </w:rPr>
        <w:t xml:space="preserve"> Integrated European intra-day electricity market: Rules, modeling and analysis. </w:t>
      </w:r>
      <w:r w:rsidRPr="00D93209">
        <w:rPr>
          <w:rFonts w:cstheme="minorHAnsi"/>
          <w:i/>
          <w:iCs/>
        </w:rPr>
        <w:t>Applied Energy</w:t>
      </w:r>
      <w:r>
        <w:rPr>
          <w:rFonts w:cstheme="minorHAnsi"/>
          <w:i/>
          <w:iCs/>
        </w:rPr>
        <w:t>,</w:t>
      </w:r>
      <w:r w:rsidRPr="00D93209">
        <w:rPr>
          <w:rFonts w:cstheme="minorHAnsi"/>
        </w:rPr>
        <w:t xml:space="preserve"> </w:t>
      </w:r>
      <w:r w:rsidRPr="00945A44">
        <w:rPr>
          <w:rFonts w:cstheme="minorHAnsi"/>
          <w:b/>
          <w:bCs/>
          <w:iCs/>
        </w:rPr>
        <w:t>238</w:t>
      </w:r>
      <w:r w:rsidRPr="00D93209">
        <w:rPr>
          <w:rFonts w:cstheme="minorHAnsi"/>
        </w:rPr>
        <w:t>, 2</w:t>
      </w:r>
      <w:r>
        <w:rPr>
          <w:rFonts w:cstheme="minorHAnsi"/>
        </w:rPr>
        <w:t xml:space="preserve">58-273 </w:t>
      </w:r>
    </w:p>
    <w:p w14:paraId="3551547E" w14:textId="77777777" w:rsidR="00F449B8" w:rsidRDefault="00F449B8" w:rsidP="00F449B8">
      <w:pPr>
        <w:pStyle w:val="EndnoteText"/>
        <w:jc w:val="both"/>
        <w:rPr>
          <w:rFonts w:cstheme="minorHAnsi"/>
          <w:sz w:val="22"/>
          <w:szCs w:val="22"/>
          <w:highlight w:val="yellow"/>
        </w:rPr>
      </w:pPr>
    </w:p>
    <w:p w14:paraId="7C4511EB" w14:textId="77777777" w:rsidR="00F449B8" w:rsidRPr="00D93209" w:rsidRDefault="00F449B8" w:rsidP="00F449B8">
      <w:pPr>
        <w:spacing w:after="0" w:line="240" w:lineRule="auto"/>
        <w:jc w:val="both"/>
        <w:rPr>
          <w:rFonts w:cstheme="minorHAnsi"/>
        </w:rPr>
      </w:pPr>
      <w:r w:rsidRPr="00D93209">
        <w:rPr>
          <w:rFonts w:cstheme="minorHAnsi"/>
        </w:rPr>
        <w:t>M</w:t>
      </w:r>
      <w:r>
        <w:rPr>
          <w:rFonts w:cstheme="minorHAnsi"/>
        </w:rPr>
        <w:t>astropietro, P., Rodilla, P. &amp;</w:t>
      </w:r>
      <w:r w:rsidRPr="00D93209">
        <w:rPr>
          <w:rFonts w:cstheme="minorHAnsi"/>
        </w:rPr>
        <w:t xml:space="preserve"> Batlle, C.</w:t>
      </w:r>
      <w:r>
        <w:rPr>
          <w:rFonts w:cstheme="minorHAnsi"/>
        </w:rPr>
        <w:t>, 2015.</w:t>
      </w:r>
      <w:r w:rsidRPr="00D93209">
        <w:rPr>
          <w:rFonts w:cstheme="minorHAnsi"/>
        </w:rPr>
        <w:t xml:space="preserve"> National capacity mechanisms in the European internal energy market: Opening the doors to neighbours. </w:t>
      </w:r>
      <w:r w:rsidRPr="00232C3C">
        <w:rPr>
          <w:rFonts w:cstheme="minorHAnsi"/>
          <w:i/>
          <w:iCs/>
        </w:rPr>
        <w:t>Energy Policy</w:t>
      </w:r>
      <w:r>
        <w:rPr>
          <w:rFonts w:cstheme="minorHAnsi"/>
          <w:i/>
          <w:iCs/>
        </w:rPr>
        <w:t>,</w:t>
      </w:r>
      <w:r w:rsidRPr="00D93209">
        <w:rPr>
          <w:rFonts w:cstheme="minorHAnsi"/>
        </w:rPr>
        <w:t xml:space="preserve"> </w:t>
      </w:r>
      <w:r w:rsidRPr="00945A44">
        <w:rPr>
          <w:rFonts w:cstheme="minorHAnsi"/>
          <w:b/>
          <w:bCs/>
          <w:iCs/>
        </w:rPr>
        <w:t>82</w:t>
      </w:r>
      <w:r w:rsidRPr="001D06A9">
        <w:rPr>
          <w:rFonts w:cstheme="minorHAnsi"/>
          <w:bCs/>
          <w:i/>
          <w:iCs/>
        </w:rPr>
        <w:t>,</w:t>
      </w:r>
      <w:r>
        <w:rPr>
          <w:rFonts w:cstheme="minorHAnsi"/>
          <w:b/>
          <w:bCs/>
          <w:i/>
          <w:iCs/>
        </w:rPr>
        <w:t xml:space="preserve"> </w:t>
      </w:r>
      <w:r>
        <w:rPr>
          <w:rFonts w:cstheme="minorHAnsi"/>
        </w:rPr>
        <w:t xml:space="preserve">38-47 </w:t>
      </w:r>
    </w:p>
    <w:p w14:paraId="00CD7014" w14:textId="77777777" w:rsidR="00F449B8" w:rsidRDefault="00F449B8" w:rsidP="00F449B8">
      <w:pPr>
        <w:spacing w:after="0" w:line="240" w:lineRule="auto"/>
        <w:jc w:val="both"/>
        <w:rPr>
          <w:rFonts w:cstheme="minorHAnsi"/>
        </w:rPr>
      </w:pPr>
    </w:p>
    <w:p w14:paraId="20594FEC" w14:textId="77777777" w:rsidR="00F449B8" w:rsidRPr="00F8490A" w:rsidRDefault="00F449B8" w:rsidP="00F449B8">
      <w:pPr>
        <w:pStyle w:val="EndnoteText"/>
        <w:jc w:val="both"/>
        <w:rPr>
          <w:rFonts w:cstheme="minorHAnsi"/>
          <w:sz w:val="22"/>
          <w:szCs w:val="22"/>
        </w:rPr>
      </w:pPr>
      <w:r w:rsidRPr="00F8490A">
        <w:rPr>
          <w:rFonts w:eastAsia="Calibri" w:cstheme="minorHAnsi"/>
          <w:sz w:val="22"/>
          <w:szCs w:val="22"/>
          <w:lang w:eastAsia="en-GB"/>
        </w:rPr>
        <w:t>Matschoss, P., Bayer, B., Thomas, H.</w:t>
      </w:r>
      <w:r>
        <w:rPr>
          <w:rFonts w:eastAsia="Calibri" w:cstheme="minorHAnsi"/>
          <w:sz w:val="22"/>
          <w:szCs w:val="22"/>
          <w:lang w:eastAsia="en-GB"/>
        </w:rPr>
        <w:t xml:space="preserve"> &amp; </w:t>
      </w:r>
      <w:r w:rsidRPr="00F8490A">
        <w:rPr>
          <w:rFonts w:eastAsia="Calibri" w:cstheme="minorHAnsi"/>
          <w:sz w:val="22"/>
          <w:szCs w:val="22"/>
          <w:lang w:eastAsia="en-GB"/>
        </w:rPr>
        <w:t>Marian, A.</w:t>
      </w:r>
      <w:r>
        <w:rPr>
          <w:rFonts w:eastAsia="Calibri" w:cstheme="minorHAnsi"/>
          <w:sz w:val="22"/>
          <w:szCs w:val="22"/>
          <w:lang w:eastAsia="en-GB"/>
        </w:rPr>
        <w:t>, 2019.</w:t>
      </w:r>
      <w:r w:rsidRPr="00F8490A">
        <w:rPr>
          <w:rFonts w:eastAsia="Calibri" w:cstheme="minorHAnsi"/>
          <w:sz w:val="22"/>
          <w:szCs w:val="22"/>
          <w:lang w:eastAsia="en-GB"/>
        </w:rPr>
        <w:t xml:space="preserve"> The German incentive regulation and its practical impact on the grid integration of renewable energy systems. </w:t>
      </w:r>
      <w:r w:rsidRPr="00F8490A">
        <w:rPr>
          <w:rFonts w:eastAsia="Calibri" w:cstheme="minorHAnsi"/>
          <w:i/>
          <w:iCs/>
          <w:sz w:val="22"/>
          <w:szCs w:val="22"/>
          <w:lang w:eastAsia="en-GB"/>
        </w:rPr>
        <w:t>Renewable Energy</w:t>
      </w:r>
      <w:r>
        <w:rPr>
          <w:rFonts w:eastAsia="Calibri" w:cstheme="minorHAnsi"/>
          <w:i/>
          <w:iCs/>
          <w:sz w:val="22"/>
          <w:szCs w:val="22"/>
          <w:lang w:eastAsia="en-GB"/>
        </w:rPr>
        <w:t>,</w:t>
      </w:r>
      <w:r w:rsidRPr="00F8490A">
        <w:rPr>
          <w:rFonts w:eastAsia="Calibri" w:cstheme="minorHAnsi"/>
          <w:sz w:val="22"/>
          <w:szCs w:val="22"/>
          <w:lang w:eastAsia="en-GB"/>
        </w:rPr>
        <w:t xml:space="preserve"> </w:t>
      </w:r>
      <w:r w:rsidRPr="00F8490A">
        <w:rPr>
          <w:rFonts w:eastAsia="Calibri" w:cstheme="minorHAnsi"/>
          <w:b/>
          <w:bCs/>
          <w:sz w:val="22"/>
          <w:szCs w:val="22"/>
          <w:lang w:eastAsia="en-GB"/>
        </w:rPr>
        <w:t>134</w:t>
      </w:r>
      <w:r>
        <w:rPr>
          <w:rFonts w:eastAsia="Calibri" w:cstheme="minorHAnsi"/>
          <w:sz w:val="22"/>
          <w:szCs w:val="22"/>
          <w:lang w:eastAsia="en-GB"/>
        </w:rPr>
        <w:t>,</w:t>
      </w:r>
      <w:r w:rsidRPr="00F8490A">
        <w:rPr>
          <w:rFonts w:eastAsia="Calibri" w:cstheme="minorHAnsi"/>
          <w:sz w:val="22"/>
          <w:szCs w:val="22"/>
          <w:lang w:eastAsia="en-GB"/>
        </w:rPr>
        <w:t xml:space="preserve"> </w:t>
      </w:r>
      <w:r w:rsidRPr="00F8490A">
        <w:rPr>
          <w:rFonts w:eastAsia="Calibri" w:cstheme="minorHAnsi"/>
          <w:sz w:val="22"/>
          <w:szCs w:val="22"/>
        </w:rPr>
        <w:t>727-738</w:t>
      </w:r>
      <w:r>
        <w:rPr>
          <w:rFonts w:eastAsia="Calibri" w:cstheme="minorHAnsi"/>
          <w:sz w:val="22"/>
          <w:szCs w:val="22"/>
        </w:rPr>
        <w:t xml:space="preserve"> </w:t>
      </w:r>
    </w:p>
    <w:p w14:paraId="1D5BD752" w14:textId="77777777" w:rsidR="00F449B8" w:rsidRDefault="00F449B8" w:rsidP="00F449B8">
      <w:pPr>
        <w:pStyle w:val="EndnoteText"/>
        <w:jc w:val="both"/>
        <w:rPr>
          <w:rFonts w:cstheme="minorHAnsi"/>
          <w:sz w:val="22"/>
          <w:szCs w:val="22"/>
        </w:rPr>
      </w:pPr>
    </w:p>
    <w:p w14:paraId="1F6C1263" w14:textId="77777777" w:rsidR="00F449B8" w:rsidRPr="00D93209" w:rsidRDefault="00F449B8" w:rsidP="00F449B8">
      <w:pPr>
        <w:pStyle w:val="EndnoteText"/>
        <w:jc w:val="both"/>
        <w:rPr>
          <w:rFonts w:cstheme="minorHAnsi"/>
          <w:sz w:val="22"/>
          <w:szCs w:val="22"/>
        </w:rPr>
      </w:pPr>
      <w:r w:rsidRPr="00D93209">
        <w:rPr>
          <w:rFonts w:cstheme="minorHAnsi"/>
          <w:sz w:val="22"/>
          <w:szCs w:val="22"/>
        </w:rPr>
        <w:t>Mazzucato, M., &amp; Semieniuk, G.</w:t>
      </w:r>
      <w:r>
        <w:rPr>
          <w:rFonts w:cstheme="minorHAnsi"/>
          <w:sz w:val="22"/>
          <w:szCs w:val="22"/>
        </w:rPr>
        <w:t>, 2018.</w:t>
      </w:r>
      <w:r w:rsidRPr="00D93209">
        <w:rPr>
          <w:rFonts w:cstheme="minorHAnsi"/>
          <w:sz w:val="22"/>
          <w:szCs w:val="22"/>
        </w:rPr>
        <w:t xml:space="preserve"> Financing renewable energy: Who is financing what and why it matters.</w:t>
      </w:r>
      <w:r w:rsidRPr="00D93209">
        <w:rPr>
          <w:rFonts w:cstheme="minorHAnsi"/>
          <w:i/>
          <w:iCs/>
          <w:sz w:val="22"/>
          <w:szCs w:val="22"/>
        </w:rPr>
        <w:t xml:space="preserve"> Technological Forecasting and Social Change</w:t>
      </w:r>
      <w:r>
        <w:rPr>
          <w:rFonts w:cstheme="minorHAnsi"/>
          <w:i/>
          <w:iCs/>
          <w:sz w:val="22"/>
          <w:szCs w:val="22"/>
        </w:rPr>
        <w:t>,</w:t>
      </w:r>
      <w:r w:rsidRPr="00D93209">
        <w:rPr>
          <w:rFonts w:cstheme="minorHAnsi"/>
          <w:sz w:val="22"/>
          <w:szCs w:val="22"/>
        </w:rPr>
        <w:t xml:space="preserve"> </w:t>
      </w:r>
      <w:r w:rsidRPr="00D93209">
        <w:rPr>
          <w:rFonts w:cstheme="minorHAnsi"/>
          <w:b/>
          <w:bCs/>
          <w:sz w:val="22"/>
          <w:szCs w:val="22"/>
        </w:rPr>
        <w:t>127</w:t>
      </w:r>
      <w:r w:rsidRPr="004D616E">
        <w:rPr>
          <w:rFonts w:cstheme="minorHAnsi"/>
          <w:bCs/>
          <w:sz w:val="22"/>
          <w:szCs w:val="22"/>
        </w:rPr>
        <w:t>,</w:t>
      </w:r>
      <w:r>
        <w:rPr>
          <w:rFonts w:cstheme="minorHAnsi"/>
          <w:sz w:val="22"/>
          <w:szCs w:val="22"/>
        </w:rPr>
        <w:t xml:space="preserve"> 8-22.</w:t>
      </w:r>
    </w:p>
    <w:p w14:paraId="100A19AA" w14:textId="77777777" w:rsidR="00F449B8" w:rsidRDefault="00F449B8" w:rsidP="00F449B8">
      <w:pPr>
        <w:pStyle w:val="EndnoteText"/>
        <w:jc w:val="both"/>
        <w:rPr>
          <w:rFonts w:cstheme="minorHAnsi"/>
          <w:sz w:val="22"/>
          <w:szCs w:val="22"/>
          <w:highlight w:val="yellow"/>
        </w:rPr>
      </w:pPr>
    </w:p>
    <w:p w14:paraId="2C51952B" w14:textId="77777777" w:rsidR="00F449B8" w:rsidRPr="00D93209" w:rsidRDefault="00F449B8" w:rsidP="00F449B8">
      <w:pPr>
        <w:pStyle w:val="EndnoteText"/>
        <w:jc w:val="both"/>
        <w:rPr>
          <w:rFonts w:cstheme="minorHAnsi"/>
          <w:sz w:val="22"/>
          <w:szCs w:val="22"/>
        </w:rPr>
      </w:pPr>
      <w:r w:rsidRPr="00751B8B">
        <w:rPr>
          <w:rFonts w:cstheme="minorHAnsi"/>
          <w:sz w:val="22"/>
          <w:szCs w:val="22"/>
        </w:rPr>
        <w:t xml:space="preserve">McCollum, D.L., Zhou, W., Bertram, C., </w:t>
      </w:r>
      <w:r w:rsidRPr="00751B8B">
        <w:rPr>
          <w:sz w:val="22"/>
          <w:szCs w:val="22"/>
        </w:rPr>
        <w:t>De Boer, H.S.</w:t>
      </w:r>
      <w:r w:rsidRPr="00751B8B">
        <w:rPr>
          <w:rFonts w:cstheme="minorHAnsi"/>
          <w:i/>
          <w:iCs/>
          <w:sz w:val="22"/>
          <w:szCs w:val="22"/>
        </w:rPr>
        <w:t xml:space="preserve"> et al.</w:t>
      </w:r>
      <w:r>
        <w:rPr>
          <w:rFonts w:cstheme="minorHAnsi"/>
          <w:sz w:val="22"/>
          <w:szCs w:val="22"/>
        </w:rPr>
        <w:t xml:space="preserve">, 2018. </w:t>
      </w:r>
      <w:r w:rsidRPr="00D93209">
        <w:rPr>
          <w:rFonts w:cstheme="minorHAnsi"/>
          <w:sz w:val="22"/>
          <w:szCs w:val="22"/>
        </w:rPr>
        <w:t xml:space="preserve">Energy investment needs for fulfilling the Paris Agreement and achieving the Sustainable Development Goals. </w:t>
      </w:r>
      <w:r w:rsidRPr="00D93209">
        <w:rPr>
          <w:rFonts w:cstheme="minorHAnsi"/>
          <w:i/>
          <w:iCs/>
          <w:sz w:val="22"/>
          <w:szCs w:val="22"/>
        </w:rPr>
        <w:t>Nat</w:t>
      </w:r>
      <w:r>
        <w:rPr>
          <w:rFonts w:cstheme="minorHAnsi"/>
          <w:i/>
          <w:iCs/>
          <w:sz w:val="22"/>
          <w:szCs w:val="22"/>
        </w:rPr>
        <w:t>ure</w:t>
      </w:r>
      <w:r w:rsidRPr="00D93209">
        <w:rPr>
          <w:rFonts w:cstheme="minorHAnsi"/>
          <w:i/>
          <w:iCs/>
          <w:sz w:val="22"/>
          <w:szCs w:val="22"/>
        </w:rPr>
        <w:t xml:space="preserve"> Energy</w:t>
      </w:r>
      <w:r>
        <w:rPr>
          <w:rFonts w:cstheme="minorHAnsi"/>
          <w:i/>
          <w:iCs/>
          <w:sz w:val="22"/>
          <w:szCs w:val="22"/>
        </w:rPr>
        <w:t>,</w:t>
      </w:r>
      <w:r w:rsidRPr="00D93209">
        <w:rPr>
          <w:rFonts w:cstheme="minorHAnsi"/>
          <w:sz w:val="22"/>
          <w:szCs w:val="22"/>
        </w:rPr>
        <w:t xml:space="preserve"> </w:t>
      </w:r>
      <w:r w:rsidRPr="00D93209">
        <w:rPr>
          <w:rFonts w:cstheme="minorHAnsi"/>
          <w:b/>
          <w:bCs/>
          <w:sz w:val="22"/>
          <w:szCs w:val="22"/>
        </w:rPr>
        <w:t xml:space="preserve">3, </w:t>
      </w:r>
      <w:r>
        <w:rPr>
          <w:rFonts w:cstheme="minorHAnsi"/>
          <w:sz w:val="22"/>
          <w:szCs w:val="22"/>
        </w:rPr>
        <w:t>589–599.</w:t>
      </w:r>
      <w:r w:rsidRPr="00D93209">
        <w:rPr>
          <w:rFonts w:cstheme="minorHAnsi"/>
          <w:sz w:val="22"/>
          <w:szCs w:val="22"/>
        </w:rPr>
        <w:t xml:space="preserve"> </w:t>
      </w:r>
    </w:p>
    <w:p w14:paraId="50D4638B" w14:textId="77777777" w:rsidR="00F449B8" w:rsidRDefault="00F449B8" w:rsidP="00F449B8">
      <w:pPr>
        <w:pStyle w:val="EndnoteText"/>
        <w:jc w:val="both"/>
        <w:rPr>
          <w:rFonts w:cstheme="minorHAnsi"/>
          <w:sz w:val="22"/>
          <w:szCs w:val="22"/>
        </w:rPr>
      </w:pPr>
    </w:p>
    <w:p w14:paraId="1B09A4F9" w14:textId="77777777" w:rsidR="00F449B8" w:rsidRDefault="00F449B8" w:rsidP="00F449B8">
      <w:pPr>
        <w:pStyle w:val="EndnoteText"/>
        <w:jc w:val="both"/>
        <w:rPr>
          <w:rFonts w:cstheme="minorHAnsi"/>
          <w:sz w:val="22"/>
          <w:szCs w:val="22"/>
        </w:rPr>
      </w:pPr>
      <w:r w:rsidRPr="00D93209">
        <w:rPr>
          <w:rFonts w:cstheme="minorHAnsi"/>
          <w:sz w:val="22"/>
          <w:szCs w:val="22"/>
        </w:rPr>
        <w:t>Meeus, L.</w:t>
      </w:r>
      <w:r>
        <w:rPr>
          <w:rFonts w:cstheme="minorHAnsi"/>
          <w:sz w:val="22"/>
          <w:szCs w:val="22"/>
        </w:rPr>
        <w:t>., 2014.</w:t>
      </w:r>
      <w:r w:rsidRPr="00D93209">
        <w:rPr>
          <w:rFonts w:cstheme="minorHAnsi"/>
          <w:sz w:val="22"/>
          <w:szCs w:val="22"/>
        </w:rPr>
        <w:t xml:space="preserve"> Offshore grids for renewables: do we need a particular regulatory framework? Florence: European University Institute Robert Schuman Centre for Advanced Studies </w:t>
      </w:r>
      <w:r w:rsidRPr="00F8490A">
        <w:rPr>
          <w:rFonts w:cstheme="minorHAnsi"/>
          <w:i/>
          <w:iCs/>
          <w:sz w:val="22"/>
          <w:szCs w:val="22"/>
        </w:rPr>
        <w:t>Florence School of Regulation Working Paper</w:t>
      </w:r>
      <w:r>
        <w:rPr>
          <w:rFonts w:cstheme="minorHAnsi"/>
          <w:i/>
          <w:iCs/>
          <w:sz w:val="22"/>
          <w:szCs w:val="22"/>
        </w:rPr>
        <w:t>,</w:t>
      </w:r>
      <w:r>
        <w:rPr>
          <w:rFonts w:cstheme="minorHAnsi"/>
          <w:sz w:val="22"/>
          <w:szCs w:val="22"/>
        </w:rPr>
        <w:t xml:space="preserve"> </w:t>
      </w:r>
      <w:r w:rsidRPr="00F8490A">
        <w:rPr>
          <w:rFonts w:cstheme="minorHAnsi"/>
          <w:b/>
          <w:bCs/>
          <w:sz w:val="22"/>
          <w:szCs w:val="22"/>
        </w:rPr>
        <w:t>24</w:t>
      </w:r>
      <w:r>
        <w:rPr>
          <w:rFonts w:cstheme="minorHAnsi"/>
          <w:sz w:val="22"/>
          <w:szCs w:val="22"/>
        </w:rPr>
        <w:t xml:space="preserve"> </w:t>
      </w:r>
    </w:p>
    <w:p w14:paraId="5C0AA605" w14:textId="77777777" w:rsidR="00F449B8" w:rsidRDefault="00F449B8" w:rsidP="00F449B8">
      <w:pPr>
        <w:pStyle w:val="EndnoteText"/>
        <w:jc w:val="both"/>
        <w:rPr>
          <w:rFonts w:cstheme="minorHAnsi"/>
          <w:sz w:val="22"/>
          <w:szCs w:val="22"/>
        </w:rPr>
      </w:pPr>
    </w:p>
    <w:p w14:paraId="1F8FE52F" w14:textId="77777777" w:rsidR="00F449B8" w:rsidRDefault="00F449B8" w:rsidP="00F449B8">
      <w:pPr>
        <w:pStyle w:val="EndnoteText"/>
        <w:jc w:val="both"/>
        <w:rPr>
          <w:rFonts w:cstheme="minorHAnsi"/>
          <w:sz w:val="22"/>
          <w:szCs w:val="22"/>
        </w:rPr>
      </w:pPr>
      <w:r>
        <w:rPr>
          <w:rFonts w:cstheme="minorHAnsi"/>
          <w:sz w:val="22"/>
          <w:szCs w:val="22"/>
        </w:rPr>
        <w:lastRenderedPageBreak/>
        <w:t>Meeus, L. &amp;</w:t>
      </w:r>
      <w:r w:rsidRPr="00D93209">
        <w:rPr>
          <w:rFonts w:cstheme="minorHAnsi"/>
          <w:sz w:val="22"/>
          <w:szCs w:val="22"/>
        </w:rPr>
        <w:t xml:space="preserve"> Keyaerts, N., </w:t>
      </w:r>
      <w:r>
        <w:rPr>
          <w:rFonts w:cstheme="minorHAnsi"/>
          <w:sz w:val="22"/>
          <w:szCs w:val="22"/>
        </w:rPr>
        <w:t xml:space="preserve">2015. </w:t>
      </w:r>
      <w:r w:rsidRPr="00D93209">
        <w:rPr>
          <w:rFonts w:cstheme="minorHAnsi"/>
          <w:sz w:val="22"/>
          <w:szCs w:val="22"/>
        </w:rPr>
        <w:t xml:space="preserve">First series of cross-border cost allocation decisions for projects of common interest: main lessons learned. Florence: European University Institute Robert Schuman Centre for Advanced Studies </w:t>
      </w:r>
      <w:r w:rsidRPr="00AE1EA0">
        <w:rPr>
          <w:rFonts w:cstheme="minorHAnsi"/>
          <w:i/>
          <w:iCs/>
          <w:sz w:val="22"/>
          <w:szCs w:val="22"/>
        </w:rPr>
        <w:t>Florence School of Regulation Policy Brief</w:t>
      </w:r>
      <w:r>
        <w:rPr>
          <w:rFonts w:cstheme="minorHAnsi"/>
          <w:sz w:val="22"/>
          <w:szCs w:val="22"/>
        </w:rPr>
        <w:t xml:space="preserve">, February </w:t>
      </w:r>
      <w:r w:rsidRPr="00D93209">
        <w:rPr>
          <w:rFonts w:cstheme="minorHAnsi"/>
          <w:sz w:val="22"/>
          <w:szCs w:val="22"/>
        </w:rPr>
        <w:t>2015.</w:t>
      </w:r>
    </w:p>
    <w:p w14:paraId="6E580DF8" w14:textId="77777777" w:rsidR="00F449B8" w:rsidRPr="00D93209" w:rsidRDefault="00F449B8" w:rsidP="00F449B8">
      <w:pPr>
        <w:pStyle w:val="EndnoteText"/>
        <w:jc w:val="both"/>
        <w:rPr>
          <w:rFonts w:cstheme="minorHAnsi"/>
          <w:sz w:val="22"/>
          <w:szCs w:val="22"/>
        </w:rPr>
      </w:pPr>
    </w:p>
    <w:p w14:paraId="431CD163" w14:textId="77777777" w:rsidR="00F449B8" w:rsidRPr="00D93209" w:rsidRDefault="00F449B8" w:rsidP="00F449B8">
      <w:pPr>
        <w:pStyle w:val="EndnoteText"/>
        <w:jc w:val="both"/>
        <w:rPr>
          <w:rFonts w:cstheme="minorHAnsi"/>
          <w:sz w:val="22"/>
          <w:szCs w:val="22"/>
        </w:rPr>
      </w:pPr>
      <w:r w:rsidRPr="00D93209">
        <w:rPr>
          <w:rFonts w:cstheme="minorHAnsi"/>
          <w:sz w:val="22"/>
          <w:szCs w:val="22"/>
        </w:rPr>
        <w:t>Mekonnen, M., Huang, D.</w:t>
      </w:r>
      <w:r>
        <w:rPr>
          <w:rFonts w:cstheme="minorHAnsi"/>
          <w:sz w:val="22"/>
          <w:szCs w:val="22"/>
        </w:rPr>
        <w:t xml:space="preserve"> &amp; </w:t>
      </w:r>
      <w:r w:rsidRPr="00D93209">
        <w:rPr>
          <w:rFonts w:cstheme="minorHAnsi"/>
          <w:sz w:val="22"/>
          <w:szCs w:val="22"/>
        </w:rPr>
        <w:t>de Vos, K.</w:t>
      </w:r>
      <w:r>
        <w:rPr>
          <w:rFonts w:cstheme="minorHAnsi"/>
          <w:sz w:val="22"/>
          <w:szCs w:val="22"/>
        </w:rPr>
        <w:t xml:space="preserve">, 2016. </w:t>
      </w:r>
      <w:r w:rsidRPr="00D93209">
        <w:rPr>
          <w:rFonts w:cstheme="minorHAnsi"/>
          <w:sz w:val="22"/>
          <w:szCs w:val="22"/>
        </w:rPr>
        <w:t xml:space="preserve">Governance Models for Future Grids. </w:t>
      </w:r>
      <w:r w:rsidRPr="006443BA">
        <w:rPr>
          <w:rFonts w:cstheme="minorHAnsi"/>
          <w:i/>
          <w:iCs/>
          <w:sz w:val="22"/>
          <w:szCs w:val="22"/>
        </w:rPr>
        <w:t>HVDC Grids: For Offshore and Supergrid of the Future</w:t>
      </w:r>
      <w:r>
        <w:rPr>
          <w:rFonts w:cstheme="minorHAnsi"/>
          <w:i/>
          <w:iCs/>
          <w:sz w:val="22"/>
          <w:szCs w:val="22"/>
        </w:rPr>
        <w:t xml:space="preserve"> </w:t>
      </w:r>
      <w:r>
        <w:rPr>
          <w:rFonts w:cstheme="minorHAnsi"/>
          <w:sz w:val="22"/>
          <w:szCs w:val="22"/>
        </w:rPr>
        <w:t xml:space="preserve">(eds. </w:t>
      </w:r>
      <w:r w:rsidRPr="00D93209">
        <w:rPr>
          <w:rFonts w:cstheme="minorHAnsi"/>
          <w:sz w:val="22"/>
          <w:szCs w:val="22"/>
        </w:rPr>
        <w:t>van Hertem, D., Gomis-Bellmunt, O. and Liang, J.</w:t>
      </w:r>
      <w:r>
        <w:rPr>
          <w:rFonts w:cstheme="minorHAnsi"/>
          <w:sz w:val="22"/>
          <w:szCs w:val="22"/>
        </w:rPr>
        <w:t xml:space="preserve">) 193-212, </w:t>
      </w:r>
      <w:r w:rsidRPr="00D93209">
        <w:rPr>
          <w:rFonts w:cstheme="minorHAnsi"/>
          <w:sz w:val="22"/>
          <w:szCs w:val="22"/>
        </w:rPr>
        <w:t>Hoboken, NJ: Wiley</w:t>
      </w:r>
      <w:r>
        <w:rPr>
          <w:rFonts w:cstheme="minorHAnsi"/>
          <w:sz w:val="22"/>
          <w:szCs w:val="22"/>
        </w:rPr>
        <w:t>.</w:t>
      </w:r>
    </w:p>
    <w:p w14:paraId="4399AB31" w14:textId="77777777" w:rsidR="00F449B8" w:rsidRDefault="00F449B8" w:rsidP="00F449B8">
      <w:pPr>
        <w:pStyle w:val="EndnoteText"/>
        <w:jc w:val="both"/>
        <w:rPr>
          <w:rFonts w:cstheme="minorHAnsi"/>
          <w:sz w:val="22"/>
          <w:szCs w:val="22"/>
        </w:rPr>
      </w:pPr>
    </w:p>
    <w:p w14:paraId="491706D3" w14:textId="77777777" w:rsidR="00F449B8" w:rsidRPr="00D93209" w:rsidRDefault="00F449B8" w:rsidP="00F449B8">
      <w:pPr>
        <w:pStyle w:val="EndnoteText"/>
        <w:jc w:val="both"/>
        <w:rPr>
          <w:rFonts w:cstheme="minorHAnsi"/>
          <w:sz w:val="22"/>
          <w:szCs w:val="22"/>
        </w:rPr>
      </w:pPr>
      <w:r>
        <w:rPr>
          <w:rFonts w:eastAsia="Arial" w:cstheme="minorHAnsi"/>
          <w:sz w:val="22"/>
          <w:szCs w:val="22"/>
        </w:rPr>
        <w:t>Menges, R. &amp;</w:t>
      </w:r>
      <w:r w:rsidRPr="00D93209">
        <w:rPr>
          <w:rFonts w:eastAsia="Arial" w:cstheme="minorHAnsi"/>
          <w:sz w:val="22"/>
          <w:szCs w:val="22"/>
        </w:rPr>
        <w:t xml:space="preserve"> Beyer, G., 2014. Underground cables versus overhead lines: Do cables increase social acceptance of grid development? Results of a Contingent Valuation survey in Germany. </w:t>
      </w:r>
      <w:r w:rsidRPr="00D93209">
        <w:rPr>
          <w:rFonts w:eastAsia="Arial" w:cstheme="minorHAnsi"/>
          <w:i/>
          <w:iCs/>
          <w:sz w:val="22"/>
          <w:szCs w:val="22"/>
        </w:rPr>
        <w:t>International Journal of Sustainable Energy Planning and Management</w:t>
      </w:r>
      <w:r>
        <w:rPr>
          <w:rFonts w:eastAsia="Arial" w:cstheme="minorHAnsi"/>
          <w:i/>
          <w:iCs/>
          <w:sz w:val="22"/>
          <w:szCs w:val="22"/>
        </w:rPr>
        <w:t>,</w:t>
      </w:r>
      <w:r w:rsidRPr="00D93209">
        <w:rPr>
          <w:rFonts w:eastAsia="Arial" w:cstheme="minorHAnsi"/>
          <w:sz w:val="22"/>
          <w:szCs w:val="22"/>
        </w:rPr>
        <w:t xml:space="preserve"> </w:t>
      </w:r>
      <w:r w:rsidRPr="004D616E">
        <w:rPr>
          <w:rFonts w:eastAsia="Arial" w:cstheme="minorHAnsi"/>
          <w:b/>
          <w:bCs/>
          <w:iCs/>
          <w:sz w:val="22"/>
          <w:szCs w:val="22"/>
        </w:rPr>
        <w:t>3</w:t>
      </w:r>
      <w:r w:rsidRPr="00D93209">
        <w:rPr>
          <w:rFonts w:eastAsia="Arial" w:cstheme="minorHAnsi"/>
          <w:sz w:val="22"/>
          <w:szCs w:val="22"/>
        </w:rPr>
        <w:t>,</w:t>
      </w:r>
      <w:r>
        <w:rPr>
          <w:rFonts w:eastAsia="Arial" w:cstheme="minorHAnsi"/>
          <w:sz w:val="22"/>
          <w:szCs w:val="22"/>
        </w:rPr>
        <w:t xml:space="preserve"> </w:t>
      </w:r>
      <w:r w:rsidRPr="00D93209">
        <w:rPr>
          <w:rFonts w:eastAsia="Arial" w:cstheme="minorHAnsi"/>
          <w:sz w:val="22"/>
          <w:szCs w:val="22"/>
        </w:rPr>
        <w:t>33-48</w:t>
      </w:r>
      <w:r>
        <w:rPr>
          <w:rFonts w:eastAsia="Arial" w:cstheme="minorHAnsi"/>
          <w:sz w:val="22"/>
          <w:szCs w:val="22"/>
        </w:rPr>
        <w:t xml:space="preserve"> </w:t>
      </w:r>
    </w:p>
    <w:p w14:paraId="136DB88D" w14:textId="77777777" w:rsidR="00F449B8" w:rsidRDefault="00F449B8" w:rsidP="00F449B8">
      <w:pPr>
        <w:pStyle w:val="EndnoteText"/>
        <w:jc w:val="both"/>
        <w:rPr>
          <w:rFonts w:cstheme="minorHAnsi"/>
          <w:sz w:val="22"/>
          <w:szCs w:val="22"/>
        </w:rPr>
      </w:pPr>
    </w:p>
    <w:p w14:paraId="7997CBE5" w14:textId="77777777" w:rsidR="00F449B8" w:rsidRPr="00D93209" w:rsidRDefault="00F449B8" w:rsidP="00F449B8">
      <w:pPr>
        <w:spacing w:after="0" w:line="240" w:lineRule="auto"/>
        <w:jc w:val="both"/>
        <w:rPr>
          <w:rFonts w:cstheme="minorHAnsi"/>
        </w:rPr>
      </w:pPr>
      <w:r>
        <w:rPr>
          <w:rFonts w:cstheme="minorHAnsi"/>
        </w:rPr>
        <w:t>Meyer, R. &amp;</w:t>
      </w:r>
      <w:r w:rsidRPr="00D93209">
        <w:rPr>
          <w:rFonts w:cstheme="minorHAnsi"/>
        </w:rPr>
        <w:t xml:space="preserve"> Gore, O.</w:t>
      </w:r>
      <w:r>
        <w:rPr>
          <w:rFonts w:cstheme="minorHAnsi"/>
        </w:rPr>
        <w:t>, 2015.</w:t>
      </w:r>
      <w:r w:rsidRPr="00D93209">
        <w:rPr>
          <w:rFonts w:cstheme="minorHAnsi"/>
        </w:rPr>
        <w:t xml:space="preserve"> Cross-border effects of capacity mechanisms: Do uncoordinated market design changes contradict the goals of the European market integration?. </w:t>
      </w:r>
      <w:r w:rsidRPr="00D93209">
        <w:rPr>
          <w:rFonts w:cstheme="minorHAnsi"/>
          <w:i/>
          <w:iCs/>
        </w:rPr>
        <w:t xml:space="preserve">Energy </w:t>
      </w:r>
      <w:r>
        <w:rPr>
          <w:rFonts w:cstheme="minorHAnsi"/>
          <w:i/>
          <w:iCs/>
        </w:rPr>
        <w:t>E</w:t>
      </w:r>
      <w:r w:rsidRPr="00D93209">
        <w:rPr>
          <w:rFonts w:cstheme="minorHAnsi"/>
          <w:i/>
          <w:iCs/>
        </w:rPr>
        <w:t>conomics</w:t>
      </w:r>
      <w:r>
        <w:rPr>
          <w:rFonts w:cstheme="minorHAnsi"/>
          <w:i/>
          <w:iCs/>
        </w:rPr>
        <w:t>,</w:t>
      </w:r>
      <w:r w:rsidRPr="00D93209">
        <w:rPr>
          <w:rFonts w:cstheme="minorHAnsi"/>
        </w:rPr>
        <w:t xml:space="preserve"> </w:t>
      </w:r>
      <w:r w:rsidRPr="00945A44">
        <w:rPr>
          <w:rFonts w:cstheme="minorHAnsi"/>
          <w:b/>
          <w:bCs/>
          <w:iCs/>
        </w:rPr>
        <w:t>51</w:t>
      </w:r>
      <w:r w:rsidRPr="00D93209">
        <w:rPr>
          <w:rFonts w:cstheme="minorHAnsi"/>
        </w:rPr>
        <w:t>,</w:t>
      </w:r>
      <w:r>
        <w:rPr>
          <w:rFonts w:cstheme="minorHAnsi"/>
        </w:rPr>
        <w:t xml:space="preserve"> </w:t>
      </w:r>
      <w:r w:rsidRPr="00D93209">
        <w:rPr>
          <w:rFonts w:cstheme="minorHAnsi"/>
        </w:rPr>
        <w:t>9-20</w:t>
      </w:r>
    </w:p>
    <w:p w14:paraId="4F75F75E" w14:textId="77777777" w:rsidR="00F449B8" w:rsidRDefault="00F449B8" w:rsidP="00F449B8">
      <w:pPr>
        <w:pStyle w:val="EndnoteText"/>
        <w:jc w:val="both"/>
        <w:rPr>
          <w:rFonts w:cstheme="minorHAnsi"/>
          <w:sz w:val="22"/>
          <w:szCs w:val="22"/>
        </w:rPr>
      </w:pPr>
    </w:p>
    <w:p w14:paraId="08FE4FC1" w14:textId="77777777" w:rsidR="00F449B8" w:rsidRPr="00724B3C" w:rsidRDefault="00F449B8" w:rsidP="00F449B8">
      <w:pPr>
        <w:spacing w:after="0" w:line="240" w:lineRule="auto"/>
        <w:jc w:val="both"/>
        <w:rPr>
          <w:rFonts w:eastAsia="Calibri" w:cstheme="minorHAnsi"/>
          <w:lang w:eastAsia="en-GB"/>
        </w:rPr>
      </w:pPr>
      <w:r w:rsidRPr="00D93209">
        <w:rPr>
          <w:rFonts w:eastAsia="Calibri" w:cstheme="minorHAnsi"/>
          <w:lang w:eastAsia="en-GB"/>
        </w:rPr>
        <w:t>Micallef, M.</w:t>
      </w:r>
      <w:r>
        <w:rPr>
          <w:rFonts w:eastAsia="Calibri" w:cstheme="minorHAnsi"/>
          <w:lang w:eastAsia="en-GB"/>
        </w:rPr>
        <w:t>, 2011.</w:t>
      </w:r>
      <w:r w:rsidRPr="00D93209">
        <w:rPr>
          <w:rFonts w:eastAsia="Calibri" w:cstheme="minorHAnsi"/>
          <w:lang w:eastAsia="en-GB"/>
        </w:rPr>
        <w:t xml:space="preserve"> Power setback as energy link to Sicily is delayed. </w:t>
      </w:r>
      <w:r w:rsidRPr="006042C9">
        <w:rPr>
          <w:rFonts w:eastAsia="Calibri" w:cstheme="minorHAnsi"/>
          <w:i/>
          <w:iCs/>
          <w:lang w:eastAsia="en-GB"/>
        </w:rPr>
        <w:t>Times of Malta</w:t>
      </w:r>
      <w:r w:rsidRPr="00D93209">
        <w:rPr>
          <w:rFonts w:eastAsia="Calibri" w:cstheme="minorHAnsi"/>
          <w:lang w:eastAsia="en-GB"/>
        </w:rPr>
        <w:t>.</w:t>
      </w:r>
      <w:r>
        <w:rPr>
          <w:rFonts w:eastAsia="Calibri" w:cstheme="minorHAnsi"/>
          <w:lang w:eastAsia="en-GB"/>
        </w:rPr>
        <w:t xml:space="preserve"> (</w:t>
      </w:r>
      <w:r w:rsidRPr="00D93209">
        <w:rPr>
          <w:rFonts w:eastAsia="Calibri" w:cstheme="minorHAnsi"/>
          <w:lang w:eastAsia="en-GB"/>
        </w:rPr>
        <w:t>20 November 2011</w:t>
      </w:r>
      <w:r>
        <w:rPr>
          <w:rFonts w:eastAsia="Calibri" w:cstheme="minorHAnsi"/>
          <w:lang w:eastAsia="en-GB"/>
        </w:rPr>
        <w:t>)</w:t>
      </w:r>
      <w:r w:rsidRPr="00D93209">
        <w:rPr>
          <w:rFonts w:eastAsia="Calibri" w:cstheme="minorHAnsi"/>
          <w:lang w:eastAsia="en-GB"/>
        </w:rPr>
        <w:t xml:space="preserve"> </w:t>
      </w:r>
      <w:r w:rsidRPr="00521128">
        <w:rPr>
          <w:rStyle w:val="Hyperlink"/>
        </w:rPr>
        <w:t>https://www.timesofmalta.com/articles/view/20111120/local/Power-setback-as-energy-link-to-Sicily-is-delayed.394695</w:t>
      </w:r>
    </w:p>
    <w:p w14:paraId="1F464315" w14:textId="77777777" w:rsidR="00F449B8" w:rsidRDefault="00F449B8" w:rsidP="00F449B8">
      <w:pPr>
        <w:pStyle w:val="EndnoteText"/>
        <w:jc w:val="both"/>
        <w:rPr>
          <w:rFonts w:cstheme="minorHAnsi"/>
          <w:sz w:val="22"/>
          <w:szCs w:val="22"/>
        </w:rPr>
      </w:pPr>
    </w:p>
    <w:p w14:paraId="7B617E54" w14:textId="77777777" w:rsidR="00F449B8" w:rsidRPr="00945A44" w:rsidRDefault="00F449B8" w:rsidP="00F449B8">
      <w:pPr>
        <w:pStyle w:val="EndnoteText"/>
        <w:jc w:val="both"/>
        <w:rPr>
          <w:rFonts w:eastAsia="Calibri" w:cstheme="minorHAnsi"/>
          <w:sz w:val="22"/>
          <w:szCs w:val="22"/>
        </w:rPr>
      </w:pPr>
      <w:r w:rsidRPr="00945A44">
        <w:rPr>
          <w:rFonts w:eastAsia="Calibri" w:cstheme="minorHAnsi"/>
          <w:sz w:val="22"/>
          <w:szCs w:val="22"/>
        </w:rPr>
        <w:t>Narbel, P. A.</w:t>
      </w:r>
      <w:r>
        <w:rPr>
          <w:rFonts w:eastAsia="Calibri" w:cstheme="minorHAnsi"/>
          <w:sz w:val="22"/>
          <w:szCs w:val="22"/>
        </w:rPr>
        <w:t>, 2013.</w:t>
      </w:r>
      <w:r w:rsidRPr="00945A44">
        <w:rPr>
          <w:rFonts w:eastAsia="Calibri" w:cstheme="minorHAnsi"/>
          <w:sz w:val="22"/>
          <w:szCs w:val="22"/>
        </w:rPr>
        <w:t xml:space="preserve"> The likely impact of Basel III on a bank's appetite for renewable energy financing. Bergen: NHH [Norwegian School of Economics] Dept. of Business and Management Sci</w:t>
      </w:r>
      <w:r>
        <w:rPr>
          <w:rFonts w:eastAsia="Calibri" w:cstheme="minorHAnsi"/>
          <w:sz w:val="22"/>
          <w:szCs w:val="22"/>
        </w:rPr>
        <w:t>ence Discussion Paper</w:t>
      </w:r>
      <w:r w:rsidRPr="00945A44">
        <w:rPr>
          <w:rFonts w:eastAsia="Calibri" w:cstheme="minorHAnsi"/>
          <w:sz w:val="22"/>
          <w:szCs w:val="22"/>
        </w:rPr>
        <w:t xml:space="preserve"> </w:t>
      </w:r>
    </w:p>
    <w:p w14:paraId="6638438B" w14:textId="77777777" w:rsidR="00F449B8" w:rsidRPr="00012EF5" w:rsidRDefault="00F449B8" w:rsidP="00F449B8">
      <w:pPr>
        <w:pStyle w:val="EndnoteText"/>
        <w:jc w:val="both"/>
        <w:rPr>
          <w:rFonts w:eastAsia="Calibri" w:cstheme="minorHAnsi"/>
          <w:sz w:val="22"/>
          <w:szCs w:val="22"/>
          <w:highlight w:val="yellow"/>
        </w:rPr>
      </w:pPr>
    </w:p>
    <w:p w14:paraId="5EB5FFA4" w14:textId="77777777" w:rsidR="00F449B8" w:rsidRDefault="00F449B8" w:rsidP="00F449B8">
      <w:pPr>
        <w:pStyle w:val="EndnoteText"/>
        <w:jc w:val="both"/>
        <w:rPr>
          <w:rFonts w:eastAsia="Calibri" w:cstheme="minorHAnsi"/>
          <w:sz w:val="22"/>
          <w:szCs w:val="22"/>
        </w:rPr>
      </w:pPr>
      <w:r w:rsidRPr="0017609A">
        <w:rPr>
          <w:rFonts w:eastAsia="Calibri" w:cstheme="minorHAnsi"/>
          <w:sz w:val="22"/>
          <w:szCs w:val="22"/>
          <w:lang w:val="de-DE" w:eastAsia="en-GB"/>
        </w:rPr>
        <w:t xml:space="preserve">Neuhoff, K., Boyd, R. &amp; Glachant, J.-M., 2012. </w:t>
      </w:r>
      <w:r w:rsidRPr="00D93209">
        <w:rPr>
          <w:rFonts w:eastAsia="Calibri" w:cstheme="minorHAnsi"/>
          <w:sz w:val="22"/>
          <w:szCs w:val="22"/>
          <w:lang w:eastAsia="en-GB"/>
        </w:rPr>
        <w:t>European Electricity Infrastructure: Planning, Regulation, and Financing. Workshop report, Berlin: Climate Policy Initiative &amp; Florence: European University Institute School of Regulation</w:t>
      </w:r>
      <w:r>
        <w:rPr>
          <w:rFonts w:eastAsia="Calibri" w:cstheme="minorHAnsi"/>
          <w:sz w:val="22"/>
          <w:szCs w:val="22"/>
        </w:rPr>
        <w:t xml:space="preserve"> </w:t>
      </w:r>
    </w:p>
    <w:p w14:paraId="071D263A" w14:textId="77777777" w:rsidR="00F449B8" w:rsidRDefault="00F449B8" w:rsidP="00F449B8">
      <w:pPr>
        <w:pStyle w:val="EndnoteText"/>
        <w:jc w:val="both"/>
        <w:rPr>
          <w:rFonts w:cstheme="minorHAnsi"/>
          <w:sz w:val="22"/>
          <w:szCs w:val="22"/>
          <w:highlight w:val="yellow"/>
        </w:rPr>
      </w:pPr>
    </w:p>
    <w:p w14:paraId="1E947D18" w14:textId="77777777" w:rsidR="00F449B8" w:rsidRPr="00751B8B" w:rsidRDefault="00F449B8" w:rsidP="00F449B8">
      <w:pPr>
        <w:spacing w:after="0" w:line="240" w:lineRule="auto"/>
        <w:jc w:val="both"/>
        <w:rPr>
          <w:rFonts w:cstheme="minorHAnsi"/>
          <w:lang w:val="de-DE"/>
        </w:rPr>
      </w:pPr>
      <w:r w:rsidRPr="00D93209">
        <w:rPr>
          <w:rFonts w:cstheme="minorHAnsi"/>
        </w:rPr>
        <w:t>Newman, N.</w:t>
      </w:r>
      <w:r>
        <w:rPr>
          <w:rFonts w:cstheme="minorHAnsi"/>
        </w:rPr>
        <w:t xml:space="preserve">, 2015. </w:t>
      </w:r>
      <w:r w:rsidRPr="00D93209">
        <w:rPr>
          <w:rFonts w:cstheme="minorHAnsi"/>
        </w:rPr>
        <w:t>The Challenges of Connecting up Europe</w:t>
      </w:r>
      <w:r>
        <w:rPr>
          <w:rFonts w:cstheme="minorHAnsi"/>
        </w:rPr>
        <w:t>.</w:t>
      </w:r>
      <w:r w:rsidRPr="00D93209">
        <w:rPr>
          <w:rFonts w:cstheme="minorHAnsi"/>
        </w:rPr>
        <w:t xml:space="preserve"> </w:t>
      </w:r>
      <w:r w:rsidRPr="00CC77C5">
        <w:rPr>
          <w:rFonts w:cstheme="minorHAnsi"/>
          <w:i/>
          <w:iCs/>
          <w:lang w:val="de-DE"/>
        </w:rPr>
        <w:t>Elektor Magazine</w:t>
      </w:r>
      <w:r w:rsidRPr="00CC77C5">
        <w:rPr>
          <w:rFonts w:cstheme="minorHAnsi"/>
          <w:lang w:val="de-DE"/>
        </w:rPr>
        <w:t xml:space="preserve">, August 5, 2015. </w:t>
      </w:r>
      <w:hyperlink r:id="rId13" w:history="1">
        <w:r w:rsidRPr="00751B8B">
          <w:rPr>
            <w:rStyle w:val="Hyperlink"/>
            <w:rFonts w:eastAsia="Calibri" w:cstheme="minorHAnsi"/>
            <w:lang w:val="de-DE" w:eastAsia="en-GB"/>
          </w:rPr>
          <w:t>https://www.elektormagazine.com/news/the-challenges-of-connecting-up-europe</w:t>
        </w:r>
      </w:hyperlink>
      <w:r w:rsidRPr="00751B8B">
        <w:rPr>
          <w:rFonts w:cstheme="minorHAnsi"/>
          <w:lang w:val="de-DE"/>
        </w:rPr>
        <w:t xml:space="preserve"> </w:t>
      </w:r>
    </w:p>
    <w:p w14:paraId="418FC2FB" w14:textId="77777777" w:rsidR="00F449B8" w:rsidRPr="00751B8B" w:rsidRDefault="00F449B8" w:rsidP="00F449B8">
      <w:pPr>
        <w:spacing w:after="0" w:line="240" w:lineRule="auto"/>
        <w:jc w:val="both"/>
        <w:rPr>
          <w:rFonts w:cstheme="minorHAnsi"/>
          <w:lang w:val="de-DE"/>
        </w:rPr>
      </w:pPr>
    </w:p>
    <w:p w14:paraId="277462E4" w14:textId="77777777" w:rsidR="00F449B8" w:rsidRPr="004B2854" w:rsidRDefault="00F449B8" w:rsidP="00F449B8">
      <w:pPr>
        <w:pStyle w:val="EndnoteText"/>
        <w:jc w:val="both"/>
        <w:rPr>
          <w:rFonts w:cstheme="minorHAnsi"/>
          <w:sz w:val="22"/>
          <w:szCs w:val="22"/>
        </w:rPr>
      </w:pPr>
      <w:r>
        <w:rPr>
          <w:rFonts w:cstheme="minorHAnsi"/>
          <w:sz w:val="22"/>
          <w:szCs w:val="22"/>
        </w:rPr>
        <w:t>OECD, 2015.</w:t>
      </w:r>
      <w:r w:rsidRPr="004B2854">
        <w:rPr>
          <w:rFonts w:cstheme="minorHAnsi"/>
          <w:sz w:val="22"/>
          <w:szCs w:val="22"/>
        </w:rPr>
        <w:t xml:space="preserve"> Mapping channels to mobilise institutional investment in sustainable energy – OECD Report to G20 finance ministers and central bank governors</w:t>
      </w:r>
      <w:r w:rsidRPr="004B2854">
        <w:rPr>
          <w:rFonts w:eastAsia="Calibri" w:cstheme="minorHAnsi"/>
          <w:sz w:val="22"/>
          <w:szCs w:val="22"/>
          <w:lang w:eastAsia="en-GB"/>
        </w:rPr>
        <w:t xml:space="preserve"> (2015).</w:t>
      </w:r>
    </w:p>
    <w:p w14:paraId="37028A96" w14:textId="77777777" w:rsidR="00F449B8" w:rsidRPr="004B2854" w:rsidRDefault="00F449B8" w:rsidP="00F449B8">
      <w:pPr>
        <w:pStyle w:val="EndnoteText"/>
        <w:jc w:val="both"/>
        <w:rPr>
          <w:rFonts w:cstheme="minorHAnsi"/>
          <w:sz w:val="22"/>
          <w:szCs w:val="22"/>
        </w:rPr>
      </w:pPr>
    </w:p>
    <w:p w14:paraId="6B4FFC4B" w14:textId="77777777" w:rsidR="00F449B8" w:rsidRPr="00D93209" w:rsidRDefault="00F449B8" w:rsidP="00F449B8">
      <w:pPr>
        <w:pStyle w:val="EndnoteText"/>
        <w:jc w:val="both"/>
        <w:rPr>
          <w:rFonts w:cstheme="minorHAnsi"/>
          <w:sz w:val="22"/>
          <w:szCs w:val="22"/>
        </w:rPr>
      </w:pPr>
      <w:r w:rsidRPr="00D93209">
        <w:rPr>
          <w:rFonts w:eastAsia="Arial" w:cstheme="minorHAnsi"/>
          <w:sz w:val="22"/>
          <w:szCs w:val="22"/>
        </w:rPr>
        <w:t>Penttinen, S.L.</w:t>
      </w:r>
      <w:r>
        <w:rPr>
          <w:rFonts w:eastAsia="Arial" w:cstheme="minorHAnsi"/>
          <w:sz w:val="22"/>
          <w:szCs w:val="22"/>
        </w:rPr>
        <w:t>, 2018.</w:t>
      </w:r>
      <w:r w:rsidRPr="00D93209">
        <w:rPr>
          <w:rFonts w:eastAsia="Arial" w:cstheme="minorHAnsi"/>
          <w:sz w:val="22"/>
          <w:szCs w:val="22"/>
        </w:rPr>
        <w:t xml:space="preserve"> The Next Chapter in the Saga of Renewable Energy Support Schemes: Stil</w:t>
      </w:r>
      <w:r>
        <w:rPr>
          <w:rFonts w:eastAsia="Arial" w:cstheme="minorHAnsi"/>
          <w:sz w:val="22"/>
          <w:szCs w:val="22"/>
        </w:rPr>
        <w:t>l</w:t>
      </w:r>
      <w:r w:rsidRPr="00D93209">
        <w:rPr>
          <w:rFonts w:eastAsia="Arial" w:cstheme="minorHAnsi"/>
          <w:sz w:val="22"/>
          <w:szCs w:val="22"/>
        </w:rPr>
        <w:t xml:space="preserve"> a Certain Degree of Mystery" after Essent Belgium II. </w:t>
      </w:r>
      <w:r w:rsidRPr="00D93209">
        <w:rPr>
          <w:rFonts w:eastAsia="Arial" w:cstheme="minorHAnsi"/>
          <w:i/>
          <w:iCs/>
          <w:sz w:val="22"/>
          <w:szCs w:val="22"/>
        </w:rPr>
        <w:t xml:space="preserve">European </w:t>
      </w:r>
      <w:r>
        <w:rPr>
          <w:rFonts w:eastAsia="Arial" w:cstheme="minorHAnsi"/>
          <w:i/>
          <w:iCs/>
          <w:sz w:val="22"/>
          <w:szCs w:val="22"/>
        </w:rPr>
        <w:t>L</w:t>
      </w:r>
      <w:r w:rsidRPr="00D93209">
        <w:rPr>
          <w:rFonts w:eastAsia="Arial" w:cstheme="minorHAnsi"/>
          <w:i/>
          <w:iCs/>
          <w:sz w:val="22"/>
          <w:szCs w:val="22"/>
        </w:rPr>
        <w:t xml:space="preserve">aw </w:t>
      </w:r>
      <w:r>
        <w:rPr>
          <w:rFonts w:eastAsia="Arial" w:cstheme="minorHAnsi"/>
          <w:i/>
          <w:iCs/>
          <w:sz w:val="22"/>
          <w:szCs w:val="22"/>
        </w:rPr>
        <w:t>R</w:t>
      </w:r>
      <w:r w:rsidRPr="00D93209">
        <w:rPr>
          <w:rFonts w:eastAsia="Arial" w:cstheme="minorHAnsi"/>
          <w:i/>
          <w:iCs/>
          <w:sz w:val="22"/>
          <w:szCs w:val="22"/>
        </w:rPr>
        <w:t>eview</w:t>
      </w:r>
      <w:r>
        <w:rPr>
          <w:rFonts w:eastAsia="Arial" w:cstheme="minorHAnsi"/>
          <w:i/>
          <w:iCs/>
          <w:sz w:val="22"/>
          <w:szCs w:val="22"/>
        </w:rPr>
        <w:t>,</w:t>
      </w:r>
      <w:r w:rsidRPr="00D93209">
        <w:rPr>
          <w:rFonts w:eastAsia="Arial" w:cstheme="minorHAnsi"/>
          <w:sz w:val="22"/>
          <w:szCs w:val="22"/>
        </w:rPr>
        <w:t xml:space="preserve"> </w:t>
      </w:r>
      <w:r w:rsidRPr="00A7547F">
        <w:rPr>
          <w:rFonts w:eastAsia="Arial" w:cstheme="minorHAnsi"/>
          <w:b/>
          <w:bCs/>
          <w:sz w:val="22"/>
          <w:szCs w:val="22"/>
        </w:rPr>
        <w:t>1</w:t>
      </w:r>
      <w:r w:rsidRPr="00D93209">
        <w:rPr>
          <w:rFonts w:eastAsia="Arial" w:cstheme="minorHAnsi"/>
          <w:sz w:val="22"/>
          <w:szCs w:val="22"/>
        </w:rPr>
        <w:t>, 106-119</w:t>
      </w:r>
      <w:r>
        <w:rPr>
          <w:rFonts w:eastAsia="Arial" w:cstheme="minorHAnsi"/>
          <w:sz w:val="22"/>
          <w:szCs w:val="22"/>
        </w:rPr>
        <w:t xml:space="preserve"> </w:t>
      </w:r>
    </w:p>
    <w:p w14:paraId="768EBD4F" w14:textId="77777777" w:rsidR="00F449B8" w:rsidRDefault="00F449B8" w:rsidP="00F449B8">
      <w:pPr>
        <w:spacing w:after="0" w:line="240" w:lineRule="auto"/>
        <w:jc w:val="both"/>
        <w:rPr>
          <w:rFonts w:cstheme="minorHAnsi"/>
        </w:rPr>
      </w:pPr>
    </w:p>
    <w:p w14:paraId="138183A0" w14:textId="77777777" w:rsidR="00F044E3" w:rsidRDefault="00F044E3" w:rsidP="00F044E3">
      <w:pPr>
        <w:pStyle w:val="EndnoteText"/>
        <w:jc w:val="both"/>
        <w:rPr>
          <w:rFonts w:eastAsia="Calibri" w:cstheme="minorHAnsi"/>
          <w:sz w:val="22"/>
          <w:szCs w:val="22"/>
        </w:rPr>
      </w:pPr>
      <w:r w:rsidRPr="002E179B">
        <w:rPr>
          <w:rFonts w:eastAsia="Calibri" w:cstheme="minorHAnsi"/>
          <w:sz w:val="22"/>
          <w:szCs w:val="22"/>
        </w:rPr>
        <w:t xml:space="preserve">Peters, M.D., Godfrey, C.M., Khalil, H., McInerney, P., Parker, </w:t>
      </w:r>
      <w:r>
        <w:rPr>
          <w:rFonts w:eastAsia="Calibri" w:cstheme="minorHAnsi"/>
          <w:sz w:val="22"/>
          <w:szCs w:val="22"/>
        </w:rPr>
        <w:t>D. &amp;</w:t>
      </w:r>
      <w:r w:rsidRPr="002E179B">
        <w:rPr>
          <w:rFonts w:eastAsia="Calibri" w:cstheme="minorHAnsi"/>
          <w:sz w:val="22"/>
          <w:szCs w:val="22"/>
        </w:rPr>
        <w:t xml:space="preserve"> Soares, C.B.</w:t>
      </w:r>
      <w:r>
        <w:rPr>
          <w:rFonts w:eastAsia="Calibri" w:cstheme="minorHAnsi"/>
          <w:sz w:val="22"/>
          <w:szCs w:val="22"/>
        </w:rPr>
        <w:t>, 2015.</w:t>
      </w:r>
      <w:r w:rsidRPr="002E179B">
        <w:rPr>
          <w:rFonts w:eastAsia="Calibri" w:cstheme="minorHAnsi"/>
          <w:sz w:val="22"/>
          <w:szCs w:val="22"/>
        </w:rPr>
        <w:t xml:space="preserve"> Guidance for conducting systematic scoping reviews. </w:t>
      </w:r>
      <w:r>
        <w:rPr>
          <w:rFonts w:eastAsia="Calibri" w:cstheme="minorHAnsi"/>
          <w:i/>
          <w:sz w:val="22"/>
          <w:szCs w:val="22"/>
        </w:rPr>
        <w:t>International Journal of E</w:t>
      </w:r>
      <w:r w:rsidRPr="003A313C">
        <w:rPr>
          <w:rFonts w:eastAsia="Calibri" w:cstheme="minorHAnsi"/>
          <w:i/>
          <w:sz w:val="22"/>
          <w:szCs w:val="22"/>
        </w:rPr>
        <w:t>vide</w:t>
      </w:r>
      <w:r>
        <w:rPr>
          <w:rFonts w:eastAsia="Calibri" w:cstheme="minorHAnsi"/>
          <w:i/>
          <w:sz w:val="22"/>
          <w:szCs w:val="22"/>
        </w:rPr>
        <w:t>nce-based H</w:t>
      </w:r>
      <w:r w:rsidRPr="003A313C">
        <w:rPr>
          <w:rFonts w:eastAsia="Calibri" w:cstheme="minorHAnsi"/>
          <w:i/>
          <w:sz w:val="22"/>
          <w:szCs w:val="22"/>
        </w:rPr>
        <w:t>ealthcare</w:t>
      </w:r>
      <w:r>
        <w:rPr>
          <w:rFonts w:eastAsia="Calibri" w:cstheme="minorHAnsi"/>
          <w:i/>
          <w:sz w:val="22"/>
          <w:szCs w:val="22"/>
        </w:rPr>
        <w:t>,</w:t>
      </w:r>
      <w:r w:rsidRPr="002E179B">
        <w:rPr>
          <w:rFonts w:eastAsia="Calibri" w:cstheme="minorHAnsi"/>
          <w:sz w:val="22"/>
          <w:szCs w:val="22"/>
        </w:rPr>
        <w:t xml:space="preserve"> </w:t>
      </w:r>
      <w:r w:rsidRPr="002E179B">
        <w:rPr>
          <w:rFonts w:eastAsia="Calibri" w:cstheme="minorHAnsi"/>
          <w:b/>
          <w:sz w:val="22"/>
          <w:szCs w:val="22"/>
        </w:rPr>
        <w:t>13(3)</w:t>
      </w:r>
      <w:r w:rsidRPr="002E179B">
        <w:rPr>
          <w:rFonts w:eastAsia="Calibri" w:cstheme="minorHAnsi"/>
          <w:sz w:val="22"/>
          <w:szCs w:val="22"/>
        </w:rPr>
        <w:t>, 141-146</w:t>
      </w:r>
    </w:p>
    <w:p w14:paraId="6AA33AEF" w14:textId="77777777" w:rsidR="00F044E3" w:rsidRDefault="00F044E3" w:rsidP="00F044E3">
      <w:pPr>
        <w:pStyle w:val="EndnoteText"/>
        <w:jc w:val="both"/>
        <w:rPr>
          <w:rFonts w:eastAsia="Calibri" w:cstheme="minorHAnsi"/>
          <w:sz w:val="22"/>
          <w:szCs w:val="22"/>
        </w:rPr>
      </w:pPr>
    </w:p>
    <w:p w14:paraId="1318CA4E" w14:textId="77777777" w:rsidR="00F044E3" w:rsidRPr="002E179B" w:rsidRDefault="00F044E3" w:rsidP="00F044E3">
      <w:pPr>
        <w:pStyle w:val="EndnoteText"/>
        <w:jc w:val="both"/>
        <w:rPr>
          <w:rFonts w:eastAsia="Calibri" w:cstheme="minorHAnsi"/>
          <w:sz w:val="22"/>
          <w:szCs w:val="22"/>
        </w:rPr>
      </w:pPr>
      <w:r w:rsidRPr="002E179B">
        <w:rPr>
          <w:rFonts w:eastAsia="Calibri" w:cstheme="minorHAnsi"/>
          <w:sz w:val="22"/>
          <w:szCs w:val="22"/>
        </w:rPr>
        <w:t>Pham, M.T., Rajić, A., Greig, J.D., Sargeant, J.M., Papadop</w:t>
      </w:r>
      <w:r>
        <w:rPr>
          <w:rFonts w:eastAsia="Calibri" w:cstheme="minorHAnsi"/>
          <w:sz w:val="22"/>
          <w:szCs w:val="22"/>
        </w:rPr>
        <w:t>oulos, A. &amp;</w:t>
      </w:r>
      <w:r w:rsidRPr="002E179B">
        <w:rPr>
          <w:rFonts w:eastAsia="Calibri" w:cstheme="minorHAnsi"/>
          <w:sz w:val="22"/>
          <w:szCs w:val="22"/>
        </w:rPr>
        <w:t xml:space="preserve"> McEwen, S.A.</w:t>
      </w:r>
      <w:r>
        <w:rPr>
          <w:rFonts w:eastAsia="Calibri" w:cstheme="minorHAnsi"/>
          <w:sz w:val="22"/>
          <w:szCs w:val="22"/>
        </w:rPr>
        <w:t>, 2014.</w:t>
      </w:r>
      <w:r w:rsidRPr="002E179B">
        <w:rPr>
          <w:rFonts w:eastAsia="Calibri" w:cstheme="minorHAnsi"/>
          <w:sz w:val="22"/>
          <w:szCs w:val="22"/>
        </w:rPr>
        <w:t xml:space="preserve"> A scoping review of scoping reviews: advancing the approach and enhancing the consistency. </w:t>
      </w:r>
      <w:r>
        <w:rPr>
          <w:rFonts w:eastAsia="Calibri" w:cstheme="minorHAnsi"/>
          <w:i/>
          <w:sz w:val="22"/>
          <w:szCs w:val="22"/>
        </w:rPr>
        <w:t>Research Synthesis M</w:t>
      </w:r>
      <w:r w:rsidRPr="003A313C">
        <w:rPr>
          <w:rFonts w:eastAsia="Calibri" w:cstheme="minorHAnsi"/>
          <w:i/>
          <w:sz w:val="22"/>
          <w:szCs w:val="22"/>
        </w:rPr>
        <w:t>ethods</w:t>
      </w:r>
      <w:r>
        <w:rPr>
          <w:rFonts w:eastAsia="Calibri" w:cstheme="minorHAnsi"/>
          <w:i/>
          <w:sz w:val="22"/>
          <w:szCs w:val="22"/>
        </w:rPr>
        <w:t>,</w:t>
      </w:r>
      <w:r w:rsidRPr="002E179B">
        <w:rPr>
          <w:rFonts w:eastAsia="Calibri" w:cstheme="minorHAnsi"/>
          <w:sz w:val="22"/>
          <w:szCs w:val="22"/>
        </w:rPr>
        <w:t xml:space="preserve"> </w:t>
      </w:r>
      <w:r w:rsidRPr="002E179B">
        <w:rPr>
          <w:rFonts w:eastAsia="Calibri" w:cstheme="minorHAnsi"/>
          <w:b/>
          <w:sz w:val="22"/>
          <w:szCs w:val="22"/>
        </w:rPr>
        <w:t>5(4)</w:t>
      </w:r>
      <w:r w:rsidRPr="002E179B">
        <w:rPr>
          <w:rFonts w:eastAsia="Calibri" w:cstheme="minorHAnsi"/>
          <w:sz w:val="22"/>
          <w:szCs w:val="22"/>
        </w:rPr>
        <w:t>, 371-385</w:t>
      </w:r>
      <w:r>
        <w:rPr>
          <w:rFonts w:eastAsia="Calibri" w:cstheme="minorHAnsi"/>
          <w:sz w:val="22"/>
          <w:szCs w:val="22"/>
        </w:rPr>
        <w:t xml:space="preserve"> </w:t>
      </w:r>
    </w:p>
    <w:p w14:paraId="3915BFE5" w14:textId="77777777" w:rsidR="00F044E3" w:rsidRPr="002E179B" w:rsidRDefault="00F044E3" w:rsidP="00F044E3">
      <w:pPr>
        <w:pStyle w:val="EndnoteText"/>
        <w:jc w:val="both"/>
        <w:rPr>
          <w:rFonts w:eastAsia="Calibri" w:cstheme="minorHAnsi"/>
          <w:sz w:val="22"/>
          <w:szCs w:val="22"/>
        </w:rPr>
      </w:pPr>
    </w:p>
    <w:p w14:paraId="5F1D1F6A" w14:textId="77777777" w:rsidR="00F449B8" w:rsidRDefault="00F449B8" w:rsidP="00F449B8">
      <w:pPr>
        <w:pStyle w:val="EndnoteText"/>
        <w:rPr>
          <w:rStyle w:val="Hyperlink"/>
          <w:rFonts w:cstheme="minorHAnsi"/>
          <w:sz w:val="22"/>
          <w:szCs w:val="22"/>
        </w:rPr>
      </w:pPr>
      <w:r>
        <w:rPr>
          <w:rFonts w:cstheme="minorHAnsi"/>
          <w:sz w:val="22"/>
          <w:szCs w:val="22"/>
        </w:rPr>
        <w:t>PROMOTION, 2019. T</w:t>
      </w:r>
      <w:r w:rsidRPr="00D93209">
        <w:rPr>
          <w:rFonts w:cstheme="minorHAnsi"/>
          <w:sz w:val="22"/>
          <w:szCs w:val="22"/>
        </w:rPr>
        <w:t xml:space="preserve">he H2020 meshed offshore grid project “PROMOTION” (January 2016-December 2019) </w:t>
      </w:r>
      <w:hyperlink r:id="rId14" w:history="1">
        <w:r w:rsidRPr="00960B91">
          <w:rPr>
            <w:rStyle w:val="Hyperlink"/>
            <w:rFonts w:cstheme="minorHAnsi"/>
            <w:sz w:val="22"/>
            <w:szCs w:val="22"/>
          </w:rPr>
          <w:t>https://www.promotion-offshore.net/</w:t>
        </w:r>
      </w:hyperlink>
    </w:p>
    <w:p w14:paraId="7B4B1705" w14:textId="77777777" w:rsidR="00F449B8" w:rsidRPr="005E662A" w:rsidRDefault="00F449B8" w:rsidP="00F449B8">
      <w:pPr>
        <w:pStyle w:val="EndnoteText"/>
        <w:rPr>
          <w:rFonts w:cstheme="minorHAnsi"/>
          <w:sz w:val="22"/>
          <w:szCs w:val="22"/>
          <w:u w:val="single"/>
        </w:rPr>
      </w:pPr>
    </w:p>
    <w:p w14:paraId="662DD8D7" w14:textId="77777777" w:rsidR="00F449B8" w:rsidRPr="00724B3C" w:rsidRDefault="00F449B8" w:rsidP="00F449B8">
      <w:pPr>
        <w:spacing w:after="0" w:line="240" w:lineRule="auto"/>
        <w:jc w:val="both"/>
        <w:rPr>
          <w:rFonts w:eastAsia="Calibri" w:cstheme="minorHAnsi"/>
          <w:lang w:eastAsia="en-GB"/>
        </w:rPr>
      </w:pPr>
      <w:r>
        <w:rPr>
          <w:rFonts w:eastAsia="Calibri" w:cstheme="minorHAnsi"/>
          <w:lang w:eastAsia="en-GB"/>
        </w:rPr>
        <w:t>Puka, L., &amp;</w:t>
      </w:r>
      <w:r w:rsidRPr="00D93209">
        <w:rPr>
          <w:rFonts w:eastAsia="Calibri" w:cstheme="minorHAnsi"/>
          <w:lang w:eastAsia="en-GB"/>
        </w:rPr>
        <w:t xml:space="preserve"> Szulecki, K.</w:t>
      </w:r>
      <w:r>
        <w:rPr>
          <w:rFonts w:eastAsia="Calibri" w:cstheme="minorHAnsi"/>
          <w:lang w:eastAsia="en-GB"/>
        </w:rPr>
        <w:t>, 2014.</w:t>
      </w:r>
      <w:r w:rsidRPr="00D93209">
        <w:rPr>
          <w:rFonts w:eastAsia="Calibri" w:cstheme="minorHAnsi"/>
          <w:lang w:eastAsia="en-GB"/>
        </w:rPr>
        <w:t xml:space="preserve"> The politics and economics of cross-border electricity infrastructure: A framework for analysis. </w:t>
      </w:r>
      <w:r w:rsidRPr="00724B3C">
        <w:rPr>
          <w:rFonts w:eastAsia="Calibri" w:cstheme="minorHAnsi"/>
          <w:i/>
          <w:iCs/>
          <w:lang w:eastAsia="en-GB"/>
        </w:rPr>
        <w:t>Energy Research &amp; Social Science</w:t>
      </w:r>
      <w:r>
        <w:rPr>
          <w:rFonts w:eastAsia="Calibri" w:cstheme="minorHAnsi"/>
          <w:i/>
          <w:iCs/>
          <w:lang w:eastAsia="en-GB"/>
        </w:rPr>
        <w:t>,</w:t>
      </w:r>
      <w:r w:rsidRPr="00D93209">
        <w:rPr>
          <w:rFonts w:eastAsia="Calibri" w:cstheme="minorHAnsi"/>
          <w:lang w:eastAsia="en-GB"/>
        </w:rPr>
        <w:t xml:space="preserve"> </w:t>
      </w:r>
      <w:r w:rsidRPr="00724B3C">
        <w:rPr>
          <w:rFonts w:eastAsia="Calibri" w:cstheme="minorHAnsi"/>
          <w:b/>
          <w:bCs/>
          <w:lang w:eastAsia="en-GB"/>
        </w:rPr>
        <w:t>4</w:t>
      </w:r>
      <w:r w:rsidRPr="00724B3C">
        <w:rPr>
          <w:rFonts w:eastAsia="Calibri" w:cstheme="minorHAnsi"/>
          <w:lang w:eastAsia="en-GB"/>
        </w:rPr>
        <w:t>,</w:t>
      </w:r>
      <w:r>
        <w:rPr>
          <w:rFonts w:eastAsia="Calibri" w:cstheme="minorHAnsi"/>
          <w:lang w:eastAsia="en-GB"/>
        </w:rPr>
        <w:t xml:space="preserve"> 124-134</w:t>
      </w:r>
    </w:p>
    <w:p w14:paraId="07E49FD4" w14:textId="77777777" w:rsidR="00F449B8" w:rsidRDefault="00F449B8" w:rsidP="00F449B8">
      <w:pPr>
        <w:spacing w:after="0" w:line="240" w:lineRule="auto"/>
        <w:jc w:val="both"/>
      </w:pPr>
    </w:p>
    <w:p w14:paraId="4662ACEC" w14:textId="77777777" w:rsidR="00F044E3" w:rsidRPr="002E179B" w:rsidRDefault="00F044E3" w:rsidP="00F044E3">
      <w:pPr>
        <w:pStyle w:val="EndnoteText"/>
        <w:jc w:val="both"/>
        <w:rPr>
          <w:rFonts w:eastAsia="Calibri" w:cstheme="minorHAnsi"/>
          <w:sz w:val="22"/>
          <w:szCs w:val="22"/>
        </w:rPr>
      </w:pPr>
      <w:r w:rsidRPr="002E179B">
        <w:rPr>
          <w:rFonts w:eastAsia="Calibri" w:cstheme="minorHAnsi"/>
          <w:sz w:val="22"/>
          <w:szCs w:val="22"/>
        </w:rPr>
        <w:lastRenderedPageBreak/>
        <w:t>Rum</w:t>
      </w:r>
      <w:r>
        <w:rPr>
          <w:rFonts w:eastAsia="Calibri" w:cstheme="minorHAnsi"/>
          <w:sz w:val="22"/>
          <w:szCs w:val="22"/>
        </w:rPr>
        <w:t>rill, P.D., Fitzgerald, S.M. &amp;</w:t>
      </w:r>
      <w:r w:rsidRPr="002E179B">
        <w:rPr>
          <w:rFonts w:eastAsia="Calibri" w:cstheme="minorHAnsi"/>
          <w:sz w:val="22"/>
          <w:szCs w:val="22"/>
        </w:rPr>
        <w:t xml:space="preserve"> Merchant, W.R.</w:t>
      </w:r>
      <w:r>
        <w:rPr>
          <w:rFonts w:eastAsia="Calibri" w:cstheme="minorHAnsi"/>
          <w:sz w:val="22"/>
          <w:szCs w:val="22"/>
        </w:rPr>
        <w:t>, 2010.</w:t>
      </w:r>
      <w:r w:rsidRPr="002E179B">
        <w:rPr>
          <w:rFonts w:eastAsia="Calibri" w:cstheme="minorHAnsi"/>
          <w:sz w:val="22"/>
          <w:szCs w:val="22"/>
        </w:rPr>
        <w:t xml:space="preserve"> Using scoping literature reviews as a means of understanding and interpreting existing literature. </w:t>
      </w:r>
      <w:r w:rsidRPr="003A313C">
        <w:rPr>
          <w:rFonts w:eastAsia="Calibri" w:cstheme="minorHAnsi"/>
          <w:i/>
          <w:sz w:val="22"/>
          <w:szCs w:val="22"/>
        </w:rPr>
        <w:t>Work</w:t>
      </w:r>
      <w:r>
        <w:rPr>
          <w:rFonts w:eastAsia="Calibri" w:cstheme="minorHAnsi"/>
          <w:sz w:val="22"/>
          <w:szCs w:val="22"/>
        </w:rPr>
        <w:t xml:space="preserve">: </w:t>
      </w:r>
      <w:r w:rsidRPr="00521128">
        <w:rPr>
          <w:rFonts w:eastAsia="Calibri" w:cstheme="minorHAnsi"/>
          <w:i/>
          <w:sz w:val="22"/>
          <w:szCs w:val="22"/>
        </w:rPr>
        <w:t>A Journal of Prevention, Assessment &amp; Rehabilitation</w:t>
      </w:r>
      <w:r>
        <w:rPr>
          <w:rFonts w:eastAsia="Calibri" w:cstheme="minorHAnsi"/>
          <w:i/>
          <w:sz w:val="22"/>
          <w:szCs w:val="22"/>
        </w:rPr>
        <w:t>,</w:t>
      </w:r>
      <w:r w:rsidRPr="002E179B">
        <w:rPr>
          <w:rFonts w:eastAsia="Calibri" w:cstheme="minorHAnsi"/>
          <w:sz w:val="22"/>
          <w:szCs w:val="22"/>
        </w:rPr>
        <w:t xml:space="preserve"> </w:t>
      </w:r>
      <w:r w:rsidRPr="002E179B">
        <w:rPr>
          <w:rFonts w:eastAsia="Calibri" w:cstheme="minorHAnsi"/>
          <w:b/>
          <w:sz w:val="22"/>
          <w:szCs w:val="22"/>
        </w:rPr>
        <w:t>35(3)</w:t>
      </w:r>
      <w:r w:rsidRPr="002E179B">
        <w:rPr>
          <w:rFonts w:eastAsia="Calibri" w:cstheme="minorHAnsi"/>
          <w:sz w:val="22"/>
          <w:szCs w:val="22"/>
        </w:rPr>
        <w:t xml:space="preserve">, </w:t>
      </w:r>
      <w:r>
        <w:rPr>
          <w:rFonts w:eastAsia="Calibri" w:cstheme="minorHAnsi"/>
          <w:sz w:val="22"/>
          <w:szCs w:val="22"/>
        </w:rPr>
        <w:t xml:space="preserve">399-404 </w:t>
      </w:r>
    </w:p>
    <w:p w14:paraId="5290BF90" w14:textId="77777777" w:rsidR="00F044E3" w:rsidRPr="002E179B" w:rsidRDefault="00F044E3" w:rsidP="00F044E3">
      <w:pPr>
        <w:pStyle w:val="EndnoteText"/>
        <w:jc w:val="both"/>
        <w:rPr>
          <w:rFonts w:eastAsia="Calibri" w:cstheme="minorHAnsi"/>
          <w:sz w:val="22"/>
          <w:szCs w:val="22"/>
        </w:rPr>
      </w:pPr>
    </w:p>
    <w:p w14:paraId="77B4FB4E" w14:textId="77777777" w:rsidR="00F449B8" w:rsidRPr="00D93209" w:rsidRDefault="00F449B8" w:rsidP="00F449B8">
      <w:pPr>
        <w:pStyle w:val="EndnoteText"/>
        <w:jc w:val="both"/>
        <w:rPr>
          <w:rFonts w:cstheme="minorHAnsi"/>
          <w:sz w:val="22"/>
          <w:szCs w:val="22"/>
        </w:rPr>
      </w:pPr>
      <w:r w:rsidRPr="00D93209">
        <w:rPr>
          <w:rFonts w:cstheme="minorHAnsi"/>
          <w:sz w:val="22"/>
          <w:szCs w:val="22"/>
        </w:rPr>
        <w:t>Silva, V., Zulueta, M.L.B., Wang, Y., Fourment, P.,</w:t>
      </w:r>
      <w:r>
        <w:rPr>
          <w:rFonts w:cstheme="minorHAnsi"/>
          <w:sz w:val="22"/>
          <w:szCs w:val="22"/>
        </w:rPr>
        <w:t xml:space="preserve"> Hinchliffe, T., Burtin, A. &amp; </w:t>
      </w:r>
      <w:r w:rsidRPr="00D93209">
        <w:rPr>
          <w:rFonts w:cstheme="minorHAnsi"/>
          <w:sz w:val="22"/>
          <w:szCs w:val="22"/>
        </w:rPr>
        <w:t>Gatti-Bono, C.</w:t>
      </w:r>
      <w:r>
        <w:rPr>
          <w:rFonts w:cstheme="minorHAnsi"/>
          <w:sz w:val="22"/>
          <w:szCs w:val="22"/>
        </w:rPr>
        <w:t>, 2017.</w:t>
      </w:r>
      <w:r w:rsidRPr="00D93209">
        <w:rPr>
          <w:rFonts w:cstheme="minorHAnsi"/>
          <w:sz w:val="22"/>
          <w:szCs w:val="22"/>
        </w:rPr>
        <w:t xml:space="preserve"> Anticipating Some of the Challenges and Solutions for 60% Renewable Energy Sources in the European Electricity System. </w:t>
      </w:r>
      <w:r w:rsidRPr="008E6EAE">
        <w:rPr>
          <w:rFonts w:cstheme="minorHAnsi"/>
          <w:i/>
          <w:iCs/>
          <w:sz w:val="22"/>
          <w:szCs w:val="22"/>
        </w:rPr>
        <w:t>Forecasting and Risk Management for Renewable Energy</w:t>
      </w:r>
      <w:r>
        <w:rPr>
          <w:rFonts w:cstheme="minorHAnsi"/>
          <w:sz w:val="22"/>
          <w:szCs w:val="22"/>
        </w:rPr>
        <w:t xml:space="preserve">, (eds. </w:t>
      </w:r>
      <w:r w:rsidRPr="007C4104">
        <w:rPr>
          <w:rFonts w:cstheme="minorHAnsi"/>
          <w:sz w:val="22"/>
          <w:szCs w:val="22"/>
        </w:rPr>
        <w:t>Drobinski,</w:t>
      </w:r>
      <w:r>
        <w:rPr>
          <w:rFonts w:cstheme="minorHAnsi"/>
          <w:sz w:val="22"/>
          <w:szCs w:val="22"/>
        </w:rPr>
        <w:t xml:space="preserve"> P.,</w:t>
      </w:r>
      <w:r w:rsidRPr="007C4104">
        <w:rPr>
          <w:rFonts w:cstheme="minorHAnsi"/>
          <w:sz w:val="22"/>
          <w:szCs w:val="22"/>
        </w:rPr>
        <w:t xml:space="preserve"> ‎Mougeot,</w:t>
      </w:r>
      <w:r>
        <w:rPr>
          <w:rFonts w:cstheme="minorHAnsi"/>
          <w:sz w:val="22"/>
          <w:szCs w:val="22"/>
        </w:rPr>
        <w:t xml:space="preserve"> M. &amp;</w:t>
      </w:r>
      <w:r w:rsidRPr="007C4104">
        <w:rPr>
          <w:rFonts w:cstheme="minorHAnsi"/>
          <w:sz w:val="22"/>
          <w:szCs w:val="22"/>
        </w:rPr>
        <w:t xml:space="preserve"> Picard</w:t>
      </w:r>
      <w:r>
        <w:rPr>
          <w:rFonts w:cstheme="minorHAnsi"/>
          <w:sz w:val="22"/>
          <w:szCs w:val="22"/>
        </w:rPr>
        <w:t xml:space="preserve">, D.), </w:t>
      </w:r>
      <w:r w:rsidRPr="00D93209">
        <w:rPr>
          <w:rFonts w:cstheme="minorHAnsi"/>
          <w:sz w:val="22"/>
          <w:szCs w:val="22"/>
        </w:rPr>
        <w:t>169-184</w:t>
      </w:r>
    </w:p>
    <w:p w14:paraId="7519E77A" w14:textId="77777777" w:rsidR="00F449B8" w:rsidRDefault="00F449B8" w:rsidP="00F449B8">
      <w:pPr>
        <w:pStyle w:val="EndnoteText"/>
        <w:jc w:val="both"/>
        <w:rPr>
          <w:rFonts w:cstheme="minorHAnsi"/>
          <w:sz w:val="22"/>
          <w:szCs w:val="22"/>
        </w:rPr>
      </w:pPr>
    </w:p>
    <w:p w14:paraId="3EA7FED6" w14:textId="77777777" w:rsidR="00F449B8" w:rsidRDefault="00F449B8" w:rsidP="00F449B8">
      <w:pPr>
        <w:spacing w:after="0" w:line="240" w:lineRule="auto"/>
        <w:jc w:val="both"/>
        <w:rPr>
          <w:rFonts w:eastAsia="Calibri" w:cstheme="minorHAnsi"/>
          <w:lang w:val="en-US" w:eastAsia="en-GB"/>
        </w:rPr>
      </w:pPr>
      <w:r w:rsidRPr="00D93209">
        <w:rPr>
          <w:rFonts w:eastAsia="Calibri" w:cstheme="minorHAnsi"/>
          <w:lang w:eastAsia="en-GB"/>
        </w:rPr>
        <w:t>Simon, F.</w:t>
      </w:r>
      <w:r>
        <w:rPr>
          <w:rFonts w:eastAsia="Calibri" w:cstheme="minorHAnsi"/>
          <w:lang w:eastAsia="en-GB"/>
        </w:rPr>
        <w:t>, 2018.</w:t>
      </w:r>
      <w:r w:rsidRPr="00D93209">
        <w:rPr>
          <w:rFonts w:eastAsia="Calibri" w:cstheme="minorHAnsi"/>
          <w:lang w:eastAsia="en-GB"/>
        </w:rPr>
        <w:t xml:space="preserve"> Nordics balk at EU plan to limit cross-border electricity trade. </w:t>
      </w:r>
      <w:r w:rsidRPr="00CC77C5">
        <w:rPr>
          <w:rFonts w:eastAsia="Calibri" w:cstheme="minorHAnsi"/>
          <w:i/>
          <w:iCs/>
          <w:lang w:val="en-US" w:eastAsia="en-GB"/>
        </w:rPr>
        <w:t>EurActiv</w:t>
      </w:r>
      <w:r w:rsidRPr="00CC77C5">
        <w:rPr>
          <w:rFonts w:eastAsia="Calibri" w:cstheme="minorHAnsi"/>
          <w:lang w:val="en-US" w:eastAsia="en-GB"/>
        </w:rPr>
        <w:t xml:space="preserve">. </w:t>
      </w:r>
      <w:r w:rsidRPr="00D93209">
        <w:rPr>
          <w:rFonts w:eastAsia="Calibri" w:cstheme="minorHAnsi"/>
          <w:lang w:eastAsia="en-GB"/>
        </w:rPr>
        <w:t>4 December 2018</w:t>
      </w:r>
      <w:r>
        <w:rPr>
          <w:rFonts w:eastAsia="Calibri" w:cstheme="minorHAnsi"/>
          <w:lang w:eastAsia="en-GB"/>
        </w:rPr>
        <w:t xml:space="preserve">. </w:t>
      </w:r>
      <w:hyperlink r:id="rId15" w:history="1">
        <w:r w:rsidRPr="003D70B0">
          <w:rPr>
            <w:rStyle w:val="Hyperlink"/>
            <w:rFonts w:eastAsia="Calibri" w:cstheme="minorHAnsi"/>
            <w:lang w:val="en-US" w:eastAsia="en-GB"/>
          </w:rPr>
          <w:t>https://www.euractiv.com/section/electricity/news/nordics-balk-at-eu-plan-to-limit-cross-border-electricity-trade/1296194/</w:t>
        </w:r>
      </w:hyperlink>
    </w:p>
    <w:p w14:paraId="4DE8321B" w14:textId="77777777" w:rsidR="00F449B8" w:rsidRPr="004D616E" w:rsidRDefault="00F449B8" w:rsidP="00F449B8">
      <w:pPr>
        <w:spacing w:after="0" w:line="240" w:lineRule="auto"/>
        <w:jc w:val="both"/>
        <w:rPr>
          <w:rFonts w:eastAsia="Calibri" w:cstheme="minorHAnsi"/>
          <w:lang w:eastAsia="en-GB"/>
        </w:rPr>
      </w:pPr>
      <w:r w:rsidRPr="00693C35">
        <w:rPr>
          <w:rFonts w:cstheme="minorHAnsi"/>
          <w:lang w:val="en-US"/>
        </w:rPr>
        <w:t xml:space="preserve"> </w:t>
      </w:r>
    </w:p>
    <w:p w14:paraId="7DD2352B" w14:textId="77777777" w:rsidR="00F449B8" w:rsidRPr="00D93209" w:rsidRDefault="00F449B8" w:rsidP="00F449B8">
      <w:pPr>
        <w:pStyle w:val="EndnoteText"/>
        <w:jc w:val="both"/>
        <w:rPr>
          <w:rFonts w:cstheme="minorHAnsi"/>
          <w:sz w:val="22"/>
          <w:szCs w:val="22"/>
        </w:rPr>
      </w:pPr>
      <w:r w:rsidRPr="00D93209">
        <w:rPr>
          <w:rFonts w:cstheme="minorHAnsi"/>
          <w:sz w:val="22"/>
          <w:szCs w:val="22"/>
        </w:rPr>
        <w:t>Sunila, K., Bergaentzlé, C.,</w:t>
      </w:r>
      <w:r>
        <w:rPr>
          <w:rFonts w:cstheme="minorHAnsi"/>
          <w:sz w:val="22"/>
          <w:szCs w:val="22"/>
        </w:rPr>
        <w:t xml:space="preserve"> Martin, B. &amp; Ekroos, A</w:t>
      </w:r>
      <w:r w:rsidRPr="00D93209">
        <w:rPr>
          <w:rFonts w:cstheme="minorHAnsi"/>
          <w:sz w:val="22"/>
          <w:szCs w:val="22"/>
        </w:rPr>
        <w:t>.</w:t>
      </w:r>
      <w:r>
        <w:rPr>
          <w:rFonts w:cstheme="minorHAnsi"/>
          <w:sz w:val="22"/>
          <w:szCs w:val="22"/>
        </w:rPr>
        <w:t>,</w:t>
      </w:r>
      <w:r w:rsidRPr="00D93209">
        <w:rPr>
          <w:rFonts w:cstheme="minorHAnsi"/>
          <w:sz w:val="22"/>
          <w:szCs w:val="22"/>
        </w:rPr>
        <w:t xml:space="preserve"> </w:t>
      </w:r>
      <w:r>
        <w:rPr>
          <w:rFonts w:cstheme="minorHAnsi"/>
          <w:sz w:val="22"/>
          <w:szCs w:val="22"/>
        </w:rPr>
        <w:t xml:space="preserve">2019. </w:t>
      </w:r>
      <w:r w:rsidRPr="00D93209">
        <w:rPr>
          <w:rFonts w:cstheme="minorHAnsi"/>
          <w:sz w:val="22"/>
          <w:szCs w:val="22"/>
        </w:rPr>
        <w:t xml:space="preserve">A supra-national TSO to enhance offshore wind power development in the Baltic Sea? A legal and regulatory analysis. </w:t>
      </w:r>
      <w:r w:rsidRPr="00D93209">
        <w:rPr>
          <w:rFonts w:cstheme="minorHAnsi"/>
          <w:i/>
          <w:iCs/>
          <w:sz w:val="22"/>
          <w:szCs w:val="22"/>
        </w:rPr>
        <w:t>Energy Policy</w:t>
      </w:r>
      <w:r>
        <w:rPr>
          <w:rFonts w:cstheme="minorHAnsi"/>
          <w:i/>
          <w:iCs/>
          <w:sz w:val="22"/>
          <w:szCs w:val="22"/>
        </w:rPr>
        <w:t>,</w:t>
      </w:r>
      <w:r w:rsidRPr="00D93209">
        <w:rPr>
          <w:rFonts w:cstheme="minorHAnsi"/>
          <w:sz w:val="22"/>
          <w:szCs w:val="22"/>
        </w:rPr>
        <w:t xml:space="preserve"> </w:t>
      </w:r>
      <w:r w:rsidRPr="007C4104">
        <w:rPr>
          <w:rFonts w:cstheme="minorHAnsi"/>
          <w:b/>
          <w:bCs/>
          <w:sz w:val="22"/>
          <w:szCs w:val="22"/>
        </w:rPr>
        <w:t>128</w:t>
      </w:r>
      <w:r>
        <w:rPr>
          <w:rFonts w:cstheme="minorHAnsi"/>
          <w:b/>
          <w:sz w:val="22"/>
          <w:szCs w:val="22"/>
        </w:rPr>
        <w:t>,</w:t>
      </w:r>
      <w:r w:rsidRPr="00D93209">
        <w:rPr>
          <w:rFonts w:cstheme="minorHAnsi"/>
          <w:sz w:val="22"/>
          <w:szCs w:val="22"/>
        </w:rPr>
        <w:t xml:space="preserve"> 775-782</w:t>
      </w:r>
      <w:r>
        <w:rPr>
          <w:rFonts w:cstheme="minorHAnsi"/>
          <w:sz w:val="22"/>
          <w:szCs w:val="22"/>
        </w:rPr>
        <w:t xml:space="preserve"> </w:t>
      </w:r>
    </w:p>
    <w:p w14:paraId="044EAA96" w14:textId="77777777" w:rsidR="00F449B8" w:rsidRDefault="00F449B8" w:rsidP="00F449B8">
      <w:pPr>
        <w:pStyle w:val="EndnoteText"/>
        <w:jc w:val="both"/>
        <w:rPr>
          <w:rFonts w:cstheme="minorHAnsi"/>
          <w:sz w:val="22"/>
          <w:szCs w:val="22"/>
        </w:rPr>
      </w:pPr>
    </w:p>
    <w:p w14:paraId="42F7CC82" w14:textId="376D73D7" w:rsidR="00F449B8" w:rsidRDefault="00F449B8" w:rsidP="00F449B8">
      <w:pPr>
        <w:pStyle w:val="EndnoteText"/>
        <w:jc w:val="both"/>
        <w:rPr>
          <w:rFonts w:eastAsia="Calibri" w:cstheme="minorHAnsi"/>
          <w:sz w:val="22"/>
          <w:szCs w:val="22"/>
        </w:rPr>
      </w:pPr>
      <w:r w:rsidRPr="00D93209">
        <w:rPr>
          <w:rFonts w:eastAsia="Calibri" w:cstheme="minorHAnsi"/>
          <w:sz w:val="22"/>
          <w:szCs w:val="22"/>
        </w:rPr>
        <w:t>Szydło, M.</w:t>
      </w:r>
      <w:r>
        <w:rPr>
          <w:rFonts w:eastAsia="Calibri" w:cstheme="minorHAnsi"/>
          <w:sz w:val="22"/>
          <w:szCs w:val="22"/>
        </w:rPr>
        <w:t>, 2015.</w:t>
      </w:r>
      <w:r w:rsidRPr="00D93209">
        <w:rPr>
          <w:rFonts w:eastAsia="Calibri" w:cstheme="minorHAnsi"/>
          <w:sz w:val="22"/>
          <w:szCs w:val="22"/>
        </w:rPr>
        <w:t xml:space="preserve"> How to reconcile national support for renewable energy with internal market obligations? The task for the EU legislature after Ålands Vindkraft and E</w:t>
      </w:r>
      <w:r>
        <w:rPr>
          <w:rFonts w:eastAsia="Calibri" w:cstheme="minorHAnsi"/>
          <w:sz w:val="22"/>
          <w:szCs w:val="22"/>
        </w:rPr>
        <w:t xml:space="preserve">ssent. </w:t>
      </w:r>
      <w:r w:rsidRPr="001D06A9">
        <w:rPr>
          <w:rFonts w:eastAsia="Calibri" w:cstheme="minorHAnsi"/>
          <w:i/>
          <w:sz w:val="22"/>
          <w:szCs w:val="22"/>
        </w:rPr>
        <w:t>Common Market Law Review</w:t>
      </w:r>
      <w:r>
        <w:rPr>
          <w:rFonts w:eastAsia="Calibri" w:cstheme="minorHAnsi"/>
          <w:i/>
          <w:sz w:val="22"/>
          <w:szCs w:val="22"/>
        </w:rPr>
        <w:t>,</w:t>
      </w:r>
      <w:r w:rsidRPr="00D93209">
        <w:rPr>
          <w:rFonts w:eastAsia="Calibri" w:cstheme="minorHAnsi"/>
          <w:sz w:val="22"/>
          <w:szCs w:val="22"/>
        </w:rPr>
        <w:t xml:space="preserve"> </w:t>
      </w:r>
      <w:r w:rsidRPr="00945A44">
        <w:rPr>
          <w:rFonts w:eastAsia="Calibri" w:cstheme="minorHAnsi"/>
          <w:b/>
          <w:bCs/>
          <w:iCs/>
          <w:sz w:val="22"/>
          <w:szCs w:val="22"/>
        </w:rPr>
        <w:t>52 (2)</w:t>
      </w:r>
      <w:r>
        <w:rPr>
          <w:rFonts w:eastAsia="Calibri" w:cstheme="minorHAnsi"/>
          <w:sz w:val="22"/>
          <w:szCs w:val="22"/>
        </w:rPr>
        <w:t xml:space="preserve">, </w:t>
      </w:r>
      <w:r w:rsidRPr="00D93209">
        <w:rPr>
          <w:rFonts w:eastAsia="Calibri" w:cstheme="minorHAnsi"/>
          <w:sz w:val="22"/>
          <w:szCs w:val="22"/>
        </w:rPr>
        <w:t>489-510</w:t>
      </w:r>
      <w:r>
        <w:rPr>
          <w:rFonts w:eastAsia="Calibri" w:cstheme="minorHAnsi"/>
          <w:sz w:val="22"/>
          <w:szCs w:val="22"/>
        </w:rPr>
        <w:t xml:space="preserve"> </w:t>
      </w:r>
    </w:p>
    <w:p w14:paraId="7D01C60F" w14:textId="77777777" w:rsidR="00F449B8" w:rsidRPr="00D93209" w:rsidRDefault="00F449B8" w:rsidP="00F449B8">
      <w:pPr>
        <w:pStyle w:val="EndnoteText"/>
        <w:jc w:val="both"/>
        <w:rPr>
          <w:rFonts w:eastAsia="Calibri" w:cstheme="minorHAnsi"/>
          <w:sz w:val="22"/>
          <w:szCs w:val="22"/>
          <w:highlight w:val="yellow"/>
          <w:vertAlign w:val="superscript"/>
        </w:rPr>
      </w:pPr>
    </w:p>
    <w:p w14:paraId="2B33653A" w14:textId="77777777" w:rsidR="00F449B8" w:rsidRPr="00D93209" w:rsidRDefault="00F449B8" w:rsidP="00F449B8">
      <w:pPr>
        <w:spacing w:after="0" w:line="240" w:lineRule="auto"/>
        <w:jc w:val="both"/>
        <w:rPr>
          <w:rFonts w:eastAsia="Calibri" w:cstheme="minorHAnsi"/>
          <w:lang w:eastAsia="en-GB"/>
        </w:rPr>
      </w:pPr>
      <w:r w:rsidRPr="0017609A">
        <w:rPr>
          <w:rFonts w:eastAsia="Calibri" w:cstheme="minorHAnsi"/>
          <w:lang w:eastAsia="en-GB"/>
        </w:rPr>
        <w:t xml:space="preserve">van Nuffel, L., </w:t>
      </w:r>
      <w:r w:rsidRPr="0017609A">
        <w:rPr>
          <w:rFonts w:eastAsia="Calibri" w:cstheme="minorHAnsi"/>
          <w:i/>
          <w:iCs/>
          <w:lang w:eastAsia="en-GB"/>
        </w:rPr>
        <w:t xml:space="preserve">et al., </w:t>
      </w:r>
      <w:r w:rsidRPr="0017609A">
        <w:rPr>
          <w:rFonts w:eastAsia="Calibri" w:cstheme="minorHAnsi"/>
          <w:iCs/>
          <w:lang w:eastAsia="en-GB"/>
        </w:rPr>
        <w:t>2017</w:t>
      </w:r>
      <w:r w:rsidRPr="0017609A">
        <w:rPr>
          <w:rFonts w:eastAsia="Calibri" w:cstheme="minorHAnsi"/>
          <w:i/>
          <w:iCs/>
          <w:lang w:eastAsia="en-GB"/>
        </w:rPr>
        <w:t>.</w:t>
      </w:r>
      <w:r w:rsidRPr="0017609A">
        <w:rPr>
          <w:rFonts w:eastAsia="Calibri" w:cstheme="minorHAnsi"/>
          <w:lang w:eastAsia="en-GB"/>
        </w:rPr>
        <w:t xml:space="preserve"> </w:t>
      </w:r>
      <w:r w:rsidRPr="00D93209">
        <w:rPr>
          <w:rFonts w:eastAsia="Calibri" w:cstheme="minorHAnsi"/>
          <w:lang w:eastAsia="en-GB"/>
        </w:rPr>
        <w:t>European Energy Industry Investments. Study for the European Parliament’s Industry, Research and Energy (ITRE) Committee</w:t>
      </w:r>
      <w:r>
        <w:rPr>
          <w:rFonts w:eastAsia="Calibri" w:cstheme="minorHAnsi"/>
          <w:lang w:eastAsia="en-GB"/>
        </w:rPr>
        <w:t>:</w:t>
      </w:r>
      <w:r w:rsidRPr="00D93209">
        <w:rPr>
          <w:rFonts w:eastAsia="Calibri" w:cstheme="minorHAnsi"/>
          <w:lang w:eastAsia="en-GB"/>
        </w:rPr>
        <w:t xml:space="preserve"> Brussels</w:t>
      </w:r>
      <w:r>
        <w:rPr>
          <w:rFonts w:eastAsia="Calibri" w:cstheme="minorHAnsi"/>
          <w:lang w:eastAsia="en-GB"/>
        </w:rPr>
        <w:t>.</w:t>
      </w:r>
    </w:p>
    <w:p w14:paraId="6DBF226E" w14:textId="77777777" w:rsidR="00F449B8" w:rsidRDefault="00F449B8" w:rsidP="00F449B8">
      <w:pPr>
        <w:spacing w:after="0" w:line="240" w:lineRule="auto"/>
        <w:jc w:val="both"/>
      </w:pPr>
    </w:p>
    <w:p w14:paraId="4C2C3067" w14:textId="73D336EE" w:rsidR="00CC0BD2" w:rsidRPr="00D93209" w:rsidRDefault="001C5EF2" w:rsidP="00CC0BD2">
      <w:pPr>
        <w:pStyle w:val="EndnoteText"/>
        <w:jc w:val="both"/>
        <w:rPr>
          <w:rFonts w:cstheme="minorHAnsi"/>
          <w:sz w:val="22"/>
          <w:szCs w:val="22"/>
        </w:rPr>
      </w:pPr>
      <w:r>
        <w:rPr>
          <w:rFonts w:eastAsia="Arial" w:cstheme="minorHAnsi"/>
          <w:sz w:val="22"/>
          <w:szCs w:val="22"/>
        </w:rPr>
        <w:t>Y</w:t>
      </w:r>
      <w:r w:rsidR="00CC0BD2" w:rsidRPr="00D93209">
        <w:rPr>
          <w:rFonts w:eastAsia="Arial" w:cstheme="minorHAnsi"/>
          <w:sz w:val="22"/>
          <w:szCs w:val="22"/>
        </w:rPr>
        <w:t>oshino, N., Taghizadeh–Hesary, F. and Nakahigashi, M.</w:t>
      </w:r>
      <w:r w:rsidR="00F66749">
        <w:rPr>
          <w:rFonts w:eastAsia="Arial" w:cstheme="minorHAnsi"/>
          <w:sz w:val="22"/>
          <w:szCs w:val="22"/>
        </w:rPr>
        <w:t>, 2019.</w:t>
      </w:r>
      <w:r w:rsidR="00CC0BD2" w:rsidRPr="00D93209">
        <w:rPr>
          <w:rFonts w:eastAsia="Arial" w:cstheme="minorHAnsi"/>
          <w:sz w:val="22"/>
          <w:szCs w:val="22"/>
        </w:rPr>
        <w:t xml:space="preserve"> Modelling the social funding and spill-over tax for addressing the green energy financing gap. </w:t>
      </w:r>
      <w:r w:rsidR="00CC0BD2" w:rsidRPr="00D93209">
        <w:rPr>
          <w:rFonts w:eastAsia="Arial" w:cstheme="minorHAnsi"/>
          <w:i/>
          <w:iCs/>
          <w:sz w:val="22"/>
          <w:szCs w:val="22"/>
        </w:rPr>
        <w:t>Economic Modelling</w:t>
      </w:r>
      <w:r w:rsidR="006C5F9A">
        <w:rPr>
          <w:rFonts w:eastAsia="Arial" w:cstheme="minorHAnsi"/>
          <w:i/>
          <w:iCs/>
          <w:sz w:val="22"/>
          <w:szCs w:val="22"/>
        </w:rPr>
        <w:t>,</w:t>
      </w:r>
      <w:r w:rsidR="00CC0BD2" w:rsidRPr="00D93209">
        <w:rPr>
          <w:rFonts w:eastAsia="Arial" w:cstheme="minorHAnsi"/>
          <w:sz w:val="22"/>
          <w:szCs w:val="22"/>
        </w:rPr>
        <w:t xml:space="preserve"> </w:t>
      </w:r>
      <w:r w:rsidR="00CC0BD2" w:rsidRPr="00B3040B">
        <w:rPr>
          <w:rFonts w:eastAsia="Arial" w:cstheme="minorHAnsi"/>
          <w:b/>
          <w:bCs/>
          <w:i/>
          <w:iCs/>
          <w:sz w:val="22"/>
          <w:szCs w:val="22"/>
        </w:rPr>
        <w:t>77</w:t>
      </w:r>
      <w:r w:rsidR="00CC0BD2" w:rsidRPr="00D93209">
        <w:rPr>
          <w:rFonts w:eastAsia="Arial" w:cstheme="minorHAnsi"/>
          <w:sz w:val="22"/>
          <w:szCs w:val="22"/>
        </w:rPr>
        <w:t>, 34-41</w:t>
      </w:r>
      <w:r w:rsidR="00E47ED7">
        <w:rPr>
          <w:rFonts w:eastAsia="Arial" w:cstheme="minorHAnsi"/>
          <w:sz w:val="22"/>
          <w:szCs w:val="22"/>
        </w:rPr>
        <w:t>.</w:t>
      </w:r>
    </w:p>
    <w:p w14:paraId="74149475" w14:textId="5898D749" w:rsidR="00CC77C5" w:rsidRDefault="00CC77C5" w:rsidP="00CC0BD2">
      <w:pPr>
        <w:pStyle w:val="EndnoteText"/>
        <w:jc w:val="both"/>
        <w:rPr>
          <w:rFonts w:cstheme="minorHAnsi"/>
          <w:sz w:val="22"/>
          <w:szCs w:val="22"/>
          <w:lang w:val="en-US"/>
        </w:rPr>
      </w:pPr>
    </w:p>
    <w:p w14:paraId="4F88A61F" w14:textId="77777777" w:rsidR="00F449B8" w:rsidRPr="00D93209" w:rsidRDefault="00F449B8" w:rsidP="00CC0BD2">
      <w:pPr>
        <w:pStyle w:val="EndnoteText"/>
        <w:jc w:val="both"/>
        <w:rPr>
          <w:rFonts w:cstheme="minorHAnsi"/>
          <w:sz w:val="22"/>
          <w:szCs w:val="22"/>
          <w:highlight w:val="yellow"/>
        </w:rPr>
      </w:pPr>
    </w:p>
    <w:p w14:paraId="7A667055" w14:textId="12A8CBCF" w:rsidR="004F690A" w:rsidRDefault="004F690A" w:rsidP="004F690A">
      <w:pPr>
        <w:pStyle w:val="EndnoteText"/>
        <w:jc w:val="both"/>
        <w:rPr>
          <w:rFonts w:eastAsia="Calibri" w:cstheme="minorHAnsi"/>
          <w:sz w:val="22"/>
          <w:szCs w:val="22"/>
        </w:rPr>
      </w:pPr>
    </w:p>
    <w:p w14:paraId="0E7052EC" w14:textId="77777777" w:rsidR="008E1812" w:rsidRDefault="008E1812">
      <w:pPr>
        <w:rPr>
          <w:highlight w:val="yellow"/>
        </w:rPr>
      </w:pPr>
      <w:r>
        <w:rPr>
          <w:highlight w:val="yellow"/>
        </w:rPr>
        <w:br w:type="page"/>
      </w:r>
    </w:p>
    <w:p w14:paraId="1FB3ECDB" w14:textId="10720434" w:rsidR="00FB46FB" w:rsidRDefault="008E1812" w:rsidP="001005AD">
      <w:pPr>
        <w:pStyle w:val="Heading2"/>
        <w:numPr>
          <w:ilvl w:val="0"/>
          <w:numId w:val="8"/>
        </w:numPr>
      </w:pPr>
      <w:r>
        <w:lastRenderedPageBreak/>
        <w:t>A</w:t>
      </w:r>
      <w:r w:rsidR="00BA6F48">
        <w:t>ppendix A</w:t>
      </w:r>
      <w:r w:rsidR="004A28BE">
        <w:t xml:space="preserve"> </w:t>
      </w:r>
    </w:p>
    <w:p w14:paraId="5F6B70D1" w14:textId="77777777" w:rsidR="00BA6F48" w:rsidRDefault="00BA6F48" w:rsidP="00BA6F48">
      <w:pPr>
        <w:rPr>
          <w:lang w:eastAsia="en-GB"/>
        </w:rPr>
      </w:pPr>
    </w:p>
    <w:p w14:paraId="10456E09" w14:textId="4709D634" w:rsidR="008E1812" w:rsidRPr="00BA6F48" w:rsidRDefault="00BA6F48" w:rsidP="00BA6F48">
      <w:pPr>
        <w:rPr>
          <w:lang w:eastAsia="en-GB"/>
        </w:rPr>
      </w:pPr>
      <w:r w:rsidRPr="00BA6F48">
        <w:rPr>
          <w:lang w:eastAsia="en-GB"/>
        </w:rPr>
        <w:t xml:space="preserve">List of papers and reports identified in the systematic review. </w:t>
      </w:r>
    </w:p>
    <w:p w14:paraId="529B18A0" w14:textId="09AC8A42"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val="de-DE" w:eastAsia="en-GB"/>
        </w:rPr>
        <w:t xml:space="preserve">Abrell, J., and Rausch, S., 2016. </w:t>
      </w:r>
      <w:r w:rsidRPr="00BA6F48">
        <w:rPr>
          <w:rFonts w:eastAsia="Calibri" w:cstheme="minorHAnsi"/>
          <w:color w:val="000000"/>
          <w:lang w:eastAsia="en-GB"/>
        </w:rPr>
        <w:t xml:space="preserve">Cross-country electricity trade, renewable energy and European transmission infrastructure policy. </w:t>
      </w:r>
      <w:r w:rsidRPr="00BA6F48">
        <w:rPr>
          <w:rFonts w:eastAsia="Calibri" w:cstheme="minorHAnsi"/>
          <w:i/>
          <w:color w:val="000000"/>
          <w:lang w:eastAsia="en-GB"/>
        </w:rPr>
        <w:t>Journal of Environmental Economics and Management</w:t>
      </w:r>
      <w:r w:rsidRPr="00BA6F48">
        <w:rPr>
          <w:rFonts w:eastAsia="Calibri" w:cstheme="minorHAnsi"/>
          <w:color w:val="000000"/>
          <w:lang w:eastAsia="en-GB"/>
        </w:rPr>
        <w:t>. 79 (1): 87-113.</w:t>
      </w:r>
    </w:p>
    <w:p w14:paraId="230C854C"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ACER, October 2018. Report to the European Commission on the implementation of the ITC mechanism in 2017.</w:t>
      </w:r>
    </w:p>
    <w:p w14:paraId="3140306C" w14:textId="77777777" w:rsidR="006A4239"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val="de-DE" w:eastAsia="en-GB"/>
        </w:rPr>
      </w:pPr>
      <w:r w:rsidRPr="00BA6F48">
        <w:rPr>
          <w:rFonts w:eastAsia="Calibri" w:cstheme="minorHAnsi"/>
          <w:color w:val="000000"/>
          <w:lang w:val="de-DE" w:eastAsia="en-GB"/>
        </w:rPr>
        <w:t>Am</w:t>
      </w:r>
      <w:r w:rsidR="006A4239" w:rsidRPr="00BA6F48">
        <w:rPr>
          <w:rFonts w:eastAsia="Calibri" w:cstheme="minorHAnsi"/>
          <w:color w:val="000000"/>
          <w:lang w:val="de-DE" w:eastAsia="en-GB"/>
        </w:rPr>
        <w:t xml:space="preserve">mermann, H., Diederich, H., </w:t>
      </w:r>
      <w:r w:rsidRPr="00BA6F48">
        <w:rPr>
          <w:rFonts w:eastAsia="Calibri" w:cstheme="minorHAnsi"/>
          <w:color w:val="000000"/>
          <w:lang w:val="de-DE" w:eastAsia="en-GB"/>
        </w:rPr>
        <w:t>Janousch,</w:t>
      </w:r>
      <w:r w:rsidR="006A4239" w:rsidRPr="00BA6F48">
        <w:rPr>
          <w:rFonts w:eastAsia="Calibri" w:cstheme="minorHAnsi"/>
          <w:color w:val="000000"/>
          <w:lang w:val="de-DE" w:eastAsia="en-GB"/>
        </w:rPr>
        <w:t xml:space="preserve"> A., </w:t>
      </w:r>
      <w:r w:rsidRPr="00BA6F48">
        <w:rPr>
          <w:rFonts w:eastAsia="Calibri" w:cstheme="minorHAnsi"/>
          <w:color w:val="000000"/>
          <w:lang w:val="de-DE" w:eastAsia="en-GB"/>
        </w:rPr>
        <w:t>Krebs,</w:t>
      </w:r>
      <w:r w:rsidR="006A4239" w:rsidRPr="00BA6F48">
        <w:rPr>
          <w:rFonts w:eastAsia="Calibri" w:cstheme="minorHAnsi"/>
          <w:color w:val="000000"/>
          <w:lang w:val="de-DE" w:eastAsia="en-GB"/>
        </w:rPr>
        <w:t xml:space="preserve"> M.,</w:t>
      </w:r>
      <w:r w:rsidRPr="00BA6F48">
        <w:rPr>
          <w:rFonts w:eastAsia="Calibri" w:cstheme="minorHAnsi"/>
          <w:color w:val="000000"/>
          <w:lang w:val="de-DE" w:eastAsia="en-GB"/>
        </w:rPr>
        <w:t xml:space="preserve"> Ruf,</w:t>
      </w:r>
      <w:r w:rsidR="006A4239" w:rsidRPr="00BA6F48">
        <w:rPr>
          <w:rFonts w:eastAsia="Calibri" w:cstheme="minorHAnsi"/>
          <w:color w:val="000000"/>
          <w:lang w:val="de-DE" w:eastAsia="en-GB"/>
        </w:rPr>
        <w:t xml:space="preserve"> Y.</w:t>
      </w:r>
      <w:r w:rsidRPr="00BA6F48">
        <w:rPr>
          <w:rFonts w:eastAsia="Calibri" w:cstheme="minorHAnsi"/>
          <w:color w:val="000000"/>
          <w:lang w:val="de-DE" w:eastAsia="en-GB"/>
        </w:rPr>
        <w:t xml:space="preserve"> November 2016. </w:t>
      </w:r>
      <w:r w:rsidRPr="00BA6F48">
        <w:rPr>
          <w:rFonts w:eastAsia="Calibri" w:cstheme="minorHAnsi"/>
          <w:i/>
          <w:color w:val="000000"/>
          <w:lang w:eastAsia="en-GB"/>
        </w:rPr>
        <w:t>Cost-Effective Financing Structures for Mature Projects of Common Interest (PCIs) in Energy</w:t>
      </w:r>
      <w:r w:rsidRPr="00BA6F48">
        <w:rPr>
          <w:rFonts w:eastAsia="Calibri" w:cstheme="minorHAnsi"/>
          <w:color w:val="000000"/>
          <w:lang w:eastAsia="en-GB"/>
        </w:rPr>
        <w:t xml:space="preserve">. </w:t>
      </w:r>
      <w:r w:rsidRPr="00BA6F48">
        <w:rPr>
          <w:rFonts w:eastAsia="Calibri" w:cstheme="minorHAnsi"/>
          <w:color w:val="000000"/>
          <w:lang w:val="de-DE" w:eastAsia="en-GB"/>
        </w:rPr>
        <w:t xml:space="preserve">Roland Berger. </w:t>
      </w:r>
    </w:p>
    <w:p w14:paraId="32627FEA" w14:textId="4397CA7F" w:rsidR="008E1812" w:rsidRPr="00BA6F48" w:rsidRDefault="00324FFA" w:rsidP="006A4239">
      <w:pPr>
        <w:pBdr>
          <w:top w:val="nil"/>
          <w:left w:val="nil"/>
          <w:bottom w:val="nil"/>
          <w:right w:val="nil"/>
          <w:between w:val="nil"/>
        </w:pBdr>
        <w:spacing w:before="120" w:after="0" w:line="300" w:lineRule="auto"/>
        <w:ind w:left="720"/>
        <w:jc w:val="both"/>
        <w:rPr>
          <w:rFonts w:eastAsia="Calibri" w:cstheme="minorHAnsi"/>
          <w:color w:val="000000"/>
          <w:lang w:val="de-DE" w:eastAsia="en-GB"/>
        </w:rPr>
      </w:pPr>
      <w:hyperlink r:id="rId16" w:history="1">
        <w:r w:rsidR="008E1812" w:rsidRPr="00BA6F48">
          <w:rPr>
            <w:rStyle w:val="Hyperlink"/>
            <w:rFonts w:cstheme="minorHAnsi"/>
            <w:lang w:val="de-DE"/>
          </w:rPr>
          <w:t>https://publications.europa.eu/en/publication-detail/-/publication/4bcfb6f3-e13c-11e6-ad7c-01aa75ed71a1</w:t>
        </w:r>
      </w:hyperlink>
    </w:p>
    <w:p w14:paraId="07D1FC8B"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 xml:space="preserve">Andersen, A., 2014. No transition without transmission: HVDC electricity infrastructure as an enabler for renewable energy? </w:t>
      </w:r>
      <w:r w:rsidRPr="00BA6F48">
        <w:rPr>
          <w:rFonts w:eastAsia="Calibri" w:cstheme="minorHAnsi"/>
          <w:i/>
          <w:color w:val="000000"/>
          <w:lang w:eastAsia="en-GB"/>
        </w:rPr>
        <w:t>Environmental Innovation and Societal Transitions</w:t>
      </w:r>
      <w:r w:rsidRPr="00BA6F48">
        <w:rPr>
          <w:rFonts w:eastAsia="Calibri" w:cstheme="minorHAnsi"/>
          <w:color w:val="000000"/>
          <w:lang w:eastAsia="en-GB"/>
        </w:rPr>
        <w:t>. 13:75-95.</w:t>
      </w:r>
    </w:p>
    <w:p w14:paraId="1DD20D61" w14:textId="35797889" w:rsidR="008E1812" w:rsidRPr="00BA6F48" w:rsidRDefault="006A4239"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val="it-CH" w:eastAsia="en-GB"/>
        </w:rPr>
        <w:t xml:space="preserve">Arcia-Garibaldi, G., </w:t>
      </w:r>
      <w:r w:rsidR="008E1812" w:rsidRPr="00BA6F48">
        <w:rPr>
          <w:rFonts w:eastAsia="Calibri" w:cstheme="minorHAnsi"/>
          <w:color w:val="000000"/>
          <w:lang w:val="it-CH" w:eastAsia="en-GB"/>
        </w:rPr>
        <w:t>Cruz-Romero,</w:t>
      </w:r>
      <w:r w:rsidRPr="00BA6F48">
        <w:rPr>
          <w:rFonts w:eastAsia="Calibri" w:cstheme="minorHAnsi"/>
          <w:color w:val="000000"/>
          <w:lang w:val="it-CH" w:eastAsia="en-GB"/>
        </w:rPr>
        <w:t xml:space="preserve"> P. and A.</w:t>
      </w:r>
      <w:r w:rsidR="008E1812" w:rsidRPr="00BA6F48">
        <w:rPr>
          <w:rFonts w:eastAsia="Calibri" w:cstheme="minorHAnsi"/>
          <w:color w:val="000000"/>
          <w:lang w:val="it-CH" w:eastAsia="en-GB"/>
        </w:rPr>
        <w:t xml:space="preserve"> Gómez-Expósito, 2018. </w:t>
      </w:r>
      <w:r w:rsidR="008E1812" w:rsidRPr="00BA6F48">
        <w:rPr>
          <w:rFonts w:eastAsia="Calibri" w:cstheme="minorHAnsi"/>
          <w:color w:val="000000"/>
          <w:lang w:eastAsia="en-GB"/>
        </w:rPr>
        <w:t xml:space="preserve">Future power transmission: Visions, technologies and challenges. </w:t>
      </w:r>
      <w:r w:rsidR="008E1812" w:rsidRPr="00BA6F48">
        <w:rPr>
          <w:rFonts w:eastAsia="Calibri" w:cstheme="minorHAnsi"/>
          <w:i/>
          <w:color w:val="000000"/>
          <w:lang w:eastAsia="en-GB"/>
        </w:rPr>
        <w:t>Renewable and Sustainable Energy Reviews</w:t>
      </w:r>
      <w:r w:rsidR="008E1812" w:rsidRPr="00BA6F48">
        <w:rPr>
          <w:rFonts w:eastAsia="Calibri" w:cstheme="minorHAnsi"/>
          <w:color w:val="000000"/>
          <w:lang w:eastAsia="en-GB"/>
        </w:rPr>
        <w:t>. 94: 285-301.</w:t>
      </w:r>
    </w:p>
    <w:p w14:paraId="1E581483" w14:textId="02CEFAF1"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 xml:space="preserve">Ardelean, M. and Minnebo, P., 2017. </w:t>
      </w:r>
      <w:r w:rsidRPr="00BA6F48">
        <w:rPr>
          <w:rFonts w:eastAsia="Calibri" w:cstheme="minorHAnsi"/>
          <w:i/>
          <w:color w:val="000000"/>
          <w:lang w:eastAsia="en-GB"/>
        </w:rPr>
        <w:t>A China-EU electricity transmission link. Assessment of</w:t>
      </w:r>
      <w:r w:rsidR="00401543" w:rsidRPr="00BA6F48">
        <w:rPr>
          <w:rFonts w:eastAsia="Calibri" w:cstheme="minorHAnsi"/>
          <w:i/>
          <w:color w:val="000000"/>
          <w:lang w:eastAsia="en-GB"/>
        </w:rPr>
        <w:t xml:space="preserve"> </w:t>
      </w:r>
      <w:r w:rsidRPr="00BA6F48">
        <w:rPr>
          <w:rFonts w:eastAsia="Calibri" w:cstheme="minorHAnsi"/>
          <w:i/>
          <w:color w:val="000000"/>
          <w:lang w:eastAsia="en-GB"/>
        </w:rPr>
        <w:t>potential connecting countries and routes</w:t>
      </w:r>
      <w:r w:rsidRPr="00BA6F48">
        <w:rPr>
          <w:rFonts w:eastAsia="Calibri" w:cstheme="minorHAnsi"/>
          <w:color w:val="000000"/>
          <w:lang w:eastAsia="en-GB"/>
        </w:rPr>
        <w:t>. Luxembourg: Joint Research Centre, Publications Office of the European Union.</w:t>
      </w:r>
    </w:p>
    <w:p w14:paraId="3417AA00"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 xml:space="preserve">Arezki, R., Bolton, P., Peters, S., Samama, F. and Stiglitz, J., February 2016. From Global Savings Glut to Financing Infrastructure. </w:t>
      </w:r>
      <w:r w:rsidRPr="00BA6F48">
        <w:rPr>
          <w:rFonts w:eastAsia="Calibri" w:cstheme="minorHAnsi"/>
          <w:i/>
          <w:color w:val="000000"/>
          <w:lang w:eastAsia="en-GB"/>
        </w:rPr>
        <w:t>IMF Working Paper</w:t>
      </w:r>
      <w:r w:rsidRPr="00BA6F48">
        <w:rPr>
          <w:rFonts w:eastAsia="Calibri" w:cstheme="minorHAnsi"/>
          <w:color w:val="000000"/>
          <w:lang w:eastAsia="en-GB"/>
        </w:rPr>
        <w:t>.</w:t>
      </w:r>
    </w:p>
    <w:p w14:paraId="0AE195A0" w14:textId="7768198F"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val="it-CH" w:eastAsia="en-GB"/>
        </w:rPr>
        <w:t xml:space="preserve">Battaglini, A. and Lilliestam, J., 2010. </w:t>
      </w:r>
      <w:r w:rsidRPr="00BA6F48">
        <w:rPr>
          <w:rFonts w:eastAsia="Calibri" w:cstheme="minorHAnsi"/>
          <w:i/>
          <w:color w:val="000000"/>
          <w:lang w:eastAsia="en-GB"/>
        </w:rPr>
        <w:t>On Transmission Grid Governance</w:t>
      </w:r>
      <w:r w:rsidRPr="00BA6F48">
        <w:rPr>
          <w:rFonts w:eastAsia="Calibri" w:cstheme="minorHAnsi"/>
          <w:color w:val="000000"/>
          <w:lang w:eastAsia="en-GB"/>
        </w:rPr>
        <w:t>. Berlin: Heinrich Böll Foundation.</w:t>
      </w:r>
    </w:p>
    <w:p w14:paraId="6FA970B7" w14:textId="7A034C5D" w:rsidR="00A16BA0" w:rsidRPr="00BA6F48" w:rsidRDefault="00A16BA0"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val="en-US" w:eastAsia="en-GB"/>
        </w:rPr>
        <w:t xml:space="preserve">Battaglini, A., Komendantova, N., Brtnik, P., &amp; Patt, A. </w:t>
      </w:r>
      <w:r w:rsidRPr="00BA6F48">
        <w:rPr>
          <w:rFonts w:eastAsia="Calibri" w:cstheme="minorHAnsi"/>
          <w:color w:val="000000"/>
          <w:lang w:eastAsia="en-GB"/>
        </w:rPr>
        <w:t xml:space="preserve">Perception of barriers for expansion of electricity grids in the European Union. </w:t>
      </w:r>
      <w:r w:rsidRPr="00BA6F48">
        <w:rPr>
          <w:rFonts w:eastAsia="Calibri" w:cstheme="minorHAnsi"/>
          <w:i/>
          <w:iCs/>
          <w:color w:val="000000"/>
          <w:lang w:eastAsia="en-GB"/>
        </w:rPr>
        <w:t>Energy Policy</w:t>
      </w:r>
      <w:r w:rsidRPr="00BA6F48">
        <w:rPr>
          <w:rFonts w:eastAsia="Calibri" w:cstheme="minorHAnsi"/>
          <w:color w:val="000000"/>
          <w:lang w:eastAsia="en-GB"/>
        </w:rPr>
        <w:t>, 47, 254–259 (2012).</w:t>
      </w:r>
    </w:p>
    <w:p w14:paraId="6B957BBA" w14:textId="33FAEE4B" w:rsidR="000B2F50" w:rsidRPr="00BA6F48" w:rsidRDefault="000B2F50"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 xml:space="preserve">Bhagwat, P. and Lind, L. Towards a more investment friendly economic incentive regime for offshore infrastructure projects. Florence: European University Institute </w:t>
      </w:r>
      <w:r w:rsidRPr="00BA6F48">
        <w:rPr>
          <w:rFonts w:eastAsia="Calibri" w:cstheme="minorHAnsi"/>
          <w:i/>
          <w:iCs/>
          <w:color w:val="000000"/>
          <w:lang w:eastAsia="en-GB"/>
        </w:rPr>
        <w:t>Florence School of Regulation Policy Brief</w:t>
      </w:r>
      <w:r w:rsidRPr="00BA6F48">
        <w:rPr>
          <w:rFonts w:eastAsia="Calibri" w:cstheme="minorHAnsi"/>
          <w:color w:val="000000"/>
          <w:lang w:eastAsia="en-GB"/>
        </w:rPr>
        <w:t xml:space="preserve"> (2018).</w:t>
      </w:r>
    </w:p>
    <w:p w14:paraId="42CC3DF8" w14:textId="457E646C"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 xml:space="preserve">Bhagwat, P., Schittekatte, T., Keyaerts, N. and Meeus, L., October 2017. Assessment of Cost-Benefit Analysis for Offshore Electricity Infrastructure Development. Florence: Robert Schuman Centre for Advanced Studies, </w:t>
      </w:r>
      <w:r w:rsidRPr="00BA6F48">
        <w:rPr>
          <w:rFonts w:eastAsia="Calibri" w:cstheme="minorHAnsi"/>
          <w:i/>
          <w:color w:val="000000"/>
          <w:lang w:eastAsia="en-GB"/>
        </w:rPr>
        <w:t>Florence School of Regulation Research Paper</w:t>
      </w:r>
      <w:r w:rsidR="000B2F50" w:rsidRPr="00BA6F48">
        <w:rPr>
          <w:rFonts w:eastAsia="Calibri" w:cstheme="minorHAnsi"/>
          <w:color w:val="000000"/>
          <w:lang w:eastAsia="en-GB"/>
        </w:rPr>
        <w:t xml:space="preserve">, </w:t>
      </w:r>
      <w:r w:rsidRPr="00BA6F48">
        <w:rPr>
          <w:rFonts w:eastAsia="Calibri" w:cstheme="minorHAnsi"/>
          <w:color w:val="000000"/>
          <w:lang w:eastAsia="en-GB"/>
        </w:rPr>
        <w:t>53</w:t>
      </w:r>
      <w:r w:rsidR="000B2F50" w:rsidRPr="00BA6F48">
        <w:rPr>
          <w:rFonts w:eastAsia="Calibri" w:cstheme="minorHAnsi"/>
          <w:color w:val="000000"/>
          <w:lang w:eastAsia="en-GB"/>
        </w:rPr>
        <w:t xml:space="preserve"> (2017)</w:t>
      </w:r>
      <w:r w:rsidRPr="00BA6F48">
        <w:rPr>
          <w:rFonts w:eastAsia="Calibri" w:cstheme="minorHAnsi"/>
          <w:color w:val="000000"/>
          <w:lang w:eastAsia="en-GB"/>
        </w:rPr>
        <w:t xml:space="preserve">. </w:t>
      </w:r>
    </w:p>
    <w:p w14:paraId="3072369A"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 xml:space="preserve">Blarke, M.B. and Jenkins, B.M., 2013. SuperGrid or SmartGrid: Competing strategies for large-scale integration of intermittent renewables? </w:t>
      </w:r>
      <w:r w:rsidRPr="00BA6F48">
        <w:rPr>
          <w:rFonts w:eastAsia="Calibri" w:cstheme="minorHAnsi"/>
          <w:i/>
          <w:color w:val="000000"/>
          <w:lang w:eastAsia="en-GB"/>
        </w:rPr>
        <w:t>Energy Policy</w:t>
      </w:r>
      <w:r w:rsidRPr="00BA6F48">
        <w:rPr>
          <w:rFonts w:eastAsia="Calibri" w:cstheme="minorHAnsi"/>
          <w:color w:val="000000"/>
          <w:lang w:eastAsia="en-GB"/>
        </w:rPr>
        <w:t>. 58: 381-390.</w:t>
      </w:r>
    </w:p>
    <w:p w14:paraId="28A56DD1" w14:textId="6C730BF4"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lastRenderedPageBreak/>
        <w:t xml:space="preserve">Blyth, W., McCarthy, R. and Gross, R., 2015. Financing the UK power sector: Is the money available? </w:t>
      </w:r>
      <w:r w:rsidRPr="00BA6F48">
        <w:rPr>
          <w:rFonts w:eastAsia="Calibri" w:cstheme="minorHAnsi"/>
          <w:i/>
          <w:color w:val="000000"/>
          <w:lang w:eastAsia="en-GB"/>
        </w:rPr>
        <w:t>Energy Policy</w:t>
      </w:r>
      <w:r w:rsidRPr="00BA6F48">
        <w:rPr>
          <w:rFonts w:eastAsia="Calibri" w:cstheme="minorHAnsi"/>
          <w:color w:val="000000"/>
          <w:lang w:eastAsia="en-GB"/>
        </w:rPr>
        <w:t>. 87: 607-622.</w:t>
      </w:r>
    </w:p>
    <w:p w14:paraId="149E8FB2" w14:textId="07034CF3" w:rsidR="007136C6" w:rsidRPr="00BA6F48" w:rsidRDefault="007136C6"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17609A">
        <w:rPr>
          <w:rFonts w:eastAsia="Calibri" w:cstheme="minorHAnsi"/>
          <w:color w:val="000000"/>
          <w:lang w:val="nl-NL" w:eastAsia="en-GB"/>
        </w:rPr>
        <w:t xml:space="preserve">Buijs, P., Bekaert, D., Cole, S., Van Hertem, D. and Belmans, R., 2011. </w:t>
      </w:r>
      <w:r w:rsidRPr="00BA6F48">
        <w:rPr>
          <w:rFonts w:eastAsia="Calibri" w:cstheme="minorHAnsi"/>
          <w:color w:val="000000"/>
          <w:lang w:eastAsia="en-GB"/>
        </w:rPr>
        <w:t xml:space="preserve">Transmission investment problems in Europe: Going beyond standard solutions. </w:t>
      </w:r>
      <w:r w:rsidRPr="00BA6F48">
        <w:rPr>
          <w:rFonts w:eastAsia="Calibri" w:cstheme="minorHAnsi"/>
          <w:i/>
          <w:iCs/>
          <w:color w:val="000000"/>
          <w:lang w:eastAsia="en-GB"/>
        </w:rPr>
        <w:t>Energy Policy</w:t>
      </w:r>
      <w:r w:rsidRPr="00BA6F48">
        <w:rPr>
          <w:rFonts w:eastAsia="Calibri" w:cstheme="minorHAnsi"/>
          <w:color w:val="000000"/>
          <w:lang w:eastAsia="en-GB"/>
        </w:rPr>
        <w:t>, 39(3), 1794-1801 (2011).</w:t>
      </w:r>
    </w:p>
    <w:p w14:paraId="61F43E6C" w14:textId="732C7358" w:rsidR="008E1812" w:rsidRPr="00BA6F48" w:rsidRDefault="008E1812" w:rsidP="00401543">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val="de-DE" w:eastAsia="en-GB"/>
        </w:rPr>
        <w:t xml:space="preserve">Bürer, M.J. and Wüstenhagen, R., 2009. </w:t>
      </w:r>
      <w:r w:rsidRPr="00BA6F48">
        <w:rPr>
          <w:rFonts w:eastAsia="Calibri" w:cstheme="minorHAnsi"/>
          <w:color w:val="000000"/>
          <w:lang w:eastAsia="en-GB"/>
        </w:rPr>
        <w:t xml:space="preserve">Which renewable energy policy is a venture capitalist's best friend? Empirical evidence from a survey of international cleantech investors. </w:t>
      </w:r>
      <w:r w:rsidRPr="00BA6F48">
        <w:rPr>
          <w:rFonts w:eastAsia="Calibri" w:cstheme="minorHAnsi"/>
          <w:i/>
          <w:color w:val="000000"/>
          <w:lang w:eastAsia="en-GB"/>
        </w:rPr>
        <w:t>Energy Policy</w:t>
      </w:r>
      <w:r w:rsidRPr="00BA6F48">
        <w:rPr>
          <w:rFonts w:eastAsia="Calibri" w:cstheme="minorHAnsi"/>
          <w:color w:val="000000"/>
          <w:lang w:eastAsia="en-GB"/>
        </w:rPr>
        <w:t xml:space="preserve">, 37 (12): 4997-5006. </w:t>
      </w:r>
    </w:p>
    <w:p w14:paraId="720BAD7E"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val="it-CH" w:eastAsia="en-GB"/>
        </w:rPr>
        <w:t xml:space="preserve">Castaneda, M., Jimenez, M., Zapata, S., Franco, C. and Isaac Dyner, I., 2017. </w:t>
      </w:r>
      <w:r w:rsidRPr="00BA6F48">
        <w:rPr>
          <w:rFonts w:eastAsia="Calibri" w:cstheme="minorHAnsi"/>
          <w:color w:val="000000"/>
          <w:lang w:eastAsia="en-GB"/>
        </w:rPr>
        <w:t xml:space="preserve">Myths and facts of the utility death spiral. </w:t>
      </w:r>
      <w:r w:rsidRPr="00BA6F48">
        <w:rPr>
          <w:rFonts w:eastAsia="Calibri" w:cstheme="minorHAnsi"/>
          <w:i/>
          <w:color w:val="000000"/>
          <w:lang w:eastAsia="en-GB"/>
        </w:rPr>
        <w:t>Energy Policy.</w:t>
      </w:r>
      <w:r w:rsidRPr="00BA6F48">
        <w:rPr>
          <w:rFonts w:eastAsia="Calibri" w:cstheme="minorHAnsi"/>
          <w:color w:val="000000"/>
          <w:lang w:eastAsia="en-GB"/>
        </w:rPr>
        <w:t xml:space="preserve"> 110: 105-116.</w:t>
      </w:r>
    </w:p>
    <w:p w14:paraId="450BA911"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 xml:space="preserve">Cepeda, M., 2018. Assessing cross-border integration of capacity mechanisms in coupled electricity markets. </w:t>
      </w:r>
      <w:r w:rsidRPr="00BA6F48">
        <w:rPr>
          <w:rFonts w:eastAsia="Calibri" w:cstheme="minorHAnsi"/>
          <w:i/>
          <w:color w:val="000000"/>
          <w:lang w:eastAsia="en-GB"/>
        </w:rPr>
        <w:t>Energy Policy</w:t>
      </w:r>
      <w:r w:rsidRPr="00BA6F48">
        <w:rPr>
          <w:rFonts w:eastAsia="Calibri" w:cstheme="minorHAnsi"/>
          <w:color w:val="000000"/>
          <w:lang w:eastAsia="en-GB"/>
        </w:rPr>
        <w:t>, 119, 28-40.</w:t>
      </w:r>
    </w:p>
    <w:p w14:paraId="6B61D966" w14:textId="5E0457EB"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lang w:eastAsia="en-GB"/>
        </w:rPr>
      </w:pPr>
      <w:r w:rsidRPr="00BA6F48">
        <w:rPr>
          <w:rFonts w:eastAsia="Calibri" w:cstheme="minorHAnsi"/>
          <w:lang w:eastAsia="en-GB"/>
        </w:rPr>
        <w:t xml:space="preserve">CEEP (Central Europe Energy Partners), Roland Berger, </w:t>
      </w:r>
      <w:r w:rsidR="00401543" w:rsidRPr="00BA6F48">
        <w:rPr>
          <w:rFonts w:eastAsia="Calibri" w:cstheme="minorHAnsi"/>
          <w:lang w:eastAsia="en-GB"/>
        </w:rPr>
        <w:t>“</w:t>
      </w:r>
      <w:r w:rsidRPr="00BA6F48">
        <w:rPr>
          <w:rFonts w:eastAsia="Calibri" w:cstheme="minorHAnsi"/>
          <w:lang w:eastAsia="en-GB"/>
        </w:rPr>
        <w:t>Making it happen – Paving the way for the Central European North-South Infrastructure Corridor”, Sept 2015</w:t>
      </w:r>
    </w:p>
    <w:p w14:paraId="23DE114C"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 xml:space="preserve">Child, M., Kemfert, C., Bogdanov, D. and Breyer, C., 2019. Flexible electricity generation, grid exchange and storage for the transition to a 100% renewable energy system in Europe. </w:t>
      </w:r>
      <w:r w:rsidRPr="00BA6F48">
        <w:rPr>
          <w:rFonts w:eastAsia="Calibri" w:cstheme="minorHAnsi"/>
          <w:i/>
          <w:color w:val="000000"/>
          <w:lang w:eastAsia="en-GB"/>
        </w:rPr>
        <w:t>Renewable Energy</w:t>
      </w:r>
      <w:r w:rsidRPr="00BA6F48">
        <w:rPr>
          <w:rFonts w:eastAsia="Calibri" w:cstheme="minorHAnsi"/>
          <w:color w:val="000000"/>
          <w:lang w:eastAsia="en-GB"/>
        </w:rPr>
        <w:t>. 139: 80-101.</w:t>
      </w:r>
    </w:p>
    <w:p w14:paraId="76D3F4A4"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Council of European Energy Regulators (CEER). Status Review on the Implementation of Transmission System Operators’ Unbundling Provisions of the 3</w:t>
      </w:r>
      <w:r w:rsidRPr="00BA6F48">
        <w:rPr>
          <w:rFonts w:eastAsia="Calibri" w:cstheme="minorHAnsi"/>
          <w:color w:val="000000"/>
          <w:vertAlign w:val="superscript"/>
          <w:lang w:eastAsia="en-GB"/>
        </w:rPr>
        <w:t>rd</w:t>
      </w:r>
      <w:r w:rsidRPr="00BA6F48">
        <w:rPr>
          <w:rFonts w:eastAsia="Calibri" w:cstheme="minorHAnsi"/>
          <w:color w:val="000000"/>
          <w:lang w:eastAsia="en-GB"/>
        </w:rPr>
        <w:t xml:space="preserve"> Energy Package. Brussels: April 2016. </w:t>
      </w:r>
    </w:p>
    <w:p w14:paraId="3C5D3875" w14:textId="343D5831"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Coxe, R. and Meeus, L., 2010. Survey of non-traditional transmission development. Paper presented at Institute of Electrical and Electronics Engineers (IEEE) Power &amp; Energy Society (PES) General Meeting in Minneapolis.</w:t>
      </w:r>
    </w:p>
    <w:p w14:paraId="5F4BA42A"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 xml:space="preserve">Durand, É. and Keay, M., August 2014. National support for renewable electricity and the single market in Europe: the Ålands Vindkraft case. </w:t>
      </w:r>
      <w:r w:rsidRPr="00BA6F48">
        <w:rPr>
          <w:rFonts w:eastAsia="Calibri" w:cstheme="minorHAnsi"/>
          <w:i/>
          <w:color w:val="000000"/>
          <w:lang w:eastAsia="en-GB"/>
        </w:rPr>
        <w:t>Oxford Energy Comment</w:t>
      </w:r>
      <w:r w:rsidRPr="00BA6F48">
        <w:rPr>
          <w:rFonts w:eastAsia="Calibri" w:cstheme="minorHAnsi"/>
          <w:color w:val="000000"/>
          <w:lang w:eastAsia="en-GB"/>
        </w:rPr>
        <w:t>. Oxford Institute for Energy Studies.</w:t>
      </w:r>
    </w:p>
    <w:p w14:paraId="73E5B9EB"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 xml:space="preserve">Dutton, J. and Lockwood, M., 2017. Ideas, institutions and interests in the politics of cross-border electricity interconnection: Greenlink, Britain and Ireland. </w:t>
      </w:r>
      <w:r w:rsidRPr="00BA6F48">
        <w:rPr>
          <w:rFonts w:eastAsia="Calibri" w:cstheme="minorHAnsi"/>
          <w:i/>
          <w:color w:val="000000"/>
          <w:lang w:eastAsia="en-GB"/>
        </w:rPr>
        <w:t>Energy Policy</w:t>
      </w:r>
      <w:r w:rsidRPr="00BA6F48">
        <w:rPr>
          <w:rFonts w:eastAsia="Calibri" w:cstheme="minorHAnsi"/>
          <w:color w:val="000000"/>
          <w:lang w:eastAsia="en-GB"/>
        </w:rPr>
        <w:t>. 105: 375-385.</w:t>
      </w:r>
    </w:p>
    <w:p w14:paraId="36D6627A" w14:textId="77777777" w:rsidR="006A4239" w:rsidRPr="00BA6F48" w:rsidRDefault="006A4239" w:rsidP="006A4239">
      <w:pPr>
        <w:pStyle w:val="EndnoteText"/>
        <w:numPr>
          <w:ilvl w:val="0"/>
          <w:numId w:val="1"/>
        </w:numPr>
        <w:jc w:val="both"/>
        <w:rPr>
          <w:rFonts w:eastAsia="Calibri" w:cstheme="minorHAnsi"/>
          <w:sz w:val="22"/>
          <w:szCs w:val="22"/>
          <w:lang w:eastAsia="en-GB"/>
        </w:rPr>
      </w:pPr>
      <w:r w:rsidRPr="00BA6F48">
        <w:rPr>
          <w:rFonts w:eastAsia="Calibri" w:cstheme="minorHAnsi"/>
          <w:sz w:val="22"/>
          <w:szCs w:val="22"/>
          <w:lang w:eastAsia="en-GB"/>
        </w:rPr>
        <w:t>European Commission Staff Working Document, Mid Term Evaluation Connecting Europe Facility (CEF), 2018.</w:t>
      </w:r>
    </w:p>
    <w:p w14:paraId="598CB75D" w14:textId="77777777" w:rsidR="006A4239" w:rsidRPr="00BA6F48" w:rsidRDefault="00324FFA" w:rsidP="006A4239">
      <w:pPr>
        <w:pStyle w:val="EndnoteText"/>
        <w:ind w:left="720"/>
        <w:jc w:val="both"/>
        <w:rPr>
          <w:rFonts w:eastAsia="Calibri" w:cstheme="minorHAnsi"/>
          <w:sz w:val="22"/>
          <w:szCs w:val="22"/>
          <w:lang w:eastAsia="en-GB"/>
        </w:rPr>
      </w:pPr>
      <w:hyperlink r:id="rId17" w:history="1">
        <w:r w:rsidR="006A4239" w:rsidRPr="00BA6F48">
          <w:rPr>
            <w:rStyle w:val="Hyperlink"/>
            <w:rFonts w:eastAsia="Calibri" w:cstheme="minorHAnsi"/>
            <w:sz w:val="22"/>
            <w:szCs w:val="22"/>
            <w:lang w:eastAsia="en-GB"/>
          </w:rPr>
          <w:t>https://ec.europa.eu/info/publications/mid-term-evaluation-connecting-europe-facility-cef_en</w:t>
        </w:r>
      </w:hyperlink>
    </w:p>
    <w:p w14:paraId="62722B9B"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European Commission DG ENER (2015), Study on comparative review of investment conditions for electricity and gas Transmission System Operators (TSOs) in the EU.</w:t>
      </w:r>
    </w:p>
    <w:p w14:paraId="50FFC43B"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 xml:space="preserve">European Commission DG ENER Expert Group on electricity interconnection targets, November 2017. Towards a sustainable and integrated Europe. </w:t>
      </w:r>
    </w:p>
    <w:p w14:paraId="0F6AD9A7"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262626"/>
          <w:lang w:eastAsia="en-GB"/>
        </w:rPr>
        <w:lastRenderedPageBreak/>
        <w:t>European Parliament legislative resolution of 26 March 2019 on the proposal for a regulation of the European Parliament and of the Council on the internal market for electricity (recast) (</w:t>
      </w:r>
      <w:hyperlink r:id="rId18">
        <w:r w:rsidRPr="00BA6F48">
          <w:rPr>
            <w:rFonts w:eastAsia="Calibri" w:cstheme="minorHAnsi"/>
            <w:color w:val="01B1E4"/>
            <w:u w:val="single"/>
            <w:lang w:eastAsia="en-GB"/>
          </w:rPr>
          <w:t>COM(2016)0861</w:t>
        </w:r>
      </w:hyperlink>
      <w:r w:rsidRPr="00BA6F48">
        <w:rPr>
          <w:rFonts w:eastAsia="Calibri" w:cstheme="minorHAnsi"/>
          <w:color w:val="262626"/>
          <w:lang w:eastAsia="en-GB"/>
        </w:rPr>
        <w:t xml:space="preserve"> – C8-0492/2016 – </w:t>
      </w:r>
      <w:hyperlink r:id="rId19">
        <w:r w:rsidRPr="00BA6F48">
          <w:rPr>
            <w:rFonts w:eastAsia="Calibri" w:cstheme="minorHAnsi"/>
            <w:color w:val="01B1E4"/>
            <w:u w:val="single"/>
            <w:lang w:eastAsia="en-GB"/>
          </w:rPr>
          <w:t>2016/0379(COD)</w:t>
        </w:r>
      </w:hyperlink>
      <w:r w:rsidRPr="00BA6F48">
        <w:rPr>
          <w:rFonts w:eastAsia="Calibri" w:cstheme="minorHAnsi"/>
          <w:color w:val="262626"/>
          <w:lang w:eastAsia="en-GB"/>
        </w:rPr>
        <w:t>)</w:t>
      </w:r>
    </w:p>
    <w:p w14:paraId="112C8ABA"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262626"/>
          <w:lang w:eastAsia="en-GB"/>
        </w:rPr>
        <w:t>European Parliament press release, 12 December 2018. ACER: Agreement reached to open up and better regulate the electricity market.</w:t>
      </w:r>
    </w:p>
    <w:p w14:paraId="74D2B7BE" w14:textId="77777777" w:rsidR="008E1812" w:rsidRPr="00BA6F48" w:rsidRDefault="00324FFA" w:rsidP="008E1812">
      <w:pPr>
        <w:pBdr>
          <w:top w:val="nil"/>
          <w:left w:val="nil"/>
          <w:bottom w:val="nil"/>
          <w:right w:val="nil"/>
          <w:between w:val="nil"/>
        </w:pBdr>
        <w:spacing w:before="120" w:after="0" w:line="300" w:lineRule="auto"/>
        <w:ind w:left="720"/>
        <w:jc w:val="both"/>
        <w:rPr>
          <w:rFonts w:eastAsia="Calibri" w:cstheme="minorHAnsi"/>
          <w:color w:val="262626"/>
          <w:lang w:eastAsia="en-GB"/>
        </w:rPr>
      </w:pPr>
      <w:hyperlink r:id="rId20" w:history="1">
        <w:r w:rsidR="008E1812" w:rsidRPr="00BA6F48">
          <w:rPr>
            <w:rStyle w:val="Hyperlink"/>
            <w:rFonts w:eastAsia="Calibri" w:cstheme="minorHAnsi"/>
            <w:lang w:eastAsia="en-GB"/>
          </w:rPr>
          <w:t>http://www.europarl.europa.eu/news/sv/press-room/20181212IPR21623/acer-agreement-reached-to-open-up-and-better-regulate-the-electricity-market</w:t>
        </w:r>
      </w:hyperlink>
    </w:p>
    <w:p w14:paraId="1DF7C53E" w14:textId="5FBCE982" w:rsidR="000B2F50" w:rsidRPr="00BA6F48" w:rsidRDefault="000B2F50"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 xml:space="preserve">Fitch-Roy, O. An offshore wind union? Diversity and convergence in European offshore wind governance. </w:t>
      </w:r>
      <w:r w:rsidRPr="00BA6F48">
        <w:rPr>
          <w:rFonts w:eastAsia="Calibri" w:cstheme="minorHAnsi"/>
          <w:i/>
          <w:iCs/>
          <w:color w:val="000000"/>
          <w:lang w:eastAsia="en-GB"/>
        </w:rPr>
        <w:t>Climate Policy</w:t>
      </w:r>
      <w:r w:rsidRPr="00BA6F48">
        <w:rPr>
          <w:rFonts w:eastAsia="Calibri" w:cstheme="minorHAnsi"/>
          <w:color w:val="000000"/>
          <w:lang w:eastAsia="en-GB"/>
        </w:rPr>
        <w:t>, 16(5), 586-605 (2016).</w:t>
      </w:r>
    </w:p>
    <w:p w14:paraId="52DFDA60" w14:textId="38A14599"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Gärdfors, T. European energy infrastructure opportunities: Connecting the dots. Norton Rose Fulbright. September 2015.</w:t>
      </w:r>
    </w:p>
    <w:p w14:paraId="70C97382"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val="de-DE" w:eastAsia="en-GB"/>
        </w:rPr>
        <w:t xml:space="preserve">Geddes, A., Schmidt, T.S. and Steffen, B., 2018. </w:t>
      </w:r>
      <w:r w:rsidRPr="00BA6F48">
        <w:rPr>
          <w:rFonts w:eastAsia="Calibri" w:cstheme="minorHAnsi"/>
          <w:color w:val="000000"/>
          <w:lang w:eastAsia="en-GB"/>
        </w:rPr>
        <w:t>The multiple roles of state investment banks in low-carbon energy finance: An analysis of Australia, the UK and Germany. Energy Policy, 115, pp.158-170.</w:t>
      </w:r>
    </w:p>
    <w:p w14:paraId="7B612BDF"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val="de-DE" w:eastAsia="en-GB"/>
        </w:rPr>
      </w:pPr>
      <w:r w:rsidRPr="00BA6F48">
        <w:rPr>
          <w:rFonts w:eastAsia="Calibri" w:cstheme="minorHAnsi"/>
          <w:color w:val="000000"/>
          <w:lang w:eastAsia="en-GB"/>
        </w:rPr>
        <w:t xml:space="preserve">Gerbaulet, C. and Weber, A. (2014). Is there still a case for merchant interconnectors? Insights from an analysis of welfare and distributional aspects of options for network expansion in the Baltic Sea region. </w:t>
      </w:r>
      <w:r w:rsidRPr="00BA6F48">
        <w:rPr>
          <w:rFonts w:eastAsia="Calibri" w:cstheme="minorHAnsi"/>
          <w:i/>
          <w:color w:val="000000"/>
          <w:lang w:val="de-DE" w:eastAsia="en-GB"/>
        </w:rPr>
        <w:t>DIW Discussion Papers</w:t>
      </w:r>
      <w:r w:rsidRPr="00BA6F48">
        <w:rPr>
          <w:rFonts w:eastAsia="Calibri" w:cstheme="minorHAnsi"/>
          <w:color w:val="000000"/>
          <w:lang w:val="de-DE" w:eastAsia="en-GB"/>
        </w:rPr>
        <w:t>, No. 1404, Berlin: Deutsches Institut für Wirtschaftsforschung (DIW – German Institute for Economic Research).</w:t>
      </w:r>
    </w:p>
    <w:p w14:paraId="108A29F9"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 xml:space="preserve">Glachant, J.M., Rossetto, N. and Vasconcelos, J., 2017. </w:t>
      </w:r>
      <w:r w:rsidRPr="00BA6F48">
        <w:rPr>
          <w:rFonts w:eastAsia="Calibri" w:cstheme="minorHAnsi"/>
          <w:i/>
          <w:color w:val="000000"/>
          <w:lang w:eastAsia="en-GB"/>
        </w:rPr>
        <w:t>Moving the electricity transmission system towards a decarbonised and integrated Europe: missing pillars and roadblocks</w:t>
      </w:r>
      <w:r w:rsidRPr="00BA6F48">
        <w:rPr>
          <w:rFonts w:eastAsia="Calibri" w:cstheme="minorHAnsi"/>
          <w:color w:val="000000"/>
          <w:lang w:eastAsia="en-GB"/>
        </w:rPr>
        <w:t xml:space="preserve"> (Florence: European University Institute Florence School of Regulation).</w:t>
      </w:r>
    </w:p>
    <w:p w14:paraId="1F78DE5F"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 xml:space="preserve">Goldberg, S., 2018. “The future’s bright and interconnected”. </w:t>
      </w:r>
      <w:r w:rsidRPr="00BA6F48">
        <w:rPr>
          <w:rFonts w:eastAsia="Calibri" w:cstheme="minorHAnsi"/>
          <w:i/>
          <w:color w:val="000000"/>
          <w:lang w:eastAsia="en-GB"/>
        </w:rPr>
        <w:t>Infrastructure Investor Annual Review</w:t>
      </w:r>
      <w:r w:rsidRPr="00BA6F48">
        <w:rPr>
          <w:rFonts w:eastAsia="Calibri" w:cstheme="minorHAnsi"/>
          <w:color w:val="000000"/>
          <w:lang w:eastAsia="en-GB"/>
        </w:rPr>
        <w:t xml:space="preserve">. 19-21. </w:t>
      </w:r>
    </w:p>
    <w:p w14:paraId="7AF79CBA"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 xml:space="preserve">Gorenstein-Dedecca, J., Lumbreras, S., Ramos, A., Hakvoort, R. and Herder, P., 2018. Expansion planning of the North Sea offshore grid: Simulation of integrated governance constraints. </w:t>
      </w:r>
      <w:r w:rsidRPr="00BA6F48">
        <w:rPr>
          <w:rFonts w:eastAsia="Calibri" w:cstheme="minorHAnsi"/>
          <w:i/>
          <w:color w:val="000000"/>
          <w:lang w:eastAsia="en-GB"/>
        </w:rPr>
        <w:t>Energy Economics</w:t>
      </w:r>
      <w:r w:rsidRPr="00BA6F48">
        <w:rPr>
          <w:rFonts w:eastAsia="Calibri" w:cstheme="minorHAnsi"/>
          <w:color w:val="000000"/>
          <w:lang w:eastAsia="en-GB"/>
        </w:rPr>
        <w:t xml:space="preserve">. 72: 376-392. </w:t>
      </w:r>
    </w:p>
    <w:p w14:paraId="084490F2"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Hadush, S., de Jonghe, C. and Belmans, R., 2015. The implication of the European inter-TSO compensation mechanism for cross-border electricity transmission investments.</w:t>
      </w:r>
      <w:r w:rsidRPr="00BA6F48">
        <w:rPr>
          <w:rFonts w:eastAsia="Calibri" w:cstheme="minorHAnsi"/>
          <w:i/>
          <w:color w:val="000000"/>
          <w:lang w:eastAsia="en-GB"/>
        </w:rPr>
        <w:t xml:space="preserve"> International Journal of Electrical Power &amp; Energy Systems</w:t>
      </w:r>
      <w:r w:rsidRPr="00BA6F48">
        <w:rPr>
          <w:rFonts w:eastAsia="Calibri" w:cstheme="minorHAnsi"/>
          <w:color w:val="000000"/>
          <w:lang w:eastAsia="en-GB"/>
        </w:rPr>
        <w:t>. 73: 674-683.</w:t>
      </w:r>
    </w:p>
    <w:p w14:paraId="4E8C03CA"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 xml:space="preserve">Hall, S., Roelich, K., Davis, M. and Holstenkamp, L. "Finance and justice in low-carbon energy transitions." </w:t>
      </w:r>
      <w:r w:rsidRPr="00BA6F48">
        <w:rPr>
          <w:rFonts w:eastAsia="Calibri" w:cstheme="minorHAnsi"/>
          <w:i/>
          <w:color w:val="000000"/>
          <w:lang w:eastAsia="en-GB"/>
        </w:rPr>
        <w:t>Applied Energy</w:t>
      </w:r>
      <w:r w:rsidRPr="00BA6F48">
        <w:rPr>
          <w:rFonts w:eastAsia="Calibri" w:cstheme="minorHAnsi"/>
          <w:color w:val="000000"/>
          <w:lang w:eastAsia="en-GB"/>
        </w:rPr>
        <w:t xml:space="preserve"> 222 (2018): 772-780.</w:t>
      </w:r>
    </w:p>
    <w:p w14:paraId="6C7A4475"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eastAsia="en-GB"/>
        </w:rPr>
        <w:t xml:space="preserve">Hall, S., Foxon, T. and Bolton, R., 2017. Investing in low-carbon transitions: energy finance as an adaptive market." </w:t>
      </w:r>
      <w:r w:rsidRPr="00BA6F48">
        <w:rPr>
          <w:rFonts w:eastAsia="Calibri" w:cstheme="minorHAnsi"/>
          <w:i/>
          <w:color w:val="000000"/>
          <w:lang w:eastAsia="en-GB"/>
        </w:rPr>
        <w:t>Climate Policy.</w:t>
      </w:r>
      <w:r w:rsidRPr="00BA6F48">
        <w:rPr>
          <w:rFonts w:eastAsia="Calibri" w:cstheme="minorHAnsi"/>
          <w:color w:val="000000"/>
          <w:lang w:eastAsia="en-GB"/>
        </w:rPr>
        <w:t xml:space="preserve"> 17 (3): 280-298.</w:t>
      </w:r>
    </w:p>
    <w:p w14:paraId="29A121CF"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themeColor="text1"/>
          <w:lang w:eastAsia="en-GB"/>
        </w:rPr>
      </w:pPr>
      <w:bookmarkStart w:id="7" w:name="_Hlk13597247"/>
      <w:r w:rsidRPr="00BA6F48">
        <w:rPr>
          <w:rFonts w:eastAsia="Calibri" w:cstheme="minorHAnsi"/>
          <w:color w:val="000000" w:themeColor="text1"/>
          <w:lang w:eastAsia="en-GB"/>
        </w:rPr>
        <w:t xml:space="preserve">Haesen, E., Pieter Vingerhoets, Michèle Koper, Ivo Georgiev, Carsten Glenting, Minke Goes, Charlotte Hussy (Ecofys). July 2017. </w:t>
      </w:r>
      <w:r w:rsidRPr="00BA6F48">
        <w:rPr>
          <w:rFonts w:eastAsia="Calibri" w:cstheme="minorHAnsi"/>
          <w:i/>
          <w:iCs/>
          <w:color w:val="000000" w:themeColor="text1"/>
          <w:lang w:eastAsia="en-GB"/>
        </w:rPr>
        <w:t>Investment needs in Trans-European Energy Infrastructure up to 2030 and beyond</w:t>
      </w:r>
      <w:r w:rsidRPr="00BA6F48">
        <w:rPr>
          <w:rFonts w:eastAsia="Calibri" w:cstheme="minorHAnsi"/>
          <w:color w:val="000000" w:themeColor="text1"/>
          <w:lang w:eastAsia="en-GB"/>
        </w:rPr>
        <w:t xml:space="preserve">. Report to the European Commission. </w:t>
      </w:r>
      <w:bookmarkEnd w:id="7"/>
    </w:p>
    <w:p w14:paraId="259ACBDB" w14:textId="77777777" w:rsidR="008E1812" w:rsidRPr="00BA6F48" w:rsidRDefault="008E1812" w:rsidP="008E1812">
      <w:pPr>
        <w:pStyle w:val="ListParagraph"/>
        <w:numPr>
          <w:ilvl w:val="0"/>
          <w:numId w:val="1"/>
        </w:numPr>
        <w:spacing w:after="0"/>
        <w:rPr>
          <w:rFonts w:cstheme="minorHAnsi"/>
          <w:color w:val="000000" w:themeColor="text1"/>
          <w:sz w:val="22"/>
          <w:szCs w:val="22"/>
        </w:rPr>
      </w:pPr>
      <w:r w:rsidRPr="00BA6F48">
        <w:rPr>
          <w:rFonts w:cstheme="minorHAnsi"/>
          <w:color w:val="000000" w:themeColor="text1"/>
          <w:sz w:val="22"/>
          <w:szCs w:val="22"/>
          <w:lang w:val="en-US"/>
        </w:rPr>
        <w:lastRenderedPageBreak/>
        <w:t xml:space="preserve">Hawker, G., Bell, K. and Gill, S., 2017. Electricity security in the European Union—The conflict between national Capacity Mechanisms and the Single Market. </w:t>
      </w:r>
      <w:r w:rsidRPr="00BA6F48">
        <w:rPr>
          <w:rFonts w:cstheme="minorHAnsi"/>
          <w:i/>
          <w:color w:val="000000" w:themeColor="text1"/>
          <w:sz w:val="22"/>
          <w:szCs w:val="22"/>
        </w:rPr>
        <w:t>Energy Research &amp; Social Science</w:t>
      </w:r>
      <w:r w:rsidRPr="00BA6F48">
        <w:rPr>
          <w:rFonts w:cstheme="minorHAnsi"/>
          <w:color w:val="000000" w:themeColor="text1"/>
          <w:sz w:val="22"/>
          <w:szCs w:val="22"/>
        </w:rPr>
        <w:t xml:space="preserve"> 24: 51-58.</w:t>
      </w:r>
    </w:p>
    <w:p w14:paraId="02EB5A59" w14:textId="0A122931"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Henriot, A, 2013. Financing investment in the European electricity transmission network: Consequences on long-term sustainability of the TSOs financial structure. </w:t>
      </w:r>
      <w:r w:rsidRPr="00BA6F48">
        <w:rPr>
          <w:rFonts w:eastAsia="Calibri" w:cstheme="minorHAnsi"/>
          <w:i/>
          <w:iCs/>
          <w:color w:val="000000" w:themeColor="text1"/>
          <w:lang w:eastAsia="en-GB"/>
        </w:rPr>
        <w:t>Energy Policy.</w:t>
      </w:r>
      <w:r w:rsidRPr="00BA6F48">
        <w:rPr>
          <w:rFonts w:eastAsia="Calibri" w:cstheme="minorHAnsi"/>
          <w:color w:val="000000" w:themeColor="text1"/>
          <w:lang w:eastAsia="en-GB"/>
        </w:rPr>
        <w:t xml:space="preserve"> 62: 821-829.</w:t>
      </w:r>
    </w:p>
    <w:p w14:paraId="75C2F6A4" w14:textId="78ACA963" w:rsidR="00AC1396" w:rsidRPr="00BA6F48" w:rsidRDefault="00AC1396"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val="en-US" w:eastAsia="en-GB"/>
        </w:rPr>
        <w:t xml:space="preserve">Van Hertem, D., &amp; Ghandhari, M. </w:t>
      </w:r>
      <w:r w:rsidRPr="00BA6F48">
        <w:rPr>
          <w:rFonts w:eastAsia="Calibri" w:cstheme="minorHAnsi"/>
          <w:color w:val="000000"/>
          <w:lang w:eastAsia="en-GB"/>
        </w:rPr>
        <w:t xml:space="preserve">Multi-terminal VSC HVDC for the European supergrid: Obstacles. </w:t>
      </w:r>
      <w:r w:rsidRPr="00BA6F48">
        <w:rPr>
          <w:rFonts w:eastAsia="Calibri" w:cstheme="minorHAnsi"/>
          <w:i/>
          <w:iCs/>
          <w:color w:val="000000"/>
          <w:lang w:eastAsia="en-GB"/>
        </w:rPr>
        <w:t>Renewable and Sustainable Energy Reviews</w:t>
      </w:r>
      <w:r w:rsidRPr="00BA6F48">
        <w:rPr>
          <w:rFonts w:eastAsia="Calibri" w:cstheme="minorHAnsi"/>
          <w:color w:val="000000"/>
          <w:lang w:eastAsia="en-GB"/>
        </w:rPr>
        <w:t xml:space="preserve">, </w:t>
      </w:r>
      <w:r w:rsidRPr="00BA6F48">
        <w:rPr>
          <w:rFonts w:eastAsia="Calibri" w:cstheme="minorHAnsi"/>
          <w:bCs/>
          <w:color w:val="000000"/>
          <w:lang w:eastAsia="en-GB"/>
        </w:rPr>
        <w:t>14(9)</w:t>
      </w:r>
      <w:r w:rsidRPr="00BA6F48">
        <w:rPr>
          <w:rFonts w:eastAsia="Calibri" w:cstheme="minorHAnsi"/>
          <w:color w:val="000000"/>
          <w:lang w:eastAsia="en-GB"/>
        </w:rPr>
        <w:t xml:space="preserve">, </w:t>
      </w:r>
      <w:r w:rsidR="001007A2" w:rsidRPr="00BA6F48">
        <w:rPr>
          <w:rFonts w:eastAsia="Calibri" w:cstheme="minorHAnsi"/>
          <w:color w:val="000000"/>
          <w:lang w:eastAsia="en-GB"/>
        </w:rPr>
        <w:t xml:space="preserve">(2010) </w:t>
      </w:r>
      <w:r w:rsidRPr="00BA6F48">
        <w:rPr>
          <w:rFonts w:eastAsia="Calibri" w:cstheme="minorHAnsi"/>
          <w:color w:val="000000"/>
          <w:lang w:eastAsia="en-GB"/>
        </w:rPr>
        <w:t>3156-3163.</w:t>
      </w:r>
    </w:p>
    <w:p w14:paraId="69D4A579"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Hogan, W., Lindovska, M., Mann, J. and Pope, S., Embracing Merchant Transmission Investment. October 15, 2018. Available at </w:t>
      </w:r>
    </w:p>
    <w:p w14:paraId="1DDCFC29" w14:textId="77777777" w:rsidR="008E1812" w:rsidRPr="00BA6F48" w:rsidRDefault="008E1812" w:rsidP="00EC69BA">
      <w:pPr>
        <w:pBdr>
          <w:top w:val="nil"/>
          <w:left w:val="nil"/>
          <w:bottom w:val="nil"/>
          <w:right w:val="nil"/>
          <w:between w:val="nil"/>
        </w:pBdr>
        <w:spacing w:before="120" w:after="0" w:line="300" w:lineRule="auto"/>
        <w:ind w:left="360"/>
        <w:jc w:val="both"/>
        <w:rPr>
          <w:rFonts w:eastAsia="Calibri" w:cstheme="minorHAnsi"/>
          <w:color w:val="000000"/>
          <w:lang w:eastAsia="en-GB"/>
        </w:rPr>
      </w:pPr>
      <w:r w:rsidRPr="00BA6F48">
        <w:rPr>
          <w:rFonts w:eastAsia="Calibri" w:cstheme="minorHAnsi"/>
          <w:color w:val="000000"/>
          <w:lang w:eastAsia="en-GB"/>
        </w:rPr>
        <w:t>https://sites.hks.harvard.edu/fs/whogan/Hogan_Lindovska_Mann_Pope_101518.pdf</w:t>
      </w:r>
    </w:p>
    <w:p w14:paraId="41C270BC"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Hogan, W., Rosellón, J. and Vogelsang, I. "Toward a combined merchant-regulatory mechanism for electricity transmission expansion." </w:t>
      </w:r>
      <w:r w:rsidRPr="00BA6F48">
        <w:rPr>
          <w:rFonts w:eastAsia="Calibri" w:cstheme="minorHAnsi"/>
          <w:i/>
          <w:iCs/>
          <w:color w:val="000000" w:themeColor="text1"/>
          <w:lang w:eastAsia="en-GB"/>
        </w:rPr>
        <w:t>Journal of Regulatory Economics</w:t>
      </w:r>
      <w:r w:rsidRPr="00BA6F48">
        <w:rPr>
          <w:rFonts w:eastAsia="Calibri" w:cstheme="minorHAnsi"/>
          <w:color w:val="000000" w:themeColor="text1"/>
          <w:lang w:eastAsia="en-GB"/>
        </w:rPr>
        <w:t xml:space="preserve"> 38, no. 2 (2010): 113-143.</w:t>
      </w:r>
    </w:p>
    <w:p w14:paraId="5B6BACD8"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Hojčková, K., Sandén, B. and H. Ahlborg. "Three electricity futures: Monitoring the emergence of alternative system architectures." </w:t>
      </w:r>
      <w:r w:rsidRPr="00BA6F48">
        <w:rPr>
          <w:rFonts w:eastAsia="Calibri" w:cstheme="minorHAnsi"/>
          <w:i/>
          <w:color w:val="000000" w:themeColor="text1"/>
          <w:lang w:eastAsia="en-GB"/>
        </w:rPr>
        <w:t>Futures</w:t>
      </w:r>
      <w:r w:rsidRPr="00BA6F48">
        <w:rPr>
          <w:rFonts w:eastAsia="Calibri" w:cstheme="minorHAnsi"/>
          <w:color w:val="000000" w:themeColor="text1"/>
          <w:lang w:eastAsia="en-GB"/>
        </w:rPr>
        <w:t xml:space="preserve"> (2017).</w:t>
      </w:r>
    </w:p>
    <w:p w14:paraId="4CD2BE6C"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themeColor="text1"/>
          <w:lang w:eastAsia="en-GB"/>
        </w:rPr>
      </w:pPr>
      <w:r w:rsidRPr="00BA6F48">
        <w:rPr>
          <w:rFonts w:eastAsia="Calibri" w:cstheme="minorHAnsi"/>
          <w:color w:val="000000" w:themeColor="text1"/>
          <w:lang w:eastAsia="en-GB"/>
        </w:rPr>
        <w:t xml:space="preserve">Holmes, I., Gaventa, J., Mabey, N. and Tomlinson, S., February 2012. Financing the Decarbonisation of European Infrastructure. E3G.  </w:t>
      </w:r>
    </w:p>
    <w:p w14:paraId="4BE01AE9" w14:textId="77777777" w:rsidR="008E1812" w:rsidRPr="00BA6F48" w:rsidRDefault="008E1812" w:rsidP="008E1812">
      <w:pPr>
        <w:pStyle w:val="ListParagraph"/>
        <w:numPr>
          <w:ilvl w:val="0"/>
          <w:numId w:val="1"/>
        </w:numPr>
        <w:spacing w:after="0"/>
        <w:rPr>
          <w:rFonts w:cstheme="minorHAnsi"/>
          <w:color w:val="000000" w:themeColor="text1"/>
          <w:sz w:val="22"/>
          <w:szCs w:val="22"/>
        </w:rPr>
      </w:pPr>
      <w:r w:rsidRPr="00BA6F48">
        <w:rPr>
          <w:rFonts w:cstheme="minorHAnsi"/>
          <w:color w:val="000000" w:themeColor="text1"/>
          <w:sz w:val="22"/>
          <w:szCs w:val="22"/>
          <w:lang w:val="fr-FR"/>
        </w:rPr>
        <w:t xml:space="preserve">Höschle, H., Le Cadre, H. and Belmans, R., 2018. </w:t>
      </w:r>
      <w:r w:rsidRPr="00BA6F48">
        <w:rPr>
          <w:rFonts w:cstheme="minorHAnsi"/>
          <w:color w:val="000000" w:themeColor="text1"/>
          <w:sz w:val="22"/>
          <w:szCs w:val="22"/>
          <w:lang w:val="en-US"/>
        </w:rPr>
        <w:t xml:space="preserve">Inefficiencies caused by non-harmonized capacity mechanisms in an interconnected electricity market. </w:t>
      </w:r>
      <w:r w:rsidRPr="00BA6F48">
        <w:rPr>
          <w:rFonts w:cstheme="minorHAnsi"/>
          <w:i/>
          <w:color w:val="000000" w:themeColor="text1"/>
          <w:sz w:val="22"/>
          <w:szCs w:val="22"/>
        </w:rPr>
        <w:t>Sustainable Energy, Grids and Networks</w:t>
      </w:r>
      <w:r w:rsidRPr="00BA6F48">
        <w:rPr>
          <w:rFonts w:cstheme="minorHAnsi"/>
          <w:color w:val="000000" w:themeColor="text1"/>
          <w:sz w:val="22"/>
          <w:szCs w:val="22"/>
        </w:rPr>
        <w:t>. 13: 29-41.</w:t>
      </w:r>
    </w:p>
    <w:p w14:paraId="6F754923"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Hu, H., Shi, X., Wei, T. and Rong, J., 2017, November. Hellenic transnational interconnection: Integrated scenario-based social-economic analysis. In 2017 IEEE Conference on Energy Internet and Energy System Integration (EI2) (pp. 1-5). IEEE. </w:t>
      </w:r>
    </w:p>
    <w:p w14:paraId="0183C485" w14:textId="77777777" w:rsidR="008E1812" w:rsidRPr="00BA6F48" w:rsidRDefault="008E1812" w:rsidP="008E1812">
      <w:pPr>
        <w:pStyle w:val="ListParagraph"/>
        <w:numPr>
          <w:ilvl w:val="0"/>
          <w:numId w:val="1"/>
        </w:numPr>
        <w:spacing w:after="0"/>
        <w:rPr>
          <w:rFonts w:cstheme="minorHAnsi"/>
          <w:color w:val="000000" w:themeColor="text1"/>
          <w:sz w:val="22"/>
          <w:szCs w:val="22"/>
        </w:rPr>
      </w:pPr>
      <w:r w:rsidRPr="0017609A">
        <w:rPr>
          <w:rFonts w:cstheme="minorHAnsi"/>
          <w:color w:val="000000" w:themeColor="text1"/>
          <w:sz w:val="22"/>
          <w:szCs w:val="22"/>
          <w:lang w:val="nl-NL"/>
        </w:rPr>
        <w:t xml:space="preserve">Huang, D., and van Hertem, D., 2018. </w:t>
      </w:r>
      <w:r w:rsidRPr="00BA6F48">
        <w:rPr>
          <w:rFonts w:cstheme="minorHAnsi"/>
          <w:color w:val="000000" w:themeColor="text1"/>
          <w:sz w:val="22"/>
          <w:szCs w:val="22"/>
          <w:lang w:val="en-US"/>
        </w:rPr>
        <w:t xml:space="preserve">Cross-Border Electricity Transmission Network Investment: Perspective and Risk Framework of Third Party Investors. </w:t>
      </w:r>
      <w:r w:rsidRPr="00BA6F48">
        <w:rPr>
          <w:rFonts w:cstheme="minorHAnsi"/>
          <w:i/>
          <w:color w:val="000000" w:themeColor="text1"/>
          <w:sz w:val="22"/>
          <w:szCs w:val="22"/>
        </w:rPr>
        <w:t>Energies</w:t>
      </w:r>
      <w:r w:rsidRPr="00BA6F48">
        <w:rPr>
          <w:rFonts w:cstheme="minorHAnsi"/>
          <w:color w:val="000000" w:themeColor="text1"/>
          <w:sz w:val="22"/>
          <w:szCs w:val="22"/>
        </w:rPr>
        <w:t>. 11 (9): 1-13.</w:t>
      </w:r>
    </w:p>
    <w:p w14:paraId="3716DF16"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themeColor="text1"/>
          <w:lang w:eastAsia="en-GB"/>
        </w:rPr>
      </w:pPr>
      <w:r w:rsidRPr="0017609A">
        <w:rPr>
          <w:rFonts w:eastAsia="Calibri" w:cstheme="minorHAnsi"/>
          <w:color w:val="000000" w:themeColor="text1"/>
          <w:lang w:val="nl-NL" w:eastAsia="en-GB"/>
        </w:rPr>
        <w:t xml:space="preserve">Huang, D., de Vos, K., van Hertem, D., Olmos, L., Rivier, M., van der Welle, A. and Sijm, J., 2016. </w:t>
      </w:r>
      <w:r w:rsidRPr="00BA6F48">
        <w:rPr>
          <w:rFonts w:eastAsia="Calibri" w:cstheme="minorHAnsi"/>
          <w:color w:val="000000" w:themeColor="text1"/>
          <w:lang w:eastAsia="en-GB"/>
        </w:rPr>
        <w:t>Mind the gap: Challenges and policy options for cross-border transmission network investments. Paper presented at 13th International Conference on the European Energy Market (EEM), Institute of Electrical and Electronics Engineers (IEEE).</w:t>
      </w:r>
    </w:p>
    <w:p w14:paraId="03790E63" w14:textId="77777777" w:rsidR="008E1812" w:rsidRPr="00BA6F48" w:rsidRDefault="008E1812" w:rsidP="008E1812">
      <w:pPr>
        <w:numPr>
          <w:ilvl w:val="0"/>
          <w:numId w:val="1"/>
        </w:numPr>
        <w:spacing w:before="120" w:after="0" w:line="300" w:lineRule="auto"/>
        <w:jc w:val="both"/>
        <w:rPr>
          <w:rFonts w:cstheme="minorHAnsi"/>
          <w:color w:val="000000" w:themeColor="text1"/>
          <w:lang w:eastAsia="en-GB"/>
        </w:rPr>
      </w:pPr>
      <w:r w:rsidRPr="00BA6F48">
        <w:rPr>
          <w:rFonts w:eastAsia="Calibri" w:cstheme="minorHAnsi"/>
          <w:color w:val="000000" w:themeColor="text1"/>
          <w:lang w:eastAsia="en-GB"/>
        </w:rPr>
        <w:t xml:space="preserve">Huter, M., Polfliet, A., Cummins-Tripodi, P. et al., May 2018. </w:t>
      </w:r>
      <w:r w:rsidRPr="00BA6F48">
        <w:rPr>
          <w:rFonts w:eastAsia="Calibri" w:cstheme="minorHAnsi"/>
          <w:i/>
          <w:color w:val="000000" w:themeColor="text1"/>
          <w:lang w:eastAsia="en-GB"/>
        </w:rPr>
        <w:t>Revolving door and the fossil fuel industry</w:t>
      </w:r>
      <w:r w:rsidRPr="00BA6F48">
        <w:rPr>
          <w:rFonts w:eastAsia="Calibri" w:cstheme="minorHAnsi"/>
          <w:color w:val="000000" w:themeColor="text1"/>
          <w:lang w:eastAsia="en-GB"/>
        </w:rPr>
        <w:t>. Report for the Greens group in the European Parliament.</w:t>
      </w:r>
    </w:p>
    <w:p w14:paraId="0EDB2175"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Johannesson Linden, A., Kalantzis, F., Maincent, E. and Pienkowski, J., 2014 Electricity Tariﬀ Deficit: Temporary or Permanent Problem in the EU?. </w:t>
      </w:r>
      <w:r w:rsidRPr="00BA6F48">
        <w:rPr>
          <w:rFonts w:eastAsia="Calibri" w:cstheme="minorHAnsi"/>
          <w:i/>
          <w:color w:val="000000" w:themeColor="text1"/>
          <w:lang w:eastAsia="en-GB"/>
        </w:rPr>
        <w:t>Economic Papers</w:t>
      </w:r>
      <w:r w:rsidRPr="00BA6F48">
        <w:rPr>
          <w:rFonts w:eastAsia="Calibri" w:cstheme="minorHAnsi"/>
          <w:color w:val="000000" w:themeColor="text1"/>
          <w:lang w:eastAsia="en-GB"/>
        </w:rPr>
        <w:t xml:space="preserve"> 534 </w:t>
      </w:r>
    </w:p>
    <w:p w14:paraId="0567A3AF" w14:textId="07439C87" w:rsidR="008E1812" w:rsidRPr="00BA6F48" w:rsidRDefault="008E1812" w:rsidP="00EC69BA">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Jones, A., 2015. Perceived barriers and policy solutions in clean energy infrastructure investment. </w:t>
      </w:r>
      <w:r w:rsidRPr="00BA6F48">
        <w:rPr>
          <w:rFonts w:eastAsia="Calibri" w:cstheme="minorHAnsi"/>
          <w:i/>
          <w:color w:val="000000" w:themeColor="text1"/>
          <w:lang w:eastAsia="en-GB"/>
        </w:rPr>
        <w:t>Journal of Cleaner Production</w:t>
      </w:r>
      <w:r w:rsidRPr="00BA6F48">
        <w:rPr>
          <w:rFonts w:eastAsia="Calibri" w:cstheme="minorHAnsi"/>
          <w:color w:val="000000" w:themeColor="text1"/>
          <w:lang w:eastAsia="en-GB"/>
        </w:rPr>
        <w:t>. 104: 297-304.</w:t>
      </w:r>
    </w:p>
    <w:p w14:paraId="73FF1B35"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lastRenderedPageBreak/>
        <w:t xml:space="preserve">Kapff, L. and Pelkmans, J., 2010. Interconnector Investment for a Well-functioning Internal Market: What EU regime of regulatory incentives? Bruges: College of Europe Department of European Economic Studies, </w:t>
      </w:r>
      <w:r w:rsidRPr="00BA6F48">
        <w:rPr>
          <w:rFonts w:eastAsia="Calibri" w:cstheme="minorHAnsi"/>
          <w:i/>
          <w:color w:val="000000" w:themeColor="text1"/>
          <w:lang w:eastAsia="en-GB"/>
        </w:rPr>
        <w:t>Bruges European Economic Research (BEER) Papers</w:t>
      </w:r>
      <w:r w:rsidRPr="00BA6F48">
        <w:rPr>
          <w:rFonts w:eastAsia="Calibri" w:cstheme="minorHAnsi"/>
          <w:color w:val="000000" w:themeColor="text1"/>
          <w:lang w:eastAsia="en-GB"/>
        </w:rPr>
        <w:t>, n° 18</w:t>
      </w:r>
    </w:p>
    <w:p w14:paraId="3BDD1FEE"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Konstantelos, I., Pudjianto, D., Strbac, G., De Decker, J., Joseph, P., Flament, A., Kreutzkamp, P., Genoese, F., Rehfeldt, L., Wallasch, A., Gerdes, G., Jafar, M., Yang Y., Tidemand, N., Jansen, J., Nieuwenhout, F., van der Welle, A., Veum, K., 2017, Integrated North Sea grids: The costs, the benefits and their distribution between countries. </w:t>
      </w:r>
      <w:r w:rsidRPr="00BA6F48">
        <w:rPr>
          <w:rFonts w:eastAsia="Calibri" w:cstheme="minorHAnsi"/>
          <w:i/>
          <w:color w:val="000000" w:themeColor="text1"/>
          <w:lang w:eastAsia="en-GB"/>
        </w:rPr>
        <w:t>Energy Policy</w:t>
      </w:r>
      <w:r w:rsidRPr="00BA6F48">
        <w:rPr>
          <w:rFonts w:eastAsia="Calibri" w:cstheme="minorHAnsi"/>
          <w:color w:val="000000" w:themeColor="text1"/>
          <w:lang w:eastAsia="en-GB"/>
        </w:rPr>
        <w:t>. 101: 28-41.</w:t>
      </w:r>
    </w:p>
    <w:p w14:paraId="28388B4A"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val="de-DE" w:eastAsia="en-GB"/>
        </w:rPr>
        <w:t xml:space="preserve">Laws, Nicholas D., Brenden P. Epps, Steven O. Peterson, Mark S. Laser, and G. Kamau Wanjiru. </w:t>
      </w:r>
      <w:r w:rsidRPr="00BA6F48">
        <w:rPr>
          <w:rFonts w:eastAsia="Calibri" w:cstheme="minorHAnsi"/>
          <w:color w:val="000000" w:themeColor="text1"/>
          <w:lang w:eastAsia="en-GB"/>
        </w:rPr>
        <w:t xml:space="preserve">"On the utility death spiral and the impact of utility rate structures on the adoption of residential solar photovoltaics and energy storage." </w:t>
      </w:r>
      <w:r w:rsidRPr="00BA6F48">
        <w:rPr>
          <w:rFonts w:eastAsia="Calibri" w:cstheme="minorHAnsi"/>
          <w:i/>
          <w:iCs/>
          <w:color w:val="000000" w:themeColor="text1"/>
          <w:lang w:eastAsia="en-GB"/>
        </w:rPr>
        <w:t>Applied Energy.</w:t>
      </w:r>
      <w:r w:rsidRPr="00BA6F48">
        <w:rPr>
          <w:rFonts w:eastAsia="Calibri" w:cstheme="minorHAnsi"/>
          <w:color w:val="000000" w:themeColor="text1"/>
          <w:lang w:eastAsia="en-GB"/>
        </w:rPr>
        <w:t xml:space="preserve"> 185 (2017): 627-641.</w:t>
      </w:r>
    </w:p>
    <w:p w14:paraId="1C44708C"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Loureiro, M., Claro, J. and Fischbeck, P. "Coordinating cross-border electricity interconnection investments and trade in market coupled regions." </w:t>
      </w:r>
      <w:r w:rsidRPr="00BA6F48">
        <w:rPr>
          <w:rFonts w:eastAsia="Calibri" w:cstheme="minorHAnsi"/>
          <w:i/>
          <w:iCs/>
          <w:color w:val="000000" w:themeColor="text1"/>
          <w:lang w:eastAsia="en-GB"/>
        </w:rPr>
        <w:t>International Journal of Electrical Power &amp; Energy Systems</w:t>
      </w:r>
      <w:r w:rsidRPr="00BA6F48">
        <w:rPr>
          <w:rFonts w:eastAsia="Calibri" w:cstheme="minorHAnsi"/>
          <w:color w:val="000000" w:themeColor="text1"/>
          <w:lang w:eastAsia="en-GB"/>
        </w:rPr>
        <w:t xml:space="preserve"> 104 (2019): pp.194-204</w:t>
      </w:r>
    </w:p>
    <w:p w14:paraId="089E7C76"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Makovšek, D. and Veryard, D., February 2016. The Regulatory Asset Base and Project Finance Models: An Analysis of Incentives for Efficiency. Paris: </w:t>
      </w:r>
      <w:r w:rsidRPr="00BA6F48">
        <w:rPr>
          <w:rFonts w:eastAsia="Calibri" w:cstheme="minorHAnsi"/>
          <w:i/>
          <w:color w:val="000000" w:themeColor="text1"/>
          <w:lang w:eastAsia="en-GB"/>
        </w:rPr>
        <w:t>OECD International Transport Forum Discussion Paper</w:t>
      </w:r>
      <w:r w:rsidRPr="00BA6F48">
        <w:rPr>
          <w:rFonts w:eastAsia="Calibri" w:cstheme="minorHAnsi"/>
          <w:color w:val="000000" w:themeColor="text1"/>
          <w:lang w:eastAsia="en-GB"/>
        </w:rPr>
        <w:t xml:space="preserve"> 1.  </w:t>
      </w:r>
    </w:p>
    <w:p w14:paraId="431966ED"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themeColor="text1"/>
          <w:lang w:eastAsia="en-GB"/>
        </w:rPr>
      </w:pPr>
      <w:r w:rsidRPr="00BA6F48">
        <w:rPr>
          <w:rFonts w:eastAsia="Calibri" w:cstheme="minorHAnsi"/>
          <w:color w:val="000000" w:themeColor="text1"/>
          <w:lang w:eastAsia="en-GB"/>
        </w:rPr>
        <w:t xml:space="preserve">Marten, A.-K., Akmatov, V., Bentzon Sørensen, T., Stornowski, R., Westermann, D. and Brosinsky, C., October 2018. KriegersFlak-combined grid solution: coordinated cross-border control of a meshed HVAC/HVDC offshore wind power grid. </w:t>
      </w:r>
      <w:r w:rsidRPr="00BA6F48">
        <w:rPr>
          <w:rFonts w:eastAsia="Calibri" w:cstheme="minorHAnsi"/>
          <w:i/>
          <w:iCs/>
          <w:color w:val="262626" w:themeColor="text1" w:themeTint="D9"/>
          <w:lang w:eastAsia="en-GB"/>
        </w:rPr>
        <w:t>Institution of Engineering and Technology Power Generation</w:t>
      </w:r>
      <w:r w:rsidRPr="00BA6F48">
        <w:rPr>
          <w:rFonts w:eastAsia="Calibri" w:cstheme="minorHAnsi"/>
          <w:color w:val="262626" w:themeColor="text1" w:themeTint="D9"/>
          <w:lang w:eastAsia="en-GB"/>
        </w:rPr>
        <w:t xml:space="preserve">. </w:t>
      </w:r>
      <w:r w:rsidRPr="00BA6F48">
        <w:rPr>
          <w:rFonts w:eastAsia="Calibri" w:cstheme="minorHAnsi"/>
          <w:color w:val="000000" w:themeColor="text1"/>
          <w:lang w:eastAsia="en-GB"/>
        </w:rPr>
        <w:t>12 (13): 1493 – 1499.</w:t>
      </w:r>
    </w:p>
    <w:p w14:paraId="408E6472" w14:textId="77777777" w:rsidR="008E1812" w:rsidRPr="00BA6F48" w:rsidRDefault="008E1812" w:rsidP="008E1812">
      <w:pPr>
        <w:pStyle w:val="ListParagraph"/>
        <w:numPr>
          <w:ilvl w:val="0"/>
          <w:numId w:val="1"/>
        </w:numPr>
        <w:spacing w:after="0"/>
        <w:rPr>
          <w:rFonts w:cstheme="minorHAnsi"/>
          <w:color w:val="000000" w:themeColor="text1"/>
          <w:sz w:val="22"/>
          <w:szCs w:val="22"/>
        </w:rPr>
      </w:pPr>
      <w:r w:rsidRPr="00BA6F48">
        <w:rPr>
          <w:rFonts w:cstheme="minorHAnsi"/>
          <w:color w:val="000000" w:themeColor="text1"/>
          <w:sz w:val="22"/>
          <w:szCs w:val="22"/>
          <w:lang w:val="it-CH"/>
        </w:rPr>
        <w:t xml:space="preserve">Mastropietro, P., Rodilla, P. and Batlle, C., 2015. </w:t>
      </w:r>
      <w:r w:rsidRPr="00BA6F48">
        <w:rPr>
          <w:rFonts w:cstheme="minorHAnsi"/>
          <w:color w:val="000000" w:themeColor="text1"/>
          <w:sz w:val="22"/>
          <w:szCs w:val="22"/>
          <w:lang w:val="en-US"/>
        </w:rPr>
        <w:t xml:space="preserve">National capacity mechanisms in the European internal energy market: Opening the doors to neighbours. </w:t>
      </w:r>
      <w:r w:rsidRPr="00BA6F48">
        <w:rPr>
          <w:rFonts w:cstheme="minorHAnsi"/>
          <w:i/>
          <w:color w:val="000000" w:themeColor="text1"/>
          <w:sz w:val="22"/>
          <w:szCs w:val="22"/>
        </w:rPr>
        <w:t>Energy Policy</w:t>
      </w:r>
      <w:r w:rsidRPr="00BA6F48">
        <w:rPr>
          <w:rFonts w:cstheme="minorHAnsi"/>
          <w:color w:val="000000" w:themeColor="text1"/>
          <w:sz w:val="22"/>
          <w:szCs w:val="22"/>
        </w:rPr>
        <w:t>. 82: 38-47.</w:t>
      </w:r>
    </w:p>
    <w:p w14:paraId="31B034CB"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Matschoss, P., Benjamin Bayer, Heiko Thomas, and Adela Marian, 2019. "The German incentive regulation and its practical impact on the grid integration of renewable energy systems." </w:t>
      </w:r>
      <w:r w:rsidRPr="00BA6F48">
        <w:rPr>
          <w:rFonts w:eastAsia="Calibri" w:cstheme="minorHAnsi"/>
          <w:i/>
          <w:color w:val="000000" w:themeColor="text1"/>
          <w:lang w:eastAsia="en-GB"/>
        </w:rPr>
        <w:t>Renewable Energy.</w:t>
      </w:r>
      <w:r w:rsidRPr="00BA6F48">
        <w:rPr>
          <w:rFonts w:eastAsia="Calibri" w:cstheme="minorHAnsi"/>
          <w:color w:val="000000" w:themeColor="text1"/>
          <w:lang w:eastAsia="en-GB"/>
        </w:rPr>
        <w:t xml:space="preserve"> 134: 727-738.</w:t>
      </w:r>
    </w:p>
    <w:p w14:paraId="4FE61F3F"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Mazzucato, M. and G. Semieniuk, G., 2017. Financing renewable energy: who is financing what and why it matters. </w:t>
      </w:r>
      <w:r w:rsidRPr="00BA6F48">
        <w:rPr>
          <w:rFonts w:eastAsia="Calibri" w:cstheme="minorHAnsi"/>
          <w:i/>
          <w:iCs/>
          <w:color w:val="000000" w:themeColor="text1"/>
          <w:lang w:eastAsia="en-GB"/>
        </w:rPr>
        <w:t xml:space="preserve">Technological Forecast and Societal Change. </w:t>
      </w:r>
      <w:r w:rsidRPr="00BA6F48">
        <w:rPr>
          <w:rFonts w:eastAsia="Calibri" w:cstheme="minorHAnsi"/>
          <w:iCs/>
          <w:color w:val="000000" w:themeColor="text1"/>
          <w:lang w:eastAsia="en-GB"/>
        </w:rPr>
        <w:t>127: 8-22.</w:t>
      </w:r>
    </w:p>
    <w:p w14:paraId="4A498303"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17609A">
        <w:rPr>
          <w:rFonts w:eastAsia="Calibri" w:cstheme="minorHAnsi"/>
          <w:color w:val="000000" w:themeColor="text1"/>
          <w:lang w:eastAsia="en-GB"/>
        </w:rPr>
        <w:t xml:space="preserve">Mekonnen, M., Huang, D. and de Vos, K., 2016. </w:t>
      </w:r>
      <w:r w:rsidRPr="00BA6F48">
        <w:rPr>
          <w:rFonts w:eastAsia="Calibri" w:cstheme="minorHAnsi"/>
          <w:color w:val="000000" w:themeColor="text1"/>
          <w:lang w:eastAsia="en-GB"/>
        </w:rPr>
        <w:t xml:space="preserve">“Governance Models for Future Grids”. In van Hertem, D., Gomis-Bellmunt, O. and Liang, J. (eds), </w:t>
      </w:r>
      <w:r w:rsidRPr="00BA6F48">
        <w:rPr>
          <w:rFonts w:eastAsia="Calibri" w:cstheme="minorHAnsi"/>
          <w:i/>
          <w:iCs/>
          <w:color w:val="000000" w:themeColor="text1"/>
          <w:lang w:eastAsia="en-GB"/>
        </w:rPr>
        <w:t>HVDC Grids: For Offshore and Supergrid of the Future</w:t>
      </w:r>
      <w:r w:rsidRPr="00BA6F48">
        <w:rPr>
          <w:rFonts w:eastAsia="Calibri" w:cstheme="minorHAnsi"/>
          <w:color w:val="000000" w:themeColor="text1"/>
          <w:lang w:eastAsia="en-GB"/>
        </w:rPr>
        <w:t>. Hoboken, NJ: Wiley: 193-213.</w:t>
      </w:r>
    </w:p>
    <w:p w14:paraId="0133DCBD"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Meeus, L., 2014. </w:t>
      </w:r>
      <w:r w:rsidRPr="00BA6F48">
        <w:rPr>
          <w:rFonts w:eastAsia="Calibri" w:cstheme="minorHAnsi"/>
          <w:i/>
          <w:iCs/>
          <w:color w:val="000000" w:themeColor="text1"/>
          <w:lang w:eastAsia="en-GB"/>
        </w:rPr>
        <w:t>Offshore grids for renewables: do we need a particular regulatory framework?</w:t>
      </w:r>
      <w:r w:rsidRPr="00BA6F48">
        <w:rPr>
          <w:rFonts w:eastAsia="Calibri" w:cstheme="minorHAnsi"/>
          <w:color w:val="000000" w:themeColor="text1"/>
          <w:lang w:eastAsia="en-GB"/>
        </w:rPr>
        <w:t xml:space="preserve"> Florence: European University Institute Robert Schuman Centre for Advanced Studies. </w:t>
      </w:r>
      <w:r w:rsidRPr="00BA6F48">
        <w:rPr>
          <w:rFonts w:eastAsia="Calibri" w:cstheme="minorHAnsi"/>
          <w:i/>
          <w:color w:val="000000" w:themeColor="text1"/>
          <w:lang w:eastAsia="en-GB"/>
        </w:rPr>
        <w:t>Florence School of Regulation Working Paper</w:t>
      </w:r>
      <w:r w:rsidRPr="00BA6F48">
        <w:rPr>
          <w:rFonts w:eastAsia="Calibri" w:cstheme="minorHAnsi"/>
          <w:color w:val="000000" w:themeColor="text1"/>
          <w:lang w:eastAsia="en-GB"/>
        </w:rPr>
        <w:t>, No. 24.</w:t>
      </w:r>
    </w:p>
    <w:p w14:paraId="3DA7FF8C"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themeColor="text1"/>
          <w:lang w:eastAsia="en-GB"/>
        </w:rPr>
      </w:pPr>
      <w:r w:rsidRPr="00BA6F48">
        <w:rPr>
          <w:rFonts w:eastAsia="Calibri" w:cstheme="minorHAnsi"/>
          <w:color w:val="000000" w:themeColor="text1"/>
          <w:lang w:eastAsia="en-GB"/>
        </w:rPr>
        <w:t xml:space="preserve">Meeus, L. and Keyaerts, N., February 2015. First series of cross-border cost allocation decisions for projects of common interest: main lessons learned. Florence: European University Institute Robert Schuman Centre for Advanced Studies Florence School of Regulation, Policy Brief. </w:t>
      </w:r>
    </w:p>
    <w:p w14:paraId="7103833C" w14:textId="77777777" w:rsidR="008E1812" w:rsidRPr="00BA6F48" w:rsidRDefault="008E1812" w:rsidP="008E1812">
      <w:pPr>
        <w:pStyle w:val="ListParagraph"/>
        <w:numPr>
          <w:ilvl w:val="0"/>
          <w:numId w:val="1"/>
        </w:numPr>
        <w:spacing w:after="0"/>
        <w:rPr>
          <w:rFonts w:cstheme="minorHAnsi"/>
          <w:color w:val="000000" w:themeColor="text1"/>
          <w:sz w:val="22"/>
          <w:szCs w:val="22"/>
        </w:rPr>
      </w:pPr>
      <w:r w:rsidRPr="00BA6F48">
        <w:rPr>
          <w:rFonts w:cstheme="minorHAnsi"/>
          <w:color w:val="000000" w:themeColor="text1"/>
          <w:sz w:val="22"/>
          <w:szCs w:val="22"/>
          <w:lang w:val="en-US"/>
        </w:rPr>
        <w:lastRenderedPageBreak/>
        <w:t xml:space="preserve">Meyer, R. and Gore, O., 2015. Cross-border effects of capacity mechanisms: Do uncoordinated market design changes contradict the goals of the European market integration? </w:t>
      </w:r>
      <w:r w:rsidRPr="00BA6F48">
        <w:rPr>
          <w:rFonts w:cstheme="minorHAnsi"/>
          <w:i/>
          <w:color w:val="000000" w:themeColor="text1"/>
          <w:sz w:val="22"/>
          <w:szCs w:val="22"/>
        </w:rPr>
        <w:t>Energy Economics</w:t>
      </w:r>
      <w:r w:rsidRPr="00BA6F48">
        <w:rPr>
          <w:rFonts w:cstheme="minorHAnsi"/>
          <w:color w:val="000000" w:themeColor="text1"/>
          <w:sz w:val="22"/>
          <w:szCs w:val="22"/>
        </w:rPr>
        <w:t>, 51: 9-20.</w:t>
      </w:r>
    </w:p>
    <w:p w14:paraId="30A49491"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Mulder, M., 2018. Merchant investments in interconnections in the European electricity market: the AQUIND case. (</w:t>
      </w:r>
      <w:r w:rsidRPr="00BA6F48">
        <w:rPr>
          <w:rFonts w:eastAsia="Calibri" w:cstheme="minorHAnsi"/>
          <w:i/>
          <w:color w:val="000000" w:themeColor="text1"/>
          <w:lang w:eastAsia="en-GB"/>
        </w:rPr>
        <w:t>CEER Policy Paper</w:t>
      </w:r>
      <w:r w:rsidRPr="00BA6F48">
        <w:rPr>
          <w:rFonts w:eastAsia="Calibri" w:cstheme="minorHAnsi"/>
          <w:color w:val="000000" w:themeColor="text1"/>
          <w:lang w:eastAsia="en-GB"/>
        </w:rPr>
        <w:t>; No. 4). Groningen: Centre for Energy Economics Research (CEER), University of Groningen.</w:t>
      </w:r>
    </w:p>
    <w:p w14:paraId="34E45CC9"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Nelson, D. and Pierpont, B., March 2013. The Challenge of Institutional Investment in Renewable Energy, Climate Policy Initiative Report.</w:t>
      </w:r>
    </w:p>
    <w:p w14:paraId="37C86A41"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Neuhoff, K., Boyd, R. and Glachant, J.-M., 2012. </w:t>
      </w:r>
      <w:r w:rsidRPr="00BA6F48">
        <w:rPr>
          <w:rFonts w:eastAsia="Calibri" w:cstheme="minorHAnsi"/>
          <w:i/>
          <w:color w:val="000000" w:themeColor="text1"/>
          <w:lang w:eastAsia="en-GB"/>
        </w:rPr>
        <w:t>European Electricity Infrastructure: Planning, Regulation, and Financing</w:t>
      </w:r>
      <w:r w:rsidRPr="00BA6F48">
        <w:rPr>
          <w:rFonts w:eastAsia="Calibri" w:cstheme="minorHAnsi"/>
          <w:color w:val="000000" w:themeColor="text1"/>
          <w:lang w:eastAsia="en-GB"/>
        </w:rPr>
        <w:t xml:space="preserve">. Workshop report, Berlin: Climate Policy Initiative &amp; Florence: European University Institute School of Regulation.  </w:t>
      </w:r>
    </w:p>
    <w:p w14:paraId="2493F1BD"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de Nooij, M., 2011, Social cost-benefit analysis of electricity interconnector investment: A critical appraisal. </w:t>
      </w:r>
      <w:r w:rsidRPr="00BA6F48">
        <w:rPr>
          <w:rFonts w:eastAsia="Calibri" w:cstheme="minorHAnsi"/>
          <w:i/>
          <w:color w:val="000000" w:themeColor="text1"/>
          <w:lang w:eastAsia="en-GB"/>
        </w:rPr>
        <w:t>Energy Policy</w:t>
      </w:r>
      <w:r w:rsidRPr="00BA6F48">
        <w:rPr>
          <w:rFonts w:eastAsia="Calibri" w:cstheme="minorHAnsi"/>
          <w:color w:val="000000" w:themeColor="text1"/>
          <w:lang w:eastAsia="en-GB"/>
        </w:rPr>
        <w:t>. 39: 3096-3105.</w:t>
      </w:r>
    </w:p>
    <w:p w14:paraId="5AADA27F"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van Nuffel, L., Rademaekers, K., Yearwood, J., Graichen, V., López, M., Martin, J., Ludig, S. and Marias, F. </w:t>
      </w:r>
      <w:r w:rsidRPr="00BA6F48">
        <w:rPr>
          <w:rFonts w:eastAsia="Calibri" w:cstheme="minorHAnsi"/>
          <w:i/>
          <w:iCs/>
          <w:color w:val="000000" w:themeColor="text1"/>
          <w:lang w:eastAsia="en-GB"/>
        </w:rPr>
        <w:t>European Energy Industry Investments</w:t>
      </w:r>
      <w:r w:rsidRPr="00BA6F48">
        <w:rPr>
          <w:rFonts w:eastAsia="Calibri" w:cstheme="minorHAnsi"/>
          <w:color w:val="000000" w:themeColor="text1"/>
          <w:lang w:eastAsia="en-GB"/>
        </w:rPr>
        <w:t xml:space="preserve">. Study for the European Parliament’s Industry, Research and Energy (ITRE) Committee. Brussels: February 2017. </w:t>
      </w:r>
    </w:p>
    <w:p w14:paraId="523FBCE0"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Odenberger, M., Unger, T. and Johnsson, F., May 08, 2015. Investment Requirements in the EU electricity sector up to 2050. Division of Energy Technology. Chalmers University of Technology, Göteborg. </w:t>
      </w:r>
    </w:p>
    <w:p w14:paraId="723DB5F0"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OECD</w:t>
      </w:r>
      <w:r w:rsidRPr="00BA6F48">
        <w:rPr>
          <w:rFonts w:eastAsia="Calibri" w:cstheme="minorHAnsi"/>
          <w:i/>
          <w:iCs/>
          <w:color w:val="000000" w:themeColor="text1"/>
          <w:lang w:eastAsia="en-GB"/>
        </w:rPr>
        <w:t>,</w:t>
      </w:r>
      <w:r w:rsidRPr="00BA6F48">
        <w:rPr>
          <w:rFonts w:eastAsia="Calibri" w:cstheme="minorHAnsi"/>
          <w:color w:val="000000" w:themeColor="text1"/>
          <w:lang w:eastAsia="en-GB"/>
        </w:rPr>
        <w:t xml:space="preserve"> 2015. Mapping channels to mobilise institutional investment in sustainable energy. </w:t>
      </w:r>
      <w:r w:rsidRPr="00BA6F48">
        <w:rPr>
          <w:rFonts w:eastAsia="Calibri" w:cstheme="minorHAnsi"/>
          <w:i/>
          <w:color w:val="000000" w:themeColor="text1"/>
          <w:lang w:eastAsia="en-GB"/>
        </w:rPr>
        <w:t>OECD Report to G20 finance ministers and central bank governors</w:t>
      </w:r>
      <w:r w:rsidRPr="00BA6F48">
        <w:rPr>
          <w:rFonts w:eastAsia="Calibri" w:cstheme="minorHAnsi"/>
          <w:color w:val="000000" w:themeColor="text1"/>
          <w:lang w:eastAsia="en-GB"/>
        </w:rPr>
        <w:t>.</w:t>
      </w:r>
    </w:p>
    <w:p w14:paraId="4479ACDA"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Pape, M., January 2019. European Parliament Briefing “EU Legislation in Progress - 2021-2027 MFF. Connecting Europe Facility 2021-2027- Financing key EU infrastructure network”, European Parliamentary Research Service.</w:t>
      </w:r>
    </w:p>
    <w:p w14:paraId="0AE8F9FF"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17609A">
        <w:rPr>
          <w:rFonts w:eastAsia="Calibri" w:cstheme="minorHAnsi"/>
          <w:color w:val="000000" w:themeColor="text1"/>
          <w:lang w:eastAsia="en-GB"/>
        </w:rPr>
        <w:t xml:space="preserve">Pierri, E., Binder, O., Hemdan, N., and Kurrat, K., 2017. </w:t>
      </w:r>
      <w:r w:rsidRPr="00BA6F48">
        <w:rPr>
          <w:rFonts w:eastAsia="Calibri" w:cstheme="minorHAnsi"/>
          <w:color w:val="000000" w:themeColor="text1"/>
          <w:lang w:eastAsia="en-GB"/>
        </w:rPr>
        <w:t xml:space="preserve">Challenges and opportunities for a European HVDC grid. </w:t>
      </w:r>
      <w:r w:rsidRPr="00BA6F48">
        <w:rPr>
          <w:rFonts w:eastAsia="Calibri" w:cstheme="minorHAnsi"/>
          <w:i/>
          <w:iCs/>
          <w:color w:val="000000" w:themeColor="text1"/>
          <w:lang w:eastAsia="en-GB"/>
        </w:rPr>
        <w:t>Renewable and Sustainable Energy Reviews</w:t>
      </w:r>
      <w:r w:rsidRPr="00BA6F48">
        <w:rPr>
          <w:rFonts w:eastAsia="Calibri" w:cstheme="minorHAnsi"/>
          <w:color w:val="000000" w:themeColor="text1"/>
          <w:lang w:eastAsia="en-GB"/>
        </w:rPr>
        <w:t xml:space="preserve"> 70: 427-456.</w:t>
      </w:r>
    </w:p>
    <w:p w14:paraId="26CB541A"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Poudineh, R. and Rubino, A., 2016. Business model for cross-border interconnections in the Mediterranean basin. </w:t>
      </w:r>
      <w:r w:rsidRPr="00BA6F48">
        <w:rPr>
          <w:rFonts w:eastAsia="Calibri" w:cstheme="minorHAnsi"/>
          <w:i/>
          <w:color w:val="000000" w:themeColor="text1"/>
          <w:lang w:eastAsia="en-GB"/>
        </w:rPr>
        <w:t>Oxford Institute for Energy Studies Working Paper</w:t>
      </w:r>
      <w:r w:rsidRPr="00BA6F48">
        <w:rPr>
          <w:rFonts w:eastAsia="Calibri" w:cstheme="minorHAnsi"/>
          <w:color w:val="000000" w:themeColor="text1"/>
          <w:lang w:eastAsia="en-GB"/>
        </w:rPr>
        <w:t xml:space="preserve">, vol. 19. </w:t>
      </w:r>
    </w:p>
    <w:p w14:paraId="61662037"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Puka, L., and Szulecki, K., 2014. The politics and economics of cross-border electricity infrastructure: A framework for analysis. </w:t>
      </w:r>
      <w:r w:rsidRPr="00BA6F48">
        <w:rPr>
          <w:rFonts w:eastAsia="Calibri" w:cstheme="minorHAnsi"/>
          <w:i/>
          <w:iCs/>
          <w:color w:val="000000" w:themeColor="text1"/>
          <w:lang w:eastAsia="en-GB"/>
        </w:rPr>
        <w:t>Energy Research &amp; Social Science</w:t>
      </w:r>
      <w:r w:rsidRPr="00BA6F48">
        <w:rPr>
          <w:rFonts w:eastAsia="Calibri" w:cstheme="minorHAnsi"/>
          <w:color w:val="000000" w:themeColor="text1"/>
          <w:lang w:eastAsia="en-GB"/>
        </w:rPr>
        <w:t xml:space="preserve"> 4: 124-134.</w:t>
      </w:r>
    </w:p>
    <w:p w14:paraId="71358345" w14:textId="13364266" w:rsidR="008E1812" w:rsidRPr="00BA6F48" w:rsidRDefault="008E1812" w:rsidP="00592157">
      <w:pPr>
        <w:numPr>
          <w:ilvl w:val="0"/>
          <w:numId w:val="1"/>
        </w:numPr>
        <w:pBdr>
          <w:top w:val="nil"/>
          <w:left w:val="nil"/>
          <w:bottom w:val="nil"/>
          <w:right w:val="nil"/>
          <w:between w:val="nil"/>
        </w:pBdr>
        <w:spacing w:before="120" w:after="0" w:line="300" w:lineRule="auto"/>
        <w:jc w:val="both"/>
        <w:rPr>
          <w:rStyle w:val="Hyperlink"/>
          <w:rFonts w:eastAsia="Calibri" w:cstheme="minorHAnsi"/>
          <w:color w:val="000000"/>
          <w:u w:val="none"/>
          <w:lang w:eastAsia="en-GB"/>
        </w:rPr>
      </w:pPr>
      <w:bookmarkStart w:id="8" w:name="_Hlk13600135"/>
      <w:r w:rsidRPr="00BA6F48">
        <w:rPr>
          <w:rFonts w:eastAsia="Calibri" w:cstheme="minorHAnsi"/>
          <w:color w:val="000000" w:themeColor="text1"/>
          <w:lang w:eastAsia="en-GB"/>
        </w:rPr>
        <w:t>PriceWaterhouseCooper, Ad-hoc audit of the Marguerite Fund, 2014.</w:t>
      </w:r>
      <w:bookmarkEnd w:id="8"/>
      <w:r w:rsidRPr="00BA6F48">
        <w:rPr>
          <w:rFonts w:eastAsia="Calibri" w:cstheme="minorHAnsi"/>
          <w:lang w:eastAsia="en-GB"/>
        </w:rPr>
        <w:fldChar w:fldCharType="begin"/>
      </w:r>
      <w:r w:rsidRPr="00BA6F48">
        <w:rPr>
          <w:rFonts w:eastAsia="Calibri" w:cstheme="minorHAnsi"/>
          <w:lang w:eastAsia="en-GB"/>
        </w:rPr>
        <w:instrText xml:space="preserve"> HYPERLINK "https://blogs.platts.com/2019/01/31/uk-electricity-links-europe-multiply-even-brexit-looms/" </w:instrText>
      </w:r>
      <w:r w:rsidRPr="00BA6F48">
        <w:rPr>
          <w:rFonts w:eastAsia="Calibri" w:cstheme="minorHAnsi"/>
          <w:lang w:eastAsia="en-GB"/>
        </w:rPr>
        <w:fldChar w:fldCharType="separate"/>
      </w:r>
    </w:p>
    <w:p w14:paraId="2CF9E428"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lang w:eastAsia="en-GB"/>
        </w:rPr>
        <w:fldChar w:fldCharType="end"/>
      </w:r>
      <w:r w:rsidRPr="00BA6F48">
        <w:rPr>
          <w:rFonts w:eastAsia="Calibri" w:cstheme="minorHAnsi"/>
          <w:color w:val="262626" w:themeColor="text1" w:themeTint="D9"/>
          <w:lang w:eastAsia="en-GB"/>
        </w:rPr>
        <w:t>Rivron, G., 7 April 2016. Financing energy infrastructure with the Marguerite Fund. Presentation at the 2016 CEF Energy Info Day.</w:t>
      </w:r>
    </w:p>
    <w:p w14:paraId="09B29033"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lang w:val="it-CH" w:eastAsia="en-GB"/>
        </w:rPr>
        <w:t xml:space="preserve">Rubino, A. and Cuomo, M., 2015. </w:t>
      </w:r>
      <w:r w:rsidRPr="00BA6F48">
        <w:rPr>
          <w:rFonts w:eastAsia="Calibri" w:cstheme="minorHAnsi"/>
          <w:color w:val="000000"/>
          <w:lang w:eastAsia="en-GB"/>
        </w:rPr>
        <w:t xml:space="preserve">A regulatory assessment of the Electricity Merchant Transmission Investment in EU. </w:t>
      </w:r>
      <w:r w:rsidRPr="00BA6F48">
        <w:rPr>
          <w:rFonts w:eastAsia="Calibri" w:cstheme="minorHAnsi"/>
          <w:i/>
          <w:color w:val="000000"/>
          <w:lang w:eastAsia="en-GB"/>
        </w:rPr>
        <w:t>Energy Policy</w:t>
      </w:r>
      <w:r w:rsidRPr="00BA6F48">
        <w:rPr>
          <w:rFonts w:eastAsia="Calibri" w:cstheme="minorHAnsi"/>
          <w:color w:val="000000"/>
          <w:lang w:eastAsia="en-GB"/>
        </w:rPr>
        <w:t>. 85: 464-474.</w:t>
      </w:r>
    </w:p>
    <w:p w14:paraId="2252BAD0"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lastRenderedPageBreak/>
        <w:t xml:space="preserve">Sanchis, G., November 2015. Europe’s future secure and sustainable electricity infrastructure: e-Highway2050 project results. </w:t>
      </w:r>
    </w:p>
    <w:p w14:paraId="5AD57F93"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Schill, W.-P., Egerer, J. and Rosellón, J., 2015. Testing regulatory regimes for power transmission expansion with fluctuating demand and wind generation. </w:t>
      </w:r>
      <w:r w:rsidRPr="00BA6F48">
        <w:rPr>
          <w:rFonts w:eastAsia="Calibri" w:cstheme="minorHAnsi"/>
          <w:i/>
          <w:iCs/>
          <w:color w:val="000000" w:themeColor="text1"/>
          <w:lang w:eastAsia="en-GB"/>
        </w:rPr>
        <w:t>Journal of Regulatory Economics</w:t>
      </w:r>
      <w:r w:rsidRPr="00BA6F48">
        <w:rPr>
          <w:rFonts w:eastAsia="Calibri" w:cstheme="minorHAnsi"/>
          <w:iCs/>
          <w:color w:val="000000" w:themeColor="text1"/>
          <w:lang w:eastAsia="en-GB"/>
        </w:rPr>
        <w:t>.</w:t>
      </w:r>
      <w:r w:rsidRPr="00BA6F48">
        <w:rPr>
          <w:rFonts w:eastAsia="Calibri" w:cstheme="minorHAnsi"/>
          <w:color w:val="000000" w:themeColor="text1"/>
          <w:lang w:eastAsia="en-GB"/>
        </w:rPr>
        <w:t xml:space="preserve"> 47 (1): 1-28.</w:t>
      </w:r>
    </w:p>
    <w:p w14:paraId="4B8C0537"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17609A">
        <w:rPr>
          <w:rFonts w:eastAsia="Calibri" w:cstheme="minorHAnsi"/>
          <w:color w:val="000000" w:themeColor="text1"/>
          <w:lang w:val="de-DE" w:eastAsia="en-GB"/>
        </w:rPr>
        <w:t xml:space="preserve">Schmidt, P. and Lilliestam, J., 2015. </w:t>
      </w:r>
      <w:r w:rsidRPr="00BA6F48">
        <w:rPr>
          <w:rFonts w:eastAsia="Calibri" w:cstheme="minorHAnsi"/>
          <w:color w:val="000000" w:themeColor="text1"/>
          <w:lang w:eastAsia="en-GB"/>
        </w:rPr>
        <w:t xml:space="preserve">Reducing or fostering public opposition? A critical reflection on the neutrality of pan-European cost–benefit analysis in electricity transmission planning. </w:t>
      </w:r>
      <w:r w:rsidRPr="00BA6F48">
        <w:rPr>
          <w:rFonts w:eastAsia="Calibri" w:cstheme="minorHAnsi"/>
          <w:i/>
          <w:iCs/>
          <w:color w:val="000000" w:themeColor="text1"/>
          <w:lang w:eastAsia="en-GB"/>
        </w:rPr>
        <w:t>Energy Research &amp; Social Science</w:t>
      </w:r>
      <w:r w:rsidRPr="00BA6F48">
        <w:rPr>
          <w:rFonts w:eastAsia="Calibri" w:cstheme="minorHAnsi"/>
          <w:color w:val="000000" w:themeColor="text1"/>
          <w:lang w:eastAsia="en-GB"/>
        </w:rPr>
        <w:t>. 10: 114-122.</w:t>
      </w:r>
    </w:p>
    <w:p w14:paraId="55B0EE83"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Schmitt, T., 2018. (Why) did Desertec fail? An interim analysis of a large-scale renewable energy infrastructure project from a Social Studies of Technology perspective. </w:t>
      </w:r>
      <w:r w:rsidRPr="00BA6F48">
        <w:rPr>
          <w:rFonts w:eastAsia="Calibri" w:cstheme="minorHAnsi"/>
          <w:i/>
          <w:iCs/>
          <w:color w:val="000000" w:themeColor="text1"/>
          <w:lang w:eastAsia="en-GB"/>
        </w:rPr>
        <w:t>Local Environment</w:t>
      </w:r>
      <w:r w:rsidRPr="00BA6F48">
        <w:rPr>
          <w:rFonts w:eastAsia="Calibri" w:cstheme="minorHAnsi"/>
          <w:color w:val="000000" w:themeColor="text1"/>
          <w:lang w:eastAsia="en-GB"/>
        </w:rPr>
        <w:t xml:space="preserve">, 23(7): 747-776. </w:t>
      </w:r>
    </w:p>
    <w:p w14:paraId="7FBB0821" w14:textId="66FB334B"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Scheibe, A., 2018. Utilization of Scenarios in European Electricity Policy: The Ten-Year Network Development Plan. Oxford Institute for Energy Studies Paper: EL 32, University of Oxford, Oxford. </w:t>
      </w:r>
    </w:p>
    <w:p w14:paraId="435BBC42" w14:textId="77777777" w:rsidR="00592157" w:rsidRPr="00BA6F48" w:rsidRDefault="00592157" w:rsidP="00592157">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Schwieters, Norbert (ed). </w:t>
      </w:r>
      <w:r w:rsidRPr="00BA6F48">
        <w:rPr>
          <w:rFonts w:eastAsia="Calibri" w:cstheme="minorHAnsi"/>
          <w:i/>
          <w:iCs/>
          <w:color w:val="000000" w:themeColor="text1"/>
          <w:lang w:eastAsia="en-GB"/>
        </w:rPr>
        <w:t>The road ahead: Gaining momentum from energy transformation</w:t>
      </w:r>
      <w:r w:rsidRPr="00BA6F48">
        <w:rPr>
          <w:rFonts w:eastAsia="Calibri" w:cstheme="minorHAnsi"/>
          <w:color w:val="000000" w:themeColor="text1"/>
          <w:lang w:eastAsia="en-GB"/>
        </w:rPr>
        <w:t>. Düsseldorf: PriceWaterhouseCooper, 2014</w:t>
      </w:r>
      <w:r w:rsidRPr="00BA6F48">
        <w:rPr>
          <w:rFonts w:eastAsia="Calibri" w:cstheme="minorHAnsi"/>
          <w:i/>
          <w:iCs/>
          <w:color w:val="000000" w:themeColor="text1"/>
          <w:lang w:eastAsia="en-GB"/>
        </w:rPr>
        <w:t xml:space="preserve">. </w:t>
      </w:r>
    </w:p>
    <w:p w14:paraId="4DEBBC0E" w14:textId="4D8B2074" w:rsidR="00592157" w:rsidRPr="00BA6F48" w:rsidRDefault="00324FFA" w:rsidP="00592157">
      <w:pPr>
        <w:pBdr>
          <w:top w:val="nil"/>
          <w:left w:val="nil"/>
          <w:bottom w:val="nil"/>
          <w:right w:val="nil"/>
          <w:between w:val="nil"/>
        </w:pBdr>
        <w:spacing w:before="120" w:after="0" w:line="300" w:lineRule="auto"/>
        <w:ind w:left="720"/>
        <w:jc w:val="both"/>
        <w:rPr>
          <w:rFonts w:ascii="Calibri" w:eastAsia="Calibri" w:hAnsi="Calibri" w:cs="Calibri"/>
          <w:color w:val="262626"/>
          <w:lang w:eastAsia="en-GB"/>
        </w:rPr>
      </w:pPr>
      <w:hyperlink r:id="rId21" w:history="1">
        <w:r w:rsidR="00592157" w:rsidRPr="00BA6F48">
          <w:rPr>
            <w:rStyle w:val="Hyperlink"/>
            <w:rFonts w:ascii="Calibri" w:eastAsia="Calibri" w:hAnsi="Calibri" w:cs="Calibri"/>
            <w:lang w:eastAsia="en-GB"/>
          </w:rPr>
          <w:t>https://www.pwc.com/gx/en/utilities/publications/assets/pwc-the-road-ahead.pdf</w:t>
        </w:r>
      </w:hyperlink>
    </w:p>
    <w:p w14:paraId="4533D372" w14:textId="265654CB"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Silva, V., Zulueta, M.L.B., Wang, Y., Fourment, P., Hinchliffe, T., Burtin, A. and Gatti-Bono, C., June 2017. Anticipating Some of the Challenges and Solutions for 60% Renewable Energy Sources in the European Electricity System. In </w:t>
      </w:r>
      <w:r w:rsidRPr="00BA6F48">
        <w:rPr>
          <w:rFonts w:eastAsia="Calibri" w:cstheme="minorHAnsi"/>
          <w:i/>
          <w:color w:val="000000" w:themeColor="text1"/>
          <w:lang w:eastAsia="en-GB"/>
        </w:rPr>
        <w:t>Forecasting and Risk Management for Renewable Energy</w:t>
      </w:r>
      <w:r w:rsidR="006A4239" w:rsidRPr="00BA6F48">
        <w:rPr>
          <w:rFonts w:eastAsia="Calibri" w:cstheme="minorHAnsi"/>
          <w:color w:val="000000" w:themeColor="text1"/>
          <w:lang w:eastAsia="en-GB"/>
        </w:rPr>
        <w:t>, pp. 169-184</w:t>
      </w:r>
      <w:r w:rsidRPr="00BA6F48">
        <w:rPr>
          <w:rFonts w:eastAsia="Calibri" w:cstheme="minorHAnsi"/>
          <w:color w:val="000000" w:themeColor="text1"/>
          <w:lang w:eastAsia="en-GB"/>
        </w:rPr>
        <w:t>.</w:t>
      </w:r>
    </w:p>
    <w:p w14:paraId="1A7BFE34"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Sovacool, B., Gilbert, A., and Nugent, D., 2014. An international comparative assessment of construction cost overruns for electricity infrastructure. </w:t>
      </w:r>
      <w:r w:rsidRPr="00BA6F48">
        <w:rPr>
          <w:rFonts w:eastAsia="Calibri" w:cstheme="minorHAnsi"/>
          <w:i/>
          <w:iCs/>
          <w:color w:val="000000" w:themeColor="text1"/>
          <w:lang w:eastAsia="en-GB"/>
        </w:rPr>
        <w:t>Energy Research &amp; Social Science</w:t>
      </w:r>
      <w:r w:rsidRPr="00BA6F48">
        <w:rPr>
          <w:rFonts w:eastAsia="Calibri" w:cstheme="minorHAnsi"/>
          <w:iCs/>
          <w:color w:val="000000" w:themeColor="text1"/>
          <w:lang w:eastAsia="en-GB"/>
        </w:rPr>
        <w:t>.</w:t>
      </w:r>
      <w:r w:rsidRPr="00BA6F48">
        <w:rPr>
          <w:rFonts w:eastAsia="Calibri" w:cstheme="minorHAnsi"/>
          <w:color w:val="000000" w:themeColor="text1"/>
          <w:lang w:eastAsia="en-GB"/>
        </w:rPr>
        <w:t xml:space="preserve"> 3: 152-160.</w:t>
      </w:r>
    </w:p>
    <w:p w14:paraId="21D3C0C6"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val="de-DE" w:eastAsia="en-GB"/>
        </w:rPr>
        <w:t xml:space="preserve">Spiecker, S., Vogel, P., Weber, C., 2013. </w:t>
      </w:r>
      <w:r w:rsidRPr="00BA6F48">
        <w:rPr>
          <w:rFonts w:eastAsia="Calibri" w:cstheme="minorHAnsi"/>
          <w:color w:val="000000" w:themeColor="text1"/>
          <w:lang w:eastAsia="en-GB"/>
        </w:rPr>
        <w:t xml:space="preserve">Evaluating interconnector investments in the north European electricity system considering fluctuating wind power penetration. </w:t>
      </w:r>
      <w:r w:rsidRPr="00BA6F48">
        <w:rPr>
          <w:rFonts w:eastAsia="Calibri" w:cstheme="minorHAnsi"/>
          <w:i/>
          <w:color w:val="000000" w:themeColor="text1"/>
          <w:lang w:eastAsia="en-GB"/>
        </w:rPr>
        <w:t>Energy Economics</w:t>
      </w:r>
      <w:r w:rsidRPr="00BA6F48">
        <w:rPr>
          <w:rFonts w:eastAsia="Calibri" w:cstheme="minorHAnsi"/>
          <w:color w:val="000000" w:themeColor="text1"/>
          <w:lang w:eastAsia="en-GB"/>
        </w:rPr>
        <w:t>. 37: 114-127</w:t>
      </w:r>
    </w:p>
    <w:p w14:paraId="680145ED"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Sunila, K., Bergaentzlé, C., Martin, B. and Ekroos, A., 2019. A supra-national TSO to enhance offshore wind power development in the Baltic Sea? A legal and regulatory analysis. </w:t>
      </w:r>
      <w:r w:rsidRPr="00BA6F48">
        <w:rPr>
          <w:rFonts w:eastAsia="Calibri" w:cstheme="minorHAnsi"/>
          <w:i/>
          <w:iCs/>
          <w:color w:val="000000" w:themeColor="text1"/>
          <w:lang w:eastAsia="en-GB"/>
        </w:rPr>
        <w:t>Energy Policy</w:t>
      </w:r>
      <w:r w:rsidRPr="00BA6F48">
        <w:rPr>
          <w:rFonts w:eastAsia="Calibri" w:cstheme="minorHAnsi"/>
          <w:color w:val="000000" w:themeColor="text1"/>
          <w:lang w:eastAsia="en-GB"/>
        </w:rPr>
        <w:t>, 128: 775-782.</w:t>
      </w:r>
    </w:p>
    <w:p w14:paraId="13E477B5"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Szydło, M., 2015. How to reconcile national support for renewable energy with internal market obligations? The task for the EU legislature after Ålands Vindkraft and Essent. </w:t>
      </w:r>
      <w:r w:rsidRPr="00BA6F48">
        <w:rPr>
          <w:rFonts w:eastAsia="Calibri" w:cstheme="minorHAnsi"/>
          <w:i/>
          <w:color w:val="000000" w:themeColor="text1"/>
          <w:lang w:eastAsia="en-GB"/>
        </w:rPr>
        <w:t>Common Market Law Review</w:t>
      </w:r>
      <w:r w:rsidRPr="00BA6F48">
        <w:rPr>
          <w:rFonts w:eastAsia="Calibri" w:cstheme="minorHAnsi"/>
          <w:color w:val="000000" w:themeColor="text1"/>
          <w:lang w:eastAsia="en-GB"/>
        </w:rPr>
        <w:t>. 52 (2): pp.489-510.</w:t>
      </w:r>
    </w:p>
    <w:p w14:paraId="3ED10FBB"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val="it-CH" w:eastAsia="en-GB"/>
        </w:rPr>
        <w:t xml:space="preserve">Tagliapietra, S., 2017. </w:t>
      </w:r>
      <w:r w:rsidRPr="00BA6F48">
        <w:rPr>
          <w:rFonts w:eastAsia="Calibri" w:cstheme="minorHAnsi"/>
          <w:i/>
          <w:iCs/>
          <w:color w:val="000000" w:themeColor="text1"/>
          <w:lang w:val="it-CH" w:eastAsia="en-GB"/>
        </w:rPr>
        <w:t>Energy Relations in the Euro-Mediterranean</w:t>
      </w:r>
      <w:r w:rsidRPr="00BA6F48">
        <w:rPr>
          <w:rFonts w:eastAsia="Calibri" w:cstheme="minorHAnsi"/>
          <w:color w:val="000000" w:themeColor="text1"/>
          <w:lang w:val="it-CH" w:eastAsia="en-GB"/>
        </w:rPr>
        <w:t xml:space="preserve">. </w:t>
      </w:r>
      <w:r w:rsidRPr="00BA6F48">
        <w:rPr>
          <w:rFonts w:eastAsia="Calibri" w:cstheme="minorHAnsi"/>
          <w:color w:val="000000" w:themeColor="text1"/>
          <w:lang w:eastAsia="en-GB"/>
        </w:rPr>
        <w:t>Palgrave McMillan.</w:t>
      </w:r>
    </w:p>
    <w:p w14:paraId="75553C84" w14:textId="62BDDAE3" w:rsidR="008E1812" w:rsidRPr="00BA6F48" w:rsidRDefault="006A4239"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Tennbakk, B., </w:t>
      </w:r>
      <w:r w:rsidR="008E1812" w:rsidRPr="00BA6F48">
        <w:rPr>
          <w:rFonts w:eastAsia="Calibri" w:cstheme="minorHAnsi"/>
          <w:color w:val="000000" w:themeColor="text1"/>
          <w:lang w:eastAsia="en-GB"/>
        </w:rPr>
        <w:t>Capros,</w:t>
      </w:r>
      <w:r w:rsidRPr="00BA6F48">
        <w:rPr>
          <w:rFonts w:eastAsia="Calibri" w:cstheme="minorHAnsi"/>
          <w:color w:val="000000" w:themeColor="text1"/>
          <w:lang w:eastAsia="en-GB"/>
        </w:rPr>
        <w:t xml:space="preserve"> P., </w:t>
      </w:r>
      <w:r w:rsidR="008E1812" w:rsidRPr="00BA6F48">
        <w:rPr>
          <w:rFonts w:eastAsia="Calibri" w:cstheme="minorHAnsi"/>
          <w:color w:val="000000" w:themeColor="text1"/>
          <w:lang w:eastAsia="en-GB"/>
        </w:rPr>
        <w:t>Höschle,</w:t>
      </w:r>
      <w:r w:rsidRPr="00BA6F48">
        <w:rPr>
          <w:rFonts w:eastAsia="Calibri" w:cstheme="minorHAnsi"/>
          <w:color w:val="000000" w:themeColor="text1"/>
          <w:lang w:eastAsia="en-GB"/>
        </w:rPr>
        <w:t xml:space="preserve"> H., </w:t>
      </w:r>
      <w:r w:rsidR="008E1812" w:rsidRPr="00BA6F48">
        <w:rPr>
          <w:rFonts w:eastAsia="Calibri" w:cstheme="minorHAnsi"/>
          <w:color w:val="000000" w:themeColor="text1"/>
          <w:lang w:eastAsia="en-GB"/>
        </w:rPr>
        <w:t>Jenssen,</w:t>
      </w:r>
      <w:r w:rsidRPr="00BA6F48">
        <w:rPr>
          <w:rFonts w:eastAsia="Calibri" w:cstheme="minorHAnsi"/>
          <w:color w:val="000000" w:themeColor="text1"/>
          <w:lang w:eastAsia="en-GB"/>
        </w:rPr>
        <w:t xml:space="preserve"> Å,</w:t>
      </w:r>
      <w:r w:rsidR="008E1812" w:rsidRPr="00BA6F48">
        <w:rPr>
          <w:rFonts w:eastAsia="Calibri" w:cstheme="minorHAnsi"/>
          <w:color w:val="000000" w:themeColor="text1"/>
          <w:lang w:eastAsia="en-GB"/>
        </w:rPr>
        <w:t xml:space="preserve"> Wolst,</w:t>
      </w:r>
      <w:r w:rsidRPr="00BA6F48">
        <w:rPr>
          <w:rFonts w:eastAsia="Calibri" w:cstheme="minorHAnsi"/>
          <w:color w:val="000000" w:themeColor="text1"/>
          <w:lang w:eastAsia="en-GB"/>
        </w:rPr>
        <w:t xml:space="preserve"> J., </w:t>
      </w:r>
      <w:r w:rsidR="008E1812" w:rsidRPr="00BA6F48">
        <w:rPr>
          <w:rFonts w:eastAsia="Calibri" w:cstheme="minorHAnsi"/>
          <w:color w:val="000000" w:themeColor="text1"/>
          <w:lang w:eastAsia="en-GB"/>
        </w:rPr>
        <w:t xml:space="preserve">Zampara, </w:t>
      </w:r>
      <w:r w:rsidRPr="00BA6F48">
        <w:rPr>
          <w:rFonts w:eastAsia="Calibri" w:cstheme="minorHAnsi"/>
          <w:color w:val="000000" w:themeColor="text1"/>
          <w:lang w:eastAsia="en-GB"/>
        </w:rPr>
        <w:t xml:space="preserve">M., </w:t>
      </w:r>
      <w:r w:rsidR="008E1812" w:rsidRPr="00BA6F48">
        <w:rPr>
          <w:rFonts w:eastAsia="Calibri" w:cstheme="minorHAnsi"/>
          <w:color w:val="000000" w:themeColor="text1"/>
          <w:lang w:eastAsia="en-GB"/>
        </w:rPr>
        <w:t xml:space="preserve">Framework for cross-border participation in capacity mechanisms. Report to the European Commission, December 2016. </w:t>
      </w:r>
    </w:p>
    <w:p w14:paraId="61FF8E02"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lastRenderedPageBreak/>
        <w:t>UK House of Commons Environmental Audit Committee, Green Finance, Twelfth Report of Session 2013-14</w:t>
      </w:r>
    </w:p>
    <w:p w14:paraId="23F7DEE3"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Vasilakos, N. and Sikow-Magny, C., June 2018. Enhancing the public acceptance of cross-border electricity interconnection projects: a crucial step in the EU energy transition process. Florence: </w:t>
      </w:r>
      <w:r w:rsidRPr="00BA6F48">
        <w:rPr>
          <w:rFonts w:eastAsia="Calibri" w:cstheme="minorHAnsi"/>
          <w:i/>
          <w:color w:val="000000" w:themeColor="text1"/>
          <w:lang w:eastAsia="en-GB"/>
        </w:rPr>
        <w:t>Florence School of Regulation Robert Schuman Centre for Advanced Studies Policy Brief</w:t>
      </w:r>
      <w:r w:rsidRPr="00BA6F48">
        <w:rPr>
          <w:rFonts w:eastAsia="Calibri" w:cstheme="minorHAnsi"/>
          <w:color w:val="000000" w:themeColor="text1"/>
          <w:lang w:eastAsia="en-GB"/>
        </w:rPr>
        <w:t xml:space="preserve">. </w:t>
      </w:r>
    </w:p>
    <w:p w14:paraId="48B719A5"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Williams, R., Eichler, L., Gottmann, N., Förster, H. and Siemons, A. </w:t>
      </w:r>
      <w:r w:rsidRPr="00BA6F48">
        <w:rPr>
          <w:rFonts w:eastAsia="Calibri" w:cstheme="minorHAnsi"/>
          <w:i/>
          <w:iCs/>
          <w:color w:val="000000" w:themeColor="text1"/>
          <w:lang w:eastAsia="en-GB"/>
        </w:rPr>
        <w:t xml:space="preserve">Energy and the Multiannual Financial Framework. </w:t>
      </w:r>
      <w:r w:rsidRPr="00BA6F48">
        <w:rPr>
          <w:rFonts w:eastAsia="Calibri" w:cstheme="minorHAnsi"/>
          <w:color w:val="000000" w:themeColor="text1"/>
          <w:lang w:eastAsia="en-GB"/>
        </w:rPr>
        <w:t xml:space="preserve">Report for the European Parliament’s ITRE Committee, February 2018. </w:t>
      </w:r>
    </w:p>
    <w:p w14:paraId="335FAF60"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Zakeri, B., Virasjoki, V., Syri, S., Connolly, D., Mathiesen, B.V. and Welsch, M., 2016. Impact of Germany's energy transition on the Nordic power market–a market-based multi-region energy system model. </w:t>
      </w:r>
      <w:r w:rsidRPr="00BA6F48">
        <w:rPr>
          <w:rFonts w:eastAsia="Calibri" w:cstheme="minorHAnsi"/>
          <w:i/>
          <w:color w:val="000000" w:themeColor="text1"/>
          <w:lang w:eastAsia="en-GB"/>
        </w:rPr>
        <w:t>Energy</w:t>
      </w:r>
      <w:r w:rsidRPr="00BA6F48">
        <w:rPr>
          <w:rFonts w:eastAsia="Calibri" w:cstheme="minorHAnsi"/>
          <w:color w:val="000000" w:themeColor="text1"/>
          <w:lang w:eastAsia="en-GB"/>
        </w:rPr>
        <w:t>. 115: 1640-1662.</w:t>
      </w:r>
    </w:p>
    <w:p w14:paraId="78D7C6F2" w14:textId="77777777" w:rsidR="008E1812" w:rsidRPr="00BA6F48" w:rsidRDefault="008E1812" w:rsidP="008E1812">
      <w:pPr>
        <w:numPr>
          <w:ilvl w:val="0"/>
          <w:numId w:val="1"/>
        </w:numPr>
        <w:pBdr>
          <w:top w:val="nil"/>
          <w:left w:val="nil"/>
          <w:bottom w:val="nil"/>
          <w:right w:val="nil"/>
          <w:between w:val="nil"/>
        </w:pBdr>
        <w:spacing w:before="120" w:after="0" w:line="300" w:lineRule="auto"/>
        <w:jc w:val="both"/>
        <w:rPr>
          <w:rFonts w:eastAsia="Calibri" w:cstheme="minorHAnsi"/>
          <w:color w:val="000000"/>
          <w:lang w:eastAsia="en-GB"/>
        </w:rPr>
      </w:pPr>
      <w:r w:rsidRPr="00BA6F48">
        <w:rPr>
          <w:rFonts w:eastAsia="Calibri" w:cstheme="minorHAnsi"/>
          <w:color w:val="000000" w:themeColor="text1"/>
          <w:lang w:eastAsia="en-GB"/>
        </w:rPr>
        <w:t xml:space="preserve">Zafirakis, D., Chalvatzis, K.J. and Baiocchi, G., 2015. Embodied CO2 emissions and cross-border electricity trade in Europe: Rebalancing burden sharing with energy storage. </w:t>
      </w:r>
      <w:r w:rsidRPr="00BA6F48">
        <w:rPr>
          <w:rFonts w:eastAsia="Calibri" w:cstheme="minorHAnsi"/>
          <w:i/>
          <w:color w:val="000000" w:themeColor="text1"/>
          <w:lang w:eastAsia="en-GB"/>
        </w:rPr>
        <w:t>Applied Energy</w:t>
      </w:r>
      <w:r w:rsidRPr="00BA6F48">
        <w:rPr>
          <w:rFonts w:eastAsia="Calibri" w:cstheme="minorHAnsi"/>
          <w:color w:val="000000" w:themeColor="text1"/>
          <w:lang w:eastAsia="en-GB"/>
        </w:rPr>
        <w:t>. 143: 283-300.</w:t>
      </w:r>
    </w:p>
    <w:p w14:paraId="7783A45D" w14:textId="77777777" w:rsidR="008E1812" w:rsidRPr="00BA6F48" w:rsidRDefault="008E1812" w:rsidP="008E1812"/>
    <w:sectPr w:rsidR="008E1812" w:rsidRPr="00BA6F4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3B468D" w14:textId="77777777" w:rsidR="0091197F" w:rsidRDefault="0091197F" w:rsidP="00AE2594">
      <w:pPr>
        <w:spacing w:after="0" w:line="240" w:lineRule="auto"/>
      </w:pPr>
      <w:r>
        <w:separator/>
      </w:r>
    </w:p>
  </w:endnote>
  <w:endnote w:type="continuationSeparator" w:id="0">
    <w:p w14:paraId="6D51CE75" w14:textId="77777777" w:rsidR="0091197F" w:rsidRDefault="0091197F" w:rsidP="00AE25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6B705" w14:textId="77777777" w:rsidR="0091197F" w:rsidRDefault="0091197F" w:rsidP="00AE2594">
      <w:pPr>
        <w:spacing w:after="0" w:line="240" w:lineRule="auto"/>
      </w:pPr>
      <w:r>
        <w:separator/>
      </w:r>
    </w:p>
  </w:footnote>
  <w:footnote w:type="continuationSeparator" w:id="0">
    <w:p w14:paraId="3C841629" w14:textId="77777777" w:rsidR="0091197F" w:rsidRDefault="0091197F" w:rsidP="00AE25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B7555"/>
    <w:multiLevelType w:val="hybridMultilevel"/>
    <w:tmpl w:val="93082306"/>
    <w:lvl w:ilvl="0" w:tplc="F8603578">
      <w:start w:val="1"/>
      <w:numFmt w:val="decimal"/>
      <w:pStyle w:val="Heading2"/>
      <w:lvlText w:val="%1."/>
      <w:lvlJc w:val="left"/>
      <w:pPr>
        <w:ind w:left="360" w:hanging="360"/>
      </w:pPr>
      <w:rPr>
        <w:rFonts w:hint="default"/>
      </w:rPr>
    </w:lvl>
    <w:lvl w:ilvl="1" w:tplc="918C293C">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6724D92"/>
    <w:multiLevelType w:val="hybridMultilevel"/>
    <w:tmpl w:val="A12EDCD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94B18BC"/>
    <w:multiLevelType w:val="hybridMultilevel"/>
    <w:tmpl w:val="115AE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3303EB"/>
    <w:multiLevelType w:val="hybridMultilevel"/>
    <w:tmpl w:val="F7D095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5C722E"/>
    <w:multiLevelType w:val="hybridMultilevel"/>
    <w:tmpl w:val="64EAD332"/>
    <w:lvl w:ilvl="0" w:tplc="54468D4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C155557"/>
    <w:multiLevelType w:val="hybridMultilevel"/>
    <w:tmpl w:val="80A83A90"/>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FDC3866"/>
    <w:multiLevelType w:val="hybridMultilevel"/>
    <w:tmpl w:val="64EAD332"/>
    <w:lvl w:ilvl="0" w:tplc="54468D4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A65EDF"/>
    <w:multiLevelType w:val="hybridMultilevel"/>
    <w:tmpl w:val="D3FAA36C"/>
    <w:lvl w:ilvl="0" w:tplc="6F98AF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BAD575C"/>
    <w:multiLevelType w:val="hybridMultilevel"/>
    <w:tmpl w:val="2DF0D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00C3D3C"/>
    <w:multiLevelType w:val="hybridMultilevel"/>
    <w:tmpl w:val="64EAD332"/>
    <w:lvl w:ilvl="0" w:tplc="54468D4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9157DA3"/>
    <w:multiLevelType w:val="hybridMultilevel"/>
    <w:tmpl w:val="5184AD30"/>
    <w:lvl w:ilvl="0" w:tplc="F4C01FE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DE62CF8"/>
    <w:multiLevelType w:val="hybridMultilevel"/>
    <w:tmpl w:val="64EAD332"/>
    <w:lvl w:ilvl="0" w:tplc="54468D4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
  </w:num>
  <w:num w:numId="3">
    <w:abstractNumId w:val="10"/>
  </w:num>
  <w:num w:numId="4">
    <w:abstractNumId w:val="7"/>
  </w:num>
  <w:num w:numId="5">
    <w:abstractNumId w:val="3"/>
  </w:num>
  <w:num w:numId="6">
    <w:abstractNumId w:val="9"/>
  </w:num>
  <w:num w:numId="7">
    <w:abstractNumId w:val="2"/>
  </w:num>
  <w:num w:numId="8">
    <w:abstractNumId w:val="8"/>
  </w:num>
  <w:num w:numId="9">
    <w:abstractNumId w:val="11"/>
  </w:num>
  <w:num w:numId="10">
    <w:abstractNumId w:val="6"/>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594"/>
    <w:rsid w:val="00002617"/>
    <w:rsid w:val="00002B37"/>
    <w:rsid w:val="00012EF5"/>
    <w:rsid w:val="00016DF4"/>
    <w:rsid w:val="00021341"/>
    <w:rsid w:val="000226BD"/>
    <w:rsid w:val="00035336"/>
    <w:rsid w:val="00037EF5"/>
    <w:rsid w:val="00042046"/>
    <w:rsid w:val="0004683E"/>
    <w:rsid w:val="00052DEA"/>
    <w:rsid w:val="00055FF6"/>
    <w:rsid w:val="000578BF"/>
    <w:rsid w:val="00061A13"/>
    <w:rsid w:val="00073586"/>
    <w:rsid w:val="000807D3"/>
    <w:rsid w:val="00080E17"/>
    <w:rsid w:val="00087561"/>
    <w:rsid w:val="000A03D6"/>
    <w:rsid w:val="000B2F50"/>
    <w:rsid w:val="000C1A90"/>
    <w:rsid w:val="000C4ED1"/>
    <w:rsid w:val="000D0D70"/>
    <w:rsid w:val="000D1F1C"/>
    <w:rsid w:val="000D4D65"/>
    <w:rsid w:val="000F2EEA"/>
    <w:rsid w:val="000F3C2F"/>
    <w:rsid w:val="001005AD"/>
    <w:rsid w:val="001007A2"/>
    <w:rsid w:val="0010777D"/>
    <w:rsid w:val="0010793B"/>
    <w:rsid w:val="001079B3"/>
    <w:rsid w:val="0011035F"/>
    <w:rsid w:val="00120A50"/>
    <w:rsid w:val="001227E0"/>
    <w:rsid w:val="001230CE"/>
    <w:rsid w:val="00124CB0"/>
    <w:rsid w:val="001303CF"/>
    <w:rsid w:val="0013080B"/>
    <w:rsid w:val="0013476A"/>
    <w:rsid w:val="001351FD"/>
    <w:rsid w:val="001355A2"/>
    <w:rsid w:val="00137778"/>
    <w:rsid w:val="00140CCC"/>
    <w:rsid w:val="00147188"/>
    <w:rsid w:val="00150EB3"/>
    <w:rsid w:val="00160F77"/>
    <w:rsid w:val="001625C5"/>
    <w:rsid w:val="001628E5"/>
    <w:rsid w:val="001634B6"/>
    <w:rsid w:val="00167564"/>
    <w:rsid w:val="001719C3"/>
    <w:rsid w:val="00175845"/>
    <w:rsid w:val="00175FF6"/>
    <w:rsid w:val="0017609A"/>
    <w:rsid w:val="00180685"/>
    <w:rsid w:val="00183136"/>
    <w:rsid w:val="00186DD5"/>
    <w:rsid w:val="00194861"/>
    <w:rsid w:val="001A0D15"/>
    <w:rsid w:val="001A1D5F"/>
    <w:rsid w:val="001A1E60"/>
    <w:rsid w:val="001A5191"/>
    <w:rsid w:val="001C5EF2"/>
    <w:rsid w:val="001D031D"/>
    <w:rsid w:val="001D06A9"/>
    <w:rsid w:val="001D2406"/>
    <w:rsid w:val="001D5E6F"/>
    <w:rsid w:val="001D6D03"/>
    <w:rsid w:val="001E2F4E"/>
    <w:rsid w:val="001E5684"/>
    <w:rsid w:val="001E626A"/>
    <w:rsid w:val="001F2FCF"/>
    <w:rsid w:val="001F4B58"/>
    <w:rsid w:val="001F50D5"/>
    <w:rsid w:val="00202A1A"/>
    <w:rsid w:val="0021095B"/>
    <w:rsid w:val="002165EE"/>
    <w:rsid w:val="00225791"/>
    <w:rsid w:val="002263C2"/>
    <w:rsid w:val="00232C3C"/>
    <w:rsid w:val="00236B91"/>
    <w:rsid w:val="00244F59"/>
    <w:rsid w:val="002467A7"/>
    <w:rsid w:val="0025691C"/>
    <w:rsid w:val="002651E4"/>
    <w:rsid w:val="002755FF"/>
    <w:rsid w:val="00275C55"/>
    <w:rsid w:val="002772D9"/>
    <w:rsid w:val="00277DE4"/>
    <w:rsid w:val="00285304"/>
    <w:rsid w:val="00293BC7"/>
    <w:rsid w:val="002A12B0"/>
    <w:rsid w:val="002A636D"/>
    <w:rsid w:val="002A712F"/>
    <w:rsid w:val="002A7848"/>
    <w:rsid w:val="002D090B"/>
    <w:rsid w:val="002D1459"/>
    <w:rsid w:val="002D5C75"/>
    <w:rsid w:val="002D6AFC"/>
    <w:rsid w:val="002E179B"/>
    <w:rsid w:val="002E4B4A"/>
    <w:rsid w:val="002E6885"/>
    <w:rsid w:val="002F1362"/>
    <w:rsid w:val="002F3F78"/>
    <w:rsid w:val="002F501B"/>
    <w:rsid w:val="002F6689"/>
    <w:rsid w:val="003014A2"/>
    <w:rsid w:val="00320257"/>
    <w:rsid w:val="00324FFA"/>
    <w:rsid w:val="003317B5"/>
    <w:rsid w:val="00331967"/>
    <w:rsid w:val="003357B5"/>
    <w:rsid w:val="00347B5B"/>
    <w:rsid w:val="0036480C"/>
    <w:rsid w:val="00371928"/>
    <w:rsid w:val="00383107"/>
    <w:rsid w:val="00383C1E"/>
    <w:rsid w:val="003852CF"/>
    <w:rsid w:val="00387EAA"/>
    <w:rsid w:val="003912DB"/>
    <w:rsid w:val="003916BC"/>
    <w:rsid w:val="003A313C"/>
    <w:rsid w:val="003A31EA"/>
    <w:rsid w:val="003A5888"/>
    <w:rsid w:val="003A76B3"/>
    <w:rsid w:val="003F0E73"/>
    <w:rsid w:val="003F3E84"/>
    <w:rsid w:val="00401543"/>
    <w:rsid w:val="00412584"/>
    <w:rsid w:val="004132EE"/>
    <w:rsid w:val="00415D3F"/>
    <w:rsid w:val="00434547"/>
    <w:rsid w:val="004631A3"/>
    <w:rsid w:val="00471DEC"/>
    <w:rsid w:val="00472753"/>
    <w:rsid w:val="004847CD"/>
    <w:rsid w:val="00490239"/>
    <w:rsid w:val="00490391"/>
    <w:rsid w:val="004A15A2"/>
    <w:rsid w:val="004A28BE"/>
    <w:rsid w:val="004A7AF2"/>
    <w:rsid w:val="004B0C8C"/>
    <w:rsid w:val="004B2854"/>
    <w:rsid w:val="004C48DA"/>
    <w:rsid w:val="004C4E81"/>
    <w:rsid w:val="004D616E"/>
    <w:rsid w:val="004E0550"/>
    <w:rsid w:val="004E2478"/>
    <w:rsid w:val="004F0E3B"/>
    <w:rsid w:val="004F2E4F"/>
    <w:rsid w:val="004F690A"/>
    <w:rsid w:val="004F7B53"/>
    <w:rsid w:val="0050137C"/>
    <w:rsid w:val="00501679"/>
    <w:rsid w:val="00513CE1"/>
    <w:rsid w:val="00521128"/>
    <w:rsid w:val="00527131"/>
    <w:rsid w:val="00544DFF"/>
    <w:rsid w:val="00550EDE"/>
    <w:rsid w:val="005538CF"/>
    <w:rsid w:val="00553FCA"/>
    <w:rsid w:val="0056648A"/>
    <w:rsid w:val="00576F29"/>
    <w:rsid w:val="00592157"/>
    <w:rsid w:val="00593297"/>
    <w:rsid w:val="00596D1B"/>
    <w:rsid w:val="005A1EA3"/>
    <w:rsid w:val="005C1746"/>
    <w:rsid w:val="005D3C36"/>
    <w:rsid w:val="005D3ED8"/>
    <w:rsid w:val="005D68F5"/>
    <w:rsid w:val="005E662A"/>
    <w:rsid w:val="005E7F0F"/>
    <w:rsid w:val="005F19A3"/>
    <w:rsid w:val="006042C9"/>
    <w:rsid w:val="00625BCB"/>
    <w:rsid w:val="00627075"/>
    <w:rsid w:val="00633167"/>
    <w:rsid w:val="00633569"/>
    <w:rsid w:val="00634026"/>
    <w:rsid w:val="0063638C"/>
    <w:rsid w:val="006443BA"/>
    <w:rsid w:val="00645D04"/>
    <w:rsid w:val="00646E6E"/>
    <w:rsid w:val="00653DCD"/>
    <w:rsid w:val="00663FF6"/>
    <w:rsid w:val="006642DB"/>
    <w:rsid w:val="0066703A"/>
    <w:rsid w:val="0068341D"/>
    <w:rsid w:val="00684729"/>
    <w:rsid w:val="00685E7F"/>
    <w:rsid w:val="00691A87"/>
    <w:rsid w:val="00691F18"/>
    <w:rsid w:val="00693C35"/>
    <w:rsid w:val="00694E71"/>
    <w:rsid w:val="00696D00"/>
    <w:rsid w:val="006A4239"/>
    <w:rsid w:val="006C2002"/>
    <w:rsid w:val="006C2945"/>
    <w:rsid w:val="006C5F9A"/>
    <w:rsid w:val="006D2302"/>
    <w:rsid w:val="006D2515"/>
    <w:rsid w:val="006D4A42"/>
    <w:rsid w:val="006E23AF"/>
    <w:rsid w:val="006E67F9"/>
    <w:rsid w:val="006E686F"/>
    <w:rsid w:val="006F1808"/>
    <w:rsid w:val="006F18CB"/>
    <w:rsid w:val="006F3254"/>
    <w:rsid w:val="00710D1A"/>
    <w:rsid w:val="007136C6"/>
    <w:rsid w:val="00714738"/>
    <w:rsid w:val="00716A2E"/>
    <w:rsid w:val="00724B3C"/>
    <w:rsid w:val="00744C5C"/>
    <w:rsid w:val="00745430"/>
    <w:rsid w:val="00751B8B"/>
    <w:rsid w:val="00752E14"/>
    <w:rsid w:val="007735DA"/>
    <w:rsid w:val="00785200"/>
    <w:rsid w:val="00787598"/>
    <w:rsid w:val="007976C2"/>
    <w:rsid w:val="007A0D02"/>
    <w:rsid w:val="007A22DF"/>
    <w:rsid w:val="007A2C08"/>
    <w:rsid w:val="007B051D"/>
    <w:rsid w:val="007B2344"/>
    <w:rsid w:val="007B3C36"/>
    <w:rsid w:val="007C4104"/>
    <w:rsid w:val="007D01F9"/>
    <w:rsid w:val="007D5281"/>
    <w:rsid w:val="007D6A78"/>
    <w:rsid w:val="007E335D"/>
    <w:rsid w:val="007E70D1"/>
    <w:rsid w:val="007F57EF"/>
    <w:rsid w:val="0080403E"/>
    <w:rsid w:val="00813D1E"/>
    <w:rsid w:val="008238DC"/>
    <w:rsid w:val="0084217E"/>
    <w:rsid w:val="00845BF9"/>
    <w:rsid w:val="00863479"/>
    <w:rsid w:val="00864EE7"/>
    <w:rsid w:val="008673DB"/>
    <w:rsid w:val="00874D96"/>
    <w:rsid w:val="00875843"/>
    <w:rsid w:val="008829CC"/>
    <w:rsid w:val="008930E2"/>
    <w:rsid w:val="008A07CD"/>
    <w:rsid w:val="008A2FB7"/>
    <w:rsid w:val="008A7E60"/>
    <w:rsid w:val="008B3805"/>
    <w:rsid w:val="008B73A3"/>
    <w:rsid w:val="008C07F6"/>
    <w:rsid w:val="008E1812"/>
    <w:rsid w:val="008E45D6"/>
    <w:rsid w:val="008E6DF6"/>
    <w:rsid w:val="008E6EAE"/>
    <w:rsid w:val="008E7730"/>
    <w:rsid w:val="008F23A4"/>
    <w:rsid w:val="0090318C"/>
    <w:rsid w:val="00906E84"/>
    <w:rsid w:val="00906F93"/>
    <w:rsid w:val="0091197F"/>
    <w:rsid w:val="0091494D"/>
    <w:rsid w:val="00920453"/>
    <w:rsid w:val="009347D0"/>
    <w:rsid w:val="009354D1"/>
    <w:rsid w:val="00944ED2"/>
    <w:rsid w:val="00945A44"/>
    <w:rsid w:val="0095379A"/>
    <w:rsid w:val="00954AC3"/>
    <w:rsid w:val="009606DF"/>
    <w:rsid w:val="00964B7A"/>
    <w:rsid w:val="0096795C"/>
    <w:rsid w:val="00970A08"/>
    <w:rsid w:val="00984EA5"/>
    <w:rsid w:val="00985C91"/>
    <w:rsid w:val="00987E91"/>
    <w:rsid w:val="009914FE"/>
    <w:rsid w:val="0099796E"/>
    <w:rsid w:val="00997B5D"/>
    <w:rsid w:val="009A092B"/>
    <w:rsid w:val="009A54B9"/>
    <w:rsid w:val="009B1EE2"/>
    <w:rsid w:val="009B5259"/>
    <w:rsid w:val="009C02E4"/>
    <w:rsid w:val="009D2EC0"/>
    <w:rsid w:val="009F4A4D"/>
    <w:rsid w:val="009F5BDE"/>
    <w:rsid w:val="00A03A95"/>
    <w:rsid w:val="00A11976"/>
    <w:rsid w:val="00A16BA0"/>
    <w:rsid w:val="00A308B7"/>
    <w:rsid w:val="00A324DA"/>
    <w:rsid w:val="00A40E5A"/>
    <w:rsid w:val="00A40FB7"/>
    <w:rsid w:val="00A4356E"/>
    <w:rsid w:val="00A44DD1"/>
    <w:rsid w:val="00A5360F"/>
    <w:rsid w:val="00A5690F"/>
    <w:rsid w:val="00A64BF7"/>
    <w:rsid w:val="00A64FA2"/>
    <w:rsid w:val="00A66F74"/>
    <w:rsid w:val="00A70D94"/>
    <w:rsid w:val="00A7547F"/>
    <w:rsid w:val="00A935DF"/>
    <w:rsid w:val="00A9526A"/>
    <w:rsid w:val="00A95D06"/>
    <w:rsid w:val="00AA68FD"/>
    <w:rsid w:val="00AB7783"/>
    <w:rsid w:val="00AC1396"/>
    <w:rsid w:val="00AC7842"/>
    <w:rsid w:val="00AD216F"/>
    <w:rsid w:val="00AD2844"/>
    <w:rsid w:val="00AE1EA0"/>
    <w:rsid w:val="00AE2594"/>
    <w:rsid w:val="00B1586D"/>
    <w:rsid w:val="00B27D81"/>
    <w:rsid w:val="00B3040B"/>
    <w:rsid w:val="00B32135"/>
    <w:rsid w:val="00B32FAE"/>
    <w:rsid w:val="00B47225"/>
    <w:rsid w:val="00B57B4E"/>
    <w:rsid w:val="00B612C9"/>
    <w:rsid w:val="00B61F3B"/>
    <w:rsid w:val="00B629C3"/>
    <w:rsid w:val="00B62EDA"/>
    <w:rsid w:val="00B66D33"/>
    <w:rsid w:val="00B716C2"/>
    <w:rsid w:val="00B72F8C"/>
    <w:rsid w:val="00B73617"/>
    <w:rsid w:val="00B73713"/>
    <w:rsid w:val="00B74BA6"/>
    <w:rsid w:val="00B7692F"/>
    <w:rsid w:val="00B82B2A"/>
    <w:rsid w:val="00B870F1"/>
    <w:rsid w:val="00B9336E"/>
    <w:rsid w:val="00BA08F6"/>
    <w:rsid w:val="00BA2985"/>
    <w:rsid w:val="00BA6F48"/>
    <w:rsid w:val="00BB1149"/>
    <w:rsid w:val="00BB2343"/>
    <w:rsid w:val="00BB2508"/>
    <w:rsid w:val="00BB2B94"/>
    <w:rsid w:val="00BD062B"/>
    <w:rsid w:val="00BE55C5"/>
    <w:rsid w:val="00BF39BE"/>
    <w:rsid w:val="00C00084"/>
    <w:rsid w:val="00C0244B"/>
    <w:rsid w:val="00C10CE2"/>
    <w:rsid w:val="00C11DBA"/>
    <w:rsid w:val="00C20C72"/>
    <w:rsid w:val="00C536F6"/>
    <w:rsid w:val="00C54CB2"/>
    <w:rsid w:val="00C56862"/>
    <w:rsid w:val="00C57607"/>
    <w:rsid w:val="00C61214"/>
    <w:rsid w:val="00C62BA1"/>
    <w:rsid w:val="00C820EE"/>
    <w:rsid w:val="00C869B3"/>
    <w:rsid w:val="00C913DC"/>
    <w:rsid w:val="00C93950"/>
    <w:rsid w:val="00CA6B05"/>
    <w:rsid w:val="00CC0BD2"/>
    <w:rsid w:val="00CC77C5"/>
    <w:rsid w:val="00CD2413"/>
    <w:rsid w:val="00CD3AC2"/>
    <w:rsid w:val="00CD5AFA"/>
    <w:rsid w:val="00CD7821"/>
    <w:rsid w:val="00CE21E2"/>
    <w:rsid w:val="00CE7857"/>
    <w:rsid w:val="00CF1C44"/>
    <w:rsid w:val="00D17BA5"/>
    <w:rsid w:val="00D34D8D"/>
    <w:rsid w:val="00D46E3E"/>
    <w:rsid w:val="00D655BD"/>
    <w:rsid w:val="00D67452"/>
    <w:rsid w:val="00D82507"/>
    <w:rsid w:val="00D825DA"/>
    <w:rsid w:val="00D876A7"/>
    <w:rsid w:val="00D92573"/>
    <w:rsid w:val="00D93209"/>
    <w:rsid w:val="00DA1390"/>
    <w:rsid w:val="00DA7E5F"/>
    <w:rsid w:val="00DB0577"/>
    <w:rsid w:val="00DC20C3"/>
    <w:rsid w:val="00DC3B6C"/>
    <w:rsid w:val="00DD0199"/>
    <w:rsid w:val="00DD06FC"/>
    <w:rsid w:val="00DE7E0D"/>
    <w:rsid w:val="00E032BC"/>
    <w:rsid w:val="00E47ED7"/>
    <w:rsid w:val="00E546E6"/>
    <w:rsid w:val="00E6246F"/>
    <w:rsid w:val="00E7012F"/>
    <w:rsid w:val="00E710ED"/>
    <w:rsid w:val="00E71D64"/>
    <w:rsid w:val="00E8042C"/>
    <w:rsid w:val="00E8665B"/>
    <w:rsid w:val="00EA3F54"/>
    <w:rsid w:val="00EB197A"/>
    <w:rsid w:val="00EB7787"/>
    <w:rsid w:val="00EC13AD"/>
    <w:rsid w:val="00EC1A54"/>
    <w:rsid w:val="00EC69BA"/>
    <w:rsid w:val="00ED26E6"/>
    <w:rsid w:val="00ED6A3E"/>
    <w:rsid w:val="00EE0AF4"/>
    <w:rsid w:val="00EE32EE"/>
    <w:rsid w:val="00EE3704"/>
    <w:rsid w:val="00EF1E04"/>
    <w:rsid w:val="00EF6981"/>
    <w:rsid w:val="00EF71BB"/>
    <w:rsid w:val="00F010DC"/>
    <w:rsid w:val="00F015C3"/>
    <w:rsid w:val="00F044E3"/>
    <w:rsid w:val="00F103D3"/>
    <w:rsid w:val="00F14299"/>
    <w:rsid w:val="00F17496"/>
    <w:rsid w:val="00F27C2E"/>
    <w:rsid w:val="00F30BD3"/>
    <w:rsid w:val="00F32F5E"/>
    <w:rsid w:val="00F3776A"/>
    <w:rsid w:val="00F449B8"/>
    <w:rsid w:val="00F465C9"/>
    <w:rsid w:val="00F47F56"/>
    <w:rsid w:val="00F53A98"/>
    <w:rsid w:val="00F60C95"/>
    <w:rsid w:val="00F64C4D"/>
    <w:rsid w:val="00F66749"/>
    <w:rsid w:val="00F67A5C"/>
    <w:rsid w:val="00F67C17"/>
    <w:rsid w:val="00F72BDC"/>
    <w:rsid w:val="00F76395"/>
    <w:rsid w:val="00F773E2"/>
    <w:rsid w:val="00F80B31"/>
    <w:rsid w:val="00F81C41"/>
    <w:rsid w:val="00F8490A"/>
    <w:rsid w:val="00F85221"/>
    <w:rsid w:val="00F90A3D"/>
    <w:rsid w:val="00F90E98"/>
    <w:rsid w:val="00F918F0"/>
    <w:rsid w:val="00FB46FB"/>
    <w:rsid w:val="00FB7B98"/>
    <w:rsid w:val="00FC1577"/>
    <w:rsid w:val="00FC3665"/>
    <w:rsid w:val="00FC3CB9"/>
    <w:rsid w:val="00FD2BFD"/>
    <w:rsid w:val="00FD49F3"/>
    <w:rsid w:val="00FE16CB"/>
    <w:rsid w:val="00FE7C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E1974A"/>
  <w15:chartTrackingRefBased/>
  <w15:docId w15:val="{145D3C95-6799-4036-A042-80ACE1C49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594"/>
  </w:style>
  <w:style w:type="paragraph" w:styleId="Heading1">
    <w:name w:val="heading 1"/>
    <w:basedOn w:val="Normal"/>
    <w:next w:val="Normal"/>
    <w:link w:val="Heading1Char"/>
    <w:uiPriority w:val="9"/>
    <w:qFormat/>
    <w:rsid w:val="00AE2594"/>
    <w:pPr>
      <w:keepNext/>
      <w:keepLines/>
      <w:spacing w:before="240" w:after="0"/>
      <w:jc w:val="center"/>
      <w:outlineLvl w:val="0"/>
    </w:pPr>
    <w:rPr>
      <w:rFonts w:ascii="Arial" w:eastAsiaTheme="majorEastAsia" w:hAnsi="Arial" w:cstheme="majorBidi"/>
      <w:b/>
      <w:sz w:val="32"/>
      <w:szCs w:val="32"/>
    </w:rPr>
  </w:style>
  <w:style w:type="paragraph" w:styleId="Heading2">
    <w:name w:val="heading 2"/>
    <w:basedOn w:val="Normal"/>
    <w:next w:val="Normal"/>
    <w:link w:val="Heading2Char"/>
    <w:autoRedefine/>
    <w:uiPriority w:val="9"/>
    <w:unhideWhenUsed/>
    <w:qFormat/>
    <w:rsid w:val="001005AD"/>
    <w:pPr>
      <w:keepNext/>
      <w:keepLines/>
      <w:numPr>
        <w:numId w:val="12"/>
      </w:numPr>
      <w:spacing w:after="0" w:line="240" w:lineRule="auto"/>
      <w:outlineLvl w:val="1"/>
    </w:pPr>
    <w:rPr>
      <w:rFonts w:ascii="Arial" w:eastAsiaTheme="majorEastAsia" w:hAnsi="Arial" w:cstheme="majorBidi"/>
      <w:b/>
      <w:bCs/>
      <w:sz w:val="26"/>
      <w:szCs w:val="26"/>
    </w:rPr>
  </w:style>
  <w:style w:type="paragraph" w:styleId="Heading3">
    <w:name w:val="heading 3"/>
    <w:basedOn w:val="Normal"/>
    <w:next w:val="Normal"/>
    <w:link w:val="Heading3Char"/>
    <w:uiPriority w:val="9"/>
    <w:unhideWhenUsed/>
    <w:qFormat/>
    <w:rsid w:val="00AE2594"/>
    <w:pPr>
      <w:keepNext/>
      <w:keepLines/>
      <w:spacing w:before="40" w:after="0"/>
      <w:jc w:val="center"/>
      <w:outlineLvl w:val="2"/>
    </w:pPr>
    <w:rPr>
      <w:rFonts w:asciiTheme="majorHAnsi" w:eastAsiaTheme="majorEastAsia" w:hAnsiTheme="majorHAnsi" w:cstheme="majorBidi"/>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2594"/>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1005AD"/>
    <w:rPr>
      <w:rFonts w:ascii="Arial" w:eastAsiaTheme="majorEastAsia" w:hAnsi="Arial" w:cstheme="majorBidi"/>
      <w:b/>
      <w:bCs/>
      <w:sz w:val="26"/>
      <w:szCs w:val="26"/>
    </w:rPr>
  </w:style>
  <w:style w:type="character" w:customStyle="1" w:styleId="Heading3Char">
    <w:name w:val="Heading 3 Char"/>
    <w:basedOn w:val="DefaultParagraphFont"/>
    <w:link w:val="Heading3"/>
    <w:uiPriority w:val="9"/>
    <w:rsid w:val="00AE2594"/>
    <w:rPr>
      <w:rFonts w:asciiTheme="majorHAnsi" w:eastAsiaTheme="majorEastAsia" w:hAnsiTheme="majorHAnsi" w:cstheme="majorBidi"/>
      <w:b/>
      <w:sz w:val="24"/>
      <w:szCs w:val="24"/>
      <w:u w:val="single"/>
    </w:rPr>
  </w:style>
  <w:style w:type="paragraph" w:styleId="ListParagraph">
    <w:name w:val="List Paragraph"/>
    <w:aliases w:val="Enumeración 2,Citation List,Heading 2_sj"/>
    <w:basedOn w:val="Normal"/>
    <w:link w:val="ListParagraphChar"/>
    <w:uiPriority w:val="34"/>
    <w:qFormat/>
    <w:rsid w:val="00AE2594"/>
    <w:pPr>
      <w:spacing w:before="120" w:after="240" w:line="300" w:lineRule="auto"/>
      <w:ind w:left="720"/>
      <w:contextualSpacing/>
      <w:jc w:val="both"/>
    </w:pPr>
    <w:rPr>
      <w:rFonts w:ascii="Calibri" w:eastAsia="Calibri" w:hAnsi="Calibri" w:cs="Calibri"/>
      <w:color w:val="262626"/>
      <w:sz w:val="24"/>
      <w:szCs w:val="24"/>
      <w:lang w:val="de" w:eastAsia="en-GB"/>
    </w:rPr>
  </w:style>
  <w:style w:type="character" w:styleId="CommentReference">
    <w:name w:val="annotation reference"/>
    <w:basedOn w:val="DefaultParagraphFont"/>
    <w:uiPriority w:val="99"/>
    <w:semiHidden/>
    <w:unhideWhenUsed/>
    <w:rsid w:val="00AE2594"/>
    <w:rPr>
      <w:sz w:val="16"/>
      <w:szCs w:val="16"/>
    </w:rPr>
  </w:style>
  <w:style w:type="paragraph" w:styleId="CommentText">
    <w:name w:val="annotation text"/>
    <w:basedOn w:val="Normal"/>
    <w:link w:val="CommentTextChar"/>
    <w:uiPriority w:val="99"/>
    <w:unhideWhenUsed/>
    <w:rsid w:val="00AE2594"/>
    <w:pPr>
      <w:spacing w:line="240" w:lineRule="auto"/>
    </w:pPr>
    <w:rPr>
      <w:sz w:val="20"/>
      <w:szCs w:val="20"/>
    </w:rPr>
  </w:style>
  <w:style w:type="character" w:customStyle="1" w:styleId="CommentTextChar">
    <w:name w:val="Comment Text Char"/>
    <w:basedOn w:val="DefaultParagraphFont"/>
    <w:link w:val="CommentText"/>
    <w:uiPriority w:val="99"/>
    <w:rsid w:val="00AE2594"/>
    <w:rPr>
      <w:sz w:val="20"/>
      <w:szCs w:val="20"/>
    </w:rPr>
  </w:style>
  <w:style w:type="character" w:styleId="EndnoteReference">
    <w:name w:val="endnote reference"/>
    <w:basedOn w:val="DefaultParagraphFont"/>
    <w:uiPriority w:val="99"/>
    <w:semiHidden/>
    <w:unhideWhenUsed/>
    <w:rsid w:val="00AE2594"/>
    <w:rPr>
      <w:vertAlign w:val="superscript"/>
    </w:rPr>
  </w:style>
  <w:style w:type="character" w:styleId="Hyperlink">
    <w:name w:val="Hyperlink"/>
    <w:basedOn w:val="DefaultParagraphFont"/>
    <w:uiPriority w:val="99"/>
    <w:unhideWhenUsed/>
    <w:qFormat/>
    <w:rsid w:val="00AE2594"/>
    <w:rPr>
      <w:color w:val="0563C1" w:themeColor="hyperlink"/>
      <w:u w:val="single"/>
    </w:rPr>
  </w:style>
  <w:style w:type="character" w:customStyle="1" w:styleId="EndnoteTextChar">
    <w:name w:val="Endnote Text Char"/>
    <w:basedOn w:val="DefaultParagraphFont"/>
    <w:link w:val="EndnoteText"/>
    <w:uiPriority w:val="99"/>
    <w:rsid w:val="00AE2594"/>
    <w:rPr>
      <w:sz w:val="20"/>
      <w:szCs w:val="20"/>
    </w:rPr>
  </w:style>
  <w:style w:type="paragraph" w:styleId="EndnoteText">
    <w:name w:val="endnote text"/>
    <w:basedOn w:val="Normal"/>
    <w:link w:val="EndnoteTextChar"/>
    <w:uiPriority w:val="99"/>
    <w:unhideWhenUsed/>
    <w:rsid w:val="00AE2594"/>
    <w:pPr>
      <w:spacing w:after="0" w:line="240" w:lineRule="auto"/>
    </w:pPr>
    <w:rPr>
      <w:sz w:val="20"/>
      <w:szCs w:val="20"/>
    </w:rPr>
  </w:style>
  <w:style w:type="character" w:customStyle="1" w:styleId="EndnoteTextChar1">
    <w:name w:val="Endnote Text Char1"/>
    <w:basedOn w:val="DefaultParagraphFont"/>
    <w:uiPriority w:val="99"/>
    <w:semiHidden/>
    <w:rsid w:val="00AE2594"/>
    <w:rPr>
      <w:sz w:val="20"/>
      <w:szCs w:val="20"/>
    </w:rPr>
  </w:style>
  <w:style w:type="table" w:styleId="TableGrid">
    <w:name w:val="Table Grid"/>
    <w:basedOn w:val="TableNormal"/>
    <w:uiPriority w:val="39"/>
    <w:rsid w:val="00AE2594"/>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25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259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F2EEA"/>
    <w:rPr>
      <w:b/>
      <w:bCs/>
    </w:rPr>
  </w:style>
  <w:style w:type="character" w:customStyle="1" w:styleId="CommentSubjectChar">
    <w:name w:val="Comment Subject Char"/>
    <w:basedOn w:val="CommentTextChar"/>
    <w:link w:val="CommentSubject"/>
    <w:uiPriority w:val="99"/>
    <w:semiHidden/>
    <w:rsid w:val="000F2EEA"/>
    <w:rPr>
      <w:b/>
      <w:bCs/>
      <w:sz w:val="20"/>
      <w:szCs w:val="20"/>
    </w:rPr>
  </w:style>
  <w:style w:type="paragraph" w:styleId="FootnoteText">
    <w:name w:val="footnote text"/>
    <w:basedOn w:val="Normal"/>
    <w:link w:val="FootnoteTextChar"/>
    <w:uiPriority w:val="99"/>
    <w:semiHidden/>
    <w:unhideWhenUsed/>
    <w:rsid w:val="000226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26BD"/>
    <w:rPr>
      <w:sz w:val="20"/>
      <w:szCs w:val="20"/>
    </w:rPr>
  </w:style>
  <w:style w:type="character" w:styleId="FootnoteReference">
    <w:name w:val="footnote reference"/>
    <w:basedOn w:val="DefaultParagraphFont"/>
    <w:uiPriority w:val="99"/>
    <w:semiHidden/>
    <w:unhideWhenUsed/>
    <w:rsid w:val="000226BD"/>
    <w:rPr>
      <w:vertAlign w:val="superscript"/>
    </w:rPr>
  </w:style>
  <w:style w:type="paragraph" w:styleId="Revision">
    <w:name w:val="Revision"/>
    <w:hidden/>
    <w:uiPriority w:val="99"/>
    <w:semiHidden/>
    <w:rsid w:val="00FD49F3"/>
    <w:pPr>
      <w:spacing w:after="0" w:line="240" w:lineRule="auto"/>
    </w:pPr>
  </w:style>
  <w:style w:type="character" w:customStyle="1" w:styleId="UnresolvedMention1">
    <w:name w:val="Unresolved Mention1"/>
    <w:basedOn w:val="DefaultParagraphFont"/>
    <w:uiPriority w:val="99"/>
    <w:semiHidden/>
    <w:unhideWhenUsed/>
    <w:rsid w:val="005E662A"/>
    <w:rPr>
      <w:color w:val="605E5C"/>
      <w:shd w:val="clear" w:color="auto" w:fill="E1DFDD"/>
    </w:rPr>
  </w:style>
  <w:style w:type="character" w:customStyle="1" w:styleId="ListParagraphChar">
    <w:name w:val="List Paragraph Char"/>
    <w:aliases w:val="Enumeración 2 Char,Citation List Char,Heading 2_sj Char"/>
    <w:link w:val="ListParagraph"/>
    <w:uiPriority w:val="34"/>
    <w:locked/>
    <w:rsid w:val="008E1812"/>
    <w:rPr>
      <w:rFonts w:ascii="Calibri" w:eastAsia="Calibri" w:hAnsi="Calibri" w:cs="Calibri"/>
      <w:color w:val="262626"/>
      <w:sz w:val="24"/>
      <w:szCs w:val="24"/>
      <w:lang w:val="d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160711">
      <w:bodyDiv w:val="1"/>
      <w:marLeft w:val="0"/>
      <w:marRight w:val="0"/>
      <w:marTop w:val="0"/>
      <w:marBottom w:val="0"/>
      <w:divBdr>
        <w:top w:val="none" w:sz="0" w:space="0" w:color="auto"/>
        <w:left w:val="none" w:sz="0" w:space="0" w:color="auto"/>
        <w:bottom w:val="none" w:sz="0" w:space="0" w:color="auto"/>
        <w:right w:val="none" w:sz="0" w:space="0" w:color="auto"/>
      </w:divBdr>
      <w:divsChild>
        <w:div w:id="1644118841">
          <w:marLeft w:val="0"/>
          <w:marRight w:val="0"/>
          <w:marTop w:val="0"/>
          <w:marBottom w:val="0"/>
          <w:divBdr>
            <w:top w:val="none" w:sz="0" w:space="0" w:color="auto"/>
            <w:left w:val="none" w:sz="0" w:space="0" w:color="auto"/>
            <w:bottom w:val="none" w:sz="0" w:space="0" w:color="auto"/>
            <w:right w:val="none" w:sz="0" w:space="0" w:color="auto"/>
          </w:divBdr>
        </w:div>
      </w:divsChild>
    </w:div>
    <w:div w:id="463541864">
      <w:bodyDiv w:val="1"/>
      <w:marLeft w:val="0"/>
      <w:marRight w:val="0"/>
      <w:marTop w:val="0"/>
      <w:marBottom w:val="0"/>
      <w:divBdr>
        <w:top w:val="none" w:sz="0" w:space="0" w:color="auto"/>
        <w:left w:val="none" w:sz="0" w:space="0" w:color="auto"/>
        <w:bottom w:val="none" w:sz="0" w:space="0" w:color="auto"/>
        <w:right w:val="none" w:sz="0" w:space="0" w:color="auto"/>
      </w:divBdr>
      <w:divsChild>
        <w:div w:id="1473401482">
          <w:marLeft w:val="0"/>
          <w:marRight w:val="0"/>
          <w:marTop w:val="0"/>
          <w:marBottom w:val="0"/>
          <w:divBdr>
            <w:top w:val="none" w:sz="0" w:space="0" w:color="auto"/>
            <w:left w:val="none" w:sz="0" w:space="0" w:color="auto"/>
            <w:bottom w:val="none" w:sz="0" w:space="0" w:color="auto"/>
            <w:right w:val="none" w:sz="0" w:space="0" w:color="auto"/>
          </w:divBdr>
        </w:div>
      </w:divsChild>
    </w:div>
    <w:div w:id="481511325">
      <w:bodyDiv w:val="1"/>
      <w:marLeft w:val="0"/>
      <w:marRight w:val="0"/>
      <w:marTop w:val="0"/>
      <w:marBottom w:val="0"/>
      <w:divBdr>
        <w:top w:val="none" w:sz="0" w:space="0" w:color="auto"/>
        <w:left w:val="none" w:sz="0" w:space="0" w:color="auto"/>
        <w:bottom w:val="none" w:sz="0" w:space="0" w:color="auto"/>
        <w:right w:val="none" w:sz="0" w:space="0" w:color="auto"/>
      </w:divBdr>
      <w:divsChild>
        <w:div w:id="950555157">
          <w:marLeft w:val="0"/>
          <w:marRight w:val="0"/>
          <w:marTop w:val="0"/>
          <w:marBottom w:val="0"/>
          <w:divBdr>
            <w:top w:val="none" w:sz="0" w:space="0" w:color="auto"/>
            <w:left w:val="none" w:sz="0" w:space="0" w:color="auto"/>
            <w:bottom w:val="none" w:sz="0" w:space="0" w:color="auto"/>
            <w:right w:val="none" w:sz="0" w:space="0" w:color="auto"/>
          </w:divBdr>
        </w:div>
      </w:divsChild>
    </w:div>
    <w:div w:id="724724342">
      <w:bodyDiv w:val="1"/>
      <w:marLeft w:val="0"/>
      <w:marRight w:val="0"/>
      <w:marTop w:val="0"/>
      <w:marBottom w:val="0"/>
      <w:divBdr>
        <w:top w:val="none" w:sz="0" w:space="0" w:color="auto"/>
        <w:left w:val="none" w:sz="0" w:space="0" w:color="auto"/>
        <w:bottom w:val="none" w:sz="0" w:space="0" w:color="auto"/>
        <w:right w:val="none" w:sz="0" w:space="0" w:color="auto"/>
      </w:divBdr>
      <w:divsChild>
        <w:div w:id="1866409104">
          <w:marLeft w:val="0"/>
          <w:marRight w:val="0"/>
          <w:marTop w:val="0"/>
          <w:marBottom w:val="0"/>
          <w:divBdr>
            <w:top w:val="none" w:sz="0" w:space="0" w:color="auto"/>
            <w:left w:val="none" w:sz="0" w:space="0" w:color="auto"/>
            <w:bottom w:val="none" w:sz="0" w:space="0" w:color="auto"/>
            <w:right w:val="none" w:sz="0" w:space="0" w:color="auto"/>
          </w:divBdr>
        </w:div>
      </w:divsChild>
    </w:div>
    <w:div w:id="1584416883">
      <w:bodyDiv w:val="1"/>
      <w:marLeft w:val="0"/>
      <w:marRight w:val="0"/>
      <w:marTop w:val="0"/>
      <w:marBottom w:val="0"/>
      <w:divBdr>
        <w:top w:val="none" w:sz="0" w:space="0" w:color="auto"/>
        <w:left w:val="none" w:sz="0" w:space="0" w:color="auto"/>
        <w:bottom w:val="none" w:sz="0" w:space="0" w:color="auto"/>
        <w:right w:val="none" w:sz="0" w:space="0" w:color="auto"/>
      </w:divBdr>
      <w:divsChild>
        <w:div w:id="333262183">
          <w:marLeft w:val="0"/>
          <w:marRight w:val="0"/>
          <w:marTop w:val="0"/>
          <w:marBottom w:val="0"/>
          <w:divBdr>
            <w:top w:val="none" w:sz="0" w:space="0" w:color="auto"/>
            <w:left w:val="none" w:sz="0" w:space="0" w:color="auto"/>
            <w:bottom w:val="none" w:sz="0" w:space="0" w:color="auto"/>
            <w:right w:val="none" w:sz="0" w:space="0" w:color="auto"/>
          </w:divBdr>
        </w:div>
      </w:divsChild>
    </w:div>
    <w:div w:id="1626887086">
      <w:bodyDiv w:val="1"/>
      <w:marLeft w:val="0"/>
      <w:marRight w:val="0"/>
      <w:marTop w:val="0"/>
      <w:marBottom w:val="0"/>
      <w:divBdr>
        <w:top w:val="none" w:sz="0" w:space="0" w:color="auto"/>
        <w:left w:val="none" w:sz="0" w:space="0" w:color="auto"/>
        <w:bottom w:val="none" w:sz="0" w:space="0" w:color="auto"/>
        <w:right w:val="none" w:sz="0" w:space="0" w:color="auto"/>
      </w:divBdr>
      <w:divsChild>
        <w:div w:id="95682642">
          <w:marLeft w:val="0"/>
          <w:marRight w:val="0"/>
          <w:marTop w:val="0"/>
          <w:marBottom w:val="0"/>
          <w:divBdr>
            <w:top w:val="none" w:sz="0" w:space="0" w:color="auto"/>
            <w:left w:val="none" w:sz="0" w:space="0" w:color="auto"/>
            <w:bottom w:val="none" w:sz="0" w:space="0" w:color="auto"/>
            <w:right w:val="none" w:sz="0" w:space="0" w:color="auto"/>
          </w:divBdr>
        </w:div>
      </w:divsChild>
    </w:div>
    <w:div w:id="1705011478">
      <w:bodyDiv w:val="1"/>
      <w:marLeft w:val="0"/>
      <w:marRight w:val="0"/>
      <w:marTop w:val="0"/>
      <w:marBottom w:val="0"/>
      <w:divBdr>
        <w:top w:val="none" w:sz="0" w:space="0" w:color="auto"/>
        <w:left w:val="none" w:sz="0" w:space="0" w:color="auto"/>
        <w:bottom w:val="none" w:sz="0" w:space="0" w:color="auto"/>
        <w:right w:val="none" w:sz="0" w:space="0" w:color="auto"/>
      </w:divBdr>
      <w:divsChild>
        <w:div w:id="25718421">
          <w:marLeft w:val="0"/>
          <w:marRight w:val="0"/>
          <w:marTop w:val="0"/>
          <w:marBottom w:val="0"/>
          <w:divBdr>
            <w:top w:val="none" w:sz="0" w:space="0" w:color="auto"/>
            <w:left w:val="none" w:sz="0" w:space="0" w:color="auto"/>
            <w:bottom w:val="none" w:sz="0" w:space="0" w:color="auto"/>
            <w:right w:val="none" w:sz="0" w:space="0" w:color="auto"/>
          </w:divBdr>
        </w:div>
      </w:divsChild>
    </w:div>
    <w:div w:id="1843204573">
      <w:bodyDiv w:val="1"/>
      <w:marLeft w:val="0"/>
      <w:marRight w:val="0"/>
      <w:marTop w:val="0"/>
      <w:marBottom w:val="0"/>
      <w:divBdr>
        <w:top w:val="none" w:sz="0" w:space="0" w:color="auto"/>
        <w:left w:val="none" w:sz="0" w:space="0" w:color="auto"/>
        <w:bottom w:val="none" w:sz="0" w:space="0" w:color="auto"/>
        <w:right w:val="none" w:sz="0" w:space="0" w:color="auto"/>
      </w:divBdr>
      <w:divsChild>
        <w:div w:id="469634328">
          <w:marLeft w:val="0"/>
          <w:marRight w:val="0"/>
          <w:marTop w:val="0"/>
          <w:marBottom w:val="0"/>
          <w:divBdr>
            <w:top w:val="none" w:sz="0" w:space="0" w:color="auto"/>
            <w:left w:val="none" w:sz="0" w:space="0" w:color="auto"/>
            <w:bottom w:val="none" w:sz="0" w:space="0" w:color="auto"/>
            <w:right w:val="none" w:sz="0" w:space="0" w:color="auto"/>
          </w:divBdr>
        </w:div>
      </w:divsChild>
    </w:div>
    <w:div w:id="1875851531">
      <w:bodyDiv w:val="1"/>
      <w:marLeft w:val="0"/>
      <w:marRight w:val="0"/>
      <w:marTop w:val="0"/>
      <w:marBottom w:val="0"/>
      <w:divBdr>
        <w:top w:val="none" w:sz="0" w:space="0" w:color="auto"/>
        <w:left w:val="none" w:sz="0" w:space="0" w:color="auto"/>
        <w:bottom w:val="none" w:sz="0" w:space="0" w:color="auto"/>
        <w:right w:val="none" w:sz="0" w:space="0" w:color="auto"/>
      </w:divBdr>
      <w:divsChild>
        <w:div w:id="1704012085">
          <w:marLeft w:val="0"/>
          <w:marRight w:val="0"/>
          <w:marTop w:val="0"/>
          <w:marBottom w:val="0"/>
          <w:divBdr>
            <w:top w:val="none" w:sz="0" w:space="0" w:color="auto"/>
            <w:left w:val="none" w:sz="0" w:space="0" w:color="auto"/>
            <w:bottom w:val="none" w:sz="0" w:space="0" w:color="auto"/>
            <w:right w:val="none" w:sz="0" w:space="0" w:color="auto"/>
          </w:divBdr>
        </w:div>
      </w:divsChild>
    </w:div>
    <w:div w:id="1926572772">
      <w:bodyDiv w:val="1"/>
      <w:marLeft w:val="0"/>
      <w:marRight w:val="0"/>
      <w:marTop w:val="0"/>
      <w:marBottom w:val="0"/>
      <w:divBdr>
        <w:top w:val="none" w:sz="0" w:space="0" w:color="auto"/>
        <w:left w:val="none" w:sz="0" w:space="0" w:color="auto"/>
        <w:bottom w:val="none" w:sz="0" w:space="0" w:color="auto"/>
        <w:right w:val="none" w:sz="0" w:space="0" w:color="auto"/>
      </w:divBdr>
      <w:divsChild>
        <w:div w:id="1947343680">
          <w:marLeft w:val="0"/>
          <w:marRight w:val="0"/>
          <w:marTop w:val="0"/>
          <w:marBottom w:val="0"/>
          <w:divBdr>
            <w:top w:val="none" w:sz="0" w:space="0" w:color="auto"/>
            <w:left w:val="none" w:sz="0" w:space="0" w:color="auto"/>
            <w:bottom w:val="none" w:sz="0" w:space="0" w:color="auto"/>
            <w:right w:val="none" w:sz="0" w:space="0" w:color="auto"/>
          </w:divBdr>
        </w:div>
      </w:divsChild>
    </w:div>
    <w:div w:id="1950118565">
      <w:bodyDiv w:val="1"/>
      <w:marLeft w:val="0"/>
      <w:marRight w:val="0"/>
      <w:marTop w:val="0"/>
      <w:marBottom w:val="0"/>
      <w:divBdr>
        <w:top w:val="none" w:sz="0" w:space="0" w:color="auto"/>
        <w:left w:val="none" w:sz="0" w:space="0" w:color="auto"/>
        <w:bottom w:val="none" w:sz="0" w:space="0" w:color="auto"/>
        <w:right w:val="none" w:sz="0" w:space="0" w:color="auto"/>
      </w:divBdr>
      <w:divsChild>
        <w:div w:id="1508710224">
          <w:marLeft w:val="0"/>
          <w:marRight w:val="0"/>
          <w:marTop w:val="0"/>
          <w:marBottom w:val="0"/>
          <w:divBdr>
            <w:top w:val="none" w:sz="0" w:space="0" w:color="auto"/>
            <w:left w:val="none" w:sz="0" w:space="0" w:color="auto"/>
            <w:bottom w:val="none" w:sz="0" w:space="0" w:color="auto"/>
            <w:right w:val="none" w:sz="0" w:space="0" w:color="auto"/>
          </w:divBdr>
        </w:div>
      </w:divsChild>
    </w:div>
    <w:div w:id="2020422051">
      <w:bodyDiv w:val="1"/>
      <w:marLeft w:val="0"/>
      <w:marRight w:val="0"/>
      <w:marTop w:val="0"/>
      <w:marBottom w:val="0"/>
      <w:divBdr>
        <w:top w:val="none" w:sz="0" w:space="0" w:color="auto"/>
        <w:left w:val="none" w:sz="0" w:space="0" w:color="auto"/>
        <w:bottom w:val="none" w:sz="0" w:space="0" w:color="auto"/>
        <w:right w:val="none" w:sz="0" w:space="0" w:color="auto"/>
      </w:divBdr>
      <w:divsChild>
        <w:div w:id="878468786">
          <w:marLeft w:val="0"/>
          <w:marRight w:val="0"/>
          <w:marTop w:val="0"/>
          <w:marBottom w:val="0"/>
          <w:divBdr>
            <w:top w:val="none" w:sz="0" w:space="0" w:color="auto"/>
            <w:left w:val="none" w:sz="0" w:space="0" w:color="auto"/>
            <w:bottom w:val="none" w:sz="0" w:space="0" w:color="auto"/>
            <w:right w:val="none" w:sz="0" w:space="0" w:color="auto"/>
          </w:divBdr>
        </w:div>
      </w:divsChild>
    </w:div>
    <w:div w:id="2062241349">
      <w:bodyDiv w:val="1"/>
      <w:marLeft w:val="0"/>
      <w:marRight w:val="0"/>
      <w:marTop w:val="0"/>
      <w:marBottom w:val="0"/>
      <w:divBdr>
        <w:top w:val="none" w:sz="0" w:space="0" w:color="auto"/>
        <w:left w:val="none" w:sz="0" w:space="0" w:color="auto"/>
        <w:bottom w:val="none" w:sz="0" w:space="0" w:color="auto"/>
        <w:right w:val="none" w:sz="0" w:space="0" w:color="auto"/>
      </w:divBdr>
      <w:divsChild>
        <w:div w:id="1218010515">
          <w:marLeft w:val="0"/>
          <w:marRight w:val="0"/>
          <w:marTop w:val="0"/>
          <w:marBottom w:val="0"/>
          <w:divBdr>
            <w:top w:val="none" w:sz="0" w:space="0" w:color="auto"/>
            <w:left w:val="none" w:sz="0" w:space="0" w:color="auto"/>
            <w:bottom w:val="none" w:sz="0" w:space="0" w:color="auto"/>
            <w:right w:val="none" w:sz="0" w:space="0" w:color="auto"/>
          </w:divBdr>
        </w:div>
      </w:divsChild>
    </w:div>
    <w:div w:id="2067022745">
      <w:bodyDiv w:val="1"/>
      <w:marLeft w:val="0"/>
      <w:marRight w:val="0"/>
      <w:marTop w:val="0"/>
      <w:marBottom w:val="0"/>
      <w:divBdr>
        <w:top w:val="none" w:sz="0" w:space="0" w:color="auto"/>
        <w:left w:val="none" w:sz="0" w:space="0" w:color="auto"/>
        <w:bottom w:val="none" w:sz="0" w:space="0" w:color="auto"/>
        <w:right w:val="none" w:sz="0" w:space="0" w:color="auto"/>
      </w:divBdr>
      <w:divsChild>
        <w:div w:id="738186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d.jones@anglia.ac.uk" TargetMode="External"/><Relationship Id="rId13" Type="http://schemas.openxmlformats.org/officeDocument/2006/relationships/hyperlink" Target="https://www.elektormagazine.com/news/the-challenges-of-connecting-up-europe" TargetMode="External"/><Relationship Id="rId18" Type="http://schemas.openxmlformats.org/officeDocument/2006/relationships/hyperlink" Target="http://eur-lex.europa.eu/smartapi/cgi/sga_doc?smartapi!celexplus!prod!DocNumber&amp;lg=EN&amp;type_doc=COMfinal&amp;an_doc=2016&amp;nu_doc=0861" TargetMode="External"/><Relationship Id="rId3" Type="http://schemas.openxmlformats.org/officeDocument/2006/relationships/styles" Target="styles.xml"/><Relationship Id="rId21" Type="http://schemas.openxmlformats.org/officeDocument/2006/relationships/hyperlink" Target="https://www.pwc.com/gx/en/utilities/publications/assets/pwc-the-road-ahead.pdf" TargetMode="External"/><Relationship Id="rId7" Type="http://schemas.openxmlformats.org/officeDocument/2006/relationships/endnotes" Target="endnotes.xml"/><Relationship Id="rId12" Type="http://schemas.openxmlformats.org/officeDocument/2006/relationships/hyperlink" Target="https://ec.europa.eu/info/publications/mid-term-evaluation-connecting-europe-facility-cef_en" TargetMode="External"/><Relationship Id="rId17" Type="http://schemas.openxmlformats.org/officeDocument/2006/relationships/hyperlink" Target="https://ec.europa.eu/info/publications/mid-term-evaluation-connecting-europe-facility-cef_en" TargetMode="External"/><Relationship Id="rId2" Type="http://schemas.openxmlformats.org/officeDocument/2006/relationships/numbering" Target="numbering.xml"/><Relationship Id="rId16" Type="http://schemas.openxmlformats.org/officeDocument/2006/relationships/hyperlink" Target="https://publications.europa.eu/en/publication-detail/-/publication/4bcfb6f3-e13c-11e6-ad7c-01aa75ed71a1" TargetMode="External"/><Relationship Id="rId20" Type="http://schemas.openxmlformats.org/officeDocument/2006/relationships/hyperlink" Target="http://www.europarl.europa.eu/news/sv/press-room/20181212IPR21623/acer-agreement-reached-to-open-up-and-better-regulate-the-electricity-mark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reuters.com/article/uk-eu-antitrust-tennet/eu-tells-german-grid-operator-tennet-to-raise-access-for-nordic-power-idUKKBN1O619E" TargetMode="External"/><Relationship Id="rId5" Type="http://schemas.openxmlformats.org/officeDocument/2006/relationships/webSettings" Target="webSettings.xml"/><Relationship Id="rId15" Type="http://schemas.openxmlformats.org/officeDocument/2006/relationships/hyperlink" Target="https://www.euractiv.com/section/electricity/news/nordics-balk-at-eu-plan-to-limit-cross-border-electricity-trade/1296194/" TargetMode="External"/><Relationship Id="rId23" Type="http://schemas.openxmlformats.org/officeDocument/2006/relationships/theme" Target="theme/theme1.xml"/><Relationship Id="rId10" Type="http://schemas.openxmlformats.org/officeDocument/2006/relationships/hyperlink" Target="https://ec.europa.eu/energy/sites/ener/files/documents/report_of_the_commission_expert_group_on_electricity_interconnection_targets.pdf" TargetMode="External"/><Relationship Id="rId19" Type="http://schemas.openxmlformats.org/officeDocument/2006/relationships/hyperlink" Target="http://www.europarl.europa.eu/oeil/popups/ficheprocedure.do?lang=en&amp;reference=2016/0379(COD)" TargetMode="External"/><Relationship Id="rId4" Type="http://schemas.openxmlformats.org/officeDocument/2006/relationships/settings" Target="settings.xml"/><Relationship Id="rId9" Type="http://schemas.openxmlformats.org/officeDocument/2006/relationships/hyperlink" Target="https://uk.reuters.com/article/uk-europe-grids-consolidation-eu/eu-grid-champion-stuck-in-tangle-of-wires-and-pipes-idUKBRE9390N520130410" TargetMode="External"/><Relationship Id="rId14" Type="http://schemas.openxmlformats.org/officeDocument/2006/relationships/hyperlink" Target="https://www.promotion-offshore.ne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6E5FC-FC7F-47C5-971F-132D5827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11758</Words>
  <Characters>70255</Characters>
  <Application>Microsoft Office Word</Application>
  <DocSecurity>0</DocSecurity>
  <Lines>585</Lines>
  <Paragraphs>163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Anglia Ruskin University</Company>
  <LinksUpToDate>false</LinksUpToDate>
  <CharactersWithSpaces>81850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Desca</dc:creator>
  <cp:keywords/>
  <dc:description/>
  <cp:lastModifiedBy>Jones, Aled</cp:lastModifiedBy>
  <cp:revision>234</cp:revision>
  <dcterms:created xsi:type="dcterms:W3CDTF">2019-12-04T17:24:00Z</dcterms:created>
  <dcterms:modified xsi:type="dcterms:W3CDTF">2021-01-05T11:50:00Z</dcterms:modified>
</cp:coreProperties>
</file>