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BE738" w14:textId="77777777" w:rsidR="00BF3F35" w:rsidRPr="002F0B7E" w:rsidRDefault="00BF3F35" w:rsidP="00495F4F">
      <w:pPr>
        <w:pStyle w:val="Heading1"/>
        <w:rPr>
          <w:b w:val="0"/>
        </w:rPr>
      </w:pPr>
      <w:r w:rsidRPr="002F0B7E">
        <w:t xml:space="preserve">Food insecurity with hunger and sexual behavior among adolescents from 53 countries </w:t>
      </w:r>
    </w:p>
    <w:p w14:paraId="02820BAA" w14:textId="77777777" w:rsidR="00BF3F35" w:rsidRDefault="00BF3F35" w:rsidP="00BF3F35">
      <w:pPr>
        <w:tabs>
          <w:tab w:val="left" w:pos="6180"/>
        </w:tabs>
      </w:pPr>
    </w:p>
    <w:p w14:paraId="520634B3" w14:textId="77777777" w:rsidR="00BF3F35" w:rsidRDefault="00BF3F35" w:rsidP="00BF3F35">
      <w:pPr>
        <w:tabs>
          <w:tab w:val="left" w:pos="6180"/>
        </w:tabs>
      </w:pPr>
      <w:r>
        <w:t>Lee Smith, PhD</w:t>
      </w:r>
      <w:r w:rsidRPr="008468A6">
        <w:rPr>
          <w:vertAlign w:val="superscript"/>
        </w:rPr>
        <w:t>1</w:t>
      </w:r>
      <w:r>
        <w:t>*, Philip B. Ward, PhD</w:t>
      </w:r>
      <w:r w:rsidRPr="008468A6">
        <w:rPr>
          <w:vertAlign w:val="superscript"/>
        </w:rPr>
        <w:t>2</w:t>
      </w:r>
      <w:r>
        <w:t xml:space="preserve">, Davy </w:t>
      </w:r>
      <w:proofErr w:type="spellStart"/>
      <w:r>
        <w:t>Vancampfort</w:t>
      </w:r>
      <w:proofErr w:type="spellEnd"/>
      <w:r>
        <w:t>, PhD</w:t>
      </w:r>
      <w:r w:rsidRPr="008468A6">
        <w:rPr>
          <w:vertAlign w:val="superscript"/>
        </w:rPr>
        <w:t>3</w:t>
      </w:r>
      <w:r>
        <w:t>, Guillermo F. López-Sánchez, PhD</w:t>
      </w:r>
      <w:r>
        <w:rPr>
          <w:vertAlign w:val="superscript"/>
        </w:rPr>
        <w:t>4</w:t>
      </w:r>
      <w:r>
        <w:t>, Lin Yang, MD</w:t>
      </w:r>
      <w:r>
        <w:rPr>
          <w:vertAlign w:val="superscript"/>
        </w:rPr>
        <w:t>5</w:t>
      </w:r>
      <w:r>
        <w:t>, Igor Grabovac, MD</w:t>
      </w:r>
      <w:r>
        <w:rPr>
          <w:vertAlign w:val="superscript"/>
        </w:rPr>
        <w:t>6</w:t>
      </w:r>
      <w:r>
        <w:t>, Louis Jacob, MD</w:t>
      </w:r>
      <w:r>
        <w:rPr>
          <w:vertAlign w:val="superscript"/>
        </w:rPr>
        <w:t>7,8</w:t>
      </w:r>
      <w:r>
        <w:t xml:space="preserve">, Damiano </w:t>
      </w:r>
      <w:proofErr w:type="spellStart"/>
      <w:r>
        <w:t>Pizzol</w:t>
      </w:r>
      <w:proofErr w:type="spellEnd"/>
      <w:r>
        <w:t>, PhD</w:t>
      </w:r>
      <w:r>
        <w:rPr>
          <w:vertAlign w:val="superscript"/>
        </w:rPr>
        <w:t>9</w:t>
      </w:r>
      <w:r>
        <w:t>, Nicola Veronese, MD</w:t>
      </w:r>
      <w:r>
        <w:rPr>
          <w:vertAlign w:val="superscript"/>
        </w:rPr>
        <w:t>10</w:t>
      </w:r>
      <w:r>
        <w:t>, Jae Il Shin, PhD</w:t>
      </w:r>
      <w:r>
        <w:rPr>
          <w:vertAlign w:val="superscript"/>
        </w:rPr>
        <w:t>11</w:t>
      </w:r>
      <w:r>
        <w:t xml:space="preserve">, </w:t>
      </w:r>
      <w:proofErr w:type="spellStart"/>
      <w:r>
        <w:t>Jinhee</w:t>
      </w:r>
      <w:proofErr w:type="spellEnd"/>
      <w:r>
        <w:t xml:space="preserve"> Lee, PhD</w:t>
      </w:r>
      <w:r>
        <w:rPr>
          <w:vertAlign w:val="superscript"/>
        </w:rPr>
        <w:t>12</w:t>
      </w:r>
      <w:r>
        <w:t>, Daragh T McDermott, PhD</w:t>
      </w:r>
      <w:r>
        <w:rPr>
          <w:vertAlign w:val="superscript"/>
        </w:rPr>
        <w:t>13</w:t>
      </w:r>
      <w:r>
        <w:t xml:space="preserve">, Ai </w:t>
      </w:r>
      <w:proofErr w:type="spellStart"/>
      <w:r>
        <w:t>Koyanagi</w:t>
      </w:r>
      <w:proofErr w:type="spellEnd"/>
      <w:r>
        <w:t>, MD</w:t>
      </w:r>
      <w:r>
        <w:rPr>
          <w:vertAlign w:val="superscript"/>
        </w:rPr>
        <w:t>8,14</w:t>
      </w:r>
    </w:p>
    <w:p w14:paraId="53209CDB" w14:textId="77777777" w:rsidR="00BF3F35" w:rsidRDefault="00BF3F35" w:rsidP="00BF3F35">
      <w:pPr>
        <w:tabs>
          <w:tab w:val="left" w:pos="6180"/>
        </w:tabs>
      </w:pPr>
    </w:p>
    <w:p w14:paraId="252E68A2" w14:textId="77777777" w:rsidR="00BF3F35" w:rsidRDefault="00BF3F35" w:rsidP="00BF3F35">
      <w:pPr>
        <w:tabs>
          <w:tab w:val="left" w:pos="6180"/>
        </w:tabs>
      </w:pPr>
      <w:r>
        <w:t>1. The Cambridge Centre for Sport and Exercise Sciences, Anglia Ruskin University, Cambridge, CB11PT, UK</w:t>
      </w:r>
    </w:p>
    <w:p w14:paraId="0070D7FC" w14:textId="77777777" w:rsidR="00BF3F35" w:rsidRDefault="00BF3F35" w:rsidP="00BF3F35">
      <w:pPr>
        <w:tabs>
          <w:tab w:val="left" w:pos="6180"/>
        </w:tabs>
      </w:pPr>
      <w:r>
        <w:t xml:space="preserve">2. School of Psychiatry, University of New South Wales, Sydney, NSW, </w:t>
      </w:r>
      <w:proofErr w:type="gramStart"/>
      <w:r>
        <w:t>Australia;</w:t>
      </w:r>
      <w:proofErr w:type="gramEnd"/>
    </w:p>
    <w:p w14:paraId="041A9CD1" w14:textId="77777777" w:rsidR="00BF3F35" w:rsidRDefault="00BF3F35" w:rsidP="00BF3F35">
      <w:pPr>
        <w:tabs>
          <w:tab w:val="left" w:pos="6180"/>
        </w:tabs>
      </w:pPr>
      <w:r>
        <w:t>Schizophrenia Research Unit, Ingham Institute of Applied Medical Research, Liverpool, NSW, Australia</w:t>
      </w:r>
    </w:p>
    <w:p w14:paraId="0BFEAF3C" w14:textId="77777777" w:rsidR="00BF3F35" w:rsidRDefault="00BF3F35" w:rsidP="00BF3F35">
      <w:pPr>
        <w:tabs>
          <w:tab w:val="left" w:pos="6180"/>
        </w:tabs>
      </w:pPr>
      <w:r>
        <w:t>3. KU Leuven University of Leuven, Department of Rehabilitation Sciences, Leuven, Belgium; KU Leuven University of Leuven, University Psychiatric Center KU Leuven, Kortenberg, Belgium</w:t>
      </w:r>
    </w:p>
    <w:p w14:paraId="44953D56" w14:textId="77777777" w:rsidR="00BF3F35" w:rsidRDefault="00BF3F35" w:rsidP="00BF3F35">
      <w:pPr>
        <w:tabs>
          <w:tab w:val="left" w:pos="6180"/>
        </w:tabs>
      </w:pPr>
      <w:r>
        <w:t xml:space="preserve">4. Faculty of Sport Sciences, University of Murcia, Spain. </w:t>
      </w:r>
    </w:p>
    <w:p w14:paraId="2C5EF114" w14:textId="77777777" w:rsidR="00BF3F35" w:rsidRDefault="00BF3F35" w:rsidP="00BF3F35">
      <w:pPr>
        <w:tabs>
          <w:tab w:val="left" w:pos="6180"/>
        </w:tabs>
      </w:pPr>
      <w:r>
        <w:t>5. Department of Cancer Epidemiology and Prevention Research, Cancer Control Alberta, Alberta Health Services, Calgary, AB, Canada; Departments of Oncology and Community Health Sciences, Cumming School of Medicine, University of Calgary, Calgary, AB, Canada</w:t>
      </w:r>
    </w:p>
    <w:p w14:paraId="51535A57" w14:textId="77777777" w:rsidR="00BF3F35" w:rsidRDefault="00BF3F35" w:rsidP="00BF3F35">
      <w:pPr>
        <w:tabs>
          <w:tab w:val="left" w:pos="6180"/>
        </w:tabs>
      </w:pPr>
      <w:r>
        <w:t>6. Department of Social and Preventive Medicine, Centre for Public Health, Medical University of Vienna, Vienna, Austria</w:t>
      </w:r>
    </w:p>
    <w:p w14:paraId="05BD9FCA" w14:textId="77777777" w:rsidR="00BF3F35" w:rsidRDefault="00BF3F35" w:rsidP="00BF3F35">
      <w:pPr>
        <w:tabs>
          <w:tab w:val="left" w:pos="6180"/>
        </w:tabs>
      </w:pPr>
      <w:r>
        <w:t>7. Faculty of Medicine, University of Versailles Saint-Quentin-</w:t>
      </w:r>
      <w:proofErr w:type="spellStart"/>
      <w:r>
        <w:t>en</w:t>
      </w:r>
      <w:proofErr w:type="spellEnd"/>
      <w:r>
        <w:t xml:space="preserve">-Yvelines, </w:t>
      </w:r>
      <w:proofErr w:type="spellStart"/>
      <w:r>
        <w:t>Montigny</w:t>
      </w:r>
      <w:proofErr w:type="spellEnd"/>
      <w:r>
        <w:t>-le-Bretonneux 78180, France</w:t>
      </w:r>
    </w:p>
    <w:p w14:paraId="56A7B63D" w14:textId="77777777" w:rsidR="00BF3F35" w:rsidRDefault="00BF3F35" w:rsidP="00BF3F35">
      <w:pPr>
        <w:tabs>
          <w:tab w:val="left" w:pos="6180"/>
        </w:tabs>
      </w:pPr>
      <w:r>
        <w:t xml:space="preserve">8. Research and Development Unit, Parc </w:t>
      </w:r>
      <w:proofErr w:type="spellStart"/>
      <w:r>
        <w:t>Sanitari</w:t>
      </w:r>
      <w:proofErr w:type="spellEnd"/>
      <w:r>
        <w:t xml:space="preserve"> Sant Joan de </w:t>
      </w:r>
      <w:proofErr w:type="spellStart"/>
      <w:r>
        <w:t>Déu</w:t>
      </w:r>
      <w:proofErr w:type="spellEnd"/>
      <w:r>
        <w:t xml:space="preserve">, CIBERSAM, Dr. Antoni Pujadas, 42, Sant </w:t>
      </w:r>
      <w:proofErr w:type="spellStart"/>
      <w:r>
        <w:t>Boi</w:t>
      </w:r>
      <w:proofErr w:type="spellEnd"/>
      <w:r>
        <w:t xml:space="preserve"> de </w:t>
      </w:r>
      <w:proofErr w:type="spellStart"/>
      <w:r>
        <w:t>Llobregat</w:t>
      </w:r>
      <w:proofErr w:type="spellEnd"/>
      <w:r>
        <w:t>, Barcelona 08830, Spain</w:t>
      </w:r>
    </w:p>
    <w:p w14:paraId="7B07224A" w14:textId="77777777" w:rsidR="00BF3F35" w:rsidRDefault="00BF3F35" w:rsidP="00BF3F35">
      <w:pPr>
        <w:tabs>
          <w:tab w:val="left" w:pos="6180"/>
        </w:tabs>
      </w:pPr>
      <w:r>
        <w:t>9. Italian Agency for Development Cooperation, 9135400 Jerusalem, Israel</w:t>
      </w:r>
    </w:p>
    <w:p w14:paraId="5BBB72CF" w14:textId="77777777" w:rsidR="00BF3F35" w:rsidRDefault="00BF3F35" w:rsidP="00BF3F35">
      <w:pPr>
        <w:tabs>
          <w:tab w:val="left" w:pos="6180"/>
        </w:tabs>
      </w:pPr>
      <w:r>
        <w:t>10. National Research Council Neuroscience Institute Padua, Italy</w:t>
      </w:r>
    </w:p>
    <w:p w14:paraId="413047D7" w14:textId="77777777" w:rsidR="00BF3F35" w:rsidRDefault="00BF3F35" w:rsidP="00BF3F35">
      <w:pPr>
        <w:tabs>
          <w:tab w:val="left" w:pos="6180"/>
        </w:tabs>
      </w:pPr>
      <w:r>
        <w:t>11. Department of Pediatrics, Yonsei University College of Medicine, Seoul, Republic of Korea</w:t>
      </w:r>
    </w:p>
    <w:p w14:paraId="7440D85F" w14:textId="77777777" w:rsidR="00BF3F35" w:rsidRDefault="00BF3F35" w:rsidP="00BF3F35">
      <w:pPr>
        <w:tabs>
          <w:tab w:val="left" w:pos="6180"/>
        </w:tabs>
      </w:pPr>
      <w:r>
        <w:t xml:space="preserve">12. Department of Psychiatry Yonsei University </w:t>
      </w:r>
      <w:proofErr w:type="spellStart"/>
      <w:r>
        <w:t>Wonju</w:t>
      </w:r>
      <w:proofErr w:type="spellEnd"/>
      <w:r>
        <w:t xml:space="preserve"> College of Medicine </w:t>
      </w:r>
      <w:proofErr w:type="spellStart"/>
      <w:r>
        <w:t>Wonju</w:t>
      </w:r>
      <w:proofErr w:type="spellEnd"/>
      <w:r>
        <w:t>, Republic of Korea</w:t>
      </w:r>
    </w:p>
    <w:p w14:paraId="76B9A979" w14:textId="77777777" w:rsidR="00BF3F35" w:rsidRDefault="00BF3F35" w:rsidP="00BF3F35">
      <w:pPr>
        <w:tabs>
          <w:tab w:val="left" w:pos="6180"/>
        </w:tabs>
      </w:pPr>
      <w:r>
        <w:t>13. School of Psychology and Sport Science, Anglia Ruskin University, Cambridge, CB11PT, UK</w:t>
      </w:r>
    </w:p>
    <w:p w14:paraId="4BA775A0" w14:textId="77777777" w:rsidR="00BF3F35" w:rsidRPr="00E56A06" w:rsidRDefault="00BF3F35" w:rsidP="00BF3F35">
      <w:pPr>
        <w:tabs>
          <w:tab w:val="left" w:pos="6180"/>
        </w:tabs>
        <w:rPr>
          <w:lang w:val="es-ES"/>
        </w:rPr>
      </w:pPr>
      <w:r>
        <w:rPr>
          <w:lang w:val="es-ES"/>
        </w:rPr>
        <w:t>14</w:t>
      </w:r>
      <w:r w:rsidRPr="00E56A06">
        <w:rPr>
          <w:lang w:val="es-ES"/>
        </w:rPr>
        <w:t xml:space="preserve">. ICREA, Pg. </w:t>
      </w:r>
      <w:proofErr w:type="spellStart"/>
      <w:r w:rsidRPr="00E56A06">
        <w:rPr>
          <w:lang w:val="es-ES"/>
        </w:rPr>
        <w:t>Lluis</w:t>
      </w:r>
      <w:proofErr w:type="spellEnd"/>
      <w:r w:rsidRPr="00E56A06">
        <w:rPr>
          <w:lang w:val="es-ES"/>
        </w:rPr>
        <w:t xml:space="preserve"> Companys 23, Barcelona, </w:t>
      </w:r>
      <w:proofErr w:type="spellStart"/>
      <w:r w:rsidRPr="00E56A06">
        <w:rPr>
          <w:lang w:val="es-ES"/>
        </w:rPr>
        <w:t>Spain</w:t>
      </w:r>
      <w:proofErr w:type="spellEnd"/>
    </w:p>
    <w:p w14:paraId="72585FE7" w14:textId="77777777" w:rsidR="00BF3F35" w:rsidRPr="00E56A06" w:rsidRDefault="00BF3F35" w:rsidP="00BF3F35">
      <w:pPr>
        <w:tabs>
          <w:tab w:val="left" w:pos="6180"/>
        </w:tabs>
        <w:rPr>
          <w:lang w:val="es-ES"/>
        </w:rPr>
      </w:pPr>
    </w:p>
    <w:p w14:paraId="43640685" w14:textId="77777777" w:rsidR="00BF3F35" w:rsidRDefault="00BF3F35" w:rsidP="00BF3F35">
      <w:pPr>
        <w:tabs>
          <w:tab w:val="left" w:pos="6180"/>
        </w:tabs>
      </w:pPr>
      <w:r>
        <w:t xml:space="preserve">*Corresponding author: Dr Lee Smith; The Cambridge Centre for Sport and Exercise Sciences, Anglia Ruskin University, Cambridge, UK, CB1 1PT. </w:t>
      </w:r>
      <w:hyperlink r:id="rId7" w:history="1">
        <w:r w:rsidRPr="00C83AC0">
          <w:rPr>
            <w:rStyle w:val="Hyperlink"/>
          </w:rPr>
          <w:t>Lee.Smith@anglia.ac.uk</w:t>
        </w:r>
      </w:hyperlink>
      <w:r>
        <w:t xml:space="preserve"> </w:t>
      </w:r>
    </w:p>
    <w:p w14:paraId="5334A77D" w14:textId="13299CC0" w:rsidR="00BF3F35" w:rsidRDefault="00BF3F35" w:rsidP="0009470E">
      <w:pPr>
        <w:rPr>
          <w:b/>
        </w:rPr>
      </w:pPr>
    </w:p>
    <w:p w14:paraId="3E6F2C0B" w14:textId="7F10C09A" w:rsidR="00BF3F35" w:rsidRDefault="00BF3F35" w:rsidP="0009470E">
      <w:pPr>
        <w:rPr>
          <w:b/>
        </w:rPr>
      </w:pPr>
    </w:p>
    <w:p w14:paraId="40B9DA38" w14:textId="22FE7689" w:rsidR="00BF3F35" w:rsidRDefault="00BF3F35" w:rsidP="0009470E">
      <w:pPr>
        <w:rPr>
          <w:b/>
        </w:rPr>
      </w:pPr>
    </w:p>
    <w:p w14:paraId="1716339F" w14:textId="6FD2EED6" w:rsidR="00BF3F35" w:rsidRDefault="00BF3F35" w:rsidP="0009470E">
      <w:pPr>
        <w:rPr>
          <w:b/>
        </w:rPr>
      </w:pPr>
    </w:p>
    <w:p w14:paraId="0A2188C6" w14:textId="3AAE1077" w:rsidR="00BF3F35" w:rsidRDefault="00BF3F35" w:rsidP="0009470E">
      <w:pPr>
        <w:rPr>
          <w:b/>
        </w:rPr>
      </w:pPr>
    </w:p>
    <w:p w14:paraId="42BA709C" w14:textId="263483F8" w:rsidR="00BF3F35" w:rsidRDefault="00BF3F35" w:rsidP="0009470E">
      <w:pPr>
        <w:rPr>
          <w:b/>
        </w:rPr>
      </w:pPr>
    </w:p>
    <w:p w14:paraId="47B78714" w14:textId="70188342" w:rsidR="00BF3F35" w:rsidRDefault="00BF3F35" w:rsidP="0009470E">
      <w:pPr>
        <w:rPr>
          <w:b/>
        </w:rPr>
      </w:pPr>
    </w:p>
    <w:p w14:paraId="77706632" w14:textId="7B835AC5" w:rsidR="00BF3F35" w:rsidRDefault="00BF3F35" w:rsidP="0009470E">
      <w:pPr>
        <w:rPr>
          <w:b/>
        </w:rPr>
      </w:pPr>
    </w:p>
    <w:p w14:paraId="793E2209" w14:textId="5FFAD560" w:rsidR="00BF3F35" w:rsidRDefault="00BF3F35" w:rsidP="0009470E">
      <w:pPr>
        <w:rPr>
          <w:b/>
        </w:rPr>
      </w:pPr>
    </w:p>
    <w:p w14:paraId="34D8AF53" w14:textId="1A445359" w:rsidR="00BF3F35" w:rsidRDefault="00BF3F35" w:rsidP="0009470E">
      <w:pPr>
        <w:rPr>
          <w:b/>
        </w:rPr>
      </w:pPr>
    </w:p>
    <w:p w14:paraId="4A3E4F01" w14:textId="4804FC53" w:rsidR="00BF3F35" w:rsidRDefault="00BF3F35" w:rsidP="0009470E">
      <w:pPr>
        <w:rPr>
          <w:b/>
        </w:rPr>
      </w:pPr>
    </w:p>
    <w:p w14:paraId="0250E0CA" w14:textId="3286B7AA" w:rsidR="00BF3F35" w:rsidRDefault="00BF3F35" w:rsidP="0009470E">
      <w:pPr>
        <w:rPr>
          <w:b/>
        </w:rPr>
      </w:pPr>
    </w:p>
    <w:p w14:paraId="7540B7D1" w14:textId="77777777" w:rsidR="00BF3F35" w:rsidRDefault="00BF3F35" w:rsidP="0009470E">
      <w:pPr>
        <w:rPr>
          <w:b/>
        </w:rPr>
      </w:pPr>
    </w:p>
    <w:p w14:paraId="71DF052B" w14:textId="1EE17800" w:rsidR="003F0A85" w:rsidRDefault="003F0A85" w:rsidP="00495F4F">
      <w:pPr>
        <w:pStyle w:val="Heading1"/>
      </w:pPr>
      <w:r>
        <w:t>ABSTRACT</w:t>
      </w:r>
    </w:p>
    <w:p w14:paraId="13D645D3" w14:textId="1C978E6D" w:rsidR="003F0A85" w:rsidRDefault="002D2953" w:rsidP="002F0B7E">
      <w:pPr>
        <w:spacing w:line="480" w:lineRule="auto"/>
      </w:pPr>
      <w:r>
        <w:rPr>
          <w:b/>
        </w:rPr>
        <w:t>Objectives</w:t>
      </w:r>
      <w:r w:rsidR="00471BB5" w:rsidRPr="00471BB5">
        <w:rPr>
          <w:b/>
        </w:rPr>
        <w:t xml:space="preserve">: </w:t>
      </w:r>
      <w:r w:rsidR="00836657" w:rsidRPr="00836657">
        <w:t>T</w:t>
      </w:r>
      <w:r w:rsidR="00FD19E4" w:rsidRPr="00836657">
        <w:t>o</w:t>
      </w:r>
      <w:r w:rsidR="00FD19E4">
        <w:t xml:space="preserve"> </w:t>
      </w:r>
      <w:r w:rsidR="003F0A85">
        <w:t>examine</w:t>
      </w:r>
      <w:r w:rsidR="003F0A85" w:rsidRPr="00A03091">
        <w:t xml:space="preserve"> the relationship of food insecurity with sexual intercourse, multiple sex</w:t>
      </w:r>
      <w:r w:rsidR="00836657">
        <w:t>ual partners and non-condom use.</w:t>
      </w:r>
    </w:p>
    <w:p w14:paraId="1E41653A" w14:textId="6F6DD6A8" w:rsidR="003F0A85" w:rsidRPr="00EB6022" w:rsidRDefault="003F0A85" w:rsidP="002F0B7E">
      <w:pPr>
        <w:spacing w:line="480" w:lineRule="auto"/>
      </w:pPr>
      <w:r>
        <w:rPr>
          <w:b/>
        </w:rPr>
        <w:t>Methods:</w:t>
      </w:r>
      <w:r w:rsidRPr="00060FAC">
        <w:t xml:space="preserve"> </w:t>
      </w:r>
      <w:r w:rsidR="00AA6D94">
        <w:t>D</w:t>
      </w:r>
      <w:r w:rsidRPr="00060FAC">
        <w:t xml:space="preserve">ata </w:t>
      </w:r>
      <w:r w:rsidR="00AA6D94" w:rsidRPr="00060FAC">
        <w:t xml:space="preserve">on food insecurity (hunger) </w:t>
      </w:r>
      <w:r w:rsidR="00AA6D94">
        <w:t xml:space="preserve">and </w:t>
      </w:r>
      <w:r w:rsidR="00AA6D94" w:rsidRPr="00060FAC">
        <w:t>s</w:t>
      </w:r>
      <w:r w:rsidR="00AA6D94">
        <w:t xml:space="preserve">exual behaviors </w:t>
      </w:r>
      <w:r w:rsidRPr="00060FAC">
        <w:t xml:space="preserve">from 205,296 </w:t>
      </w:r>
      <w:r w:rsidRPr="00E52FB5">
        <w:t>adolescents</w:t>
      </w:r>
      <w:r w:rsidR="00F36460" w:rsidRPr="005E4774">
        <w:rPr>
          <w:color w:val="FF0000"/>
        </w:rPr>
        <w:t xml:space="preserve"> </w:t>
      </w:r>
      <w:r w:rsidR="00D4456D" w:rsidRPr="005E4774">
        <w:t xml:space="preserve">from </w:t>
      </w:r>
      <w:r w:rsidR="00F36460" w:rsidRPr="005E4774">
        <w:t>53 countries</w:t>
      </w:r>
      <w:r w:rsidRPr="005E4774">
        <w:t xml:space="preserve"> were </w:t>
      </w:r>
      <w:r w:rsidRPr="00060FAC">
        <w:t>analyzed. Associations were analyzed using</w:t>
      </w:r>
      <w:r>
        <w:t xml:space="preserve"> </w:t>
      </w:r>
      <w:r w:rsidR="008437E3">
        <w:t>meta-analysis</w:t>
      </w:r>
      <w:r w:rsidRPr="00060FAC">
        <w:t xml:space="preserve">. </w:t>
      </w:r>
    </w:p>
    <w:p w14:paraId="4DD5370A" w14:textId="61827F25" w:rsidR="003F0A85" w:rsidRDefault="003F0A85" w:rsidP="002F0B7E">
      <w:pPr>
        <w:spacing w:line="480" w:lineRule="auto"/>
      </w:pPr>
      <w:r>
        <w:rPr>
          <w:b/>
        </w:rPr>
        <w:t>Results:</w:t>
      </w:r>
      <w:r w:rsidRPr="00060FAC">
        <w:t xml:space="preserve"> Overall,</w:t>
      </w:r>
      <w:r w:rsidR="00836657">
        <w:t xml:space="preserve"> 16.0%</w:t>
      </w:r>
      <w:r w:rsidRPr="00060FAC">
        <w:t xml:space="preserve"> of the students ever had sexual intercourse and </w:t>
      </w:r>
      <w:r>
        <w:t>t</w:t>
      </w:r>
      <w:r w:rsidRPr="00060FAC">
        <w:t>he</w:t>
      </w:r>
      <w:r w:rsidR="00836657">
        <w:t xml:space="preserve"> overall prevalence of moderate</w:t>
      </w:r>
      <w:r w:rsidR="005B675B">
        <w:t xml:space="preserve"> </w:t>
      </w:r>
      <w:r w:rsidR="00836657">
        <w:t>and severe</w:t>
      </w:r>
      <w:r w:rsidR="005B675B">
        <w:t xml:space="preserve"> </w:t>
      </w:r>
      <w:r w:rsidRPr="00060FAC">
        <w:t>food insecurity was 44.9% and 6.2%, respectively</w:t>
      </w:r>
      <w:r w:rsidR="00AA6D94">
        <w:t>. M</w:t>
      </w:r>
      <w:r w:rsidRPr="00060FAC">
        <w:t>oderate and severe food insecurity was associated with hig</w:t>
      </w:r>
      <w:r w:rsidR="00AA6D94">
        <w:t>her odds for sexual intercourse</w:t>
      </w:r>
      <w:r w:rsidRPr="00060FAC">
        <w:t>.</w:t>
      </w:r>
      <w:r w:rsidRPr="005A5785">
        <w:t xml:space="preserve"> Any food insecurity was significantly associated </w:t>
      </w:r>
      <w:r w:rsidR="00AA6D94">
        <w:t>with condom non-use at last sex.</w:t>
      </w:r>
    </w:p>
    <w:p w14:paraId="1F71B8ED" w14:textId="1535328C" w:rsidR="003F0A85" w:rsidRDefault="003F0A85" w:rsidP="002F0B7E">
      <w:pPr>
        <w:spacing w:line="480" w:lineRule="auto"/>
      </w:pPr>
      <w:r>
        <w:rPr>
          <w:b/>
        </w:rPr>
        <w:t xml:space="preserve">Conclusions: </w:t>
      </w:r>
      <w:r w:rsidR="00AA6D94" w:rsidRPr="00AA6D94">
        <w:t>F</w:t>
      </w:r>
      <w:r w:rsidR="002A52C0" w:rsidRPr="00AA6D94">
        <w:t>o</w:t>
      </w:r>
      <w:r w:rsidR="002A52C0" w:rsidRPr="002A52C0">
        <w:t>od insecurity was associated with higher odds of ever having sexual intercourse dose-dependently</w:t>
      </w:r>
      <w:r w:rsidR="002A52C0">
        <w:t>.</w:t>
      </w:r>
    </w:p>
    <w:p w14:paraId="50935BC0" w14:textId="77777777" w:rsidR="00AA6D94" w:rsidRDefault="00AA6D94" w:rsidP="002F0B7E">
      <w:pPr>
        <w:spacing w:line="480" w:lineRule="auto"/>
        <w:rPr>
          <w:b/>
        </w:rPr>
      </w:pPr>
    </w:p>
    <w:p w14:paraId="0081E1B1" w14:textId="63D0D581" w:rsidR="006530A4" w:rsidRDefault="003F0A85" w:rsidP="002F0B7E">
      <w:pPr>
        <w:spacing w:line="480" w:lineRule="auto"/>
      </w:pPr>
      <w:r>
        <w:rPr>
          <w:b/>
        </w:rPr>
        <w:t xml:space="preserve">Key Words: </w:t>
      </w:r>
      <w:r w:rsidR="00BB6AB6" w:rsidRPr="00BB6AB6">
        <w:t>Adolescent Health/Medicine</w:t>
      </w:r>
      <w:r w:rsidR="00BB6AB6">
        <w:t xml:space="preserve">; </w:t>
      </w:r>
      <w:r w:rsidR="00BB6AB6" w:rsidRPr="00BB6AB6">
        <w:t>Psychosocial Issues</w:t>
      </w:r>
      <w:r w:rsidR="00FD1268">
        <w:t xml:space="preserve">; </w:t>
      </w:r>
      <w:r w:rsidR="00BB6AB6" w:rsidRPr="00BB6AB6">
        <w:t>Developmental/Behavioral Issues</w:t>
      </w:r>
      <w:r w:rsidR="00BB6AB6">
        <w:t xml:space="preserve"> </w:t>
      </w:r>
    </w:p>
    <w:p w14:paraId="724A89B9" w14:textId="77777777" w:rsidR="00FD1268" w:rsidRDefault="00FD1268" w:rsidP="002F0B7E">
      <w:pPr>
        <w:spacing w:line="480" w:lineRule="auto"/>
      </w:pPr>
    </w:p>
    <w:p w14:paraId="795D2AD2" w14:textId="11BBF249" w:rsidR="00FD1268" w:rsidRDefault="00FD1268" w:rsidP="002F0B7E">
      <w:pPr>
        <w:spacing w:line="480" w:lineRule="auto"/>
        <w:sectPr w:rsidR="00FD1268" w:rsidSect="008825A2">
          <w:headerReference w:type="even" r:id="rId8"/>
          <w:headerReference w:type="default" r:id="rId9"/>
          <w:footerReference w:type="even" r:id="rId10"/>
          <w:footerReference w:type="default" r:id="rId11"/>
          <w:pgSz w:w="11900" w:h="16840"/>
          <w:pgMar w:top="1440" w:right="1440" w:bottom="1440" w:left="1440" w:header="720" w:footer="720" w:gutter="0"/>
          <w:cols w:space="720"/>
          <w:docGrid w:linePitch="360"/>
        </w:sectPr>
      </w:pPr>
    </w:p>
    <w:p w14:paraId="032A8ACC" w14:textId="6F0DA418" w:rsidR="003F0A85" w:rsidRPr="001A23CA" w:rsidRDefault="003F0A85" w:rsidP="00553C5D">
      <w:pPr>
        <w:pStyle w:val="Heading1"/>
      </w:pPr>
      <w:r w:rsidRPr="001A23CA">
        <w:lastRenderedPageBreak/>
        <w:t>INTRODUCTION</w:t>
      </w:r>
    </w:p>
    <w:p w14:paraId="121B67F6" w14:textId="2D9D91AD" w:rsidR="003F0A85" w:rsidRDefault="003F0A85" w:rsidP="003F0A85">
      <w:pPr>
        <w:spacing w:line="480" w:lineRule="auto"/>
      </w:pPr>
      <w:r>
        <w:t xml:space="preserve">Sexual intercourse in adolescents has been shown to be associated with many </w:t>
      </w:r>
      <w:r w:rsidR="00B3161F">
        <w:t xml:space="preserve">deleterious </w:t>
      </w:r>
      <w:r>
        <w:t>consequences. For example, it has been shown that a</w:t>
      </w:r>
      <w:r w:rsidRPr="00190113">
        <w:t xml:space="preserve">dults who reported first having had sexual intercourse </w:t>
      </w:r>
      <w:r>
        <w:t xml:space="preserve">during young adolescence </w:t>
      </w:r>
      <w:r w:rsidRPr="00190113">
        <w:t xml:space="preserve">were more likely than those who first had intercourse </w:t>
      </w:r>
      <w:r>
        <w:t>in late adolescence</w:t>
      </w:r>
      <w:r w:rsidRPr="00190113">
        <w:t xml:space="preserve"> to have numerous mental health problems</w:t>
      </w:r>
      <w:r w:rsidR="00A44508">
        <w:t xml:space="preserve"> </w:t>
      </w:r>
      <w:r w:rsidR="00A44508" w:rsidRPr="00A44508">
        <w:t>(</w:t>
      </w:r>
      <w:proofErr w:type="spellStart"/>
      <w:r w:rsidR="00A44508" w:rsidRPr="00A44508">
        <w:t>Mota</w:t>
      </w:r>
      <w:proofErr w:type="spellEnd"/>
      <w:r w:rsidR="00A44508" w:rsidRPr="00A44508">
        <w:t>, Cox, Katz, &amp; Sareen, 2010).</w:t>
      </w:r>
      <w:r w:rsidR="00A44508">
        <w:t xml:space="preserve"> </w:t>
      </w:r>
      <w:r>
        <w:t>A recent study found that e</w:t>
      </w:r>
      <w:r w:rsidRPr="00AF1FFD">
        <w:t>ngaging in sexual intercourse in adolescence was associated with increased risk of suicide attempt</w:t>
      </w:r>
      <w:r>
        <w:t xml:space="preserve"> and that </w:t>
      </w:r>
      <w:r w:rsidRPr="00AF1FFD">
        <w:t>having had multiple sexual partners may increase the risk of suicide attempts</w:t>
      </w:r>
      <w:r w:rsidR="00A44508">
        <w:t xml:space="preserve"> </w:t>
      </w:r>
      <w:r w:rsidR="00A44508" w:rsidRPr="00A44508">
        <w:t>(Smith et al., 2020).</w:t>
      </w:r>
      <w:r w:rsidR="00A44508">
        <w:t xml:space="preserve"> </w:t>
      </w:r>
      <w:r>
        <w:t>Moreover, sexual intercourse in adolesce</w:t>
      </w:r>
      <w:r w:rsidR="000B27A8">
        <w:t>nce</w:t>
      </w:r>
      <w:r>
        <w:t xml:space="preserve"> is associated with a high prevalence of sexually transmitted infections when compared to other populations.</w:t>
      </w:r>
      <w:r w:rsidR="00DE6EF9">
        <w:t xml:space="preserve"> For </w:t>
      </w:r>
      <w:r w:rsidR="003C48F5">
        <w:t>instance</w:t>
      </w:r>
      <w:r w:rsidR="00B3161F">
        <w:t>,</w:t>
      </w:r>
      <w:r>
        <w:t xml:space="preserve"> it has been shown that teenage females </w:t>
      </w:r>
      <w:r w:rsidRPr="00AB4A5A">
        <w:t>report the highest rates of Chlamydia infection</w:t>
      </w:r>
      <w:r w:rsidR="00A44508">
        <w:t xml:space="preserve"> </w:t>
      </w:r>
      <w:r w:rsidR="00A44508" w:rsidRPr="00A44508">
        <w:t>(Centers for Disease Control and Prevention, 2018b).</w:t>
      </w:r>
      <w:r w:rsidR="00A44508">
        <w:t xml:space="preserve"> </w:t>
      </w:r>
      <w:r>
        <w:t>Finally, adolescent sexual intercourse can result in pregnancy. This can lead to interruptions in education, subsequently producing a history of poor education that can have lasting negative impacts on future life trajectories</w:t>
      </w:r>
      <w:r w:rsidR="00A44508">
        <w:t xml:space="preserve"> </w:t>
      </w:r>
      <w:r w:rsidR="00A44508" w:rsidRPr="00A44508">
        <w:t>(Klein, 2005).</w:t>
      </w:r>
      <w:r w:rsidR="00A44508">
        <w:t xml:space="preserve"> </w:t>
      </w:r>
      <w:r w:rsidR="00FC5FBD">
        <w:t xml:space="preserve">Adolescent </w:t>
      </w:r>
      <w:r w:rsidR="00DE6EF9">
        <w:t xml:space="preserve">pregnancy </w:t>
      </w:r>
      <w:r w:rsidR="00FC5FBD">
        <w:t xml:space="preserve">also </w:t>
      </w:r>
      <w:r w:rsidR="00DE6EF9">
        <w:t>carries high risks of eclampsia, puerperal endometritis, and systemic infections</w:t>
      </w:r>
      <w:r w:rsidR="00A44508">
        <w:t xml:space="preserve"> </w:t>
      </w:r>
      <w:r w:rsidR="00A44508" w:rsidRPr="00A44508">
        <w:t>(W</w:t>
      </w:r>
      <w:r w:rsidR="00A44508">
        <w:t>orld Health Organization, 2018)</w:t>
      </w:r>
      <w:r w:rsidR="00DE6EF9">
        <w:t>,</w:t>
      </w:r>
      <w:r w:rsidR="00A44508">
        <w:t xml:space="preserve"> </w:t>
      </w:r>
      <w:r w:rsidR="00DE6EF9">
        <w:t>while c</w:t>
      </w:r>
      <w:r>
        <w:t xml:space="preserve">omplications during pregnancy and childbirth are the leading cause of death for 15 to 19-year-old girls </w:t>
      </w:r>
      <w:r w:rsidR="00DE6EF9">
        <w:t>especially in low- and middle-income countries (LMICs)</w:t>
      </w:r>
      <w:r w:rsidR="00A44508">
        <w:t xml:space="preserve"> </w:t>
      </w:r>
      <w:r w:rsidR="00A44508" w:rsidRPr="00A44508">
        <w:t>(W</w:t>
      </w:r>
      <w:r w:rsidR="00A44508">
        <w:t>orld Health Organization, 2018)</w:t>
      </w:r>
      <w:r>
        <w:t>.</w:t>
      </w:r>
      <w:r w:rsidR="00A44508">
        <w:t xml:space="preserve"> </w:t>
      </w:r>
      <w:r w:rsidR="00DE6EF9">
        <w:t>In addition, e</w:t>
      </w:r>
      <w:r>
        <w:t xml:space="preserve">very year, approximately 3.9 million girls aged 15 to 19 years undergo unsafe abortions. These findings </w:t>
      </w:r>
      <w:r w:rsidR="005E17DD">
        <w:t xml:space="preserve">from previous research </w:t>
      </w:r>
      <w:r>
        <w:t xml:space="preserve">suggest that risky sexual intercourse in adolescents should be discouraged on a global scale. In order to achieve this goal, correlates of sexual activity and risky sexual behavior among the adolescent population should be identified to inform targeted interventions. </w:t>
      </w:r>
    </w:p>
    <w:p w14:paraId="40701685" w14:textId="77777777" w:rsidR="003F0A85" w:rsidRDefault="003F0A85" w:rsidP="003F0A85">
      <w:pPr>
        <w:spacing w:line="480" w:lineRule="auto"/>
      </w:pPr>
    </w:p>
    <w:p w14:paraId="271CC81B" w14:textId="547891C9" w:rsidR="003F0A85" w:rsidRDefault="003F0A85" w:rsidP="003F0A85">
      <w:pPr>
        <w:spacing w:line="480" w:lineRule="auto"/>
      </w:pPr>
      <w:r>
        <w:lastRenderedPageBreak/>
        <w:t xml:space="preserve">One understudied potential correlate is food insecurity. Food insecurity is defined as “limited or </w:t>
      </w:r>
      <w:r w:rsidRPr="00A44508">
        <w:t>uncertain availability of nutritionally adequate and safe foods or limited or uncertain ability to acquire food in socially acceptable ways”</w:t>
      </w:r>
      <w:r w:rsidR="00A44508" w:rsidRPr="00A44508">
        <w:t xml:space="preserve"> (United States Department of Agriculture Food and Nutrition Service, 2000)</w:t>
      </w:r>
      <w:r w:rsidRPr="00A44508">
        <w:t>.</w:t>
      </w:r>
      <w:r w:rsidR="00A44508">
        <w:t xml:space="preserve"> </w:t>
      </w:r>
      <w:r w:rsidR="00FA4ED4">
        <w:t xml:space="preserve">Food insecurity </w:t>
      </w:r>
      <w:r w:rsidR="00FA4ED4" w:rsidRPr="00755C73">
        <w:t xml:space="preserve">is </w:t>
      </w:r>
      <w:r w:rsidR="00FA4ED4">
        <w:t xml:space="preserve">prevalent </w:t>
      </w:r>
      <w:proofErr w:type="gramStart"/>
      <w:r w:rsidR="00FA4ED4">
        <w:t xml:space="preserve">and </w:t>
      </w:r>
      <w:r w:rsidR="00FA4ED4" w:rsidRPr="00755C73">
        <w:t>on the rise</w:t>
      </w:r>
      <w:proofErr w:type="gramEnd"/>
      <w:r w:rsidR="00FA4ED4" w:rsidRPr="00755C73">
        <w:t xml:space="preserve"> globally</w:t>
      </w:r>
      <w:r w:rsidR="00A44508">
        <w:t xml:space="preserve"> </w:t>
      </w:r>
      <w:r w:rsidR="00A44508" w:rsidRPr="00A44508">
        <w:t>(FAO, I</w:t>
      </w:r>
      <w:r w:rsidR="00A44508">
        <w:t>FAD, UNICEF, WFP and WHO, 2019)</w:t>
      </w:r>
      <w:r w:rsidR="00FA4ED4">
        <w:t>.</w:t>
      </w:r>
      <w:r w:rsidR="00A44508">
        <w:t xml:space="preserve"> </w:t>
      </w:r>
      <w:r w:rsidR="00FA4ED4" w:rsidRPr="00755C73">
        <w:t xml:space="preserve">For example, undernourishment (one aspect of food insecurity) </w:t>
      </w:r>
      <w:r w:rsidR="00FA4ED4">
        <w:t xml:space="preserve">occurs in </w:t>
      </w:r>
      <w:r w:rsidR="00FA4ED4" w:rsidRPr="00755C73">
        <w:t>10.8% of the global population</w:t>
      </w:r>
      <w:r w:rsidR="00FA4ED4">
        <w:t xml:space="preserve">, with rates varying </w:t>
      </w:r>
      <w:r w:rsidR="00FA4ED4" w:rsidRPr="00755C73">
        <w:t>from 5.5% in South America to 30.8% in Eastern Africa. Moreover, the phenomenon of food insecurity is not unique to LMIC</w:t>
      </w:r>
      <w:r w:rsidR="00FA4ED4">
        <w:t>s;</w:t>
      </w:r>
      <w:r w:rsidR="00FA4ED4" w:rsidRPr="00755C73">
        <w:t xml:space="preserve"> it is also prevalent in </w:t>
      </w:r>
      <w:r w:rsidR="00FA4ED4">
        <w:t>high-income countries (</w:t>
      </w:r>
      <w:r w:rsidR="00FA4ED4" w:rsidRPr="00755C73">
        <w:t>HICs</w:t>
      </w:r>
      <w:r w:rsidR="00FA4ED4">
        <w:t>)</w:t>
      </w:r>
      <w:r w:rsidR="00A44508">
        <w:t xml:space="preserve"> </w:t>
      </w:r>
      <w:r w:rsidR="00A44508" w:rsidRPr="00A44508">
        <w:t>(FAO, IFAD, UNICEF, WFP and WHO, 2019).</w:t>
      </w:r>
      <w:r w:rsidR="00A44508">
        <w:t xml:space="preserve"> </w:t>
      </w:r>
      <w:r>
        <w:t>I</w:t>
      </w:r>
      <w:r w:rsidRPr="00501879">
        <w:t>t is possible that female adolescents</w:t>
      </w:r>
      <w:r w:rsidR="00B800BB">
        <w:t>,</w:t>
      </w:r>
      <w:r>
        <w:t xml:space="preserve"> </w:t>
      </w:r>
      <w:r w:rsidR="00B800BB">
        <w:t xml:space="preserve">especially </w:t>
      </w:r>
      <w:r>
        <w:t>from LMICs</w:t>
      </w:r>
      <w:r w:rsidR="00B800BB">
        <w:t>,</w:t>
      </w:r>
      <w:r w:rsidRPr="00501879">
        <w:t xml:space="preserve"> engage in sexual activity with </w:t>
      </w:r>
      <w:r>
        <w:t xml:space="preserve">male </w:t>
      </w:r>
      <w:r w:rsidRPr="00501879">
        <w:t>partners due to their reliance on the male partner for food</w:t>
      </w:r>
      <w:r>
        <w:t xml:space="preserve"> provision</w:t>
      </w:r>
      <w:r w:rsidR="00A44508">
        <w:t xml:space="preserve"> </w:t>
      </w:r>
      <w:r w:rsidR="00A44508" w:rsidRPr="00A44508">
        <w:t>(Masa, Grah</w:t>
      </w:r>
      <w:r w:rsidR="00A44508">
        <w:t xml:space="preserve">am, Khan, </w:t>
      </w:r>
      <w:proofErr w:type="spellStart"/>
      <w:r w:rsidR="00A44508">
        <w:t>Chowa</w:t>
      </w:r>
      <w:proofErr w:type="spellEnd"/>
      <w:r w:rsidR="00A44508">
        <w:t>, &amp; Patel, 2019)</w:t>
      </w:r>
      <w:r>
        <w:t>.</w:t>
      </w:r>
      <w:r w:rsidR="00A44508">
        <w:t xml:space="preserve"> </w:t>
      </w:r>
      <w:r w:rsidR="006B4FF0">
        <w:t>Moreover</w:t>
      </w:r>
      <w:r w:rsidR="00B800BB">
        <w:t>, f</w:t>
      </w:r>
      <w:r>
        <w:t>ood insecurity may lead to risky sexual behavior</w:t>
      </w:r>
      <w:r w:rsidR="00FC5FBD">
        <w:t xml:space="preserve"> </w:t>
      </w:r>
      <w:r>
        <w:t xml:space="preserve">as </w:t>
      </w:r>
      <w:r w:rsidRPr="00993734">
        <w:t xml:space="preserve">food insecurity </w:t>
      </w:r>
      <w:r>
        <w:t xml:space="preserve">likely has a </w:t>
      </w:r>
      <w:r w:rsidRPr="00993734">
        <w:t xml:space="preserve">negative inﬂuence </w:t>
      </w:r>
      <w:r>
        <w:t xml:space="preserve">on </w:t>
      </w:r>
      <w:r w:rsidRPr="00993734">
        <w:t xml:space="preserve">the ability of young people to </w:t>
      </w:r>
      <w:r>
        <w:t xml:space="preserve">consider the </w:t>
      </w:r>
      <w:r w:rsidRPr="00993734">
        <w:t>long-term consequences of risky behaviors</w:t>
      </w:r>
      <w:r w:rsidR="00A44508">
        <w:t xml:space="preserve"> </w:t>
      </w:r>
      <w:r w:rsidR="00A44508" w:rsidRPr="00A44508">
        <w:t xml:space="preserve">(Masa, </w:t>
      </w:r>
      <w:r w:rsidR="00A44508">
        <w:t>et al.</w:t>
      </w:r>
      <w:r w:rsidR="00A44508" w:rsidRPr="00A44508">
        <w:t>, 2019).</w:t>
      </w:r>
      <w:r w:rsidR="00A44508">
        <w:t xml:space="preserve"> </w:t>
      </w:r>
      <w:r>
        <w:t xml:space="preserve">If adolescents do not have </w:t>
      </w:r>
      <w:r w:rsidRPr="00993734">
        <w:t>adequate access to food, they may become less</w:t>
      </w:r>
      <w:r w:rsidR="00F27825">
        <w:t xml:space="preserve"> </w:t>
      </w:r>
      <w:r w:rsidRPr="00993734">
        <w:t xml:space="preserve">concerned about the future and more worried about satisfying their </w:t>
      </w:r>
      <w:r>
        <w:t xml:space="preserve">immediate </w:t>
      </w:r>
      <w:r w:rsidRPr="00993734">
        <w:t>basic needs</w:t>
      </w:r>
      <w:r w:rsidR="00A44508">
        <w:t xml:space="preserve"> </w:t>
      </w:r>
      <w:r w:rsidR="00A44508" w:rsidRPr="00A44508">
        <w:t xml:space="preserve">(Masa, </w:t>
      </w:r>
      <w:r w:rsidR="00A44508">
        <w:t>et al.</w:t>
      </w:r>
      <w:r w:rsidR="00A44508" w:rsidRPr="00A44508">
        <w:t>, 2019).</w:t>
      </w:r>
    </w:p>
    <w:p w14:paraId="16357AD8" w14:textId="77777777" w:rsidR="003F0A85" w:rsidRDefault="003F0A85" w:rsidP="003F0A85">
      <w:pPr>
        <w:spacing w:line="480" w:lineRule="auto"/>
      </w:pPr>
      <w:r>
        <w:tab/>
      </w:r>
    </w:p>
    <w:p w14:paraId="3167324D" w14:textId="409AF20E" w:rsidR="00455CB9" w:rsidRDefault="003F0A85" w:rsidP="00FC5FBD">
      <w:pPr>
        <w:spacing w:line="480" w:lineRule="auto"/>
      </w:pPr>
      <w:r>
        <w:t xml:space="preserve">However, to date, there are only a few studies on this topic, and most have focused on adults, women, or </w:t>
      </w:r>
      <w:r w:rsidR="00A33DDC">
        <w:t xml:space="preserve">people living </w:t>
      </w:r>
      <w:r>
        <w:t xml:space="preserve">with human immunodeficiency virus (HIV), with most studies </w:t>
      </w:r>
      <w:r w:rsidR="00137653">
        <w:t xml:space="preserve">being </w:t>
      </w:r>
      <w:r>
        <w:t>conducted in Africa. For example, in a systematic review focusing on women living with HIV</w:t>
      </w:r>
      <w:r w:rsidR="00B800BB">
        <w:t>,</w:t>
      </w:r>
      <w:r>
        <w:t xml:space="preserve"> it was found that food insecurity was associated </w:t>
      </w:r>
      <w:r w:rsidRPr="0023543E">
        <w:t>with increased sexual risk through transactional sex and inability to negotiate safer sex</w:t>
      </w:r>
      <w:r w:rsidR="00A44508">
        <w:t xml:space="preserve"> </w:t>
      </w:r>
      <w:r w:rsidR="00A44508" w:rsidRPr="00A44508">
        <w:t>(Chop et al., 201</w:t>
      </w:r>
      <w:r w:rsidR="00A44508">
        <w:t>7)</w:t>
      </w:r>
      <w:r>
        <w:t>.</w:t>
      </w:r>
      <w:r w:rsidR="00A44508">
        <w:t xml:space="preserve"> </w:t>
      </w:r>
      <w:r>
        <w:t>Moreover, another study found that f</w:t>
      </w:r>
      <w:r w:rsidRPr="00993734">
        <w:t xml:space="preserve">ood insufficiency </w:t>
      </w:r>
      <w:r>
        <w:t>was</w:t>
      </w:r>
      <w:r w:rsidRPr="00993734">
        <w:t xml:space="preserve"> an important risk factor for increased sexual risk-taking </w:t>
      </w:r>
      <w:r>
        <w:t>(</w:t>
      </w:r>
      <w:r w:rsidR="00017DFE">
        <w:t xml:space="preserve">i.e., </w:t>
      </w:r>
      <w:r w:rsidRPr="00993734">
        <w:t>inconsistent condom use with a non</w:t>
      </w:r>
      <w:r>
        <w:t>-</w:t>
      </w:r>
      <w:r w:rsidRPr="00993734">
        <w:t>primary partner, sex exchange, intergenerational sexual relationships, and lack of control in sexual relationships</w:t>
      </w:r>
      <w:r>
        <w:t xml:space="preserve">) </w:t>
      </w:r>
      <w:r w:rsidRPr="00993734">
        <w:t xml:space="preserve">among </w:t>
      </w:r>
      <w:r w:rsidRPr="00993734">
        <w:lastRenderedPageBreak/>
        <w:t>women in Botswana and Swaziland</w:t>
      </w:r>
      <w:r w:rsidR="00A44508">
        <w:t xml:space="preserve"> (Weiser et al., 2007)</w:t>
      </w:r>
      <w:r w:rsidRPr="00993734">
        <w:t>.</w:t>
      </w:r>
      <w:r w:rsidR="00A44508">
        <w:t xml:space="preserve"> </w:t>
      </w:r>
      <w:r w:rsidR="00FA4ED4">
        <w:t xml:space="preserve">In terms of studies on adolescents, </w:t>
      </w:r>
      <w:r w:rsidR="00FC5FBD">
        <w:t xml:space="preserve">we are aware of only one study from Ghana. </w:t>
      </w:r>
      <w:r w:rsidR="00FA4ED4">
        <w:t>This small study (n=773) found that f</w:t>
      </w:r>
      <w:r w:rsidR="00FA4ED4" w:rsidRPr="0023543E">
        <w:t xml:space="preserve">ood insecurity was significantly associated with unwanted sexual contact </w:t>
      </w:r>
      <w:r w:rsidR="00FA4ED4">
        <w:t>among adolescents</w:t>
      </w:r>
      <w:r w:rsidR="00A44508">
        <w:t xml:space="preserve"> (Masa et al.</w:t>
      </w:r>
      <w:r w:rsidR="00A44508" w:rsidRPr="00A44508">
        <w:t>, 2019).</w:t>
      </w:r>
      <w:r w:rsidR="00A44508">
        <w:t xml:space="preserve"> </w:t>
      </w:r>
    </w:p>
    <w:p w14:paraId="6617939A" w14:textId="77777777" w:rsidR="003F0A85" w:rsidRDefault="003F0A85" w:rsidP="00FC5FBD">
      <w:pPr>
        <w:spacing w:line="480" w:lineRule="auto"/>
      </w:pPr>
    </w:p>
    <w:p w14:paraId="0C514EAF" w14:textId="264457BB" w:rsidR="00474653" w:rsidRDefault="003F0A85" w:rsidP="003F0A85">
      <w:pPr>
        <w:spacing w:line="480" w:lineRule="auto"/>
      </w:pPr>
      <w:r w:rsidRPr="00755C73">
        <w:t xml:space="preserve">To date, multinational studies exploring associations between food insecurity, sexual intercourse, multiple sexual partners and non-condom use in adolescents </w:t>
      </w:r>
      <w:r>
        <w:t>have not been undertaken</w:t>
      </w:r>
      <w:r w:rsidRPr="00755C73">
        <w:t xml:space="preserve">. Multinational studies </w:t>
      </w:r>
      <w:r w:rsidR="00FA4ED4">
        <w:t xml:space="preserve">are important as </w:t>
      </w:r>
      <w:r w:rsidR="00137653">
        <w:t xml:space="preserve">they </w:t>
      </w:r>
      <w:r w:rsidR="0021573E">
        <w:t xml:space="preserve">can shed light on whether associations are generalizable across countries, while between-country differences may provide hints on how factors such as culture may influence associations. </w:t>
      </w:r>
      <w:bookmarkStart w:id="0" w:name="_Hlk47357146"/>
      <w:r w:rsidR="00137653" w:rsidRPr="00F36460">
        <w:t>A</w:t>
      </w:r>
      <w:r w:rsidR="008E564F" w:rsidRPr="00F36460">
        <w:t xml:space="preserve">ssociations may differ between countries owing to differing levels of food insecurity. For example, </w:t>
      </w:r>
      <w:r w:rsidR="00886D3A" w:rsidRPr="00F36460">
        <w:t>i</w:t>
      </w:r>
      <w:r w:rsidR="008E564F" w:rsidRPr="00F36460">
        <w:t>n 2017, Sub-Saharan Africa had the highest prevalence of food insecurity (55</w:t>
      </w:r>
      <w:r w:rsidR="00886D3A" w:rsidRPr="00F36460">
        <w:t>%</w:t>
      </w:r>
      <w:r w:rsidR="008E564F" w:rsidRPr="00F36460">
        <w:t>) and severe food insecurity (28</w:t>
      </w:r>
      <w:r w:rsidR="00886D3A" w:rsidRPr="00F36460">
        <w:t>%</w:t>
      </w:r>
      <w:r w:rsidR="008E564F" w:rsidRPr="00F36460">
        <w:t>), followed by Latin America and the Caribbean (32</w:t>
      </w:r>
      <w:r w:rsidR="00886D3A" w:rsidRPr="00F36460">
        <w:t>%</w:t>
      </w:r>
      <w:r w:rsidR="008E564F" w:rsidRPr="00F36460">
        <w:t xml:space="preserve"> food insecure and 12</w:t>
      </w:r>
      <w:r w:rsidR="00886D3A" w:rsidRPr="00F36460">
        <w:t>%</w:t>
      </w:r>
      <w:r w:rsidR="008E564F" w:rsidRPr="00F36460">
        <w:t xml:space="preserve"> severely food insecure), and South Asia (30</w:t>
      </w:r>
      <w:r w:rsidR="00886D3A" w:rsidRPr="00F36460">
        <w:t xml:space="preserve">% food insecure </w:t>
      </w:r>
      <w:r w:rsidR="008E564F" w:rsidRPr="00F36460">
        <w:t>and 13</w:t>
      </w:r>
      <w:r w:rsidR="00886D3A" w:rsidRPr="00F36460">
        <w:t>% severely food insecure</w:t>
      </w:r>
      <w:r w:rsidR="008E564F" w:rsidRPr="00F36460">
        <w:t xml:space="preserve">). </w:t>
      </w:r>
      <w:r w:rsidR="00886D3A" w:rsidRPr="00F36460">
        <w:t>Furthermore, the prevalence of f</w:t>
      </w:r>
      <w:r w:rsidR="008E564F" w:rsidRPr="00F36460">
        <w:t>ood insecurity and severe food insecurity were lowest in North America</w:t>
      </w:r>
      <w:r w:rsidR="00886D3A" w:rsidRPr="00F36460">
        <w:t xml:space="preserve">, </w:t>
      </w:r>
      <w:r w:rsidR="008E564F" w:rsidRPr="00F36460">
        <w:t>Eastern Europe</w:t>
      </w:r>
      <w:r w:rsidR="00886D3A" w:rsidRPr="00F36460">
        <w:t>,</w:t>
      </w:r>
      <w:r w:rsidR="00ED606D" w:rsidRPr="00F36460">
        <w:t xml:space="preserve"> and Central Asia (United States Department of Agriculture, 2019).</w:t>
      </w:r>
      <w:bookmarkEnd w:id="0"/>
      <w:r w:rsidR="00ED606D" w:rsidRPr="00F36460">
        <w:t xml:space="preserve"> </w:t>
      </w:r>
      <w:r w:rsidR="00137653" w:rsidRPr="00F36460">
        <w:t xml:space="preserve">Finally, no study has investigated the relationship between food insecurity and multiple sexual partners although such an association is likely to exist. </w:t>
      </w:r>
    </w:p>
    <w:p w14:paraId="63DB4BA3" w14:textId="6EF199FB" w:rsidR="00344170" w:rsidRDefault="00344170" w:rsidP="003F0A85">
      <w:pPr>
        <w:spacing w:line="480" w:lineRule="auto"/>
      </w:pPr>
    </w:p>
    <w:p w14:paraId="03AC7A54" w14:textId="5E4AEE49" w:rsidR="003F0A85" w:rsidRPr="00F36460" w:rsidRDefault="0058343B" w:rsidP="003F0A85">
      <w:pPr>
        <w:spacing w:line="480" w:lineRule="auto"/>
        <w:rPr>
          <w:color w:val="FF0000"/>
        </w:rPr>
      </w:pPr>
      <w:r w:rsidRPr="00F36460">
        <w:t xml:space="preserve">Given the above-mentioned gap in the literature, </w:t>
      </w:r>
      <w:r w:rsidR="00FA4ED4" w:rsidRPr="00F36460">
        <w:t>t</w:t>
      </w:r>
      <w:r w:rsidR="003F0A85" w:rsidRPr="00F36460">
        <w:t xml:space="preserve">he present study examined the relationship of food insecurity with sexual intercourse, multiple sexual partners and non-condom use among 205,296 </w:t>
      </w:r>
      <w:r w:rsidR="003F0A85" w:rsidRPr="005E4774">
        <w:t xml:space="preserve">adolescents living in 53 countries </w:t>
      </w:r>
      <w:r w:rsidR="003F0A85" w:rsidRPr="00F36460">
        <w:t>from four WHO regions [</w:t>
      </w:r>
      <w:r w:rsidR="003F0A85" w:rsidRPr="00F36460">
        <w:rPr>
          <w:rFonts w:cs="Times New Roman"/>
          <w:color w:val="141413"/>
        </w:rPr>
        <w:t>AFR (African Region), AMR (Region of the Americas), SEAR (South-East Asia Region), and WPR (Western Pacific Region)]</w:t>
      </w:r>
      <w:r w:rsidR="003F0A85" w:rsidRPr="00F36460">
        <w:t>.</w:t>
      </w:r>
      <w:r w:rsidR="00FC5FBD" w:rsidRPr="00F36460">
        <w:t xml:space="preserve"> </w:t>
      </w:r>
      <w:bookmarkStart w:id="1" w:name="_Hlk47356027"/>
      <w:r w:rsidR="00477ECA" w:rsidRPr="00F36460">
        <w:t>We will test the hypothesi</w:t>
      </w:r>
      <w:r w:rsidR="004C6CA5" w:rsidRPr="00F36460">
        <w:t>s</w:t>
      </w:r>
      <w:r w:rsidR="00477ECA" w:rsidRPr="00F36460">
        <w:t xml:space="preserve"> that higher levels of food insecurity will be associated with </w:t>
      </w:r>
      <w:r w:rsidR="004C6CA5" w:rsidRPr="00F36460">
        <w:t xml:space="preserve">increased odds for </w:t>
      </w:r>
      <w:r w:rsidR="00477ECA" w:rsidRPr="00F36460">
        <w:t xml:space="preserve">sexual intercourse, multiple sexual partners and </w:t>
      </w:r>
      <w:r w:rsidR="00477ECA" w:rsidRPr="00F36460">
        <w:lastRenderedPageBreak/>
        <w:t xml:space="preserve">non-condom use, globally. </w:t>
      </w:r>
      <w:bookmarkEnd w:id="1"/>
      <w:r w:rsidR="00455CB9" w:rsidRPr="00F36460">
        <w:t xml:space="preserve">Examining </w:t>
      </w:r>
      <w:r w:rsidR="00FC5FBD" w:rsidRPr="00F36460">
        <w:t>the association between foo</w:t>
      </w:r>
      <w:r w:rsidR="00455CB9" w:rsidRPr="00F36460">
        <w:t>d insecurity and sexual behavio</w:t>
      </w:r>
      <w:r w:rsidR="00FC5FBD" w:rsidRPr="00F36460">
        <w:t xml:space="preserve">r of adolescents </w:t>
      </w:r>
      <w:r w:rsidR="00455CB9" w:rsidRPr="00F36460">
        <w:t xml:space="preserve">is important </w:t>
      </w:r>
      <w:r w:rsidR="00FC5FBD" w:rsidRPr="00F36460">
        <w:t xml:space="preserve">to identify whether food insecurity is a potentially modifiable risk factor for sexual intercourse and risky sexual behavior, as well as the consequent potentially detrimental impacts on health and wellbeing. </w:t>
      </w:r>
    </w:p>
    <w:p w14:paraId="0ADD9A92" w14:textId="77777777" w:rsidR="003F0A85" w:rsidRPr="00F36460" w:rsidRDefault="003F0A85" w:rsidP="003F0A85">
      <w:pPr>
        <w:spacing w:line="480" w:lineRule="auto"/>
      </w:pPr>
    </w:p>
    <w:p w14:paraId="727F9366" w14:textId="77777777" w:rsidR="003F0A85" w:rsidRPr="00F36460" w:rsidRDefault="003F0A85" w:rsidP="00553C5D">
      <w:pPr>
        <w:pStyle w:val="Heading1"/>
      </w:pPr>
      <w:r w:rsidRPr="00F36460">
        <w:t>METHODS</w:t>
      </w:r>
    </w:p>
    <w:p w14:paraId="2346B162" w14:textId="77777777" w:rsidR="003F0A85" w:rsidRPr="00F36460" w:rsidRDefault="003F0A85" w:rsidP="003F0A85">
      <w:pPr>
        <w:spacing w:line="480" w:lineRule="auto"/>
        <w:rPr>
          <w:b/>
        </w:rPr>
      </w:pPr>
      <w:r w:rsidRPr="00F36460">
        <w:rPr>
          <w:b/>
        </w:rPr>
        <w:t>Methods</w:t>
      </w:r>
    </w:p>
    <w:p w14:paraId="6A0FC3DB" w14:textId="46E436FD" w:rsidR="003F0A85" w:rsidRPr="00F36460" w:rsidRDefault="003F0A85" w:rsidP="003F0A85">
      <w:pPr>
        <w:spacing w:line="480" w:lineRule="auto"/>
        <w:rPr>
          <w:rFonts w:cs="Times New Roman"/>
          <w:color w:val="141413"/>
        </w:rPr>
      </w:pPr>
      <w:r w:rsidRPr="00F36460">
        <w:rPr>
          <w:rFonts w:cs="Times New Roman"/>
        </w:rPr>
        <w:t xml:space="preserve">Publicly available data from the </w:t>
      </w:r>
      <w:r w:rsidR="005E17DD" w:rsidRPr="00F36460">
        <w:t>Global School-based Student Health Survey (</w:t>
      </w:r>
      <w:r w:rsidRPr="00F36460">
        <w:rPr>
          <w:rFonts w:cs="Times New Roman"/>
        </w:rPr>
        <w:t>GSHS</w:t>
      </w:r>
      <w:r w:rsidR="005E17DD" w:rsidRPr="00F36460">
        <w:rPr>
          <w:rFonts w:cs="Times New Roman"/>
        </w:rPr>
        <w:t>)</w:t>
      </w:r>
      <w:r w:rsidRPr="00F36460">
        <w:rPr>
          <w:rFonts w:cs="Times New Roman"/>
        </w:rPr>
        <w:t xml:space="preserve"> were analyzed. Details on this survey can be found at </w:t>
      </w:r>
      <w:hyperlink r:id="rId12" w:history="1">
        <w:r w:rsidR="009B2059" w:rsidRPr="00F36460">
          <w:rPr>
            <w:rStyle w:val="Hyperlink"/>
            <w:rFonts w:cs="Times New Roman"/>
          </w:rPr>
          <w:t>http://www.who.int/chp/gshs</w:t>
        </w:r>
      </w:hyperlink>
      <w:r w:rsidR="009B2059" w:rsidRPr="00F36460">
        <w:rPr>
          <w:rFonts w:cs="Times New Roman"/>
          <w:color w:val="141413"/>
        </w:rPr>
        <w:t xml:space="preserve"> </w:t>
      </w:r>
      <w:r w:rsidRPr="00F36460">
        <w:rPr>
          <w:rFonts w:cs="Times New Roman"/>
          <w:color w:val="141413"/>
        </w:rPr>
        <w:t xml:space="preserve">and </w:t>
      </w:r>
      <w:hyperlink r:id="rId13" w:history="1">
        <w:r w:rsidR="009B2059" w:rsidRPr="00F36460">
          <w:rPr>
            <w:rStyle w:val="Hyperlink"/>
            <w:rFonts w:cs="Times New Roman"/>
          </w:rPr>
          <w:t>http://www.cdc.gov/gshs</w:t>
        </w:r>
      </w:hyperlink>
      <w:r w:rsidR="009B2059" w:rsidRPr="00F36460">
        <w:rPr>
          <w:rFonts w:cs="Times New Roman"/>
          <w:color w:val="141413"/>
        </w:rPr>
        <w:t xml:space="preserve"> (Centers for Disease Control and Prevention, 2018a; World Health Organization, 2012). </w:t>
      </w:r>
      <w:r w:rsidRPr="00F36460">
        <w:rPr>
          <w:rFonts w:cs="Times New Roman"/>
          <w:color w:val="141413"/>
        </w:rPr>
        <w:t xml:space="preserve">Briefly, the GSHS was jointly developed by the WHO, the US Centers for Disease Control and Prevention (CDC), and other UN agencies. </w:t>
      </w:r>
      <w:r w:rsidRPr="00F36460">
        <w:rPr>
          <w:rFonts w:cs="Times New Roman"/>
        </w:rPr>
        <w:t>The core aim of this survey was to assess and quantify risk and protective factors of major non-communicable</w:t>
      </w:r>
      <w:r w:rsidRPr="00F36460">
        <w:rPr>
          <w:rFonts w:cs="Times New Roman"/>
          <w:lang w:eastAsia="ja-JP"/>
        </w:rPr>
        <w:t xml:space="preserve"> </w:t>
      </w:r>
      <w:r w:rsidRPr="00F36460">
        <w:rPr>
          <w:rFonts w:cs="Times New Roman"/>
        </w:rPr>
        <w:t>disease</w:t>
      </w:r>
      <w:r w:rsidRPr="00F36460">
        <w:rPr>
          <w:rFonts w:cs="Times New Roman"/>
          <w:lang w:eastAsia="ja-JP"/>
        </w:rPr>
        <w:t>s</w:t>
      </w:r>
      <w:r w:rsidR="005E17DD" w:rsidRPr="00F36460">
        <w:rPr>
          <w:rFonts w:cs="Times New Roman"/>
          <w:lang w:eastAsia="ja-JP"/>
        </w:rPr>
        <w:t xml:space="preserve"> among young people</w:t>
      </w:r>
      <w:r w:rsidRPr="00F36460">
        <w:rPr>
          <w:rFonts w:cs="Times New Roman"/>
          <w:lang w:eastAsia="ja-JP"/>
        </w:rPr>
        <w:t>. The survey draws content from the CDC Youth Risk Behavior Survey (YRBS) for which adequate test-retest reliability has been established</w:t>
      </w:r>
      <w:r w:rsidR="009B2059" w:rsidRPr="00F36460">
        <w:rPr>
          <w:rFonts w:cs="Times New Roman"/>
          <w:lang w:eastAsia="ja-JP"/>
        </w:rPr>
        <w:t xml:space="preserve"> (</w:t>
      </w:r>
      <w:proofErr w:type="spellStart"/>
      <w:r w:rsidR="009B2059" w:rsidRPr="00F36460">
        <w:rPr>
          <w:rFonts w:cs="Times New Roman"/>
          <w:lang w:eastAsia="ja-JP"/>
        </w:rPr>
        <w:t>Brener</w:t>
      </w:r>
      <w:proofErr w:type="spellEnd"/>
      <w:r w:rsidR="009B2059" w:rsidRPr="00F36460">
        <w:rPr>
          <w:rFonts w:cs="Times New Roman"/>
          <w:lang w:eastAsia="ja-JP"/>
        </w:rPr>
        <w:t xml:space="preserve">, Collins, </w:t>
      </w:r>
      <w:proofErr w:type="spellStart"/>
      <w:r w:rsidR="009B2059" w:rsidRPr="00F36460">
        <w:rPr>
          <w:rFonts w:cs="Times New Roman"/>
          <w:lang w:eastAsia="ja-JP"/>
        </w:rPr>
        <w:t>Kann</w:t>
      </w:r>
      <w:proofErr w:type="spellEnd"/>
      <w:r w:rsidR="009B2059" w:rsidRPr="00F36460">
        <w:rPr>
          <w:rFonts w:cs="Times New Roman"/>
          <w:lang w:eastAsia="ja-JP"/>
        </w:rPr>
        <w:t xml:space="preserve">, Warren, &amp; Williams, 1995). </w:t>
      </w:r>
      <w:r w:rsidRPr="00F36460">
        <w:rPr>
          <w:rFonts w:cs="Times New Roman"/>
          <w:lang w:eastAsia="ja-JP"/>
        </w:rPr>
        <w:t xml:space="preserve">The </w:t>
      </w:r>
      <w:r w:rsidRPr="00F36460">
        <w:rPr>
          <w:rFonts w:cs="Times New Roman"/>
          <w:color w:val="141413"/>
        </w:rPr>
        <w:t>survey used a standardized two-stage probability sampling design for the selection process within each participating country. For the first stage, schools were selected with probability proportional to size sampling. The second stage involved the random selection of classrooms which included students aged 13-15 years within each selected school. All students in the selected classrooms were eligible to participate in the survey regardless of age</w:t>
      </w:r>
      <w:r w:rsidR="00B220F8" w:rsidRPr="00F36460">
        <w:rPr>
          <w:rFonts w:cs="Times New Roman"/>
          <w:color w:val="141413"/>
        </w:rPr>
        <w:t>, and thus, the survey also included students who were not within this age range (i.e., 13-15 years)</w:t>
      </w:r>
      <w:r w:rsidRPr="00F36460">
        <w:rPr>
          <w:rFonts w:cs="Times New Roman"/>
          <w:color w:val="141413"/>
        </w:rPr>
        <w:t xml:space="preserve">. Data collection was performed during one regular classroom teaching session. The questionnaire was translated into the local language in each country and comprised multiple choice response options; students recorded their responses on computer-scannable sheets. </w:t>
      </w:r>
      <w:r w:rsidRPr="00F36460">
        <w:rPr>
          <w:rFonts w:cs="Times New Roman"/>
          <w:color w:val="000000"/>
        </w:rPr>
        <w:t xml:space="preserve">All GSHS surveys were approved, in each country, </w:t>
      </w:r>
      <w:r w:rsidRPr="00F36460">
        <w:rPr>
          <w:rFonts w:cs="Times New Roman"/>
          <w:color w:val="000000"/>
        </w:rPr>
        <w:lastRenderedPageBreak/>
        <w:t xml:space="preserve">by both a national government administration (most often the Ministry of Health or Education) and an institutional review board or ethics committee. </w:t>
      </w:r>
      <w:r w:rsidRPr="00F36460">
        <w:rPr>
          <w:rFonts w:cs="Times New Roman"/>
          <w:color w:val="141413"/>
        </w:rPr>
        <w:t>Student privacy was protected through anonymous and voluntary participation, and informed consent was obtained as appropriate from the students, parents and/or school officials. Data were weighted for non-response and probability selection.</w:t>
      </w:r>
    </w:p>
    <w:p w14:paraId="7C611952" w14:textId="77777777" w:rsidR="009B2059" w:rsidRPr="00F36460" w:rsidRDefault="009B2059" w:rsidP="003F0A85">
      <w:pPr>
        <w:spacing w:line="480" w:lineRule="auto"/>
        <w:rPr>
          <w:rFonts w:cs="Times New Roman"/>
          <w:color w:val="141413"/>
        </w:rPr>
      </w:pPr>
    </w:p>
    <w:p w14:paraId="79D99ECB" w14:textId="132137A9" w:rsidR="003F0A85" w:rsidRPr="00F36460" w:rsidRDefault="003F0A85" w:rsidP="003F0A85">
      <w:pPr>
        <w:spacing w:line="480" w:lineRule="auto"/>
        <w:rPr>
          <w:rFonts w:cs="Times New Roman"/>
          <w:color w:val="141413"/>
        </w:rPr>
      </w:pPr>
      <w:r w:rsidRPr="00F36460">
        <w:rPr>
          <w:rFonts w:cs="Times New Roman"/>
          <w:color w:val="141413"/>
        </w:rPr>
        <w:t xml:space="preserve">From all publicly available data, we selected all nationally representative datasets that included the variables used in the current analysis. If there were more than two datasets from the same country, we chose the most recent dataset. A total of 53 countries were included in the current study. The characteristics of each country or survey are provided in </w:t>
      </w:r>
      <w:r w:rsidRPr="00F36460">
        <w:rPr>
          <w:rFonts w:cs="Times New Roman"/>
          <w:b/>
          <w:color w:val="141413"/>
        </w:rPr>
        <w:t>Table 1</w:t>
      </w:r>
      <w:r w:rsidRPr="00F36460">
        <w:rPr>
          <w:rFonts w:cs="Times New Roman"/>
          <w:color w:val="141413"/>
        </w:rPr>
        <w:t>. For the included countries, the survey was conducted between 2003 and 2016, and in 14, 22, 5, and 12 countries from AFR, AMR, SEAR, and WPR, respectively.</w:t>
      </w:r>
    </w:p>
    <w:p w14:paraId="2CADC3B7" w14:textId="77777777" w:rsidR="003F0A85" w:rsidRPr="00F36460" w:rsidRDefault="003F0A85" w:rsidP="003F0A85">
      <w:pPr>
        <w:spacing w:line="480" w:lineRule="auto"/>
        <w:rPr>
          <w:rFonts w:cs="Times New Roman"/>
          <w:color w:val="141413"/>
        </w:rPr>
      </w:pPr>
    </w:p>
    <w:p w14:paraId="213A0199" w14:textId="77777777" w:rsidR="003F0A85" w:rsidRPr="00F36460" w:rsidRDefault="003F0A85" w:rsidP="00553C5D">
      <w:pPr>
        <w:pStyle w:val="Heading2"/>
        <w:rPr>
          <w:b w:val="0"/>
          <w:i w:val="0"/>
        </w:rPr>
      </w:pPr>
      <w:r w:rsidRPr="00F36460">
        <w:t>Sexual behavior</w:t>
      </w:r>
    </w:p>
    <w:p w14:paraId="495C1450" w14:textId="77777777" w:rsidR="003F0A85" w:rsidRPr="00F36460" w:rsidRDefault="003F0A85" w:rsidP="003F0A85">
      <w:pPr>
        <w:spacing w:line="480" w:lineRule="auto"/>
        <w:rPr>
          <w:rFonts w:cs="Times New Roman"/>
          <w:color w:val="141413"/>
        </w:rPr>
      </w:pPr>
      <w:r w:rsidRPr="00F36460">
        <w:rPr>
          <w:rFonts w:cs="Times New Roman"/>
          <w:color w:val="141413"/>
        </w:rPr>
        <w:t>Lifetime sexual intercourse was assessed by the question “</w:t>
      </w:r>
      <w:r w:rsidRPr="00F36460">
        <w:t xml:space="preserve">Have you ever had sexual intercourse?” with ‘yes’ and ‘no’ answer options. </w:t>
      </w:r>
      <w:r w:rsidRPr="00F36460">
        <w:rPr>
          <w:rFonts w:cs="Times New Roman"/>
          <w:color w:val="141413"/>
        </w:rPr>
        <w:t xml:space="preserve">Condom use was assessed with the question “The last time you had sexual intercourse, did you or your partner use a condom?” with ‘yes’ and ‘no’ answer options. </w:t>
      </w:r>
      <w:r w:rsidRPr="00F36460">
        <w:t>Number of sexual partners was based on the question “During your life, with how many people have you had sexual intercourse?” We considered those with two or more sexual partners to have multiple sexual partners. Data on multiple partners were not available from Bangladesh and Kenya.</w:t>
      </w:r>
    </w:p>
    <w:p w14:paraId="6C8410B5" w14:textId="77777777" w:rsidR="003F0A85" w:rsidRPr="00F36460" w:rsidRDefault="003F0A85" w:rsidP="003F0A85">
      <w:pPr>
        <w:spacing w:line="480" w:lineRule="auto"/>
        <w:rPr>
          <w:rFonts w:cs="Times New Roman"/>
          <w:color w:val="141413"/>
        </w:rPr>
      </w:pPr>
    </w:p>
    <w:p w14:paraId="2181F32E" w14:textId="77777777" w:rsidR="003F0A85" w:rsidRPr="00F36460" w:rsidRDefault="003F0A85" w:rsidP="00553C5D">
      <w:pPr>
        <w:pStyle w:val="Heading2"/>
      </w:pPr>
      <w:r w:rsidRPr="00F36460">
        <w:t>Food insecurity with hunger</w:t>
      </w:r>
    </w:p>
    <w:p w14:paraId="115AF645" w14:textId="4A247E26" w:rsidR="003F0A85" w:rsidRPr="00F36460" w:rsidRDefault="003F0A85" w:rsidP="003F0A85">
      <w:pPr>
        <w:spacing w:line="480" w:lineRule="auto"/>
        <w:rPr>
          <w:rFonts w:cs="Times New Roman"/>
          <w:color w:val="141413"/>
        </w:rPr>
      </w:pPr>
      <w:bookmarkStart w:id="2" w:name="_Hlk47356614"/>
      <w:r w:rsidRPr="00F36460">
        <w:rPr>
          <w:rFonts w:cs="Times New Roman"/>
          <w:color w:val="141413"/>
        </w:rPr>
        <w:t xml:space="preserve">Food insecurity (hunger) was assessed by the question “During the past 30 days, how often did you go hungry because there was not enough food in your home?” Answer options were </w:t>
      </w:r>
      <w:r w:rsidRPr="00F36460">
        <w:rPr>
          <w:rFonts w:cs="Times New Roman"/>
          <w:color w:val="141413"/>
        </w:rPr>
        <w:lastRenderedPageBreak/>
        <w:t>categorized as no food insecurity (never), moderate food insecurity (rarely/sometimes), and severe food insecurity (most of the time/always)</w:t>
      </w:r>
      <w:r w:rsidR="009B2059" w:rsidRPr="00F36460">
        <w:rPr>
          <w:rFonts w:cs="Times New Roman"/>
          <w:color w:val="141413"/>
        </w:rPr>
        <w:t xml:space="preserve"> (McKinnon, </w:t>
      </w:r>
      <w:proofErr w:type="spellStart"/>
      <w:r w:rsidR="009B2059" w:rsidRPr="00F36460">
        <w:rPr>
          <w:rFonts w:cs="Times New Roman"/>
          <w:color w:val="141413"/>
        </w:rPr>
        <w:t>Gariépy</w:t>
      </w:r>
      <w:proofErr w:type="spellEnd"/>
      <w:r w:rsidR="009B2059" w:rsidRPr="00F36460">
        <w:rPr>
          <w:rFonts w:cs="Times New Roman"/>
          <w:color w:val="141413"/>
        </w:rPr>
        <w:t xml:space="preserve">, </w:t>
      </w:r>
      <w:proofErr w:type="spellStart"/>
      <w:r w:rsidR="009B2059" w:rsidRPr="00F36460">
        <w:rPr>
          <w:rFonts w:cs="Times New Roman"/>
          <w:color w:val="141413"/>
        </w:rPr>
        <w:t>Sentenac</w:t>
      </w:r>
      <w:proofErr w:type="spellEnd"/>
      <w:r w:rsidR="009B2059" w:rsidRPr="00F36460">
        <w:rPr>
          <w:rFonts w:cs="Times New Roman"/>
          <w:color w:val="141413"/>
        </w:rPr>
        <w:t xml:space="preserve">, &amp; Elgar, 2016). </w:t>
      </w:r>
      <w:r w:rsidRPr="00F36460">
        <w:rPr>
          <w:rFonts w:cs="Times New Roman"/>
          <w:color w:val="141413"/>
        </w:rPr>
        <w:t>We named these categories as such since moderate food insecurity is often considered to be an indication that quality/quantity of food consumed has been compromised, while severe food insecurity refers to reduced food intake and disrupted eating patterns</w:t>
      </w:r>
      <w:r w:rsidR="009B2059" w:rsidRPr="00F36460">
        <w:rPr>
          <w:rFonts w:cs="Times New Roman"/>
          <w:color w:val="141413"/>
        </w:rPr>
        <w:t xml:space="preserve"> (McIntyre, Williams, </w:t>
      </w:r>
      <w:proofErr w:type="spellStart"/>
      <w:r w:rsidR="009B2059" w:rsidRPr="00F36460">
        <w:rPr>
          <w:rFonts w:cs="Times New Roman"/>
          <w:color w:val="141413"/>
        </w:rPr>
        <w:t>Lavorato</w:t>
      </w:r>
      <w:proofErr w:type="spellEnd"/>
      <w:r w:rsidR="009B2059" w:rsidRPr="00F36460">
        <w:rPr>
          <w:rFonts w:cs="Times New Roman"/>
          <w:color w:val="141413"/>
        </w:rPr>
        <w:t xml:space="preserve">, &amp; Patten, 2013). </w:t>
      </w:r>
      <w:r w:rsidRPr="00F36460">
        <w:rPr>
          <w:rFonts w:cs="Times New Roman"/>
          <w:color w:val="141413"/>
        </w:rPr>
        <w:t xml:space="preserve">For some analyses, a dichotomized variable on any food insecurity was used (i.e., answering rarely, sometimes, most of the time, or always). </w:t>
      </w:r>
    </w:p>
    <w:bookmarkEnd w:id="2"/>
    <w:p w14:paraId="69A65E46" w14:textId="77777777" w:rsidR="003F0A85" w:rsidRPr="00F36460" w:rsidRDefault="003F0A85" w:rsidP="003F0A85">
      <w:pPr>
        <w:spacing w:line="480" w:lineRule="auto"/>
        <w:rPr>
          <w:rFonts w:cs="Times New Roman"/>
          <w:color w:val="141413"/>
        </w:rPr>
      </w:pPr>
    </w:p>
    <w:p w14:paraId="2E7B9FE3" w14:textId="77777777" w:rsidR="003F0A85" w:rsidRPr="00F36460" w:rsidRDefault="003F0A85" w:rsidP="00553C5D">
      <w:pPr>
        <w:pStyle w:val="Heading2"/>
      </w:pPr>
      <w:r w:rsidRPr="00F36460">
        <w:t>Control variables</w:t>
      </w:r>
    </w:p>
    <w:p w14:paraId="57B195FD" w14:textId="38262B24" w:rsidR="003F0A85" w:rsidRPr="00F36460" w:rsidRDefault="003F0A85" w:rsidP="003F0A85">
      <w:pPr>
        <w:spacing w:line="480" w:lineRule="auto"/>
        <w:rPr>
          <w:rFonts w:cs="Times New Roman"/>
          <w:color w:val="141413"/>
        </w:rPr>
      </w:pPr>
      <w:bookmarkStart w:id="3" w:name="_Hlk47356164"/>
      <w:r w:rsidRPr="00F36460">
        <w:rPr>
          <w:rFonts w:cs="Times New Roman"/>
          <w:color w:val="141413"/>
        </w:rPr>
        <w:t xml:space="preserve">The control variables were based on previous studies </w:t>
      </w:r>
      <w:r w:rsidR="009B2059" w:rsidRPr="00F36460">
        <w:rPr>
          <w:rFonts w:cs="Times New Roman"/>
          <w:color w:val="141413"/>
        </w:rPr>
        <w:t>(Weiser et al., 2007)</w:t>
      </w:r>
      <w:r w:rsidR="00A60AD3" w:rsidRPr="00F36460">
        <w:rPr>
          <w:rFonts w:cs="Times New Roman"/>
          <w:color w:val="141413"/>
        </w:rPr>
        <w:t>, and</w:t>
      </w:r>
      <w:r w:rsidR="009B2059" w:rsidRPr="00F36460">
        <w:rPr>
          <w:rFonts w:cs="Times New Roman"/>
          <w:color w:val="141413"/>
        </w:rPr>
        <w:t xml:space="preserve"> </w:t>
      </w:r>
      <w:r w:rsidR="00A60AD3" w:rsidRPr="00F36460">
        <w:rPr>
          <w:rFonts w:cs="Times New Roman"/>
        </w:rPr>
        <w:t>we selected those that have been reported to</w:t>
      </w:r>
      <w:r w:rsidR="00A60AD3" w:rsidRPr="00F36460">
        <w:rPr>
          <w:rFonts w:cs="Times New Roman"/>
          <w:color w:val="FF0000"/>
        </w:rPr>
        <w:t xml:space="preserve"> </w:t>
      </w:r>
      <w:r w:rsidR="00325B12" w:rsidRPr="00F36460">
        <w:rPr>
          <w:rFonts w:cs="Times New Roman"/>
          <w:color w:val="141413"/>
        </w:rPr>
        <w:t xml:space="preserve">be independently associated with both the independent and dependent variables. </w:t>
      </w:r>
      <w:bookmarkEnd w:id="3"/>
      <w:r w:rsidR="00325B12" w:rsidRPr="00F36460">
        <w:rPr>
          <w:rFonts w:cs="Times New Roman"/>
          <w:color w:val="141413"/>
        </w:rPr>
        <w:t>Control variables</w:t>
      </w:r>
      <w:r w:rsidRPr="00F36460">
        <w:rPr>
          <w:rFonts w:cs="Times New Roman"/>
          <w:color w:val="141413"/>
        </w:rPr>
        <w:t xml:space="preserve"> included sex, age, and alcohol consumption. Alcohol consumption </w:t>
      </w:r>
      <w:r w:rsidR="00EB600E" w:rsidRPr="00F36460">
        <w:rPr>
          <w:rFonts w:cs="Times New Roman"/>
          <w:color w:val="141413"/>
        </w:rPr>
        <w:t xml:space="preserve">was </w:t>
      </w:r>
      <w:r w:rsidR="00235A5F" w:rsidRPr="00F36460">
        <w:rPr>
          <w:rFonts w:cs="Times New Roman"/>
          <w:color w:val="141413"/>
        </w:rPr>
        <w:t xml:space="preserve">assessed with the question “During the past 30 days, on how many days did you have at least one drink containing alcohol?” Those who answered one or more days </w:t>
      </w:r>
      <w:proofErr w:type="gramStart"/>
      <w:r w:rsidR="00235A5F" w:rsidRPr="00F36460">
        <w:rPr>
          <w:rFonts w:cs="Times New Roman"/>
          <w:color w:val="141413"/>
        </w:rPr>
        <w:t>were considered to be</w:t>
      </w:r>
      <w:proofErr w:type="gramEnd"/>
      <w:r w:rsidR="00235A5F" w:rsidRPr="00F36460">
        <w:rPr>
          <w:rFonts w:cs="Times New Roman"/>
          <w:color w:val="141413"/>
        </w:rPr>
        <w:t xml:space="preserve"> consumers of alcohol. </w:t>
      </w:r>
    </w:p>
    <w:p w14:paraId="2A345F78" w14:textId="77777777" w:rsidR="004C40B4" w:rsidRPr="00F36460" w:rsidRDefault="004C40B4" w:rsidP="003F0A85">
      <w:pPr>
        <w:spacing w:line="480" w:lineRule="auto"/>
        <w:rPr>
          <w:rFonts w:cs="Times New Roman"/>
          <w:color w:val="141413"/>
        </w:rPr>
      </w:pPr>
    </w:p>
    <w:p w14:paraId="52D3F289" w14:textId="77777777" w:rsidR="003F0A85" w:rsidRPr="00F36460" w:rsidRDefault="003F0A85" w:rsidP="003F0A85">
      <w:pPr>
        <w:spacing w:line="480" w:lineRule="auto"/>
        <w:rPr>
          <w:rFonts w:cs="Times New Roman"/>
          <w:color w:val="141413"/>
        </w:rPr>
      </w:pPr>
    </w:p>
    <w:p w14:paraId="280C53A1" w14:textId="77777777" w:rsidR="003F0A85" w:rsidRPr="00F36460" w:rsidRDefault="003F0A85" w:rsidP="00553C5D">
      <w:pPr>
        <w:pStyle w:val="Heading2"/>
      </w:pPr>
      <w:r w:rsidRPr="00F36460">
        <w:t>Statistical analysis</w:t>
      </w:r>
    </w:p>
    <w:p w14:paraId="7BF10381" w14:textId="7901EDCF" w:rsidR="003F0A85" w:rsidRPr="00F36460" w:rsidRDefault="003F0A85" w:rsidP="003F0A85">
      <w:pPr>
        <w:spacing w:line="480" w:lineRule="auto"/>
        <w:rPr>
          <w:rFonts w:cs="Times New Roman"/>
        </w:rPr>
      </w:pPr>
      <w:r w:rsidRPr="00F36460">
        <w:rPr>
          <w:rFonts w:cs="Times New Roman"/>
        </w:rPr>
        <w:t xml:space="preserve">Statistical analyses were performed with Stata 14.1 (Stata Corp LP, College station, Texas). The association between food insecurity (exposure) and sexual intercourse, condom non-use, or multiple sex partners (outcomes) was assessed by country-wise multivariable logistic regression analyses. </w:t>
      </w:r>
      <w:bookmarkStart w:id="4" w:name="_Hlk47356466"/>
      <w:r w:rsidRPr="00F36460">
        <w:rPr>
          <w:rFonts w:cs="Times New Roman"/>
        </w:rPr>
        <w:t>The analysis on condom non-use and multiple sex partners was restricted to those who ever had sexual intercourse (</w:t>
      </w:r>
      <w:r w:rsidRPr="00F36460">
        <w:rPr>
          <w:rFonts w:cs="Times New Roman"/>
          <w:i/>
        </w:rPr>
        <w:t>n</w:t>
      </w:r>
      <w:r w:rsidRPr="00F36460">
        <w:rPr>
          <w:rFonts w:cs="Times New Roman"/>
        </w:rPr>
        <w:t xml:space="preserve">=44,677). </w:t>
      </w:r>
      <w:bookmarkEnd w:id="4"/>
      <w:r w:rsidRPr="00F36460">
        <w:rPr>
          <w:rFonts w:cs="Times New Roman"/>
        </w:rPr>
        <w:t xml:space="preserve">The three-category variable on food insecurity (i.e., never, rarely/sometimes, most of the time/always) was used for the analysis on sexual intercourse but for the analysis restricted to those who ever had sex (i.e., condom </w:t>
      </w:r>
      <w:r w:rsidRPr="00F36460">
        <w:rPr>
          <w:rFonts w:cs="Times New Roman"/>
        </w:rPr>
        <w:lastRenderedPageBreak/>
        <w:t xml:space="preserve">non-use and multiple sex partners), we used the dichotomized variable (i.e., any food insecurity) as the sample size was small in each country and stable estimates could not be obtained. Analyses were also stratified by sex. </w:t>
      </w:r>
    </w:p>
    <w:p w14:paraId="63829E47" w14:textId="77777777" w:rsidR="009B2059" w:rsidRPr="00F36460" w:rsidRDefault="009B2059" w:rsidP="003F0A85">
      <w:pPr>
        <w:spacing w:line="480" w:lineRule="auto"/>
        <w:rPr>
          <w:rFonts w:cs="Times New Roman"/>
        </w:rPr>
      </w:pPr>
    </w:p>
    <w:p w14:paraId="682058A8" w14:textId="5FF56077" w:rsidR="003F0A85" w:rsidRPr="00F36460" w:rsidRDefault="003F0A85" w:rsidP="003F0A85">
      <w:pPr>
        <w:spacing w:line="480" w:lineRule="auto"/>
        <w:rPr>
          <w:rFonts w:cs="Times New Roman"/>
        </w:rPr>
      </w:pPr>
      <w:r w:rsidRPr="00F36460">
        <w:rPr>
          <w:rFonts w:cs="Times New Roman"/>
        </w:rPr>
        <w:t xml:space="preserve">Pooled estimates for all countries and region-wise samples were obtained by meta-analysis with random effects based on country-wise estimates. In order to assess the level of between-country heterogeneity in the association between </w:t>
      </w:r>
      <w:r w:rsidR="008969D1" w:rsidRPr="00F36460">
        <w:rPr>
          <w:rFonts w:cs="Times New Roman"/>
        </w:rPr>
        <w:t>food insecurity and sexual behavior</w:t>
      </w:r>
      <w:r w:rsidRPr="00F36460">
        <w:rPr>
          <w:rFonts w:cs="Times New Roman"/>
        </w:rPr>
        <w:t xml:space="preserve">, </w:t>
      </w:r>
      <w:r w:rsidRPr="00F36460">
        <w:rPr>
          <w:rFonts w:cs="Times New Roman"/>
          <w:lang w:eastAsia="ja-JP"/>
        </w:rPr>
        <w:t>w</w:t>
      </w:r>
      <w:r w:rsidRPr="00F36460">
        <w:rPr>
          <w:rFonts w:cs="Times New Roman"/>
        </w:rPr>
        <w:t xml:space="preserve">e also calculated the Higgins’s </w:t>
      </w:r>
      <w:r w:rsidRPr="00F36460">
        <w:rPr>
          <w:rFonts w:cs="Times New Roman"/>
          <w:i/>
        </w:rPr>
        <w:t>I</w:t>
      </w:r>
      <w:r w:rsidRPr="00F36460">
        <w:rPr>
          <w:rFonts w:cs="Times New Roman"/>
          <w:vertAlign w:val="superscript"/>
        </w:rPr>
        <w:t xml:space="preserve">2 </w:t>
      </w:r>
      <w:r w:rsidRPr="00F36460">
        <w:rPr>
          <w:rFonts w:cs="Times New Roman"/>
        </w:rPr>
        <w:t>which represents the degree of heterogeneity that is not explained by sampling error with values of &lt;40% considered as negligible and 40-60% as moderate heterogeneity</w:t>
      </w:r>
      <w:r w:rsidR="009B2059" w:rsidRPr="00F36460">
        <w:rPr>
          <w:rFonts w:cs="Times New Roman"/>
        </w:rPr>
        <w:t xml:space="preserve"> (Higgins, &amp; Thompson, 2002). </w:t>
      </w:r>
    </w:p>
    <w:p w14:paraId="3DA0005C" w14:textId="77777777" w:rsidR="009B2059" w:rsidRPr="00F36460" w:rsidRDefault="009B2059" w:rsidP="003F0A85">
      <w:pPr>
        <w:spacing w:line="480" w:lineRule="auto"/>
        <w:rPr>
          <w:rFonts w:cs="Times New Roman"/>
        </w:rPr>
      </w:pPr>
    </w:p>
    <w:p w14:paraId="3BF61B58" w14:textId="179EAEAE" w:rsidR="003F0A85" w:rsidRPr="00F36460" w:rsidRDefault="003F0A85" w:rsidP="003F0A85">
      <w:pPr>
        <w:spacing w:line="480" w:lineRule="auto"/>
        <w:rPr>
          <w:rFonts w:cs="Times New Roman"/>
        </w:rPr>
      </w:pPr>
      <w:bookmarkStart w:id="5" w:name="_Hlk47356782"/>
      <w:r w:rsidRPr="00F36460">
        <w:rPr>
          <w:rFonts w:cs="Times New Roman"/>
        </w:rPr>
        <w:t xml:space="preserve">All regression analyses were adjusted for sex, age, and alcohol consumption </w:t>
      </w:r>
      <w:proofErr w:type="gramStart"/>
      <w:r w:rsidRPr="00F36460">
        <w:rPr>
          <w:rFonts w:cs="Times New Roman"/>
        </w:rPr>
        <w:t>with the exception of</w:t>
      </w:r>
      <w:proofErr w:type="gramEnd"/>
      <w:r w:rsidRPr="00F36460">
        <w:rPr>
          <w:rFonts w:cs="Times New Roman"/>
        </w:rPr>
        <w:t xml:space="preserve"> the sex-stratified analysis, which was not adjusted for sex. </w:t>
      </w:r>
      <w:bookmarkEnd w:id="5"/>
      <w:r w:rsidRPr="00F36460">
        <w:rPr>
          <w:rFonts w:eastAsia="MS Mincho" w:cs="Times New Roman"/>
          <w:lang w:eastAsia="ja-JP"/>
        </w:rPr>
        <w:t xml:space="preserve">All variables were included in the regression analysis as categorical variables </w:t>
      </w:r>
      <w:proofErr w:type="gramStart"/>
      <w:r w:rsidRPr="00F36460">
        <w:rPr>
          <w:rFonts w:eastAsia="MS Mincho" w:cs="Times New Roman"/>
          <w:lang w:eastAsia="ja-JP"/>
        </w:rPr>
        <w:t>with the exception of</w:t>
      </w:r>
      <w:proofErr w:type="gramEnd"/>
      <w:r w:rsidRPr="00F36460">
        <w:rPr>
          <w:rFonts w:eastAsia="MS Mincho" w:cs="Times New Roman"/>
          <w:lang w:eastAsia="ja-JP"/>
        </w:rPr>
        <w:t xml:space="preserve"> age (continuous variable). </w:t>
      </w:r>
      <w:r w:rsidRPr="00F36460">
        <w:rPr>
          <w:rFonts w:cs="Times New Roman"/>
        </w:rPr>
        <w:t xml:space="preserve">Sampling weights and the clustered sampling design of the surveys were </w:t>
      </w:r>
      <w:proofErr w:type="gramStart"/>
      <w:r w:rsidRPr="00F36460">
        <w:rPr>
          <w:rFonts w:cs="Times New Roman"/>
        </w:rPr>
        <w:t>taken into account</w:t>
      </w:r>
      <w:proofErr w:type="gramEnd"/>
      <w:r w:rsidRPr="00F36460">
        <w:rPr>
          <w:rFonts w:cs="Times New Roman"/>
        </w:rPr>
        <w:t xml:space="preserve">. Results from the logistic regression analyses are presented as odds ratios (ORs) with 95% confidence intervals (CIs). The level of statistical significance was set at </w:t>
      </w:r>
      <w:r w:rsidRPr="00F36460">
        <w:rPr>
          <w:rFonts w:cs="Times New Roman"/>
          <w:i/>
        </w:rPr>
        <w:t>p</w:t>
      </w:r>
      <w:r w:rsidRPr="00F36460">
        <w:rPr>
          <w:rFonts w:cs="Times New Roman"/>
        </w:rPr>
        <w:t xml:space="preserve">&lt;0.05. </w:t>
      </w:r>
    </w:p>
    <w:p w14:paraId="6B83D18A" w14:textId="77777777" w:rsidR="003F0A85" w:rsidRPr="00F36460" w:rsidRDefault="003F0A85" w:rsidP="003F0A85">
      <w:pPr>
        <w:spacing w:line="480" w:lineRule="auto"/>
        <w:rPr>
          <w:rFonts w:cs="Times New Roman"/>
        </w:rPr>
      </w:pPr>
    </w:p>
    <w:p w14:paraId="3B0A7B6B" w14:textId="77777777" w:rsidR="003F0A85" w:rsidRPr="00F36460" w:rsidRDefault="003F0A85" w:rsidP="00553C5D">
      <w:pPr>
        <w:pStyle w:val="Heading1"/>
      </w:pPr>
      <w:r w:rsidRPr="00F36460">
        <w:t>RESULTS</w:t>
      </w:r>
    </w:p>
    <w:p w14:paraId="1C2D7B16" w14:textId="7B76D7AC" w:rsidR="003F0A85" w:rsidRPr="00F36460" w:rsidRDefault="003F0A85" w:rsidP="003F0A85">
      <w:pPr>
        <w:spacing w:line="480" w:lineRule="auto"/>
        <w:rPr>
          <w:rFonts w:cs="Times New Roman"/>
        </w:rPr>
      </w:pPr>
      <w:r w:rsidRPr="00F36460">
        <w:rPr>
          <w:rFonts w:cs="Times New Roman"/>
        </w:rPr>
        <w:t xml:space="preserve">A total of </w:t>
      </w:r>
      <w:bookmarkStart w:id="6" w:name="_Hlk18932705"/>
      <w:r w:rsidRPr="00F36460">
        <w:rPr>
          <w:rFonts w:cs="Times New Roman"/>
        </w:rPr>
        <w:t xml:space="preserve">205,296 adolescents </w:t>
      </w:r>
      <w:bookmarkEnd w:id="6"/>
      <w:r w:rsidRPr="00F36460">
        <w:rPr>
          <w:rFonts w:cs="Times New Roman"/>
        </w:rPr>
        <w:t xml:space="preserve">attending school were included in the analysis (50% girls). The proportion of students for each age was: 1.6% (≤11 years); 7.8% (12 years); 17.8% (13 years); 24.3% (14 years); 20.5% (15 years); and 28.0% (≥16 years). Overall, 16.0% (boys 20.1%; girls 11.5%) of the students ever had sexual intercourse and among these individuals, 42.6% (boys 42.2%; girls 43.3%) did not use a condom at last sexual intercourse, while </w:t>
      </w:r>
      <w:r w:rsidRPr="00F36460">
        <w:rPr>
          <w:rFonts w:cs="Times New Roman"/>
        </w:rPr>
        <w:lastRenderedPageBreak/>
        <w:t>54.3% (boys 59.7%; girls 43.7%) had had multiple sex partners. The overall prevalence of moderate and severe food insecurity was 44.9% and 6.2%, respectively. The prevalence of sexual behaviors and food insecurity varied widely across countries, with the prevalence of both sexual intercourse and food insecurity being particularly high in African countries (</w:t>
      </w:r>
      <w:r w:rsidRPr="00F36460">
        <w:rPr>
          <w:rFonts w:cs="Times New Roman"/>
          <w:b/>
        </w:rPr>
        <w:t>Table 2</w:t>
      </w:r>
      <w:r w:rsidRPr="00F36460">
        <w:rPr>
          <w:rFonts w:cs="Times New Roman"/>
        </w:rPr>
        <w:t xml:space="preserve">). The association of moderate or severe food insecurity (vs. no food insecurity) with sexual intercourse </w:t>
      </w:r>
      <w:r w:rsidR="00862E1B" w:rsidRPr="00F36460">
        <w:rPr>
          <w:rFonts w:cs="Times New Roman"/>
        </w:rPr>
        <w:t xml:space="preserve">estimated by multivariable logistic regression and meta-analysis </w:t>
      </w:r>
      <w:r w:rsidRPr="00F36460">
        <w:rPr>
          <w:rFonts w:cs="Times New Roman"/>
        </w:rPr>
        <w:t xml:space="preserve">is shown in </w:t>
      </w:r>
      <w:r w:rsidRPr="00F36460">
        <w:rPr>
          <w:rFonts w:cs="Times New Roman"/>
          <w:b/>
        </w:rPr>
        <w:t>Table 3</w:t>
      </w:r>
      <w:r w:rsidRPr="00F36460">
        <w:rPr>
          <w:rFonts w:cs="Times New Roman"/>
        </w:rPr>
        <w:t xml:space="preserve">. In the overall sample, </w:t>
      </w:r>
      <w:r w:rsidR="00862E1B" w:rsidRPr="00F36460">
        <w:rPr>
          <w:rFonts w:cs="Times New Roman"/>
        </w:rPr>
        <w:t xml:space="preserve">after adjustment for age, sex, and alcohol use, </w:t>
      </w:r>
      <w:r w:rsidRPr="00F36460">
        <w:rPr>
          <w:rFonts w:cs="Times New Roman"/>
        </w:rPr>
        <w:t>compared to no food insecurity, moderate and severe food insecurity was associated with 1.14 (95%CI=1.08-1.20) and 1.51 (95%</w:t>
      </w:r>
      <w:r w:rsidR="001F13CE" w:rsidRPr="00F36460">
        <w:rPr>
          <w:rFonts w:cs="Times New Roman"/>
        </w:rPr>
        <w:t xml:space="preserve"> </w:t>
      </w:r>
      <w:r w:rsidRPr="00F36460">
        <w:rPr>
          <w:rFonts w:cs="Times New Roman"/>
        </w:rPr>
        <w:t>CI=1.36-1.67) times higher odds for sexual intercourse, respectively. Significant associations were observed for all regions and for both sexes for severe food insecurity</w:t>
      </w:r>
      <w:r w:rsidR="001278B9" w:rsidRPr="00F36460">
        <w:rPr>
          <w:rFonts w:cs="Times New Roman"/>
        </w:rPr>
        <w:t xml:space="preserve">, with a particularly strong association being observed for girls in SEAR (OR=2.41; 95%CI=1.51-3.86). </w:t>
      </w:r>
      <w:r w:rsidRPr="00F36460">
        <w:rPr>
          <w:rFonts w:cs="Times New Roman"/>
        </w:rPr>
        <w:t xml:space="preserve">For moderate food insecurity, significant associations were observed for all regions for the overall sample, but some estimates were not statistically significant for the sex-stratified analyses. </w:t>
      </w:r>
      <w:r w:rsidRPr="00F36460">
        <w:rPr>
          <w:rFonts w:cs="Times New Roman"/>
          <w:b/>
        </w:rPr>
        <w:t>Table 4</w:t>
      </w:r>
      <w:r w:rsidRPr="00F36460">
        <w:rPr>
          <w:rFonts w:cs="Times New Roman"/>
        </w:rPr>
        <w:t xml:space="preserve"> shows the association between any food insecurity and condom non-use or multiple sex partners among those who ever had sex</w:t>
      </w:r>
      <w:r w:rsidR="001278B9" w:rsidRPr="00F36460">
        <w:rPr>
          <w:rFonts w:cs="Times New Roman"/>
        </w:rPr>
        <w:t xml:space="preserve"> estimated by meta-analysis based on country-wise multivariable logistic regression</w:t>
      </w:r>
      <w:r w:rsidRPr="00F36460">
        <w:rPr>
          <w:rFonts w:cs="Times New Roman"/>
        </w:rPr>
        <w:t>. Any food insecurity was significantly associated with condom non-use at last sex in the overall sample (OR=1.</w:t>
      </w:r>
      <w:r w:rsidR="00590341" w:rsidRPr="00F36460">
        <w:rPr>
          <w:rFonts w:cs="Times New Roman"/>
        </w:rPr>
        <w:t>19</w:t>
      </w:r>
      <w:r w:rsidRPr="00F36460">
        <w:rPr>
          <w:rFonts w:cs="Times New Roman"/>
        </w:rPr>
        <w:t xml:space="preserve">; 95%CI=1.09-1.30), and those from AMR (OR=1.31; 95%CI=1.19-1.45) and WPR (OR=1.31; 95%CI=1.08-1.59). In these samples, the association was significant only among boys. Food insecurity was only significantly associated with having multiple sex partners in SEAR </w:t>
      </w:r>
      <w:r w:rsidR="006735D5" w:rsidRPr="00F36460">
        <w:rPr>
          <w:rFonts w:cs="Times New Roman"/>
        </w:rPr>
        <w:t xml:space="preserve">among boys </w:t>
      </w:r>
      <w:r w:rsidRPr="00F36460">
        <w:rPr>
          <w:rFonts w:cs="Times New Roman"/>
        </w:rPr>
        <w:t xml:space="preserve">(OR=1.48; 95%CI=1.01-2.16). The country-wise analyses on which the results in Table 3 and Table 4 were based on can be found in the Supplementary material (Tables S1-S12). </w:t>
      </w:r>
      <w:r w:rsidR="00AA6B9C" w:rsidRPr="00F36460">
        <w:rPr>
          <w:rFonts w:cs="Times New Roman"/>
        </w:rPr>
        <w:t xml:space="preserve">For most analyses, the level of between-country heterogeneity </w:t>
      </w:r>
      <w:r w:rsidR="001278B9" w:rsidRPr="00F36460">
        <w:rPr>
          <w:rFonts w:cs="Times New Roman"/>
        </w:rPr>
        <w:t xml:space="preserve">as assessed by the Higgin’s </w:t>
      </w:r>
      <w:r w:rsidR="001278B9" w:rsidRPr="00F36460">
        <w:rPr>
          <w:rFonts w:cs="Times New Roman"/>
          <w:i/>
          <w:iCs/>
        </w:rPr>
        <w:t>I</w:t>
      </w:r>
      <w:r w:rsidR="001278B9" w:rsidRPr="00F36460">
        <w:rPr>
          <w:rFonts w:cs="Times New Roman"/>
          <w:i/>
          <w:iCs/>
          <w:vertAlign w:val="superscript"/>
        </w:rPr>
        <w:t>2</w:t>
      </w:r>
      <w:r w:rsidR="001278B9" w:rsidRPr="00F36460">
        <w:rPr>
          <w:rFonts w:cs="Times New Roman"/>
        </w:rPr>
        <w:t xml:space="preserve"> </w:t>
      </w:r>
      <w:r w:rsidR="00AA6B9C" w:rsidRPr="00F36460">
        <w:rPr>
          <w:rFonts w:cs="Times New Roman"/>
        </w:rPr>
        <w:t>was low.</w:t>
      </w:r>
    </w:p>
    <w:p w14:paraId="17D7ABD9" w14:textId="77777777" w:rsidR="003F0A85" w:rsidRPr="00F36460" w:rsidRDefault="003F0A85" w:rsidP="003F0A85">
      <w:pPr>
        <w:spacing w:line="480" w:lineRule="auto"/>
        <w:rPr>
          <w:rFonts w:cs="Times New Roman"/>
        </w:rPr>
      </w:pPr>
    </w:p>
    <w:p w14:paraId="47E867CB" w14:textId="77777777" w:rsidR="003F0A85" w:rsidRPr="00F36460" w:rsidRDefault="003F0A85" w:rsidP="00553C5D">
      <w:pPr>
        <w:pStyle w:val="Heading1"/>
      </w:pPr>
      <w:r w:rsidRPr="00F36460">
        <w:lastRenderedPageBreak/>
        <w:t>DISCUSSION</w:t>
      </w:r>
    </w:p>
    <w:p w14:paraId="39E2A6EC" w14:textId="55D5B7E4" w:rsidR="003F0A85" w:rsidRPr="00F36460" w:rsidRDefault="003F0A85" w:rsidP="003F0A85">
      <w:pPr>
        <w:spacing w:line="480" w:lineRule="auto"/>
        <w:rPr>
          <w:rFonts w:cs="Times New Roman"/>
        </w:rPr>
      </w:pPr>
      <w:r w:rsidRPr="00F36460">
        <w:rPr>
          <w:rFonts w:cs="Times New Roman"/>
        </w:rPr>
        <w:t xml:space="preserve">In this large global sample of 205, 296 adolescents from 53 countries, approximately 51% of the sample reported </w:t>
      </w:r>
      <w:r w:rsidR="00590341" w:rsidRPr="00F36460">
        <w:rPr>
          <w:rFonts w:cs="Times New Roman"/>
        </w:rPr>
        <w:t xml:space="preserve">some level of </w:t>
      </w:r>
      <w:r w:rsidRPr="00F36460">
        <w:rPr>
          <w:rFonts w:cs="Times New Roman"/>
        </w:rPr>
        <w:t>food insecurity. Moreover, food insecurity was associated with higher odds of ever having sexual intercourse dose-dependently. Among those who ever had sex, any food insecurity was associated with non-condom use at last sexual encounter in the overall sample, while having multiple sexual partners was significantly associated with any food insecurity only among boys in SEAR.</w:t>
      </w:r>
    </w:p>
    <w:p w14:paraId="472A6CD9" w14:textId="77777777" w:rsidR="003F0A85" w:rsidRPr="00F36460" w:rsidRDefault="003F0A85" w:rsidP="003F0A85">
      <w:pPr>
        <w:spacing w:line="480" w:lineRule="auto"/>
        <w:rPr>
          <w:rFonts w:cs="Times New Roman"/>
        </w:rPr>
      </w:pPr>
    </w:p>
    <w:p w14:paraId="211F6EF6" w14:textId="555606CB" w:rsidR="001A2054" w:rsidRPr="005E4774" w:rsidRDefault="003F0A85" w:rsidP="003F0A85">
      <w:pPr>
        <w:spacing w:line="480" w:lineRule="auto"/>
      </w:pPr>
      <w:bookmarkStart w:id="7" w:name="_Hlk47358641"/>
      <w:r w:rsidRPr="00F36460">
        <w:rPr>
          <w:rFonts w:cs="Times New Roman"/>
        </w:rPr>
        <w:t>Findings from the present study support previous work in this area showing associations between food insecurity and unwanted sexual contact</w:t>
      </w:r>
      <w:r w:rsidR="002654E3" w:rsidRPr="00F36460">
        <w:rPr>
          <w:rFonts w:cs="Times New Roman"/>
        </w:rPr>
        <w:t>. Specifically,</w:t>
      </w:r>
      <w:r w:rsidRPr="00F36460">
        <w:rPr>
          <w:rFonts w:cs="Times New Roman"/>
        </w:rPr>
        <w:t xml:space="preserve"> </w:t>
      </w:r>
      <w:r w:rsidR="00611485" w:rsidRPr="00F36460">
        <w:rPr>
          <w:rFonts w:cs="Times New Roman"/>
        </w:rPr>
        <w:t>it was found that</w:t>
      </w:r>
      <w:r w:rsidR="003A68C9" w:rsidRPr="00F36460">
        <w:rPr>
          <w:rFonts w:cs="Times New Roman"/>
        </w:rPr>
        <w:t xml:space="preserve"> </w:t>
      </w:r>
      <w:r w:rsidR="00611485" w:rsidRPr="00F36460">
        <w:rPr>
          <w:rFonts w:cs="Times New Roman"/>
        </w:rPr>
        <w:t xml:space="preserve">food insecurity was significantly associated with unwanted sexual contact (OR 1.05, 95% CI 1.02, 1.08) </w:t>
      </w:r>
      <w:r w:rsidR="002654E3" w:rsidRPr="00F36460">
        <w:rPr>
          <w:rFonts w:cs="Times New Roman"/>
        </w:rPr>
        <w:t xml:space="preserve">among Ghanaian adolescents </w:t>
      </w:r>
      <w:r w:rsidR="003A68C9" w:rsidRPr="00F36460">
        <w:rPr>
          <w:rFonts w:cs="Times New Roman"/>
        </w:rPr>
        <w:t>(Masa et al., 2019)</w:t>
      </w:r>
      <w:r w:rsidRPr="00F36460">
        <w:rPr>
          <w:rFonts w:cs="Times New Roman"/>
        </w:rPr>
        <w:t>,</w:t>
      </w:r>
      <w:r w:rsidR="003A68C9" w:rsidRPr="00F36460">
        <w:rPr>
          <w:rFonts w:cs="Times New Roman"/>
        </w:rPr>
        <w:t xml:space="preserve"> </w:t>
      </w:r>
      <w:r w:rsidRPr="00F36460">
        <w:rPr>
          <w:rFonts w:cs="Times New Roman"/>
        </w:rPr>
        <w:t>and risky sexual behavior among women living with HIV</w:t>
      </w:r>
      <w:r w:rsidR="003A68C9" w:rsidRPr="00F36460">
        <w:rPr>
          <w:rFonts w:cs="Times New Roman"/>
        </w:rPr>
        <w:t xml:space="preserve"> (Chop et al., 2017). </w:t>
      </w:r>
      <w:bookmarkEnd w:id="7"/>
      <w:proofErr w:type="gramStart"/>
      <w:r w:rsidRPr="00F36460">
        <w:rPr>
          <w:rFonts w:cs="Times New Roman"/>
        </w:rPr>
        <w:t>A number of</w:t>
      </w:r>
      <w:proofErr w:type="gramEnd"/>
      <w:r w:rsidRPr="00F36460">
        <w:rPr>
          <w:rFonts w:cs="Times New Roman"/>
        </w:rPr>
        <w:t xml:space="preserve"> mechanisms may explain the relationship between food insecurity and sexual intercourse, non-condom use, and multiple sexual partners observed in the present study. </w:t>
      </w:r>
      <w:bookmarkStart w:id="8" w:name="_Hlk47376832"/>
      <w:r w:rsidRPr="005E4774">
        <w:rPr>
          <w:rFonts w:cs="Times New Roman"/>
        </w:rPr>
        <w:t xml:space="preserve">First, </w:t>
      </w:r>
      <w:r w:rsidR="001A2054" w:rsidRPr="005E4774">
        <w:t>when considering the association between food insecurity and risky sexual behavior from a theoretical perspective, one could argue that social factors such as gender, stigma, poverty and education in certain constellations are structural drivers that could lead to food insecurity, which in turn could cause anxiety, alienation, and poor coping that may consequently</w:t>
      </w:r>
      <w:r w:rsidR="00EF5B08" w:rsidRPr="005E4774">
        <w:t xml:space="preserve"> lead to risky sexual behavior. </w:t>
      </w:r>
      <w:r w:rsidR="001A2054" w:rsidRPr="005E4774">
        <w:t xml:space="preserve">Indeed, these issues have been shown in studies on HIV risk and may also apply to food insecurity and risky sexual behavior (Weiser et al, </w:t>
      </w:r>
      <w:r w:rsidR="0032345B" w:rsidRPr="005E4774">
        <w:t>2011</w:t>
      </w:r>
      <w:r w:rsidR="001A2054" w:rsidRPr="005E4774">
        <w:t xml:space="preserve">). </w:t>
      </w:r>
    </w:p>
    <w:p w14:paraId="2290FA31" w14:textId="77777777" w:rsidR="001A2054" w:rsidRDefault="001A2054" w:rsidP="003F0A85">
      <w:pPr>
        <w:spacing w:line="480" w:lineRule="auto"/>
        <w:rPr>
          <w:color w:val="FF0000"/>
        </w:rPr>
      </w:pPr>
    </w:p>
    <w:p w14:paraId="1E1FB631" w14:textId="1276DF04" w:rsidR="001A2054" w:rsidRDefault="001A2054" w:rsidP="003F0A85">
      <w:pPr>
        <w:spacing w:line="480" w:lineRule="auto"/>
        <w:rPr>
          <w:rFonts w:cs="Times New Roman"/>
        </w:rPr>
      </w:pPr>
      <w:r w:rsidRPr="005E4774">
        <w:t xml:space="preserve">Second, </w:t>
      </w:r>
      <w:r w:rsidR="003F0A85" w:rsidRPr="005E4774">
        <w:rPr>
          <w:rFonts w:cs="Times New Roman"/>
        </w:rPr>
        <w:t xml:space="preserve">it is possible that female adolescents (specifically) may engage in sexual activity </w:t>
      </w:r>
      <w:r w:rsidR="003F0A85" w:rsidRPr="00F36460">
        <w:rPr>
          <w:rFonts w:cs="Times New Roman"/>
        </w:rPr>
        <w:t>with their partners due to reliance on male partners for food. This has previously been shown to be the case among females from Uganda</w:t>
      </w:r>
      <w:r w:rsidR="003A68C9" w:rsidRPr="00F36460">
        <w:rPr>
          <w:rFonts w:cs="Times New Roman"/>
        </w:rPr>
        <w:t xml:space="preserve"> (Miller et al., 2011). </w:t>
      </w:r>
      <w:r w:rsidR="003F0A85" w:rsidRPr="00F36460">
        <w:rPr>
          <w:rFonts w:cs="Times New Roman"/>
        </w:rPr>
        <w:t xml:space="preserve">Indeed, in the same study, it </w:t>
      </w:r>
      <w:r w:rsidR="003F0A85" w:rsidRPr="00F36460">
        <w:rPr>
          <w:rFonts w:cs="Times New Roman"/>
        </w:rPr>
        <w:lastRenderedPageBreak/>
        <w:t>was reported by some women that their male sexual partners would deny food sources in order to control the circumstances around sex, including the timing. Moreover, this lack of control prevented women from successfully negotiating condom use.</w:t>
      </w:r>
      <w:r w:rsidR="007B279D" w:rsidRPr="00F36460">
        <w:rPr>
          <w:rFonts w:cs="Times New Roman"/>
        </w:rPr>
        <w:t xml:space="preserve"> Work by the anthropologist Paola </w:t>
      </w:r>
      <w:proofErr w:type="spellStart"/>
      <w:r w:rsidR="007B279D" w:rsidRPr="00F36460">
        <w:rPr>
          <w:rFonts w:cs="Times New Roman"/>
        </w:rPr>
        <w:t>Tabet</w:t>
      </w:r>
      <w:proofErr w:type="spellEnd"/>
      <w:r w:rsidR="003F0A85" w:rsidRPr="00F36460">
        <w:rPr>
          <w:rFonts w:cs="Times New Roman"/>
        </w:rPr>
        <w:t xml:space="preserve"> </w:t>
      </w:r>
      <w:r w:rsidR="007B279D" w:rsidRPr="00F36460">
        <w:rPr>
          <w:rFonts w:cs="Times New Roman"/>
        </w:rPr>
        <w:t>terms this scenario “affective economic transactions”</w:t>
      </w:r>
      <w:r w:rsidR="0059222F" w:rsidRPr="00F36460">
        <w:rPr>
          <w:rFonts w:cs="Times New Roman"/>
        </w:rPr>
        <w:t xml:space="preserve"> where</w:t>
      </w:r>
      <w:r w:rsidR="007B279D" w:rsidRPr="00F36460">
        <w:rPr>
          <w:rFonts w:cs="Times New Roman"/>
        </w:rPr>
        <w:t xml:space="preserve"> sexual intercourse is considered as a value in a broader exchange</w:t>
      </w:r>
      <w:r w:rsidR="0059222F" w:rsidRPr="00F36460">
        <w:rPr>
          <w:rFonts w:cs="Times New Roman"/>
        </w:rPr>
        <w:t>.</w:t>
      </w:r>
      <w:r w:rsidR="007B279D" w:rsidRPr="00F36460">
        <w:rPr>
          <w:rFonts w:cs="Times New Roman"/>
        </w:rPr>
        <w:t xml:space="preserve"> </w:t>
      </w:r>
      <w:r w:rsidR="0059222F" w:rsidRPr="00F36460">
        <w:rPr>
          <w:rFonts w:cs="Times New Roman"/>
        </w:rPr>
        <w:t>F</w:t>
      </w:r>
      <w:r w:rsidR="007B279D" w:rsidRPr="00F36460">
        <w:rPr>
          <w:rFonts w:cs="Times New Roman"/>
        </w:rPr>
        <w:t>or example, females in some cultures may not "desire" to have sex but they decide to have sex because they need to eat</w:t>
      </w:r>
      <w:bookmarkEnd w:id="8"/>
      <w:r w:rsidR="00997051" w:rsidRPr="00F36460">
        <w:rPr>
          <w:rFonts w:cs="Times New Roman"/>
        </w:rPr>
        <w:t xml:space="preserve"> (</w:t>
      </w:r>
      <w:proofErr w:type="spellStart"/>
      <w:r w:rsidR="00997051" w:rsidRPr="00F36460">
        <w:rPr>
          <w:rFonts w:cs="Times New Roman"/>
        </w:rPr>
        <w:t>Trachman</w:t>
      </w:r>
      <w:proofErr w:type="spellEnd"/>
      <w:r w:rsidR="00997051" w:rsidRPr="00F36460">
        <w:rPr>
          <w:rFonts w:cs="Times New Roman"/>
        </w:rPr>
        <w:t>, 2009).</w:t>
      </w:r>
      <w:r>
        <w:rPr>
          <w:rFonts w:cs="Times New Roman"/>
        </w:rPr>
        <w:t>Third</w:t>
      </w:r>
      <w:r w:rsidR="003F0A85" w:rsidRPr="00F36460">
        <w:rPr>
          <w:rFonts w:cs="Times New Roman"/>
        </w:rPr>
        <w:t>, it is possible that young people may engage in sexual activity, particularly age-disparate sex, to manage physical and emotional consequences of not having enough food to eat</w:t>
      </w:r>
      <w:r w:rsidR="003A68C9" w:rsidRPr="00F36460">
        <w:rPr>
          <w:rFonts w:cs="Times New Roman"/>
        </w:rPr>
        <w:t xml:space="preserve"> (Masa et al., 2019). </w:t>
      </w:r>
    </w:p>
    <w:p w14:paraId="45EC12F7" w14:textId="77777777" w:rsidR="001A2054" w:rsidRDefault="001A2054" w:rsidP="003F0A85">
      <w:pPr>
        <w:spacing w:line="480" w:lineRule="auto"/>
        <w:rPr>
          <w:rFonts w:cs="Times New Roman"/>
        </w:rPr>
      </w:pPr>
    </w:p>
    <w:p w14:paraId="205A2680" w14:textId="0A13C23B" w:rsidR="007E0288" w:rsidRPr="005E4774" w:rsidRDefault="001A2054" w:rsidP="003F0A85">
      <w:pPr>
        <w:spacing w:line="480" w:lineRule="auto"/>
        <w:rPr>
          <w:rFonts w:cs="Times New Roman"/>
        </w:rPr>
      </w:pPr>
      <w:r w:rsidRPr="005E4774">
        <w:rPr>
          <w:rFonts w:cs="Times New Roman"/>
        </w:rPr>
        <w:t>Alternatively, f</w:t>
      </w:r>
      <w:r w:rsidR="00262973" w:rsidRPr="005E4774">
        <w:rPr>
          <w:rFonts w:cs="Times New Roman"/>
        </w:rPr>
        <w:t xml:space="preserve">ood insecurity may also be a proxy of broader precariousness and this may negatively inﬂuence the ability of young people to think about risk aversion or long-term consequences of risky behaviors. Furthermore, young people who remain without adequate access to food may become less concerned about the future and more worried about immediate satisfaction of their basic needs. </w:t>
      </w:r>
      <w:r w:rsidR="003F0A85" w:rsidRPr="005E4774">
        <w:rPr>
          <w:rFonts w:cs="Times New Roman"/>
        </w:rPr>
        <w:t xml:space="preserve">A further </w:t>
      </w:r>
      <w:r w:rsidR="003F0A85" w:rsidRPr="00F36460">
        <w:rPr>
          <w:rFonts w:cs="Times New Roman"/>
        </w:rPr>
        <w:t>explanation may be that those who experience food insecurity also have a higher prevalence of mental health complications. Indeed, it has been hypothesized that poor nutrition, stress, and shame linked to food insecurity may lead to increased risk for mental health problems</w:t>
      </w:r>
      <w:r w:rsidR="006B3B11" w:rsidRPr="00F36460">
        <w:rPr>
          <w:rFonts w:cs="Times New Roman"/>
        </w:rPr>
        <w:t xml:space="preserve"> (</w:t>
      </w:r>
      <w:proofErr w:type="spellStart"/>
      <w:r w:rsidR="006B3B11" w:rsidRPr="00F36460">
        <w:rPr>
          <w:rFonts w:cs="Times New Roman"/>
        </w:rPr>
        <w:t>Althoff</w:t>
      </w:r>
      <w:proofErr w:type="spellEnd"/>
      <w:r w:rsidR="006B3B11" w:rsidRPr="00F36460">
        <w:rPr>
          <w:rFonts w:cs="Times New Roman"/>
        </w:rPr>
        <w:t xml:space="preserve">, </w:t>
      </w:r>
      <w:proofErr w:type="spellStart"/>
      <w:r w:rsidR="006B3B11" w:rsidRPr="00F36460">
        <w:rPr>
          <w:rFonts w:cs="Times New Roman"/>
        </w:rPr>
        <w:t>Ametti</w:t>
      </w:r>
      <w:proofErr w:type="spellEnd"/>
      <w:r w:rsidR="006B3B11" w:rsidRPr="00F36460">
        <w:rPr>
          <w:rFonts w:cs="Times New Roman"/>
        </w:rPr>
        <w:t xml:space="preserve">, &amp; </w:t>
      </w:r>
      <w:proofErr w:type="spellStart"/>
      <w:r w:rsidR="006B3B11" w:rsidRPr="00F36460">
        <w:rPr>
          <w:rFonts w:cs="Times New Roman"/>
        </w:rPr>
        <w:t>Bertmann</w:t>
      </w:r>
      <w:proofErr w:type="spellEnd"/>
      <w:r w:rsidR="006B3B11" w:rsidRPr="00F36460">
        <w:rPr>
          <w:rFonts w:cs="Times New Roman"/>
        </w:rPr>
        <w:t xml:space="preserve">, 2016; </w:t>
      </w:r>
      <w:proofErr w:type="spellStart"/>
      <w:r w:rsidR="006B3B11" w:rsidRPr="00F36460">
        <w:rPr>
          <w:rFonts w:cs="Times New Roman"/>
        </w:rPr>
        <w:t>Koyanagi</w:t>
      </w:r>
      <w:proofErr w:type="spellEnd"/>
      <w:r w:rsidR="006B3B11" w:rsidRPr="00F36460">
        <w:rPr>
          <w:rFonts w:cs="Times New Roman"/>
        </w:rPr>
        <w:t xml:space="preserve"> et al., </w:t>
      </w:r>
      <w:r w:rsidR="006B3B11" w:rsidRPr="005E4774">
        <w:rPr>
          <w:rFonts w:cs="Times New Roman"/>
        </w:rPr>
        <w:t xml:space="preserve">2019). </w:t>
      </w:r>
      <w:r w:rsidR="003F0A85" w:rsidRPr="005E4774">
        <w:rPr>
          <w:rFonts w:cs="Times New Roman"/>
        </w:rPr>
        <w:t>Importantly, mental health problems have been shown to be associated with risky sexual behavior</w:t>
      </w:r>
      <w:r w:rsidR="005970EE" w:rsidRPr="005E4774">
        <w:rPr>
          <w:rFonts w:cs="Times New Roman"/>
        </w:rPr>
        <w:t xml:space="preserve"> (Bennett, &amp; Bauman, 2000</w:t>
      </w:r>
      <w:r w:rsidR="005970EE" w:rsidRPr="006240A0">
        <w:rPr>
          <w:rFonts w:cs="Times New Roman"/>
        </w:rPr>
        <w:t>)</w:t>
      </w:r>
      <w:r w:rsidR="00C761A2" w:rsidRPr="006240A0">
        <w:rPr>
          <w:rFonts w:cs="Times New Roman"/>
        </w:rPr>
        <w:t xml:space="preserve"> and this is particularly true for adolescent populations </w:t>
      </w:r>
      <w:hyperlink r:id="rId14" w:history="1">
        <w:r w:rsidR="00C761A2" w:rsidRPr="006240A0">
          <w:rPr>
            <w:rStyle w:val="Hyperlink"/>
            <w:rFonts w:cs="Times New Roman"/>
            <w:color w:val="auto"/>
          </w:rPr>
          <w:t>https://www.ncbi.nlm.nih.gov/pmc/articles/PMC1118255/</w:t>
        </w:r>
      </w:hyperlink>
      <w:r w:rsidR="00C761A2" w:rsidRPr="006240A0">
        <w:rPr>
          <w:rFonts w:cs="Times New Roman"/>
        </w:rPr>
        <w:t xml:space="preserve"> </w:t>
      </w:r>
      <w:hyperlink r:id="rId15" w:history="1">
        <w:r w:rsidR="00C761A2" w:rsidRPr="006240A0">
          <w:rPr>
            <w:rStyle w:val="Hyperlink"/>
            <w:rFonts w:cs="Times New Roman"/>
            <w:color w:val="auto"/>
          </w:rPr>
          <w:t>https://www.ncbi.nlm.nih.gov/pmc/articles/PMC27440/</w:t>
        </w:r>
      </w:hyperlink>
      <w:r w:rsidR="00C761A2" w:rsidRPr="006240A0">
        <w:rPr>
          <w:rFonts w:cs="Times New Roman"/>
        </w:rPr>
        <w:t xml:space="preserve">. Moreover, sexual risk taking usually begins during adolescence </w:t>
      </w:r>
      <w:hyperlink r:id="rId16" w:history="1">
        <w:r w:rsidR="00C761A2" w:rsidRPr="006240A0">
          <w:rPr>
            <w:rStyle w:val="Hyperlink"/>
            <w:rFonts w:cs="Times New Roman"/>
            <w:color w:val="auto"/>
          </w:rPr>
          <w:t>https://www.who.int/news-room/fact-sheets/detail/adolescent-mental-health</w:t>
        </w:r>
      </w:hyperlink>
      <w:r w:rsidR="00C761A2" w:rsidRPr="006240A0">
        <w:rPr>
          <w:rFonts w:cs="Times New Roman"/>
        </w:rPr>
        <w:t xml:space="preserve">. </w:t>
      </w:r>
      <w:r w:rsidR="005970EE" w:rsidRPr="006240A0">
        <w:rPr>
          <w:rFonts w:cs="Times New Roman"/>
        </w:rPr>
        <w:t xml:space="preserve"> </w:t>
      </w:r>
      <w:r w:rsidR="0038598C" w:rsidRPr="006240A0">
        <w:rPr>
          <w:rFonts w:cs="Times New Roman"/>
        </w:rPr>
        <w:t xml:space="preserve">All </w:t>
      </w:r>
      <w:bookmarkStart w:id="9" w:name="_Hlk52182360"/>
      <w:r w:rsidR="0038598C" w:rsidRPr="006240A0">
        <w:rPr>
          <w:rFonts w:cs="Times New Roman"/>
        </w:rPr>
        <w:t>t</w:t>
      </w:r>
      <w:r w:rsidR="00074CFA" w:rsidRPr="006240A0">
        <w:rPr>
          <w:rFonts w:cs="Times New Roman"/>
        </w:rPr>
        <w:t xml:space="preserve">hese hypotheses underline the necessity for protection and </w:t>
      </w:r>
      <w:r w:rsidR="00074CFA" w:rsidRPr="005E4774">
        <w:rPr>
          <w:rFonts w:cs="Times New Roman"/>
        </w:rPr>
        <w:lastRenderedPageBreak/>
        <w:t>implementation of basic human rights, such as access to adequate living standards, employment and food, which are the prerequisite for achieving sexual rights leading to the attainment and mainte</w:t>
      </w:r>
      <w:r w:rsidR="008A60EF" w:rsidRPr="005E4774">
        <w:rPr>
          <w:rFonts w:cs="Times New Roman"/>
        </w:rPr>
        <w:t>nance of sexual health globally (</w:t>
      </w:r>
      <w:bookmarkEnd w:id="9"/>
      <w:proofErr w:type="spellStart"/>
      <w:r w:rsidR="008A60EF" w:rsidRPr="005E4774">
        <w:rPr>
          <w:rFonts w:cs="Times New Roman"/>
          <w:shd w:val="clear" w:color="auto" w:fill="FFFFFF"/>
        </w:rPr>
        <w:t>Kismödi</w:t>
      </w:r>
      <w:proofErr w:type="spellEnd"/>
      <w:r w:rsidR="008A60EF" w:rsidRPr="005E4774">
        <w:rPr>
          <w:rFonts w:cs="Times New Roman"/>
          <w:shd w:val="clear" w:color="auto" w:fill="FFFFFF"/>
        </w:rPr>
        <w:t xml:space="preserve"> et al., 2017). </w:t>
      </w:r>
      <w:r w:rsidR="00344170" w:rsidRPr="005E4774">
        <w:t xml:space="preserve"> </w:t>
      </w:r>
    </w:p>
    <w:p w14:paraId="0516210A" w14:textId="77777777" w:rsidR="007E0288" w:rsidRPr="00F36460" w:rsidRDefault="007E0288" w:rsidP="003F0A85">
      <w:pPr>
        <w:spacing w:line="480" w:lineRule="auto"/>
        <w:rPr>
          <w:rFonts w:cs="Times New Roman"/>
        </w:rPr>
      </w:pPr>
    </w:p>
    <w:p w14:paraId="4469A699" w14:textId="00D7F17C" w:rsidR="00D06903" w:rsidRDefault="00DB7D36" w:rsidP="003F0A85">
      <w:pPr>
        <w:spacing w:line="480" w:lineRule="auto"/>
        <w:rPr>
          <w:rFonts w:cs="Times New Roman"/>
        </w:rPr>
      </w:pPr>
      <w:bookmarkStart w:id="10" w:name="_Hlk47378708"/>
      <w:r w:rsidRPr="00F36460">
        <w:rPr>
          <w:rFonts w:cs="Times New Roman"/>
        </w:rPr>
        <w:t>It is important to note here that</w:t>
      </w:r>
      <w:r w:rsidR="007E0288" w:rsidRPr="00F36460">
        <w:rPr>
          <w:rFonts w:cs="Times New Roman"/>
        </w:rPr>
        <w:t xml:space="preserve"> the present analyses found an association between food insecurity and non-condom use </w:t>
      </w:r>
      <w:r w:rsidR="0057619F" w:rsidRPr="00F36460">
        <w:rPr>
          <w:rFonts w:cs="Times New Roman"/>
        </w:rPr>
        <w:t>in</w:t>
      </w:r>
      <w:r w:rsidR="007E0288" w:rsidRPr="00F36460">
        <w:rPr>
          <w:rFonts w:cs="Times New Roman"/>
        </w:rPr>
        <w:t xml:space="preserve"> the overall sample and in boys but not girls. Interestingly, other research has found contradictory findings</w:t>
      </w:r>
      <w:r w:rsidR="0059222F" w:rsidRPr="00F36460">
        <w:rPr>
          <w:rFonts w:cs="Times New Roman"/>
        </w:rPr>
        <w:t>.</w:t>
      </w:r>
      <w:r w:rsidR="007E0288" w:rsidRPr="00F36460">
        <w:rPr>
          <w:rFonts w:cs="Times New Roman"/>
        </w:rPr>
        <w:t xml:space="preserve"> </w:t>
      </w:r>
      <w:r w:rsidR="0059222F" w:rsidRPr="00F36460">
        <w:rPr>
          <w:rFonts w:cs="Times New Roman"/>
        </w:rPr>
        <w:t>F</w:t>
      </w:r>
      <w:r w:rsidR="007E0288" w:rsidRPr="00F36460">
        <w:rPr>
          <w:rFonts w:cs="Times New Roman"/>
        </w:rPr>
        <w:t>or example, on</w:t>
      </w:r>
      <w:r w:rsidR="0057619F" w:rsidRPr="00F36460">
        <w:rPr>
          <w:rFonts w:cs="Times New Roman"/>
        </w:rPr>
        <w:t>e</w:t>
      </w:r>
      <w:r w:rsidR="007E0288" w:rsidRPr="00F36460">
        <w:rPr>
          <w:rFonts w:cs="Times New Roman"/>
        </w:rPr>
        <w:t xml:space="preserve"> study in a sample of 261 young men and women from Urban Kenya found that food insufficiency was associated with non-condom use in women but not men</w:t>
      </w:r>
      <w:r w:rsidR="00E938A3" w:rsidRPr="00F36460">
        <w:rPr>
          <w:rFonts w:cs="Times New Roman"/>
        </w:rPr>
        <w:t xml:space="preserve"> (Davidoff-Gore, Luke, &amp; </w:t>
      </w:r>
      <w:proofErr w:type="spellStart"/>
      <w:r w:rsidR="00E938A3" w:rsidRPr="00F36460">
        <w:rPr>
          <w:rFonts w:cs="Times New Roman"/>
        </w:rPr>
        <w:t>Wawire</w:t>
      </w:r>
      <w:proofErr w:type="spellEnd"/>
      <w:r w:rsidR="00E938A3" w:rsidRPr="00F36460">
        <w:rPr>
          <w:rFonts w:cs="Times New Roman"/>
        </w:rPr>
        <w:t xml:space="preserve">, 2011). </w:t>
      </w:r>
      <w:r w:rsidR="0057619F" w:rsidRPr="00F36460">
        <w:rPr>
          <w:rFonts w:cs="Times New Roman"/>
        </w:rPr>
        <w:t xml:space="preserve">It is not clear why these differing results exist and there is </w:t>
      </w:r>
      <w:r w:rsidR="0059222F" w:rsidRPr="00F36460">
        <w:rPr>
          <w:rFonts w:cs="Times New Roman"/>
        </w:rPr>
        <w:t>current</w:t>
      </w:r>
      <w:r w:rsidR="0057619F" w:rsidRPr="00F36460">
        <w:rPr>
          <w:rFonts w:cs="Times New Roman"/>
        </w:rPr>
        <w:t xml:space="preserve">ly little research on gender-specific correlates of non-condom use in adolescents. We encourage future epidemiological investigation in this area. </w:t>
      </w:r>
      <w:bookmarkEnd w:id="10"/>
    </w:p>
    <w:p w14:paraId="7757D405" w14:textId="77777777" w:rsidR="00344170" w:rsidRPr="00F36460" w:rsidRDefault="00344170" w:rsidP="003F0A85">
      <w:pPr>
        <w:spacing w:line="480" w:lineRule="auto"/>
        <w:rPr>
          <w:rFonts w:cs="Times New Roman"/>
        </w:rPr>
      </w:pPr>
    </w:p>
    <w:p w14:paraId="2E264C8F" w14:textId="5CCA2D62" w:rsidR="003F0A85" w:rsidRPr="005E4774" w:rsidRDefault="00D06903" w:rsidP="003F0A85">
      <w:pPr>
        <w:spacing w:line="480" w:lineRule="auto"/>
        <w:rPr>
          <w:rFonts w:cs="Times New Roman"/>
        </w:rPr>
      </w:pPr>
      <w:r w:rsidRPr="00F36460">
        <w:rPr>
          <w:rFonts w:cs="Times New Roman"/>
        </w:rPr>
        <w:t>T</w:t>
      </w:r>
      <w:r w:rsidR="003F0A85" w:rsidRPr="00F36460">
        <w:rPr>
          <w:rFonts w:cs="Times New Roman"/>
        </w:rPr>
        <w:t xml:space="preserve">he reason why an association was only found between food insecurity and multiple sexual partners in SEAR is not known. </w:t>
      </w:r>
      <w:bookmarkStart w:id="11" w:name="_Hlk47379578"/>
      <w:r w:rsidRPr="00F36460">
        <w:rPr>
          <w:rFonts w:cs="Times New Roman"/>
        </w:rPr>
        <w:t xml:space="preserve">Moreover, an association between food insecurity and non-condom use was found in </w:t>
      </w:r>
      <w:r w:rsidRPr="005E4774">
        <w:rPr>
          <w:rFonts w:cs="Times New Roman"/>
        </w:rPr>
        <w:t xml:space="preserve">the AMR and WPR but not </w:t>
      </w:r>
      <w:r w:rsidR="0059222F" w:rsidRPr="005E4774">
        <w:rPr>
          <w:rFonts w:cs="Times New Roman"/>
        </w:rPr>
        <w:t xml:space="preserve">in </w:t>
      </w:r>
      <w:r w:rsidRPr="005E4774">
        <w:rPr>
          <w:rFonts w:cs="Times New Roman"/>
        </w:rPr>
        <w:t xml:space="preserve">AFR and SEAR. </w:t>
      </w:r>
      <w:bookmarkStart w:id="12" w:name="_Hlk52183053"/>
      <w:bookmarkEnd w:id="11"/>
      <w:r w:rsidR="00344170" w:rsidRPr="005E4774">
        <w:rPr>
          <w:rFonts w:cs="Times New Roman"/>
        </w:rPr>
        <w:t>A cultural comparison of differences in associations between hunger and sexual behaviors is beyond the scope of this manuscript and future anthropological work is required to shed light on the differences. However, previous studies have shown a gender bias in food insecurity, as boys may be more preferentially treated next to girls in terms of food provision, especially in low</w:t>
      </w:r>
      <w:r w:rsidR="00D4456D" w:rsidRPr="005E4774">
        <w:rPr>
          <w:rFonts w:cs="Times New Roman"/>
        </w:rPr>
        <w:t>-</w:t>
      </w:r>
      <w:r w:rsidR="00344170" w:rsidRPr="005E4774">
        <w:rPr>
          <w:rFonts w:cs="Times New Roman"/>
        </w:rPr>
        <w:t>income countries (</w:t>
      </w:r>
      <w:r w:rsidR="0031129A" w:rsidRPr="005E4774">
        <w:rPr>
          <w:rFonts w:cs="Times New Roman"/>
        </w:rPr>
        <w:t>Hadley et al., 2008</w:t>
      </w:r>
      <w:r w:rsidR="00344170" w:rsidRPr="005E4774">
        <w:rPr>
          <w:rFonts w:cs="Times New Roman"/>
        </w:rPr>
        <w:t>). We would hypothesize that the same might be true in more affluent countries, however, the difference may be more directed at marginalized populations or based on social differences rather than gender</w:t>
      </w:r>
      <w:r w:rsidR="00D4456D" w:rsidRPr="005E4774">
        <w:rPr>
          <w:rFonts w:cs="Times New Roman"/>
        </w:rPr>
        <w:t xml:space="preserve"> in th</w:t>
      </w:r>
      <w:r w:rsidR="00856AAF" w:rsidRPr="005E4774">
        <w:rPr>
          <w:rFonts w:cs="Times New Roman"/>
        </w:rPr>
        <w:t>is context</w:t>
      </w:r>
      <w:r w:rsidR="00344170" w:rsidRPr="005E4774">
        <w:rPr>
          <w:rFonts w:cs="Times New Roman"/>
        </w:rPr>
        <w:t>.</w:t>
      </w:r>
    </w:p>
    <w:bookmarkEnd w:id="12"/>
    <w:p w14:paraId="5C808F08" w14:textId="77777777" w:rsidR="00594790" w:rsidRPr="00F36460" w:rsidRDefault="00594790" w:rsidP="003F0A85">
      <w:pPr>
        <w:spacing w:line="480" w:lineRule="auto"/>
        <w:rPr>
          <w:rFonts w:cs="Times New Roman"/>
        </w:rPr>
      </w:pPr>
    </w:p>
    <w:p w14:paraId="7A1A4915" w14:textId="69EC27F9" w:rsidR="00594790" w:rsidRPr="00F36460" w:rsidRDefault="00594790" w:rsidP="003F0A85">
      <w:pPr>
        <w:spacing w:line="480" w:lineRule="auto"/>
      </w:pPr>
      <w:bookmarkStart w:id="13" w:name="_Hlk47355473"/>
      <w:r w:rsidRPr="00F36460">
        <w:rPr>
          <w:rFonts w:cs="Times New Roman"/>
        </w:rPr>
        <w:lastRenderedPageBreak/>
        <w:t xml:space="preserve">It is also important to consider the findings of the present analyses in the context of current circumstances, at the time of writing this paper. The COVID-19 outbreak was declared by the World Health Organization (WHO) as </w:t>
      </w:r>
      <w:r w:rsidR="00FA73DA" w:rsidRPr="00F36460">
        <w:rPr>
          <w:rFonts w:cs="Times New Roman"/>
        </w:rPr>
        <w:t xml:space="preserve">a </w:t>
      </w:r>
      <w:r w:rsidRPr="00F36460">
        <w:rPr>
          <w:rFonts w:cs="Times New Roman"/>
        </w:rPr>
        <w:t>global pandemic in March 2020. Th</w:t>
      </w:r>
      <w:r w:rsidR="00436CE0" w:rsidRPr="00F36460">
        <w:rPr>
          <w:rFonts w:cs="Times New Roman"/>
        </w:rPr>
        <w:t xml:space="preserve">e number of confirmed cases is </w:t>
      </w:r>
      <w:r w:rsidRPr="00F36460">
        <w:rPr>
          <w:rFonts w:cs="Times New Roman"/>
        </w:rPr>
        <w:t>increasing worldwide and after Asian and European regions, a steep increase is now being observed in low-income countries</w:t>
      </w:r>
      <w:r w:rsidR="003414AA" w:rsidRPr="00F36460">
        <w:rPr>
          <w:rFonts w:cs="Times New Roman"/>
        </w:rPr>
        <w:t xml:space="preserve"> (WHO, 2020)</w:t>
      </w:r>
      <w:r w:rsidRPr="00F36460">
        <w:t>. Reports are suggesting that the COVID-19 pandemic is having a profound impact on the economy with predictions that the majority of countries will enter a recession in 2020 and even advanced economies</w:t>
      </w:r>
      <w:r w:rsidR="005E5C07" w:rsidRPr="00F36460">
        <w:t xml:space="preserve"> are projected to shrink by 7% (World Bank, 2020). </w:t>
      </w:r>
      <w:r w:rsidRPr="00F36460">
        <w:t>As a direct result</w:t>
      </w:r>
      <w:r w:rsidR="00D9634D" w:rsidRPr="00F36460">
        <w:t>,</w:t>
      </w:r>
      <w:r w:rsidRPr="00F36460">
        <w:t xml:space="preserve"> it is likely that a greater number of households globally will </w:t>
      </w:r>
      <w:r w:rsidR="00477ECA" w:rsidRPr="00F36460">
        <w:t>suffer from food insecurity</w:t>
      </w:r>
      <w:r w:rsidR="00FA73DA" w:rsidRPr="00F36460">
        <w:t xml:space="preserve">, </w:t>
      </w:r>
      <w:r w:rsidR="00477ECA" w:rsidRPr="00F36460">
        <w:t xml:space="preserve">amplifying the findings observed in the present study. </w:t>
      </w:r>
    </w:p>
    <w:bookmarkEnd w:id="13"/>
    <w:p w14:paraId="0E53E118" w14:textId="77777777" w:rsidR="003F0A85" w:rsidRPr="00F36460" w:rsidRDefault="003F0A85" w:rsidP="003F0A85">
      <w:pPr>
        <w:spacing w:line="480" w:lineRule="auto"/>
        <w:rPr>
          <w:rFonts w:cs="Times New Roman"/>
        </w:rPr>
      </w:pPr>
    </w:p>
    <w:p w14:paraId="670F46CE" w14:textId="488BFCBE" w:rsidR="00802C06" w:rsidRPr="006240A0" w:rsidRDefault="003F0A85" w:rsidP="005E4774">
      <w:pPr>
        <w:spacing w:line="480" w:lineRule="auto"/>
        <w:rPr>
          <w:rFonts w:cs="Times New Roman"/>
        </w:rPr>
      </w:pPr>
      <w:r w:rsidRPr="00F36460">
        <w:rPr>
          <w:rFonts w:cs="Times New Roman"/>
        </w:rPr>
        <w:t>A clear strength of the present study is the large sample of adolescents across 53 countries and the investigation of the novel association between food insecurity and sexuality parameters.</w:t>
      </w:r>
      <w:r w:rsidR="00924532" w:rsidRPr="00F36460">
        <w:rPr>
          <w:rFonts w:cs="Times New Roman"/>
        </w:rPr>
        <w:t xml:space="preserve"> Despite this</w:t>
      </w:r>
      <w:r w:rsidRPr="00F36460">
        <w:rPr>
          <w:rFonts w:cs="Times New Roman"/>
        </w:rPr>
        <w:t xml:space="preserve">, findings from the present study must be interpreted </w:t>
      </w:r>
      <w:proofErr w:type="gramStart"/>
      <w:r w:rsidRPr="00F36460">
        <w:rPr>
          <w:rFonts w:cs="Times New Roman"/>
        </w:rPr>
        <w:t>in light of</w:t>
      </w:r>
      <w:proofErr w:type="gramEnd"/>
      <w:r w:rsidRPr="00F36460">
        <w:rPr>
          <w:rFonts w:cs="Times New Roman"/>
        </w:rPr>
        <w:t xml:space="preserve"> its limitations. First, the study was cross-sectional in nature and thus the direction of the association cannot be established, although it is unlikely that sexual </w:t>
      </w:r>
      <w:proofErr w:type="spellStart"/>
      <w:r w:rsidRPr="00F36460">
        <w:rPr>
          <w:rFonts w:cs="Times New Roman"/>
        </w:rPr>
        <w:t>behaviour</w:t>
      </w:r>
      <w:proofErr w:type="spellEnd"/>
      <w:r w:rsidRPr="00F36460">
        <w:rPr>
          <w:rFonts w:cs="Times New Roman"/>
        </w:rPr>
        <w:t xml:space="preserve"> drives food insecurity.</w:t>
      </w:r>
      <w:r w:rsidR="00953479" w:rsidRPr="00F36460">
        <w:rPr>
          <w:rFonts w:cs="Times New Roman"/>
        </w:rPr>
        <w:t xml:space="preserve"> </w:t>
      </w:r>
      <w:r w:rsidR="00802C06" w:rsidRPr="00F36460">
        <w:rPr>
          <w:rFonts w:cs="Times New Roman"/>
        </w:rPr>
        <w:t>Nonetheless, longitudinal research examining these relationships is warranted. Second, questions on food insecurity (hunger) used in the present study have not been validated. However, a brief hunger screening tool based on a similar single question showed 85% sensitivity and 80% specificity compared with the Household Food Security Scale</w:t>
      </w:r>
      <w:r w:rsidR="000E23AC" w:rsidRPr="00F36460">
        <w:rPr>
          <w:rFonts w:cs="Times New Roman"/>
        </w:rPr>
        <w:t xml:space="preserve"> (Kleinman et al., 2007).</w:t>
      </w:r>
      <w:r w:rsidR="00802C06" w:rsidRPr="00F36460">
        <w:rPr>
          <w:rFonts w:cs="Times New Roman"/>
        </w:rPr>
        <w:t xml:space="preserve"> </w:t>
      </w:r>
      <w:r w:rsidR="00477ECA" w:rsidRPr="00F36460">
        <w:rPr>
          <w:rFonts w:cs="Times New Roman"/>
        </w:rPr>
        <w:t>A</w:t>
      </w:r>
      <w:r w:rsidR="00802C06" w:rsidRPr="00F36460">
        <w:rPr>
          <w:rFonts w:cs="Times New Roman"/>
        </w:rPr>
        <w:t xml:space="preserve"> measure of wealth was not available in the current dataset, and it is possible that poverty is partly responsible for the associations observed in the present study.</w:t>
      </w:r>
      <w:r w:rsidR="00477ECA" w:rsidRPr="00F36460">
        <w:rPr>
          <w:rFonts w:cs="Times New Roman"/>
        </w:rPr>
        <w:t xml:space="preserve"> </w:t>
      </w:r>
      <w:r w:rsidR="005E4774">
        <w:rPr>
          <w:rFonts w:cs="Times New Roman"/>
        </w:rPr>
        <w:t>W</w:t>
      </w:r>
      <w:r w:rsidR="00477ECA" w:rsidRPr="00F36460">
        <w:rPr>
          <w:rFonts w:cs="Times New Roman"/>
        </w:rPr>
        <w:t>e analy</w:t>
      </w:r>
      <w:r w:rsidR="00D9634D" w:rsidRPr="00F36460">
        <w:rPr>
          <w:rFonts w:cs="Times New Roman"/>
        </w:rPr>
        <w:t>z</w:t>
      </w:r>
      <w:r w:rsidR="00477ECA" w:rsidRPr="00F36460">
        <w:rPr>
          <w:rFonts w:cs="Times New Roman"/>
        </w:rPr>
        <w:t xml:space="preserve">ed all collected variables on sexual behavior and food insecurity in the GSHS. </w:t>
      </w:r>
      <w:r w:rsidR="008B2AB0" w:rsidRPr="00F36460">
        <w:rPr>
          <w:rFonts w:cs="Times New Roman"/>
        </w:rPr>
        <w:t>However, i</w:t>
      </w:r>
      <w:r w:rsidR="00477ECA" w:rsidRPr="00F36460">
        <w:rPr>
          <w:rFonts w:cs="Times New Roman"/>
        </w:rPr>
        <w:t xml:space="preserve">t would be beneficial for future studies to collect data on the variables studied in the present analyses as well as other variables such as, for example, engaging in sexual </w:t>
      </w:r>
      <w:r w:rsidR="00477ECA" w:rsidRPr="00F36460">
        <w:rPr>
          <w:rFonts w:cs="Times New Roman"/>
        </w:rPr>
        <w:lastRenderedPageBreak/>
        <w:t xml:space="preserve">activity whilst intoxicated and same sex </w:t>
      </w:r>
      <w:r w:rsidR="00477ECA" w:rsidRPr="006240A0">
        <w:rPr>
          <w:rFonts w:cs="Times New Roman"/>
        </w:rPr>
        <w:t>relations.</w:t>
      </w:r>
      <w:r w:rsidR="005E4774" w:rsidRPr="006240A0">
        <w:rPr>
          <w:rFonts w:cs="Times New Roman"/>
        </w:rPr>
        <w:t xml:space="preserve"> Finally, it is also important to note that for cases where we note statistical significance in one gender but not the other, there were overlaps in the 95% confidence intervals, suggesting that the difference between genders may not signify genuine differences.</w:t>
      </w:r>
    </w:p>
    <w:p w14:paraId="49F27025" w14:textId="4807BA3E" w:rsidR="00802C06" w:rsidRPr="006240A0" w:rsidRDefault="00802C06" w:rsidP="00802C06">
      <w:pPr>
        <w:spacing w:line="480" w:lineRule="auto"/>
        <w:rPr>
          <w:rFonts w:cs="Times New Roman"/>
        </w:rPr>
      </w:pPr>
    </w:p>
    <w:p w14:paraId="7AFBE3B9" w14:textId="302B493B" w:rsidR="00BE1613" w:rsidRPr="00F36460" w:rsidRDefault="003F0A85" w:rsidP="003F0A85">
      <w:pPr>
        <w:spacing w:line="480" w:lineRule="auto"/>
        <w:rPr>
          <w:rFonts w:cs="Times New Roman"/>
        </w:rPr>
      </w:pPr>
      <w:r w:rsidRPr="006240A0">
        <w:rPr>
          <w:rFonts w:cs="Times New Roman"/>
        </w:rPr>
        <w:t>In conclusion, in this large global sample of adolescents</w:t>
      </w:r>
      <w:r w:rsidR="00802C06" w:rsidRPr="00F36460">
        <w:rPr>
          <w:rFonts w:cs="Times New Roman"/>
        </w:rPr>
        <w:t>,</w:t>
      </w:r>
      <w:r w:rsidRPr="00F36460">
        <w:rPr>
          <w:rFonts w:cs="Times New Roman"/>
        </w:rPr>
        <w:t xml:space="preserve"> we found that the prevalence of food insecurity is high and that</w:t>
      </w:r>
      <w:r w:rsidRPr="00F36460">
        <w:t xml:space="preserve"> </w:t>
      </w:r>
      <w:r w:rsidRPr="00F36460">
        <w:rPr>
          <w:rFonts w:cs="Times New Roman"/>
        </w:rPr>
        <w:t>food insecurity w</w:t>
      </w:r>
      <w:r w:rsidR="000E23AC" w:rsidRPr="00F36460">
        <w:rPr>
          <w:rFonts w:cs="Times New Roman"/>
        </w:rPr>
        <w:t xml:space="preserve">as associated with </w:t>
      </w:r>
      <w:r w:rsidRPr="00F36460">
        <w:rPr>
          <w:rFonts w:cs="Times New Roman"/>
        </w:rPr>
        <w:t xml:space="preserve">higher odds of ever having sexual intercourse, non-condom use at last sexual encounter, and having multiple sexual partners in some, but not all regions. </w:t>
      </w:r>
      <w:r w:rsidR="00802C06" w:rsidRPr="00F36460">
        <w:rPr>
          <w:rFonts w:cs="Times New Roman"/>
        </w:rPr>
        <w:t>Although causality could not be established due to the cross-sectional nature of the data, the mere co-existence of early sexual activity or non-condom use and food insecurity may be an unrecognized public health problem as all are associated with adverse health outcomes. For example, food insecurity</w:t>
      </w:r>
      <w:r w:rsidR="000E7D2B" w:rsidRPr="00F36460">
        <w:rPr>
          <w:rFonts w:cs="Times New Roman"/>
        </w:rPr>
        <w:t xml:space="preserve"> is associated with many unfavo</w:t>
      </w:r>
      <w:r w:rsidR="00802C06" w:rsidRPr="00F36460">
        <w:rPr>
          <w:rFonts w:cs="Times New Roman"/>
        </w:rPr>
        <w:t>rable health outcomes such as increased risk of anemia</w:t>
      </w:r>
      <w:r w:rsidR="000E23AC" w:rsidRPr="00F36460">
        <w:rPr>
          <w:rFonts w:cs="Times New Roman"/>
        </w:rPr>
        <w:t xml:space="preserve"> (Moradi, </w:t>
      </w:r>
      <w:proofErr w:type="spellStart"/>
      <w:r w:rsidR="000E23AC" w:rsidRPr="00F36460">
        <w:rPr>
          <w:rFonts w:cs="Times New Roman"/>
        </w:rPr>
        <w:t>Arghavani</w:t>
      </w:r>
      <w:proofErr w:type="spellEnd"/>
      <w:r w:rsidR="000E23AC" w:rsidRPr="00F36460">
        <w:rPr>
          <w:rFonts w:cs="Times New Roman"/>
        </w:rPr>
        <w:t xml:space="preserve">, </w:t>
      </w:r>
      <w:proofErr w:type="spellStart"/>
      <w:r w:rsidR="000E23AC" w:rsidRPr="00F36460">
        <w:rPr>
          <w:rFonts w:cs="Times New Roman"/>
        </w:rPr>
        <w:t>Issah</w:t>
      </w:r>
      <w:proofErr w:type="spellEnd"/>
      <w:r w:rsidR="000E23AC" w:rsidRPr="00F36460">
        <w:rPr>
          <w:rFonts w:cs="Times New Roman"/>
        </w:rPr>
        <w:t xml:space="preserve">, </w:t>
      </w:r>
      <w:proofErr w:type="spellStart"/>
      <w:r w:rsidR="000E23AC" w:rsidRPr="00F36460">
        <w:rPr>
          <w:rFonts w:cs="Times New Roman"/>
        </w:rPr>
        <w:t>Mohammadi</w:t>
      </w:r>
      <w:proofErr w:type="spellEnd"/>
      <w:r w:rsidR="000E23AC" w:rsidRPr="00F36460">
        <w:rPr>
          <w:rFonts w:cs="Times New Roman"/>
        </w:rPr>
        <w:t>, &amp; Mirzaei, 2018)</w:t>
      </w:r>
      <w:r w:rsidR="00802C06" w:rsidRPr="00F36460">
        <w:rPr>
          <w:rFonts w:cs="Times New Roman"/>
        </w:rPr>
        <w:t>,</w:t>
      </w:r>
      <w:r w:rsidR="000E23AC" w:rsidRPr="00F36460">
        <w:rPr>
          <w:rFonts w:cs="Times New Roman"/>
        </w:rPr>
        <w:t xml:space="preserve"> </w:t>
      </w:r>
      <w:r w:rsidR="00802C06" w:rsidRPr="00F36460">
        <w:rPr>
          <w:rFonts w:cs="Times New Roman"/>
        </w:rPr>
        <w:t>overweight and obesity</w:t>
      </w:r>
      <w:r w:rsidR="000E23AC" w:rsidRPr="00F36460">
        <w:rPr>
          <w:rFonts w:cs="Times New Roman"/>
        </w:rPr>
        <w:t xml:space="preserve"> (Moradi et al., 2019)</w:t>
      </w:r>
      <w:r w:rsidR="00802C06" w:rsidRPr="00F36460">
        <w:rPr>
          <w:rFonts w:cs="Times New Roman"/>
        </w:rPr>
        <w:t>,</w:t>
      </w:r>
      <w:r w:rsidR="000E23AC" w:rsidRPr="00F36460">
        <w:rPr>
          <w:rFonts w:cs="Times New Roman"/>
        </w:rPr>
        <w:t xml:space="preserve"> </w:t>
      </w:r>
      <w:r w:rsidR="00802C06" w:rsidRPr="00F36460">
        <w:rPr>
          <w:rFonts w:cs="Times New Roman"/>
        </w:rPr>
        <w:t xml:space="preserve">child stunting, and low birth weight in infants </w:t>
      </w:r>
      <w:r w:rsidR="000E23AC" w:rsidRPr="00F36460">
        <w:rPr>
          <w:rFonts w:cs="Times New Roman"/>
        </w:rPr>
        <w:t xml:space="preserve">(Maitra, 2018) </w:t>
      </w:r>
      <w:r w:rsidR="00802C06" w:rsidRPr="00F36460">
        <w:rPr>
          <w:rFonts w:cs="Times New Roman"/>
        </w:rPr>
        <w:t>and has been shown to be associated with behaviors that are detrimental to both physical and mental health, such as substance abuse</w:t>
      </w:r>
      <w:r w:rsidR="00801CB1" w:rsidRPr="00F36460">
        <w:rPr>
          <w:rFonts w:cs="Times New Roman"/>
        </w:rPr>
        <w:t xml:space="preserve"> (Whittle et al., 2019)</w:t>
      </w:r>
      <w:r w:rsidR="00802C06" w:rsidRPr="00F36460">
        <w:rPr>
          <w:rFonts w:cs="Times New Roman"/>
        </w:rPr>
        <w:t>,</w:t>
      </w:r>
      <w:r w:rsidR="00801CB1" w:rsidRPr="00F36460">
        <w:rPr>
          <w:rFonts w:cs="Times New Roman"/>
        </w:rPr>
        <w:t xml:space="preserve"> </w:t>
      </w:r>
      <w:r w:rsidR="00802C06" w:rsidRPr="00F36460">
        <w:rPr>
          <w:rFonts w:cs="Times New Roman"/>
        </w:rPr>
        <w:t>smoking</w:t>
      </w:r>
      <w:r w:rsidR="00801CB1" w:rsidRPr="00F36460">
        <w:rPr>
          <w:rFonts w:cs="Times New Roman"/>
        </w:rPr>
        <w:t xml:space="preserve"> (Kim-</w:t>
      </w:r>
      <w:proofErr w:type="spellStart"/>
      <w:r w:rsidR="00801CB1" w:rsidRPr="00F36460">
        <w:rPr>
          <w:rFonts w:cs="Times New Roman"/>
        </w:rPr>
        <w:t>Mozeleski</w:t>
      </w:r>
      <w:proofErr w:type="spellEnd"/>
      <w:r w:rsidR="00801CB1" w:rsidRPr="00F36460">
        <w:rPr>
          <w:rFonts w:cs="Times New Roman"/>
        </w:rPr>
        <w:t xml:space="preserve"> et al., 2019)</w:t>
      </w:r>
      <w:r w:rsidR="00802C06" w:rsidRPr="00F36460">
        <w:rPr>
          <w:rFonts w:cs="Times New Roman"/>
        </w:rPr>
        <w:t>,</w:t>
      </w:r>
      <w:r w:rsidR="00801CB1" w:rsidRPr="00F36460">
        <w:rPr>
          <w:rFonts w:cs="Times New Roman"/>
        </w:rPr>
        <w:t xml:space="preserve"> </w:t>
      </w:r>
      <w:r w:rsidR="00802C06" w:rsidRPr="00F36460">
        <w:rPr>
          <w:rFonts w:cs="Times New Roman"/>
        </w:rPr>
        <w:t>and lower levels of physical activity</w:t>
      </w:r>
      <w:r w:rsidR="00801CB1" w:rsidRPr="00F36460">
        <w:rPr>
          <w:rFonts w:cs="Times New Roman"/>
        </w:rPr>
        <w:t xml:space="preserve"> (To, </w:t>
      </w:r>
      <w:proofErr w:type="spellStart"/>
      <w:r w:rsidR="00801CB1" w:rsidRPr="00F36460">
        <w:rPr>
          <w:rFonts w:cs="Times New Roman"/>
        </w:rPr>
        <w:t>Frongillo</w:t>
      </w:r>
      <w:proofErr w:type="spellEnd"/>
      <w:r w:rsidR="00801CB1" w:rsidRPr="00F36460">
        <w:rPr>
          <w:rFonts w:cs="Times New Roman"/>
        </w:rPr>
        <w:t>, Gallegos, &amp; Moore, 2014)</w:t>
      </w:r>
      <w:r w:rsidR="00802C06" w:rsidRPr="00F36460">
        <w:rPr>
          <w:rFonts w:cs="Times New Roman"/>
        </w:rPr>
        <w:t>.</w:t>
      </w:r>
      <w:r w:rsidR="00801CB1" w:rsidRPr="00F36460">
        <w:rPr>
          <w:rFonts w:cs="Times New Roman"/>
        </w:rPr>
        <w:t xml:space="preserve"> </w:t>
      </w:r>
      <w:r w:rsidR="00C8690D" w:rsidRPr="00F36460">
        <w:rPr>
          <w:rFonts w:cs="Times New Roman"/>
        </w:rPr>
        <w:t xml:space="preserve">On the other hand, </w:t>
      </w:r>
      <w:r w:rsidR="00AC113A" w:rsidRPr="00F36460">
        <w:rPr>
          <w:rFonts w:cs="Times New Roman"/>
        </w:rPr>
        <w:t>sexual intercourse in adolescence carries risks fo</w:t>
      </w:r>
      <w:r w:rsidR="003D2BA8" w:rsidRPr="00F36460">
        <w:rPr>
          <w:rFonts w:cs="Times New Roman"/>
        </w:rPr>
        <w:t>r sexually transmitted diseases and</w:t>
      </w:r>
      <w:r w:rsidR="00AC113A" w:rsidRPr="00F36460">
        <w:rPr>
          <w:rFonts w:cs="Times New Roman"/>
        </w:rPr>
        <w:t xml:space="preserve"> </w:t>
      </w:r>
      <w:r w:rsidR="003D2BA8" w:rsidRPr="00F36460">
        <w:rPr>
          <w:rFonts w:cs="Times New Roman"/>
        </w:rPr>
        <w:t xml:space="preserve">adolescent pregnancy. </w:t>
      </w:r>
      <w:bookmarkStart w:id="14" w:name="_Hlk47380076"/>
      <w:r w:rsidR="00FF2CAE" w:rsidRPr="00F36460">
        <w:rPr>
          <w:rFonts w:cs="Times New Roman"/>
        </w:rPr>
        <w:t>Multidimensional government programs and policies should simultaneously address poverty, inequality, and food insecurity in order to reduce</w:t>
      </w:r>
      <w:r w:rsidR="00144B34" w:rsidRPr="00F36460">
        <w:rPr>
          <w:rFonts w:cs="Times New Roman"/>
        </w:rPr>
        <w:t xml:space="preserve"> risky sexual behavior</w:t>
      </w:r>
      <w:r w:rsidR="00FF2CAE" w:rsidRPr="00F36460">
        <w:rPr>
          <w:rFonts w:cs="Times New Roman"/>
        </w:rPr>
        <w:t>, even in very young adolescents.</w:t>
      </w:r>
      <w:r w:rsidR="00025A14" w:rsidRPr="00F36460">
        <w:rPr>
          <w:rFonts w:cs="Times New Roman"/>
        </w:rPr>
        <w:t xml:space="preserve"> Increasing individual resources, including access to food and educational and </w:t>
      </w:r>
      <w:r w:rsidR="00087EFD" w:rsidRPr="00F36460">
        <w:rPr>
          <w:rFonts w:cs="Times New Roman"/>
        </w:rPr>
        <w:t xml:space="preserve">potentially </w:t>
      </w:r>
      <w:r w:rsidR="00025A14" w:rsidRPr="00F36460">
        <w:rPr>
          <w:rFonts w:cs="Times New Roman"/>
        </w:rPr>
        <w:t xml:space="preserve">work opportunities, could prove to be effective strategies for decreasing </w:t>
      </w:r>
      <w:r w:rsidR="00087EFD" w:rsidRPr="00F36460">
        <w:rPr>
          <w:rFonts w:cs="Times New Roman"/>
        </w:rPr>
        <w:t>risky sexual behavior in young adolescents</w:t>
      </w:r>
      <w:r w:rsidR="00025A14" w:rsidRPr="00F36460">
        <w:rPr>
          <w:rFonts w:cs="Times New Roman"/>
        </w:rPr>
        <w:t xml:space="preserve">. Indeed, </w:t>
      </w:r>
      <w:r w:rsidR="00087EFD" w:rsidRPr="00F36460">
        <w:rPr>
          <w:rFonts w:cs="Times New Roman"/>
        </w:rPr>
        <w:t xml:space="preserve">such strategies </w:t>
      </w:r>
      <w:r w:rsidR="00025A14" w:rsidRPr="00F36460">
        <w:rPr>
          <w:rFonts w:cs="Times New Roman"/>
        </w:rPr>
        <w:t xml:space="preserve">could decrease </w:t>
      </w:r>
      <w:r w:rsidR="00025A14" w:rsidRPr="00F36460">
        <w:rPr>
          <w:rFonts w:cs="Times New Roman"/>
        </w:rPr>
        <w:lastRenderedPageBreak/>
        <w:t>the need to rely on sexual relationships for economic support while simultaneously increasing individuals’ negotiating power to</w:t>
      </w:r>
      <w:r w:rsidR="00087EFD" w:rsidRPr="00F36460">
        <w:rPr>
          <w:rFonts w:cs="Times New Roman"/>
        </w:rPr>
        <w:t xml:space="preserve"> engage in safe sexual practice</w:t>
      </w:r>
      <w:r w:rsidR="00025A14" w:rsidRPr="00F36460">
        <w:rPr>
          <w:rFonts w:cs="Times New Roman"/>
        </w:rPr>
        <w:t>.</w:t>
      </w:r>
      <w:bookmarkEnd w:id="14"/>
    </w:p>
    <w:p w14:paraId="087ED62D" w14:textId="77777777" w:rsidR="00BE1613" w:rsidRPr="00F36460" w:rsidRDefault="00BE1613" w:rsidP="003F0A85">
      <w:pPr>
        <w:spacing w:line="480" w:lineRule="auto"/>
        <w:rPr>
          <w:rFonts w:cs="Times New Roman"/>
        </w:rPr>
      </w:pPr>
    </w:p>
    <w:p w14:paraId="2C3D8938" w14:textId="77777777" w:rsidR="00BE1613" w:rsidRPr="00F36460" w:rsidRDefault="00BE1613" w:rsidP="00BE1613">
      <w:pPr>
        <w:tabs>
          <w:tab w:val="left" w:pos="6180"/>
        </w:tabs>
      </w:pPr>
      <w:r w:rsidRPr="00F36460">
        <w:rPr>
          <w:b/>
        </w:rPr>
        <w:t xml:space="preserve">Conflicts of Interest: </w:t>
      </w:r>
      <w:r w:rsidRPr="00F36460">
        <w:t>None.</w:t>
      </w:r>
    </w:p>
    <w:p w14:paraId="4668597A" w14:textId="77777777" w:rsidR="00BE1613" w:rsidRPr="00F36460" w:rsidRDefault="00BE1613" w:rsidP="003F0A85">
      <w:pPr>
        <w:spacing w:line="480" w:lineRule="auto"/>
        <w:rPr>
          <w:rFonts w:cs="Times New Roman"/>
        </w:rPr>
      </w:pPr>
    </w:p>
    <w:p w14:paraId="5F9947FE" w14:textId="51F9D205" w:rsidR="00BE1613" w:rsidRPr="00CF3B1A" w:rsidRDefault="00BE1613" w:rsidP="00365B70">
      <w:pPr>
        <w:tabs>
          <w:tab w:val="left" w:pos="6180"/>
        </w:tabs>
        <w:spacing w:line="480" w:lineRule="auto"/>
        <w:rPr>
          <w:rFonts w:cs="Times New Roman"/>
        </w:rPr>
      </w:pPr>
      <w:r w:rsidRPr="00CF3B1A">
        <w:rPr>
          <w:rFonts w:cs="Times New Roman"/>
          <w:b/>
        </w:rPr>
        <w:t>Funding</w:t>
      </w:r>
      <w:r w:rsidRPr="00CF3B1A">
        <w:rPr>
          <w:rFonts w:cs="Times New Roman"/>
        </w:rPr>
        <w:t>: None.</w:t>
      </w:r>
    </w:p>
    <w:p w14:paraId="21D1CA00" w14:textId="77777777" w:rsidR="00477680" w:rsidRPr="00CF3B1A" w:rsidRDefault="00477680" w:rsidP="00365B70">
      <w:pPr>
        <w:tabs>
          <w:tab w:val="left" w:pos="6180"/>
        </w:tabs>
        <w:spacing w:line="480" w:lineRule="auto"/>
        <w:rPr>
          <w:rFonts w:cs="Times New Roman"/>
          <w:b/>
        </w:rPr>
      </w:pPr>
    </w:p>
    <w:p w14:paraId="2D22AC5E" w14:textId="2EA65A5A" w:rsidR="00477680" w:rsidRPr="00CF3B1A" w:rsidRDefault="00477680" w:rsidP="00365B70">
      <w:pPr>
        <w:tabs>
          <w:tab w:val="left" w:pos="6180"/>
        </w:tabs>
        <w:spacing w:line="480" w:lineRule="auto"/>
        <w:rPr>
          <w:rFonts w:cs="Times New Roman"/>
        </w:rPr>
      </w:pPr>
      <w:r w:rsidRPr="00CF3B1A">
        <w:rPr>
          <w:rFonts w:cs="Times New Roman"/>
          <w:b/>
        </w:rPr>
        <w:t>Data availability statement:</w:t>
      </w:r>
      <w:r w:rsidRPr="00CF3B1A">
        <w:rPr>
          <w:rFonts w:cs="Times New Roman"/>
        </w:rPr>
        <w:t xml:space="preserve"> Data are available </w:t>
      </w:r>
      <w:r w:rsidR="00626A47" w:rsidRPr="00CF3B1A">
        <w:rPr>
          <w:rFonts w:cs="Times New Roman"/>
        </w:rPr>
        <w:t>through https://www.who.int/ncds/surveillance/gshs/en/</w:t>
      </w:r>
    </w:p>
    <w:p w14:paraId="166BC9A5" w14:textId="77777777" w:rsidR="00BE1613" w:rsidRPr="00365B70" w:rsidRDefault="00BE1613" w:rsidP="00365B70">
      <w:pPr>
        <w:tabs>
          <w:tab w:val="left" w:pos="6180"/>
        </w:tabs>
        <w:spacing w:line="480" w:lineRule="auto"/>
        <w:rPr>
          <w:rFonts w:cs="Times New Roman"/>
          <w:b/>
        </w:rPr>
      </w:pPr>
    </w:p>
    <w:p w14:paraId="1B485712" w14:textId="571D0EEA" w:rsidR="00D90097" w:rsidRPr="00CF3B1A" w:rsidRDefault="00CF3B1A" w:rsidP="00365B70">
      <w:pPr>
        <w:spacing w:line="480" w:lineRule="auto"/>
        <w:rPr>
          <w:rFonts w:cs="Times New Roman"/>
          <w:b/>
        </w:rPr>
      </w:pPr>
      <w:r w:rsidRPr="00CF3B1A">
        <w:rPr>
          <w:rFonts w:cs="Times New Roman"/>
          <w:b/>
        </w:rPr>
        <w:t>Acknowledgements</w:t>
      </w:r>
    </w:p>
    <w:p w14:paraId="10D202F3" w14:textId="40136B5B" w:rsidR="00CF3B1A" w:rsidRPr="00365B70" w:rsidRDefault="00CF3B1A" w:rsidP="00365B70">
      <w:pPr>
        <w:spacing w:line="480" w:lineRule="auto"/>
        <w:rPr>
          <w:rFonts w:eastAsia="Batang" w:cs="Times New Roman"/>
        </w:rPr>
      </w:pPr>
      <w:r w:rsidRPr="00365B70">
        <w:rPr>
          <w:rFonts w:eastAsia="Batang" w:cs="Times New Roman"/>
        </w:rPr>
        <w:t>This paper uses data from the Global School-Based Student Health Survey (GSHS). GSHS is supported by the World Health Organization and the US Centers for Disease Control and Prevention.</w:t>
      </w:r>
    </w:p>
    <w:p w14:paraId="440A51B5" w14:textId="77777777" w:rsidR="00CF3B1A" w:rsidRPr="00CF3B1A" w:rsidRDefault="00CF3B1A" w:rsidP="00365B70">
      <w:pPr>
        <w:spacing w:line="480" w:lineRule="auto"/>
        <w:rPr>
          <w:rFonts w:cs="Times New Roman"/>
          <w:b/>
        </w:rPr>
      </w:pPr>
    </w:p>
    <w:p w14:paraId="3C1F6190" w14:textId="6F2B775B" w:rsidR="003F0A85" w:rsidRPr="00CF3B1A" w:rsidRDefault="003F0A85" w:rsidP="006240A0">
      <w:pPr>
        <w:pStyle w:val="Heading1"/>
      </w:pPr>
      <w:r w:rsidRPr="00CF3B1A">
        <w:t>REFERENCES</w:t>
      </w:r>
    </w:p>
    <w:p w14:paraId="718EDC63" w14:textId="77777777" w:rsidR="007C057C" w:rsidRPr="00CF3B1A" w:rsidRDefault="007C057C" w:rsidP="00365B70">
      <w:pPr>
        <w:spacing w:line="480" w:lineRule="auto"/>
        <w:rPr>
          <w:rFonts w:cs="Times New Roman"/>
          <w:b/>
        </w:rPr>
      </w:pPr>
    </w:p>
    <w:p w14:paraId="60540D9E" w14:textId="77777777" w:rsidR="00D90097" w:rsidRPr="00F36460" w:rsidRDefault="00D90097" w:rsidP="00CF3B1A">
      <w:pPr>
        <w:spacing w:line="480" w:lineRule="auto"/>
        <w:ind w:left="720" w:hanging="720"/>
        <w:jc w:val="both"/>
        <w:rPr>
          <w:rFonts w:cs="Times New Roman"/>
          <w:lang w:val="en-GB"/>
        </w:rPr>
      </w:pPr>
      <w:proofErr w:type="spellStart"/>
      <w:r w:rsidRPr="00CF3B1A">
        <w:rPr>
          <w:rFonts w:cs="Times New Roman"/>
          <w:color w:val="222222"/>
          <w:shd w:val="clear" w:color="auto" w:fill="FFFFFF"/>
        </w:rPr>
        <w:t>Althoff</w:t>
      </w:r>
      <w:proofErr w:type="spellEnd"/>
      <w:r w:rsidRPr="00CF3B1A">
        <w:rPr>
          <w:rFonts w:cs="Times New Roman"/>
          <w:color w:val="222222"/>
          <w:shd w:val="clear" w:color="auto" w:fill="FFFFFF"/>
        </w:rPr>
        <w:t xml:space="preserve">, R. R., </w:t>
      </w:r>
      <w:proofErr w:type="spellStart"/>
      <w:r w:rsidRPr="00CF3B1A">
        <w:rPr>
          <w:rFonts w:cs="Times New Roman"/>
          <w:color w:val="222222"/>
          <w:shd w:val="clear" w:color="auto" w:fill="FFFFFF"/>
        </w:rPr>
        <w:t>Ametti</w:t>
      </w:r>
      <w:proofErr w:type="spellEnd"/>
      <w:r w:rsidRPr="00CF3B1A">
        <w:rPr>
          <w:rFonts w:cs="Times New Roman"/>
          <w:color w:val="222222"/>
          <w:shd w:val="clear" w:color="auto" w:fill="FFFFFF"/>
        </w:rPr>
        <w:t xml:space="preserve">, M., &amp; </w:t>
      </w:r>
      <w:proofErr w:type="spellStart"/>
      <w:r w:rsidRPr="00CF3B1A">
        <w:rPr>
          <w:rFonts w:cs="Times New Roman"/>
          <w:color w:val="222222"/>
          <w:shd w:val="clear" w:color="auto" w:fill="FFFFFF"/>
        </w:rPr>
        <w:t>Bertmann</w:t>
      </w:r>
      <w:proofErr w:type="spellEnd"/>
      <w:r w:rsidRPr="00CF3B1A">
        <w:rPr>
          <w:rFonts w:cs="Times New Roman"/>
          <w:color w:val="222222"/>
          <w:shd w:val="clear" w:color="auto" w:fill="FFFFFF"/>
        </w:rPr>
        <w:t>, F. (2016). The role of food insecurity in developmental</w:t>
      </w:r>
      <w:r w:rsidRPr="00F36460">
        <w:rPr>
          <w:rFonts w:cs="Times New Roman"/>
          <w:color w:val="222222"/>
          <w:shd w:val="clear" w:color="auto" w:fill="FFFFFF"/>
        </w:rPr>
        <w:t xml:space="preserve"> psychopathology. </w:t>
      </w:r>
      <w:r w:rsidRPr="00F36460">
        <w:rPr>
          <w:rFonts w:cs="Times New Roman"/>
          <w:i/>
          <w:iCs/>
          <w:color w:val="222222"/>
          <w:shd w:val="clear" w:color="auto" w:fill="FFFFFF"/>
        </w:rPr>
        <w:t>Preventive medicine</w:t>
      </w:r>
      <w:r w:rsidRPr="00F36460">
        <w:rPr>
          <w:rFonts w:cs="Times New Roman"/>
          <w:color w:val="222222"/>
          <w:shd w:val="clear" w:color="auto" w:fill="FFFFFF"/>
        </w:rPr>
        <w:t>, </w:t>
      </w:r>
      <w:r w:rsidRPr="00F36460">
        <w:rPr>
          <w:rFonts w:cs="Times New Roman"/>
          <w:i/>
          <w:iCs/>
          <w:color w:val="222222"/>
          <w:shd w:val="clear" w:color="auto" w:fill="FFFFFF"/>
        </w:rPr>
        <w:t>92</w:t>
      </w:r>
      <w:r w:rsidRPr="00F36460">
        <w:rPr>
          <w:rFonts w:cs="Times New Roman"/>
          <w:color w:val="222222"/>
          <w:shd w:val="clear" w:color="auto" w:fill="FFFFFF"/>
        </w:rPr>
        <w:t>, 106-109.</w:t>
      </w:r>
    </w:p>
    <w:p w14:paraId="139B5752" w14:textId="77777777" w:rsidR="00D90097" w:rsidRPr="00C46D0C" w:rsidRDefault="00D90097" w:rsidP="007C057C">
      <w:pPr>
        <w:spacing w:line="480" w:lineRule="auto"/>
        <w:ind w:left="720" w:hanging="720"/>
        <w:jc w:val="both"/>
        <w:rPr>
          <w:rFonts w:cs="Times New Roman"/>
          <w:lang w:val="de-DE"/>
        </w:rPr>
      </w:pPr>
      <w:r w:rsidRPr="00F36460">
        <w:rPr>
          <w:rFonts w:cs="Times New Roman"/>
          <w:color w:val="222222"/>
          <w:shd w:val="clear" w:color="auto" w:fill="FFFFFF"/>
        </w:rPr>
        <w:t xml:space="preserve">Bennett, D. L., &amp; Bauman, A. (2000). Adolescent mental health and risky sexual </w:t>
      </w:r>
      <w:proofErr w:type="spellStart"/>
      <w:r w:rsidRPr="00F36460">
        <w:rPr>
          <w:rFonts w:cs="Times New Roman"/>
          <w:color w:val="222222"/>
          <w:shd w:val="clear" w:color="auto" w:fill="FFFFFF"/>
        </w:rPr>
        <w:t>behaviour</w:t>
      </w:r>
      <w:proofErr w:type="spellEnd"/>
      <w:r w:rsidRPr="00F36460">
        <w:rPr>
          <w:rFonts w:cs="Times New Roman"/>
          <w:color w:val="222222"/>
          <w:shd w:val="clear" w:color="auto" w:fill="FFFFFF"/>
        </w:rPr>
        <w:t>: Young people need health care that covers psychological, sexual, and social areas.</w:t>
      </w:r>
      <w:r w:rsidRPr="00F36460">
        <w:rPr>
          <w:rFonts w:cs="Times New Roman"/>
          <w:i/>
        </w:rPr>
        <w:t xml:space="preserve"> </w:t>
      </w:r>
      <w:r w:rsidRPr="00C46D0C">
        <w:rPr>
          <w:rFonts w:cs="Times New Roman"/>
          <w:i/>
          <w:lang w:val="de-DE"/>
        </w:rPr>
        <w:t>BMJ</w:t>
      </w:r>
      <w:r w:rsidRPr="00C46D0C">
        <w:rPr>
          <w:rFonts w:cs="Times New Roman"/>
          <w:lang w:val="de-DE"/>
        </w:rPr>
        <w:t>, 321(7256), 251–252.</w:t>
      </w:r>
    </w:p>
    <w:p w14:paraId="49718E00" w14:textId="517B10E1" w:rsidR="00D90097" w:rsidRPr="00F36460" w:rsidRDefault="00D90097" w:rsidP="007C057C">
      <w:pPr>
        <w:spacing w:line="480" w:lineRule="auto"/>
        <w:ind w:left="720" w:hanging="720"/>
        <w:jc w:val="both"/>
        <w:rPr>
          <w:rFonts w:cs="Times New Roman"/>
          <w:color w:val="222222"/>
          <w:shd w:val="clear" w:color="auto" w:fill="FFFFFF"/>
        </w:rPr>
      </w:pPr>
      <w:r w:rsidRPr="00C46D0C">
        <w:rPr>
          <w:rFonts w:cs="Times New Roman"/>
          <w:color w:val="222222"/>
          <w:shd w:val="clear" w:color="auto" w:fill="FFFFFF"/>
          <w:lang w:val="de-DE"/>
        </w:rPr>
        <w:t xml:space="preserve">Brener, N. D., Collins, J. L., Kann, L., Warren, C. W., &amp; Williams, B. I. (1995). </w:t>
      </w:r>
      <w:r w:rsidRPr="00F36460">
        <w:rPr>
          <w:rFonts w:cs="Times New Roman"/>
          <w:color w:val="222222"/>
          <w:shd w:val="clear" w:color="auto" w:fill="FFFFFF"/>
        </w:rPr>
        <w:t>Reliability of the youth risk behavior survey questionnaire. </w:t>
      </w:r>
      <w:r w:rsidRPr="00F36460">
        <w:rPr>
          <w:rFonts w:cs="Times New Roman"/>
          <w:i/>
          <w:iCs/>
          <w:color w:val="222222"/>
          <w:shd w:val="clear" w:color="auto" w:fill="FFFFFF"/>
        </w:rPr>
        <w:t>American journal of epidemiology</w:t>
      </w:r>
      <w:r w:rsidRPr="00F36460">
        <w:rPr>
          <w:rFonts w:cs="Times New Roman"/>
          <w:color w:val="222222"/>
          <w:shd w:val="clear" w:color="auto" w:fill="FFFFFF"/>
        </w:rPr>
        <w:t>, </w:t>
      </w:r>
      <w:r w:rsidRPr="00F36460">
        <w:rPr>
          <w:rFonts w:cs="Times New Roman"/>
          <w:i/>
          <w:iCs/>
          <w:color w:val="222222"/>
          <w:shd w:val="clear" w:color="auto" w:fill="FFFFFF"/>
        </w:rPr>
        <w:t>141</w:t>
      </w:r>
      <w:r w:rsidRPr="00F36460">
        <w:rPr>
          <w:rFonts w:cs="Times New Roman"/>
          <w:color w:val="222222"/>
          <w:shd w:val="clear" w:color="auto" w:fill="FFFFFF"/>
        </w:rPr>
        <w:t>(6), 575-580.</w:t>
      </w:r>
    </w:p>
    <w:p w14:paraId="283445C0" w14:textId="45BB8EF3" w:rsidR="005B52B2" w:rsidRPr="00F36460" w:rsidRDefault="005B52B2" w:rsidP="005B52B2">
      <w:pPr>
        <w:spacing w:line="480" w:lineRule="auto"/>
        <w:ind w:left="720" w:hanging="720"/>
        <w:jc w:val="both"/>
        <w:rPr>
          <w:rFonts w:cs="Times New Roman"/>
          <w:lang w:val="en-GB"/>
        </w:rPr>
      </w:pPr>
      <w:r w:rsidRPr="00F36460">
        <w:rPr>
          <w:rFonts w:cs="Times New Roman"/>
        </w:rPr>
        <w:lastRenderedPageBreak/>
        <w:t xml:space="preserve">Centers for Disease Control and Prevention. </w:t>
      </w:r>
      <w:r w:rsidR="00002EED" w:rsidRPr="00F36460">
        <w:rPr>
          <w:rFonts w:cs="Times New Roman"/>
        </w:rPr>
        <w:t xml:space="preserve">(2018a). </w:t>
      </w:r>
      <w:r w:rsidRPr="00F36460">
        <w:rPr>
          <w:rFonts w:cs="Times New Roman"/>
        </w:rPr>
        <w:t xml:space="preserve">Global school-based student health survey. </w:t>
      </w:r>
      <w:hyperlink r:id="rId17" w:tgtFrame="_blank" w:history="1">
        <w:r w:rsidRPr="00F36460">
          <w:rPr>
            <w:rStyle w:val="Hyperlink"/>
            <w:rFonts w:cs="Times New Roman"/>
          </w:rPr>
          <w:t>https://www.cdc.gov/gshs/</w:t>
        </w:r>
      </w:hyperlink>
      <w:r w:rsidRPr="00F36460">
        <w:rPr>
          <w:rFonts w:cs="Times New Roman"/>
        </w:rPr>
        <w:t>.</w:t>
      </w:r>
      <w:r w:rsidRPr="00F36460">
        <w:t xml:space="preserve"> Accessed 5 June 2020.</w:t>
      </w:r>
    </w:p>
    <w:p w14:paraId="24616C18" w14:textId="46EE59C9" w:rsidR="00D90097" w:rsidRPr="00F36460" w:rsidRDefault="00D90097" w:rsidP="007C057C">
      <w:pPr>
        <w:spacing w:line="480" w:lineRule="auto"/>
        <w:ind w:left="720" w:hanging="720"/>
        <w:jc w:val="both"/>
        <w:rPr>
          <w:rFonts w:cs="Times New Roman"/>
          <w:color w:val="222222"/>
          <w:shd w:val="clear" w:color="auto" w:fill="FFFFFF"/>
        </w:rPr>
      </w:pPr>
      <w:r w:rsidRPr="00F36460">
        <w:t xml:space="preserve">Centers for Disease Control and Prevention. </w:t>
      </w:r>
      <w:r w:rsidR="00002EED" w:rsidRPr="00F36460">
        <w:t xml:space="preserve">(2018b). </w:t>
      </w:r>
      <w:r w:rsidRPr="00F36460">
        <w:t>Sexually Transmitted Disease</w:t>
      </w:r>
      <w:r w:rsidRPr="00F36460">
        <w:br/>
        <w:t xml:space="preserve">Surveillance </w:t>
      </w:r>
      <w:proofErr w:type="gramStart"/>
      <w:r w:rsidRPr="00F36460">
        <w:t>2017..</w:t>
      </w:r>
      <w:proofErr w:type="gramEnd"/>
      <w:r w:rsidRPr="00F36460">
        <w:t xml:space="preserve"> </w:t>
      </w:r>
      <w:hyperlink r:id="rId18" w:tgtFrame="_blank" w:history="1">
        <w:r w:rsidRPr="00F36460">
          <w:rPr>
            <w:rStyle w:val="Hyperlink"/>
          </w:rPr>
          <w:t>https://www.cdc.gov/std/stats17/2017-STD-Surveillance-Report_CDC-clearance-9.10.18.pdf</w:t>
        </w:r>
      </w:hyperlink>
      <w:r w:rsidRPr="00F36460">
        <w:t>. Accessed 5 June 2020.</w:t>
      </w:r>
    </w:p>
    <w:p w14:paraId="708F6926" w14:textId="7AEA2721" w:rsidR="00D90097" w:rsidRPr="00F36460" w:rsidRDefault="00D90097" w:rsidP="007C057C">
      <w:pPr>
        <w:spacing w:line="480" w:lineRule="auto"/>
        <w:ind w:left="720" w:hanging="720"/>
        <w:jc w:val="both"/>
        <w:rPr>
          <w:rFonts w:cs="Times New Roman"/>
          <w:color w:val="222222"/>
          <w:shd w:val="clear" w:color="auto" w:fill="FFFFFF"/>
        </w:rPr>
      </w:pPr>
      <w:r w:rsidRPr="00F36460">
        <w:rPr>
          <w:rFonts w:cs="Times New Roman"/>
          <w:color w:val="222222"/>
          <w:shd w:val="clear" w:color="auto" w:fill="FFFFFF"/>
        </w:rPr>
        <w:t xml:space="preserve">Chop, E., </w:t>
      </w:r>
      <w:proofErr w:type="spellStart"/>
      <w:r w:rsidRPr="00F36460">
        <w:rPr>
          <w:rFonts w:cs="Times New Roman"/>
          <w:color w:val="222222"/>
          <w:shd w:val="clear" w:color="auto" w:fill="FFFFFF"/>
        </w:rPr>
        <w:t>Duggaraju</w:t>
      </w:r>
      <w:proofErr w:type="spellEnd"/>
      <w:r w:rsidRPr="00F36460">
        <w:rPr>
          <w:rFonts w:cs="Times New Roman"/>
          <w:color w:val="222222"/>
          <w:shd w:val="clear" w:color="auto" w:fill="FFFFFF"/>
        </w:rPr>
        <w:t>, A., Malley, A., Burke, V., Caldas, S., Yeh, P. T., ... &amp; Kennedy, C. E. (2017). Food insecurity, sexual risk behavior, and adherence to antiretroviral therapy among women living with HIV: A systematic review. </w:t>
      </w:r>
      <w:r w:rsidRPr="00F36460">
        <w:rPr>
          <w:rFonts w:cs="Times New Roman"/>
          <w:i/>
          <w:iCs/>
          <w:color w:val="222222"/>
          <w:shd w:val="clear" w:color="auto" w:fill="FFFFFF"/>
        </w:rPr>
        <w:t>Health care for women international</w:t>
      </w:r>
      <w:r w:rsidRPr="00F36460">
        <w:rPr>
          <w:rFonts w:cs="Times New Roman"/>
          <w:color w:val="222222"/>
          <w:shd w:val="clear" w:color="auto" w:fill="FFFFFF"/>
        </w:rPr>
        <w:t>, </w:t>
      </w:r>
      <w:r w:rsidRPr="00F36460">
        <w:rPr>
          <w:rFonts w:cs="Times New Roman"/>
          <w:i/>
          <w:iCs/>
          <w:color w:val="222222"/>
          <w:shd w:val="clear" w:color="auto" w:fill="FFFFFF"/>
        </w:rPr>
        <w:t>38</w:t>
      </w:r>
      <w:r w:rsidRPr="00F36460">
        <w:rPr>
          <w:rFonts w:cs="Times New Roman"/>
          <w:color w:val="222222"/>
          <w:shd w:val="clear" w:color="auto" w:fill="FFFFFF"/>
        </w:rPr>
        <w:t>(9), 927-944.</w:t>
      </w:r>
    </w:p>
    <w:p w14:paraId="03EC0C30" w14:textId="61D9973C" w:rsidR="007F3A7E" w:rsidRPr="00F36460" w:rsidRDefault="007F3A7E" w:rsidP="007C057C">
      <w:pPr>
        <w:spacing w:line="480" w:lineRule="auto"/>
        <w:ind w:left="720" w:hanging="720"/>
        <w:jc w:val="both"/>
        <w:rPr>
          <w:rFonts w:cs="Times New Roman"/>
          <w:lang w:val="en-GB"/>
        </w:rPr>
      </w:pPr>
      <w:r w:rsidRPr="00F36460">
        <w:rPr>
          <w:rFonts w:cs="Times New Roman"/>
          <w:lang w:val="en-GB"/>
        </w:rPr>
        <w:t xml:space="preserve">Davidoff-Gore, A., Luke, N., &amp; </w:t>
      </w:r>
      <w:proofErr w:type="spellStart"/>
      <w:r w:rsidRPr="00F36460">
        <w:rPr>
          <w:rFonts w:cs="Times New Roman"/>
          <w:lang w:val="en-GB"/>
        </w:rPr>
        <w:t>Wawire</w:t>
      </w:r>
      <w:proofErr w:type="spellEnd"/>
      <w:r w:rsidRPr="00F36460">
        <w:rPr>
          <w:rFonts w:cs="Times New Roman"/>
          <w:lang w:val="en-GB"/>
        </w:rPr>
        <w:t xml:space="preserve">, S. (2011). Dimensions of poverty and inconsistent condom use among youth in urban Kenya. </w:t>
      </w:r>
      <w:r w:rsidRPr="00F36460">
        <w:rPr>
          <w:rFonts w:cs="Times New Roman"/>
          <w:i/>
          <w:lang w:val="en-GB"/>
        </w:rPr>
        <w:t>AIDS care, 23</w:t>
      </w:r>
      <w:r w:rsidRPr="00F36460">
        <w:rPr>
          <w:rFonts w:cs="Times New Roman"/>
          <w:lang w:val="en-GB"/>
        </w:rPr>
        <w:t xml:space="preserve">(10), 1282–1290. </w:t>
      </w:r>
    </w:p>
    <w:p w14:paraId="48C1B8A9" w14:textId="38D97EF7" w:rsidR="00D90097" w:rsidRPr="00F36460" w:rsidRDefault="00D90097" w:rsidP="007C057C">
      <w:pPr>
        <w:spacing w:line="480" w:lineRule="auto"/>
        <w:ind w:left="720" w:hanging="720"/>
        <w:jc w:val="both"/>
        <w:rPr>
          <w:rFonts w:cs="Times New Roman"/>
          <w:lang w:val="en-GB"/>
        </w:rPr>
      </w:pPr>
      <w:r w:rsidRPr="00F36460">
        <w:rPr>
          <w:rFonts w:cs="Times New Roman"/>
        </w:rPr>
        <w:t xml:space="preserve">FAO, IFAD, UNICEF, WFP and WHO. </w:t>
      </w:r>
      <w:r w:rsidR="00002EED" w:rsidRPr="00F36460">
        <w:rPr>
          <w:rFonts w:cs="Times New Roman"/>
        </w:rPr>
        <w:t xml:space="preserve">(2019). </w:t>
      </w:r>
      <w:r w:rsidRPr="00F36460">
        <w:rPr>
          <w:rFonts w:cs="Times New Roman"/>
        </w:rPr>
        <w:t xml:space="preserve">The State of Food Security and Nutrition in the World 2019. Safeguarding against economic slowdowns and </w:t>
      </w:r>
      <w:proofErr w:type="gramStart"/>
      <w:r w:rsidRPr="00F36460">
        <w:rPr>
          <w:rFonts w:cs="Times New Roman"/>
        </w:rPr>
        <w:t>downturns..</w:t>
      </w:r>
      <w:proofErr w:type="gramEnd"/>
      <w:r w:rsidRPr="00F36460">
        <w:rPr>
          <w:rFonts w:cs="Times New Roman"/>
        </w:rPr>
        <w:t xml:space="preserve"> </w:t>
      </w:r>
      <w:hyperlink r:id="rId19" w:tgtFrame="_blank" w:history="1">
        <w:r w:rsidRPr="00F36460">
          <w:rPr>
            <w:rStyle w:val="Hyperlink"/>
            <w:rFonts w:cs="Times New Roman"/>
          </w:rPr>
          <w:t>http://www.fao.org/3/ca5162en/ca5162en.pdf</w:t>
        </w:r>
      </w:hyperlink>
      <w:r w:rsidRPr="00F36460">
        <w:rPr>
          <w:rFonts w:cs="Times New Roman"/>
        </w:rPr>
        <w:t xml:space="preserve">. </w:t>
      </w:r>
      <w:r w:rsidRPr="00F36460">
        <w:t>Accessed 5 June 2020.</w:t>
      </w:r>
    </w:p>
    <w:p w14:paraId="4AD60DED"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Higgins, J. P., &amp; Thompson, S. G. (2002). Quantifying heterogeneity in a meta‐analysis. </w:t>
      </w:r>
      <w:r w:rsidRPr="00F36460">
        <w:rPr>
          <w:rFonts w:cs="Times New Roman"/>
          <w:i/>
          <w:iCs/>
          <w:color w:val="222222"/>
          <w:shd w:val="clear" w:color="auto" w:fill="FFFFFF"/>
        </w:rPr>
        <w:t>Statistics in medicine</w:t>
      </w:r>
      <w:r w:rsidRPr="00F36460">
        <w:rPr>
          <w:rFonts w:cs="Times New Roman"/>
          <w:color w:val="222222"/>
          <w:shd w:val="clear" w:color="auto" w:fill="FFFFFF"/>
        </w:rPr>
        <w:t>, </w:t>
      </w:r>
      <w:r w:rsidRPr="00F36460">
        <w:rPr>
          <w:rFonts w:cs="Times New Roman"/>
          <w:i/>
          <w:iCs/>
          <w:color w:val="222222"/>
          <w:shd w:val="clear" w:color="auto" w:fill="FFFFFF"/>
        </w:rPr>
        <w:t>21</w:t>
      </w:r>
      <w:r w:rsidRPr="00F36460">
        <w:rPr>
          <w:rFonts w:cs="Times New Roman"/>
          <w:color w:val="222222"/>
          <w:shd w:val="clear" w:color="auto" w:fill="FFFFFF"/>
        </w:rPr>
        <w:t>(11), 1539-1558.</w:t>
      </w:r>
    </w:p>
    <w:p w14:paraId="10E11178" w14:textId="1CB5EA02" w:rsidR="00D90097" w:rsidRDefault="00D90097" w:rsidP="007C057C">
      <w:pPr>
        <w:spacing w:line="480" w:lineRule="auto"/>
        <w:ind w:left="720" w:hanging="720"/>
        <w:jc w:val="both"/>
        <w:rPr>
          <w:rFonts w:cs="Times New Roman"/>
          <w:color w:val="222222"/>
          <w:shd w:val="clear" w:color="auto" w:fill="FFFFFF"/>
        </w:rPr>
      </w:pPr>
      <w:r w:rsidRPr="00F36460">
        <w:rPr>
          <w:rFonts w:cs="Times New Roman"/>
          <w:color w:val="222222"/>
          <w:shd w:val="clear" w:color="auto" w:fill="FFFFFF"/>
        </w:rPr>
        <w:t>Kim-</w:t>
      </w:r>
      <w:proofErr w:type="spellStart"/>
      <w:r w:rsidRPr="00F36460">
        <w:rPr>
          <w:rFonts w:cs="Times New Roman"/>
          <w:color w:val="222222"/>
          <w:shd w:val="clear" w:color="auto" w:fill="FFFFFF"/>
        </w:rPr>
        <w:t>Mozeleski</w:t>
      </w:r>
      <w:proofErr w:type="spellEnd"/>
      <w:r w:rsidRPr="00F36460">
        <w:rPr>
          <w:rFonts w:cs="Times New Roman"/>
          <w:color w:val="222222"/>
          <w:shd w:val="clear" w:color="auto" w:fill="FFFFFF"/>
        </w:rPr>
        <w:t xml:space="preserve">, J. E., Seligman, H. K., Yen, I. H., Shaw, S. J., Buchanan, D. R., &amp; </w:t>
      </w:r>
      <w:proofErr w:type="spellStart"/>
      <w:r w:rsidRPr="00F36460">
        <w:rPr>
          <w:rFonts w:cs="Times New Roman"/>
          <w:color w:val="222222"/>
          <w:shd w:val="clear" w:color="auto" w:fill="FFFFFF"/>
        </w:rPr>
        <w:t>Tsoh</w:t>
      </w:r>
      <w:proofErr w:type="spellEnd"/>
      <w:r w:rsidRPr="00F36460">
        <w:rPr>
          <w:rFonts w:cs="Times New Roman"/>
          <w:color w:val="222222"/>
          <w:shd w:val="clear" w:color="auto" w:fill="FFFFFF"/>
        </w:rPr>
        <w:t>, J. Y. (2019). Changes in food insecurity and smoking status over time: analysis of the 2003 and 2015 panel study of income dynamics. </w:t>
      </w:r>
      <w:r w:rsidRPr="00F36460">
        <w:rPr>
          <w:rFonts w:cs="Times New Roman"/>
          <w:i/>
          <w:iCs/>
          <w:color w:val="222222"/>
          <w:shd w:val="clear" w:color="auto" w:fill="FFFFFF"/>
        </w:rPr>
        <w:t>American Journal of Health Promotion</w:t>
      </w:r>
      <w:r w:rsidRPr="00F36460">
        <w:rPr>
          <w:rFonts w:cs="Times New Roman"/>
          <w:color w:val="222222"/>
          <w:shd w:val="clear" w:color="auto" w:fill="FFFFFF"/>
        </w:rPr>
        <w:t>, </w:t>
      </w:r>
      <w:r w:rsidRPr="00F36460">
        <w:rPr>
          <w:rFonts w:cs="Times New Roman"/>
          <w:i/>
          <w:iCs/>
          <w:color w:val="222222"/>
          <w:shd w:val="clear" w:color="auto" w:fill="FFFFFF"/>
        </w:rPr>
        <w:t>33</w:t>
      </w:r>
      <w:r w:rsidRPr="00F36460">
        <w:rPr>
          <w:rFonts w:cs="Times New Roman"/>
          <w:color w:val="222222"/>
          <w:shd w:val="clear" w:color="auto" w:fill="FFFFFF"/>
        </w:rPr>
        <w:t>(5), 698-707.</w:t>
      </w:r>
    </w:p>
    <w:p w14:paraId="09DF16E3" w14:textId="0EBCBB51" w:rsidR="00F14FA5" w:rsidRPr="00365B70" w:rsidRDefault="00F14FA5" w:rsidP="007C057C">
      <w:pPr>
        <w:spacing w:line="480" w:lineRule="auto"/>
        <w:ind w:left="720" w:hanging="720"/>
        <w:jc w:val="both"/>
        <w:rPr>
          <w:rFonts w:cs="Times New Roman"/>
          <w:shd w:val="clear" w:color="auto" w:fill="FFFFFF"/>
        </w:rPr>
      </w:pPr>
      <w:proofErr w:type="spellStart"/>
      <w:r w:rsidRPr="00365B70">
        <w:rPr>
          <w:rFonts w:cs="Times New Roman"/>
          <w:shd w:val="clear" w:color="auto" w:fill="FFFFFF"/>
        </w:rPr>
        <w:t>Kismödi</w:t>
      </w:r>
      <w:proofErr w:type="spellEnd"/>
      <w:r w:rsidRPr="00365B70">
        <w:rPr>
          <w:rFonts w:cs="Times New Roman"/>
          <w:shd w:val="clear" w:color="auto" w:fill="FFFFFF"/>
        </w:rPr>
        <w:t xml:space="preserve">, E., Corona, E., </w:t>
      </w:r>
      <w:proofErr w:type="spellStart"/>
      <w:r w:rsidRPr="00365B70">
        <w:rPr>
          <w:rFonts w:cs="Times New Roman"/>
          <w:shd w:val="clear" w:color="auto" w:fill="FFFFFF"/>
        </w:rPr>
        <w:t>Maticka</w:t>
      </w:r>
      <w:proofErr w:type="spellEnd"/>
      <w:r w:rsidRPr="00365B70">
        <w:rPr>
          <w:rFonts w:cs="Times New Roman"/>
          <w:shd w:val="clear" w:color="auto" w:fill="FFFFFF"/>
        </w:rPr>
        <w:t>-Tyndale, E., Rubio-</w:t>
      </w:r>
      <w:proofErr w:type="spellStart"/>
      <w:r w:rsidRPr="00365B70">
        <w:rPr>
          <w:rFonts w:cs="Times New Roman"/>
          <w:shd w:val="clear" w:color="auto" w:fill="FFFFFF"/>
        </w:rPr>
        <w:t>Aurioles</w:t>
      </w:r>
      <w:proofErr w:type="spellEnd"/>
      <w:r w:rsidRPr="00365B70">
        <w:rPr>
          <w:rFonts w:cs="Times New Roman"/>
          <w:shd w:val="clear" w:color="auto" w:fill="FFFFFF"/>
        </w:rPr>
        <w:t xml:space="preserve">, E., &amp; Coleman, E. (2017). Sexual rights as human rights: A guide for the WAS declaration of sexual rights. </w:t>
      </w:r>
      <w:r w:rsidRPr="00365B70">
        <w:rPr>
          <w:rFonts w:cs="Times New Roman"/>
          <w:i/>
          <w:shd w:val="clear" w:color="auto" w:fill="FFFFFF"/>
        </w:rPr>
        <w:t>International Journal of Sexual Health, 29</w:t>
      </w:r>
      <w:r w:rsidRPr="00365B70">
        <w:rPr>
          <w:rFonts w:cs="Times New Roman"/>
          <w:shd w:val="clear" w:color="auto" w:fill="FFFFFF"/>
        </w:rPr>
        <w:t>(sup1), 1-92.</w:t>
      </w:r>
    </w:p>
    <w:p w14:paraId="2567F04D" w14:textId="77777777" w:rsidR="00D90097" w:rsidRPr="00C46D0C" w:rsidRDefault="00D90097" w:rsidP="007C057C">
      <w:pPr>
        <w:spacing w:line="480" w:lineRule="auto"/>
        <w:ind w:left="720" w:hanging="720"/>
        <w:jc w:val="both"/>
        <w:rPr>
          <w:rFonts w:cs="Times New Roman"/>
          <w:lang w:val="de-DE"/>
        </w:rPr>
      </w:pPr>
      <w:r w:rsidRPr="00F36460">
        <w:rPr>
          <w:color w:val="222222"/>
          <w:shd w:val="clear" w:color="auto" w:fill="FFFFFF"/>
        </w:rPr>
        <w:t xml:space="preserve">Klein, J. D. (2005). Adolescent pregnancy: current trends and issues. </w:t>
      </w:r>
      <w:r w:rsidRPr="00C46D0C">
        <w:rPr>
          <w:i/>
          <w:iCs/>
          <w:color w:val="222222"/>
          <w:shd w:val="clear" w:color="auto" w:fill="FFFFFF"/>
          <w:lang w:val="de-DE"/>
        </w:rPr>
        <w:t>Pediatrics</w:t>
      </w:r>
      <w:r w:rsidRPr="00C46D0C">
        <w:rPr>
          <w:color w:val="222222"/>
          <w:shd w:val="clear" w:color="auto" w:fill="FFFFFF"/>
          <w:lang w:val="de-DE"/>
        </w:rPr>
        <w:t>, </w:t>
      </w:r>
      <w:r w:rsidRPr="00C46D0C">
        <w:rPr>
          <w:i/>
          <w:iCs/>
          <w:color w:val="222222"/>
          <w:shd w:val="clear" w:color="auto" w:fill="FFFFFF"/>
          <w:lang w:val="de-DE"/>
        </w:rPr>
        <w:t>116</w:t>
      </w:r>
      <w:r w:rsidRPr="00C46D0C">
        <w:rPr>
          <w:color w:val="222222"/>
          <w:shd w:val="clear" w:color="auto" w:fill="FFFFFF"/>
          <w:lang w:val="de-DE"/>
        </w:rPr>
        <w:t>(1), 281-286.</w:t>
      </w:r>
    </w:p>
    <w:p w14:paraId="1F7A8D4C" w14:textId="77777777" w:rsidR="00D90097" w:rsidRPr="00F36460" w:rsidRDefault="00D90097" w:rsidP="007C057C">
      <w:pPr>
        <w:spacing w:line="480" w:lineRule="auto"/>
        <w:ind w:left="720" w:hanging="720"/>
        <w:jc w:val="both"/>
        <w:rPr>
          <w:rFonts w:cs="Times New Roman"/>
          <w:lang w:val="en-GB"/>
        </w:rPr>
      </w:pPr>
      <w:r w:rsidRPr="00C46D0C">
        <w:rPr>
          <w:rFonts w:cs="Times New Roman"/>
          <w:color w:val="222222"/>
          <w:shd w:val="clear" w:color="auto" w:fill="FFFFFF"/>
          <w:lang w:val="de-DE"/>
        </w:rPr>
        <w:lastRenderedPageBreak/>
        <w:t xml:space="preserve">Kleinman, R. E., Murphy, J. M., Wieneke, K. M., Desmond, M. S., Schiff, A., &amp; Gapinski, J. A. (2007). </w:t>
      </w:r>
      <w:r w:rsidRPr="00F36460">
        <w:rPr>
          <w:rFonts w:cs="Times New Roman"/>
          <w:color w:val="222222"/>
          <w:shd w:val="clear" w:color="auto" w:fill="FFFFFF"/>
        </w:rPr>
        <w:t>Use of a single-question screening tool to detect hunger in families attending a neighborhood health center. </w:t>
      </w:r>
      <w:r w:rsidRPr="00F36460">
        <w:rPr>
          <w:rFonts w:cs="Times New Roman"/>
          <w:i/>
          <w:iCs/>
          <w:color w:val="222222"/>
          <w:shd w:val="clear" w:color="auto" w:fill="FFFFFF"/>
        </w:rPr>
        <w:t>Ambulatory Pediatrics</w:t>
      </w:r>
      <w:r w:rsidRPr="00F36460">
        <w:rPr>
          <w:rFonts w:cs="Times New Roman"/>
          <w:color w:val="222222"/>
          <w:shd w:val="clear" w:color="auto" w:fill="FFFFFF"/>
        </w:rPr>
        <w:t>, </w:t>
      </w:r>
      <w:r w:rsidRPr="00F36460">
        <w:rPr>
          <w:rFonts w:cs="Times New Roman"/>
          <w:i/>
          <w:iCs/>
          <w:color w:val="222222"/>
          <w:shd w:val="clear" w:color="auto" w:fill="FFFFFF"/>
        </w:rPr>
        <w:t>7</w:t>
      </w:r>
      <w:r w:rsidRPr="00F36460">
        <w:rPr>
          <w:rFonts w:cs="Times New Roman"/>
          <w:color w:val="222222"/>
          <w:shd w:val="clear" w:color="auto" w:fill="FFFFFF"/>
        </w:rPr>
        <w:t>(4), 278-284.</w:t>
      </w:r>
    </w:p>
    <w:p w14:paraId="3B8B4F7C" w14:textId="1C531920" w:rsidR="00D90097" w:rsidRDefault="00D90097" w:rsidP="007C057C">
      <w:pPr>
        <w:spacing w:line="480" w:lineRule="auto"/>
        <w:ind w:left="720" w:hanging="720"/>
        <w:jc w:val="both"/>
        <w:rPr>
          <w:rFonts w:cs="Times New Roman"/>
          <w:color w:val="222222"/>
          <w:shd w:val="clear" w:color="auto" w:fill="FFFFFF"/>
        </w:rPr>
      </w:pPr>
      <w:proofErr w:type="spellStart"/>
      <w:r w:rsidRPr="00F36460">
        <w:rPr>
          <w:rFonts w:cs="Times New Roman"/>
          <w:color w:val="222222"/>
          <w:shd w:val="clear" w:color="auto" w:fill="FFFFFF"/>
        </w:rPr>
        <w:t>Koyanagi</w:t>
      </w:r>
      <w:proofErr w:type="spellEnd"/>
      <w:r w:rsidRPr="00F36460">
        <w:rPr>
          <w:rFonts w:cs="Times New Roman"/>
          <w:color w:val="222222"/>
          <w:shd w:val="clear" w:color="auto" w:fill="FFFFFF"/>
        </w:rPr>
        <w:t xml:space="preserve">, A., Stubbs, B., Oh, H., Veronese, N., Smith, L., </w:t>
      </w:r>
      <w:proofErr w:type="spellStart"/>
      <w:r w:rsidRPr="00F36460">
        <w:rPr>
          <w:rFonts w:cs="Times New Roman"/>
          <w:color w:val="222222"/>
          <w:shd w:val="clear" w:color="auto" w:fill="FFFFFF"/>
        </w:rPr>
        <w:t>Haro</w:t>
      </w:r>
      <w:proofErr w:type="spellEnd"/>
      <w:r w:rsidRPr="00F36460">
        <w:rPr>
          <w:rFonts w:cs="Times New Roman"/>
          <w:color w:val="222222"/>
          <w:shd w:val="clear" w:color="auto" w:fill="FFFFFF"/>
        </w:rPr>
        <w:t xml:space="preserve">, J. M., &amp; </w:t>
      </w:r>
      <w:proofErr w:type="spellStart"/>
      <w:r w:rsidRPr="00F36460">
        <w:rPr>
          <w:rFonts w:cs="Times New Roman"/>
          <w:color w:val="222222"/>
          <w:shd w:val="clear" w:color="auto" w:fill="FFFFFF"/>
        </w:rPr>
        <w:t>Vancampfort</w:t>
      </w:r>
      <w:proofErr w:type="spellEnd"/>
      <w:r w:rsidRPr="00F36460">
        <w:rPr>
          <w:rFonts w:cs="Times New Roman"/>
          <w:color w:val="222222"/>
          <w:shd w:val="clear" w:color="auto" w:fill="FFFFFF"/>
        </w:rPr>
        <w:t>, D. (2019). Food insecurity (hunger) and suicide attempts among 179,771 adolescents attending school from 9 high-income, 31 middle-income, and 4 low-income countries: A cross-sectional study. </w:t>
      </w:r>
      <w:r w:rsidRPr="00F36460">
        <w:rPr>
          <w:rFonts w:cs="Times New Roman"/>
          <w:i/>
          <w:iCs/>
          <w:color w:val="222222"/>
          <w:shd w:val="clear" w:color="auto" w:fill="FFFFFF"/>
        </w:rPr>
        <w:t>Journal of affective disorders</w:t>
      </w:r>
      <w:r w:rsidRPr="00F36460">
        <w:rPr>
          <w:rFonts w:cs="Times New Roman"/>
          <w:color w:val="222222"/>
          <w:shd w:val="clear" w:color="auto" w:fill="FFFFFF"/>
        </w:rPr>
        <w:t>, </w:t>
      </w:r>
      <w:r w:rsidRPr="00F36460">
        <w:rPr>
          <w:rFonts w:cs="Times New Roman"/>
          <w:i/>
          <w:iCs/>
          <w:color w:val="222222"/>
          <w:shd w:val="clear" w:color="auto" w:fill="FFFFFF"/>
        </w:rPr>
        <w:t>248</w:t>
      </w:r>
      <w:r w:rsidRPr="00F36460">
        <w:rPr>
          <w:rFonts w:cs="Times New Roman"/>
          <w:color w:val="222222"/>
          <w:shd w:val="clear" w:color="auto" w:fill="FFFFFF"/>
        </w:rPr>
        <w:t>, 91-98.</w:t>
      </w:r>
    </w:p>
    <w:p w14:paraId="3AF79108" w14:textId="0D08C1E8" w:rsidR="00791130" w:rsidRPr="00365B70" w:rsidRDefault="00791130" w:rsidP="007C057C">
      <w:pPr>
        <w:spacing w:line="480" w:lineRule="auto"/>
        <w:ind w:left="720" w:hanging="720"/>
        <w:jc w:val="both"/>
        <w:rPr>
          <w:rFonts w:cs="Times New Roman"/>
          <w:lang w:val="en-GB"/>
        </w:rPr>
      </w:pPr>
      <w:r w:rsidRPr="00365B70">
        <w:rPr>
          <w:rFonts w:cs="Times New Roman"/>
          <w:lang w:val="en-GB"/>
        </w:rPr>
        <w:t xml:space="preserve">Hadley, C., Lindstrom, D., </w:t>
      </w:r>
      <w:proofErr w:type="spellStart"/>
      <w:r w:rsidRPr="00365B70">
        <w:rPr>
          <w:rFonts w:cs="Times New Roman"/>
          <w:lang w:val="en-GB"/>
        </w:rPr>
        <w:t>Tessema</w:t>
      </w:r>
      <w:proofErr w:type="spellEnd"/>
      <w:r w:rsidRPr="00365B70">
        <w:rPr>
          <w:rFonts w:cs="Times New Roman"/>
          <w:lang w:val="en-GB"/>
        </w:rPr>
        <w:t xml:space="preserve">, F., &amp; </w:t>
      </w:r>
      <w:proofErr w:type="spellStart"/>
      <w:r w:rsidRPr="00365B70">
        <w:rPr>
          <w:rFonts w:cs="Times New Roman"/>
          <w:lang w:val="en-GB"/>
        </w:rPr>
        <w:t>Belachew</w:t>
      </w:r>
      <w:proofErr w:type="spellEnd"/>
      <w:r w:rsidRPr="00365B70">
        <w:rPr>
          <w:rFonts w:cs="Times New Roman"/>
          <w:lang w:val="en-GB"/>
        </w:rPr>
        <w:t xml:space="preserve">, T. (2008). Gender bias in the food insecurity experience of Ethiopian adolescents. </w:t>
      </w:r>
      <w:r w:rsidRPr="00365B70">
        <w:rPr>
          <w:rFonts w:cs="Times New Roman"/>
          <w:i/>
          <w:lang w:val="en-GB"/>
        </w:rPr>
        <w:t>Social science &amp; medicine, 66</w:t>
      </w:r>
      <w:r w:rsidRPr="00365B70">
        <w:rPr>
          <w:rFonts w:cs="Times New Roman"/>
          <w:lang w:val="en-GB"/>
        </w:rPr>
        <w:t>(2), 427-438.</w:t>
      </w:r>
    </w:p>
    <w:p w14:paraId="6A752EB2"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Maitra, C. (2018). </w:t>
      </w:r>
      <w:r w:rsidRPr="00F36460">
        <w:rPr>
          <w:rFonts w:cs="Times New Roman"/>
          <w:i/>
          <w:iCs/>
          <w:color w:val="222222"/>
          <w:shd w:val="clear" w:color="auto" w:fill="FFFFFF"/>
        </w:rPr>
        <w:t>A review of studies examining the link between food insecurity and malnutrition</w:t>
      </w:r>
      <w:r w:rsidRPr="00F36460">
        <w:rPr>
          <w:rFonts w:cs="Times New Roman"/>
          <w:color w:val="222222"/>
          <w:shd w:val="clear" w:color="auto" w:fill="FFFFFF"/>
        </w:rPr>
        <w:t>. Food and Agriculture Organization of the United Nations.</w:t>
      </w:r>
      <w:r w:rsidRPr="00F36460">
        <w:rPr>
          <w:rFonts w:cs="Times New Roman"/>
        </w:rPr>
        <w:t xml:space="preserve"> </w:t>
      </w:r>
      <w:hyperlink r:id="rId20" w:tgtFrame="_blank" w:history="1">
        <w:r w:rsidRPr="00F36460">
          <w:rPr>
            <w:rStyle w:val="Hyperlink"/>
            <w:rFonts w:cs="Times New Roman"/>
          </w:rPr>
          <w:t>http://www.fao.org/3/CA1447EN/ca1447en.pdf</w:t>
        </w:r>
      </w:hyperlink>
      <w:r w:rsidRPr="00F36460">
        <w:rPr>
          <w:rFonts w:cs="Times New Roman"/>
        </w:rPr>
        <w:t xml:space="preserve">. </w:t>
      </w:r>
      <w:r w:rsidRPr="00F36460">
        <w:t>Accessed 5 June 2020.</w:t>
      </w:r>
    </w:p>
    <w:p w14:paraId="2C8D5D06"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 xml:space="preserve">Masa, R., Graham, L., Khan, Z., </w:t>
      </w:r>
      <w:proofErr w:type="spellStart"/>
      <w:r w:rsidRPr="00F36460">
        <w:rPr>
          <w:rFonts w:cs="Times New Roman"/>
          <w:color w:val="222222"/>
          <w:shd w:val="clear" w:color="auto" w:fill="FFFFFF"/>
        </w:rPr>
        <w:t>Chowa</w:t>
      </w:r>
      <w:proofErr w:type="spellEnd"/>
      <w:r w:rsidRPr="00F36460">
        <w:rPr>
          <w:rFonts w:cs="Times New Roman"/>
          <w:color w:val="222222"/>
          <w:shd w:val="clear" w:color="auto" w:fill="FFFFFF"/>
        </w:rPr>
        <w:t>, G., &amp; Patel, L. (2019). Food insecurity, sexual risk taking, and sexual victimization in Ghanaian adolescents and young South African adults. </w:t>
      </w:r>
      <w:r w:rsidRPr="00F36460">
        <w:rPr>
          <w:rFonts w:cs="Times New Roman"/>
          <w:i/>
          <w:iCs/>
          <w:color w:val="222222"/>
          <w:shd w:val="clear" w:color="auto" w:fill="FFFFFF"/>
        </w:rPr>
        <w:t>International journal of public health</w:t>
      </w:r>
      <w:r w:rsidRPr="00F36460">
        <w:rPr>
          <w:rFonts w:cs="Times New Roman"/>
          <w:color w:val="222222"/>
          <w:shd w:val="clear" w:color="auto" w:fill="FFFFFF"/>
        </w:rPr>
        <w:t>, </w:t>
      </w:r>
      <w:r w:rsidRPr="00F36460">
        <w:rPr>
          <w:rFonts w:cs="Times New Roman"/>
          <w:i/>
          <w:iCs/>
          <w:color w:val="222222"/>
          <w:shd w:val="clear" w:color="auto" w:fill="FFFFFF"/>
        </w:rPr>
        <w:t>64</w:t>
      </w:r>
      <w:r w:rsidRPr="00F36460">
        <w:rPr>
          <w:rFonts w:cs="Times New Roman"/>
          <w:color w:val="222222"/>
          <w:shd w:val="clear" w:color="auto" w:fill="FFFFFF"/>
        </w:rPr>
        <w:t>(2), 153-163.</w:t>
      </w:r>
    </w:p>
    <w:p w14:paraId="46367A68"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 xml:space="preserve">McIntyre, L., Williams, J. V., </w:t>
      </w:r>
      <w:proofErr w:type="spellStart"/>
      <w:r w:rsidRPr="00F36460">
        <w:rPr>
          <w:rFonts w:cs="Times New Roman"/>
          <w:color w:val="222222"/>
          <w:shd w:val="clear" w:color="auto" w:fill="FFFFFF"/>
        </w:rPr>
        <w:t>Lavorato</w:t>
      </w:r>
      <w:proofErr w:type="spellEnd"/>
      <w:r w:rsidRPr="00F36460">
        <w:rPr>
          <w:rFonts w:cs="Times New Roman"/>
          <w:color w:val="222222"/>
          <w:shd w:val="clear" w:color="auto" w:fill="FFFFFF"/>
        </w:rPr>
        <w:t>, D. H., &amp; Patten, S. (2013). Depression and suicide ideation in late adolescence and early adulthood are an outcome of child hunger. </w:t>
      </w:r>
      <w:r w:rsidRPr="00F36460">
        <w:rPr>
          <w:rFonts w:cs="Times New Roman"/>
          <w:i/>
          <w:iCs/>
          <w:color w:val="222222"/>
          <w:shd w:val="clear" w:color="auto" w:fill="FFFFFF"/>
        </w:rPr>
        <w:t>Journal of affective disorders</w:t>
      </w:r>
      <w:r w:rsidRPr="00F36460">
        <w:rPr>
          <w:rFonts w:cs="Times New Roman"/>
          <w:color w:val="222222"/>
          <w:shd w:val="clear" w:color="auto" w:fill="FFFFFF"/>
        </w:rPr>
        <w:t>, </w:t>
      </w:r>
      <w:r w:rsidRPr="00F36460">
        <w:rPr>
          <w:rFonts w:cs="Times New Roman"/>
          <w:i/>
          <w:iCs/>
          <w:color w:val="222222"/>
          <w:shd w:val="clear" w:color="auto" w:fill="FFFFFF"/>
        </w:rPr>
        <w:t>150</w:t>
      </w:r>
      <w:r w:rsidRPr="00F36460">
        <w:rPr>
          <w:rFonts w:cs="Times New Roman"/>
          <w:color w:val="222222"/>
          <w:shd w:val="clear" w:color="auto" w:fill="FFFFFF"/>
        </w:rPr>
        <w:t>(1), 123-129.</w:t>
      </w:r>
    </w:p>
    <w:p w14:paraId="3302CFB5"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 xml:space="preserve">McKinnon, B., </w:t>
      </w:r>
      <w:proofErr w:type="spellStart"/>
      <w:r w:rsidRPr="00F36460">
        <w:rPr>
          <w:rFonts w:cs="Times New Roman"/>
          <w:color w:val="222222"/>
          <w:shd w:val="clear" w:color="auto" w:fill="FFFFFF"/>
        </w:rPr>
        <w:t>Gariépy</w:t>
      </w:r>
      <w:proofErr w:type="spellEnd"/>
      <w:r w:rsidRPr="00F36460">
        <w:rPr>
          <w:rFonts w:cs="Times New Roman"/>
          <w:color w:val="222222"/>
          <w:shd w:val="clear" w:color="auto" w:fill="FFFFFF"/>
        </w:rPr>
        <w:t xml:space="preserve">, G., </w:t>
      </w:r>
      <w:proofErr w:type="spellStart"/>
      <w:r w:rsidRPr="00F36460">
        <w:rPr>
          <w:rFonts w:cs="Times New Roman"/>
          <w:color w:val="222222"/>
          <w:shd w:val="clear" w:color="auto" w:fill="FFFFFF"/>
        </w:rPr>
        <w:t>Sentenac</w:t>
      </w:r>
      <w:proofErr w:type="spellEnd"/>
      <w:r w:rsidRPr="00F36460">
        <w:rPr>
          <w:rFonts w:cs="Times New Roman"/>
          <w:color w:val="222222"/>
          <w:shd w:val="clear" w:color="auto" w:fill="FFFFFF"/>
        </w:rPr>
        <w:t xml:space="preserve">, M., &amp; Elgar, F. J. (2016). Adolescent suicidal </w:t>
      </w:r>
      <w:proofErr w:type="spellStart"/>
      <w:r w:rsidRPr="00F36460">
        <w:rPr>
          <w:rFonts w:cs="Times New Roman"/>
          <w:color w:val="222222"/>
          <w:shd w:val="clear" w:color="auto" w:fill="FFFFFF"/>
        </w:rPr>
        <w:t>behaviours</w:t>
      </w:r>
      <w:proofErr w:type="spellEnd"/>
      <w:r w:rsidRPr="00F36460">
        <w:rPr>
          <w:rFonts w:cs="Times New Roman"/>
          <w:color w:val="222222"/>
          <w:shd w:val="clear" w:color="auto" w:fill="FFFFFF"/>
        </w:rPr>
        <w:t xml:space="preserve"> in 32 low-and middle-income countries. </w:t>
      </w:r>
      <w:r w:rsidRPr="00F36460">
        <w:rPr>
          <w:rFonts w:cs="Times New Roman"/>
          <w:i/>
          <w:iCs/>
          <w:color w:val="222222"/>
          <w:shd w:val="clear" w:color="auto" w:fill="FFFFFF"/>
        </w:rPr>
        <w:t>Bulletin of the World Health Organization</w:t>
      </w:r>
      <w:r w:rsidRPr="00F36460">
        <w:rPr>
          <w:rFonts w:cs="Times New Roman"/>
          <w:color w:val="222222"/>
          <w:shd w:val="clear" w:color="auto" w:fill="FFFFFF"/>
        </w:rPr>
        <w:t>, </w:t>
      </w:r>
      <w:r w:rsidRPr="00F36460">
        <w:rPr>
          <w:rFonts w:cs="Times New Roman"/>
          <w:i/>
          <w:iCs/>
          <w:color w:val="222222"/>
          <w:shd w:val="clear" w:color="auto" w:fill="FFFFFF"/>
        </w:rPr>
        <w:t>94</w:t>
      </w:r>
      <w:r w:rsidRPr="00F36460">
        <w:rPr>
          <w:rFonts w:cs="Times New Roman"/>
          <w:color w:val="222222"/>
          <w:shd w:val="clear" w:color="auto" w:fill="FFFFFF"/>
        </w:rPr>
        <w:t xml:space="preserve">(5), </w:t>
      </w:r>
      <w:r w:rsidRPr="00F36460">
        <w:rPr>
          <w:rFonts w:cs="Times New Roman"/>
          <w:lang w:val="en-GB"/>
        </w:rPr>
        <w:t>340-350.</w:t>
      </w:r>
    </w:p>
    <w:p w14:paraId="0DE72A20"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 xml:space="preserve">Miller, C. L., </w:t>
      </w:r>
      <w:proofErr w:type="spellStart"/>
      <w:r w:rsidRPr="00F36460">
        <w:rPr>
          <w:rFonts w:cs="Times New Roman"/>
          <w:color w:val="222222"/>
          <w:shd w:val="clear" w:color="auto" w:fill="FFFFFF"/>
        </w:rPr>
        <w:t>Bangsberg</w:t>
      </w:r>
      <w:proofErr w:type="spellEnd"/>
      <w:r w:rsidRPr="00F36460">
        <w:rPr>
          <w:rFonts w:cs="Times New Roman"/>
          <w:color w:val="222222"/>
          <w:shd w:val="clear" w:color="auto" w:fill="FFFFFF"/>
        </w:rPr>
        <w:t xml:space="preserve">, D. R., </w:t>
      </w:r>
      <w:proofErr w:type="spellStart"/>
      <w:r w:rsidRPr="00F36460">
        <w:rPr>
          <w:rFonts w:cs="Times New Roman"/>
          <w:color w:val="222222"/>
          <w:shd w:val="clear" w:color="auto" w:fill="FFFFFF"/>
        </w:rPr>
        <w:t>Tuller</w:t>
      </w:r>
      <w:proofErr w:type="spellEnd"/>
      <w:r w:rsidRPr="00F36460">
        <w:rPr>
          <w:rFonts w:cs="Times New Roman"/>
          <w:color w:val="222222"/>
          <w:shd w:val="clear" w:color="auto" w:fill="FFFFFF"/>
        </w:rPr>
        <w:t xml:space="preserve">, D. M., </w:t>
      </w:r>
      <w:proofErr w:type="spellStart"/>
      <w:r w:rsidRPr="00F36460">
        <w:rPr>
          <w:rFonts w:cs="Times New Roman"/>
          <w:color w:val="222222"/>
          <w:shd w:val="clear" w:color="auto" w:fill="FFFFFF"/>
        </w:rPr>
        <w:t>Senkungu</w:t>
      </w:r>
      <w:proofErr w:type="spellEnd"/>
      <w:r w:rsidRPr="00F36460">
        <w:rPr>
          <w:rFonts w:cs="Times New Roman"/>
          <w:color w:val="222222"/>
          <w:shd w:val="clear" w:color="auto" w:fill="FFFFFF"/>
        </w:rPr>
        <w:t xml:space="preserve">, J., </w:t>
      </w:r>
      <w:proofErr w:type="spellStart"/>
      <w:r w:rsidRPr="00F36460">
        <w:rPr>
          <w:rFonts w:cs="Times New Roman"/>
          <w:color w:val="222222"/>
          <w:shd w:val="clear" w:color="auto" w:fill="FFFFFF"/>
        </w:rPr>
        <w:t>Kawuma</w:t>
      </w:r>
      <w:proofErr w:type="spellEnd"/>
      <w:r w:rsidRPr="00F36460">
        <w:rPr>
          <w:rFonts w:cs="Times New Roman"/>
          <w:color w:val="222222"/>
          <w:shd w:val="clear" w:color="auto" w:fill="FFFFFF"/>
        </w:rPr>
        <w:t xml:space="preserve">, A., </w:t>
      </w:r>
      <w:proofErr w:type="spellStart"/>
      <w:r w:rsidRPr="00F36460">
        <w:rPr>
          <w:rFonts w:cs="Times New Roman"/>
          <w:color w:val="222222"/>
          <w:shd w:val="clear" w:color="auto" w:fill="FFFFFF"/>
        </w:rPr>
        <w:t>Frongillo</w:t>
      </w:r>
      <w:proofErr w:type="spellEnd"/>
      <w:r w:rsidRPr="00F36460">
        <w:rPr>
          <w:rFonts w:cs="Times New Roman"/>
          <w:color w:val="222222"/>
          <w:shd w:val="clear" w:color="auto" w:fill="FFFFFF"/>
        </w:rPr>
        <w:t>, E. A., &amp; Weiser, S. D. (2011). Food insecurity and sexual risk in an HIV endemic community in Uganda. </w:t>
      </w:r>
      <w:r w:rsidRPr="00F36460">
        <w:rPr>
          <w:rFonts w:cs="Times New Roman"/>
          <w:i/>
          <w:iCs/>
          <w:color w:val="222222"/>
          <w:shd w:val="clear" w:color="auto" w:fill="FFFFFF"/>
        </w:rPr>
        <w:t>AIDS and Behavior</w:t>
      </w:r>
      <w:r w:rsidRPr="00F36460">
        <w:rPr>
          <w:rFonts w:cs="Times New Roman"/>
          <w:color w:val="222222"/>
          <w:shd w:val="clear" w:color="auto" w:fill="FFFFFF"/>
        </w:rPr>
        <w:t>, </w:t>
      </w:r>
      <w:r w:rsidRPr="00F36460">
        <w:rPr>
          <w:rFonts w:cs="Times New Roman"/>
          <w:i/>
          <w:iCs/>
          <w:color w:val="222222"/>
          <w:shd w:val="clear" w:color="auto" w:fill="FFFFFF"/>
        </w:rPr>
        <w:t>15</w:t>
      </w:r>
      <w:r w:rsidRPr="00F36460">
        <w:rPr>
          <w:rFonts w:cs="Times New Roman"/>
          <w:color w:val="222222"/>
          <w:shd w:val="clear" w:color="auto" w:fill="FFFFFF"/>
        </w:rPr>
        <w:t>(7), 1512-1519.</w:t>
      </w:r>
    </w:p>
    <w:p w14:paraId="7847B928"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lastRenderedPageBreak/>
        <w:t xml:space="preserve">Moradi, S., </w:t>
      </w:r>
      <w:proofErr w:type="spellStart"/>
      <w:r w:rsidRPr="00F36460">
        <w:rPr>
          <w:rFonts w:cs="Times New Roman"/>
          <w:color w:val="222222"/>
          <w:shd w:val="clear" w:color="auto" w:fill="FFFFFF"/>
        </w:rPr>
        <w:t>Arghavani</w:t>
      </w:r>
      <w:proofErr w:type="spellEnd"/>
      <w:r w:rsidRPr="00F36460">
        <w:rPr>
          <w:rFonts w:cs="Times New Roman"/>
          <w:color w:val="222222"/>
          <w:shd w:val="clear" w:color="auto" w:fill="FFFFFF"/>
        </w:rPr>
        <w:t xml:space="preserve">, H., </w:t>
      </w:r>
      <w:proofErr w:type="spellStart"/>
      <w:r w:rsidRPr="00F36460">
        <w:rPr>
          <w:rFonts w:cs="Times New Roman"/>
          <w:color w:val="222222"/>
          <w:shd w:val="clear" w:color="auto" w:fill="FFFFFF"/>
        </w:rPr>
        <w:t>Issah</w:t>
      </w:r>
      <w:proofErr w:type="spellEnd"/>
      <w:r w:rsidRPr="00F36460">
        <w:rPr>
          <w:rFonts w:cs="Times New Roman"/>
          <w:color w:val="222222"/>
          <w:shd w:val="clear" w:color="auto" w:fill="FFFFFF"/>
        </w:rPr>
        <w:t xml:space="preserve">, A., </w:t>
      </w:r>
      <w:proofErr w:type="spellStart"/>
      <w:r w:rsidRPr="00F36460">
        <w:rPr>
          <w:rFonts w:cs="Times New Roman"/>
          <w:color w:val="222222"/>
          <w:shd w:val="clear" w:color="auto" w:fill="FFFFFF"/>
        </w:rPr>
        <w:t>Mohammadi</w:t>
      </w:r>
      <w:proofErr w:type="spellEnd"/>
      <w:r w:rsidRPr="00F36460">
        <w:rPr>
          <w:rFonts w:cs="Times New Roman"/>
          <w:color w:val="222222"/>
          <w:shd w:val="clear" w:color="auto" w:fill="FFFFFF"/>
        </w:rPr>
        <w:t xml:space="preserve">, H., &amp; Mirzaei, K. (2018). Food insecurity and </w:t>
      </w:r>
      <w:proofErr w:type="spellStart"/>
      <w:r w:rsidRPr="00F36460">
        <w:rPr>
          <w:rFonts w:cs="Times New Roman"/>
          <w:color w:val="222222"/>
          <w:shd w:val="clear" w:color="auto" w:fill="FFFFFF"/>
        </w:rPr>
        <w:t>anaemia</w:t>
      </w:r>
      <w:proofErr w:type="spellEnd"/>
      <w:r w:rsidRPr="00F36460">
        <w:rPr>
          <w:rFonts w:cs="Times New Roman"/>
          <w:color w:val="222222"/>
          <w:shd w:val="clear" w:color="auto" w:fill="FFFFFF"/>
        </w:rPr>
        <w:t xml:space="preserve"> risk: a systematic review and meta-analysis. </w:t>
      </w:r>
      <w:r w:rsidRPr="00F36460">
        <w:rPr>
          <w:rFonts w:cs="Times New Roman"/>
          <w:i/>
          <w:iCs/>
          <w:color w:val="222222"/>
          <w:shd w:val="clear" w:color="auto" w:fill="FFFFFF"/>
        </w:rPr>
        <w:t>Public health nutrition</w:t>
      </w:r>
      <w:r w:rsidRPr="00F36460">
        <w:rPr>
          <w:rFonts w:cs="Times New Roman"/>
          <w:color w:val="222222"/>
          <w:shd w:val="clear" w:color="auto" w:fill="FFFFFF"/>
        </w:rPr>
        <w:t>, </w:t>
      </w:r>
      <w:r w:rsidRPr="00F36460">
        <w:rPr>
          <w:rFonts w:cs="Times New Roman"/>
          <w:i/>
          <w:iCs/>
          <w:color w:val="222222"/>
          <w:shd w:val="clear" w:color="auto" w:fill="FFFFFF"/>
        </w:rPr>
        <w:t>21</w:t>
      </w:r>
      <w:r w:rsidRPr="00F36460">
        <w:rPr>
          <w:rFonts w:cs="Times New Roman"/>
          <w:color w:val="222222"/>
          <w:shd w:val="clear" w:color="auto" w:fill="FFFFFF"/>
        </w:rPr>
        <w:t>(16), 3067-3079.</w:t>
      </w:r>
    </w:p>
    <w:p w14:paraId="729721D3" w14:textId="77777777" w:rsidR="00D90097" w:rsidRPr="00F36460" w:rsidRDefault="00D90097" w:rsidP="007C057C">
      <w:pPr>
        <w:spacing w:line="480" w:lineRule="auto"/>
        <w:ind w:left="720" w:hanging="720"/>
        <w:jc w:val="both"/>
        <w:rPr>
          <w:rFonts w:cs="Times New Roman"/>
          <w:lang w:val="en-GB"/>
        </w:rPr>
      </w:pPr>
      <w:r w:rsidRPr="00F36460">
        <w:rPr>
          <w:rFonts w:cs="Times New Roman"/>
          <w:color w:val="222222"/>
          <w:shd w:val="clear" w:color="auto" w:fill="FFFFFF"/>
        </w:rPr>
        <w:t xml:space="preserve">Moradi, S., </w:t>
      </w:r>
      <w:proofErr w:type="spellStart"/>
      <w:r w:rsidRPr="00F36460">
        <w:rPr>
          <w:rFonts w:cs="Times New Roman"/>
          <w:color w:val="222222"/>
          <w:shd w:val="clear" w:color="auto" w:fill="FFFFFF"/>
        </w:rPr>
        <w:t>Mirzababaei</w:t>
      </w:r>
      <w:proofErr w:type="spellEnd"/>
      <w:r w:rsidRPr="00F36460">
        <w:rPr>
          <w:rFonts w:cs="Times New Roman"/>
          <w:color w:val="222222"/>
          <w:shd w:val="clear" w:color="auto" w:fill="FFFFFF"/>
        </w:rPr>
        <w:t xml:space="preserve">, A., </w:t>
      </w:r>
      <w:proofErr w:type="spellStart"/>
      <w:r w:rsidRPr="00F36460">
        <w:rPr>
          <w:rFonts w:cs="Times New Roman"/>
          <w:color w:val="222222"/>
          <w:shd w:val="clear" w:color="auto" w:fill="FFFFFF"/>
        </w:rPr>
        <w:t>Dadfarma</w:t>
      </w:r>
      <w:proofErr w:type="spellEnd"/>
      <w:r w:rsidRPr="00F36460">
        <w:rPr>
          <w:rFonts w:cs="Times New Roman"/>
          <w:color w:val="222222"/>
          <w:shd w:val="clear" w:color="auto" w:fill="FFFFFF"/>
        </w:rPr>
        <w:t xml:space="preserve">, A., Rezaei, S., </w:t>
      </w:r>
      <w:proofErr w:type="spellStart"/>
      <w:r w:rsidRPr="00F36460">
        <w:rPr>
          <w:rFonts w:cs="Times New Roman"/>
          <w:color w:val="222222"/>
          <w:shd w:val="clear" w:color="auto" w:fill="FFFFFF"/>
        </w:rPr>
        <w:t>Mohammadi</w:t>
      </w:r>
      <w:proofErr w:type="spellEnd"/>
      <w:r w:rsidRPr="00F36460">
        <w:rPr>
          <w:rFonts w:cs="Times New Roman"/>
          <w:color w:val="222222"/>
          <w:shd w:val="clear" w:color="auto" w:fill="FFFFFF"/>
        </w:rPr>
        <w:t>, H., Jannat, B., &amp; Mirzaei, K. (2019). Food insecurity and adult weight abnormality risk: a systematic review and meta-analysis. </w:t>
      </w:r>
      <w:r w:rsidRPr="00F36460">
        <w:rPr>
          <w:rFonts w:cs="Times New Roman"/>
          <w:i/>
          <w:iCs/>
          <w:color w:val="222222"/>
          <w:shd w:val="clear" w:color="auto" w:fill="FFFFFF"/>
        </w:rPr>
        <w:t>European journal of nutrition</w:t>
      </w:r>
      <w:r w:rsidRPr="00F36460">
        <w:rPr>
          <w:rFonts w:cs="Times New Roman"/>
          <w:color w:val="222222"/>
          <w:shd w:val="clear" w:color="auto" w:fill="FFFFFF"/>
        </w:rPr>
        <w:t>, </w:t>
      </w:r>
      <w:r w:rsidRPr="00F36460">
        <w:rPr>
          <w:rFonts w:cs="Times New Roman"/>
          <w:i/>
          <w:iCs/>
          <w:color w:val="222222"/>
          <w:shd w:val="clear" w:color="auto" w:fill="FFFFFF"/>
        </w:rPr>
        <w:t>58</w:t>
      </w:r>
      <w:r w:rsidRPr="00F36460">
        <w:rPr>
          <w:rFonts w:cs="Times New Roman"/>
          <w:color w:val="222222"/>
          <w:shd w:val="clear" w:color="auto" w:fill="FFFFFF"/>
        </w:rPr>
        <w:t>(1), 45-61.</w:t>
      </w:r>
    </w:p>
    <w:p w14:paraId="2AF983E1" w14:textId="77777777" w:rsidR="00D90097" w:rsidRPr="00F36460" w:rsidRDefault="00D90097" w:rsidP="007C057C">
      <w:pPr>
        <w:spacing w:line="480" w:lineRule="auto"/>
        <w:ind w:left="720" w:hanging="720"/>
        <w:jc w:val="both"/>
        <w:rPr>
          <w:rFonts w:cs="Times New Roman"/>
          <w:color w:val="222222"/>
          <w:shd w:val="clear" w:color="auto" w:fill="FFFFFF"/>
        </w:rPr>
      </w:pPr>
      <w:proofErr w:type="spellStart"/>
      <w:r w:rsidRPr="00F36460">
        <w:rPr>
          <w:rFonts w:cs="Times New Roman"/>
          <w:color w:val="222222"/>
          <w:shd w:val="clear" w:color="auto" w:fill="FFFFFF"/>
        </w:rPr>
        <w:t>Mota</w:t>
      </w:r>
      <w:proofErr w:type="spellEnd"/>
      <w:r w:rsidRPr="00F36460">
        <w:rPr>
          <w:rFonts w:cs="Times New Roman"/>
          <w:color w:val="222222"/>
          <w:shd w:val="clear" w:color="auto" w:fill="FFFFFF"/>
        </w:rPr>
        <w:t>, N. P., Cox, B. J., Katz, L. Y., &amp; Sareen, J. (2010). Relationship between mental disorders/suicidality and three sexual behaviors: results from the National Comorbidity Survey Replication. </w:t>
      </w:r>
      <w:r w:rsidRPr="00F36460">
        <w:rPr>
          <w:rFonts w:cs="Times New Roman"/>
          <w:i/>
          <w:iCs/>
          <w:color w:val="222222"/>
          <w:shd w:val="clear" w:color="auto" w:fill="FFFFFF"/>
        </w:rPr>
        <w:t>Archives of sexual Behavior</w:t>
      </w:r>
      <w:r w:rsidRPr="00F36460">
        <w:rPr>
          <w:rFonts w:cs="Times New Roman"/>
          <w:color w:val="222222"/>
          <w:shd w:val="clear" w:color="auto" w:fill="FFFFFF"/>
        </w:rPr>
        <w:t>, </w:t>
      </w:r>
      <w:r w:rsidRPr="00F36460">
        <w:rPr>
          <w:rFonts w:cs="Times New Roman"/>
          <w:i/>
          <w:iCs/>
          <w:color w:val="222222"/>
          <w:shd w:val="clear" w:color="auto" w:fill="FFFFFF"/>
        </w:rPr>
        <w:t>39</w:t>
      </w:r>
      <w:r w:rsidRPr="00F36460">
        <w:rPr>
          <w:rFonts w:cs="Times New Roman"/>
          <w:color w:val="222222"/>
          <w:shd w:val="clear" w:color="auto" w:fill="FFFFFF"/>
        </w:rPr>
        <w:t>(3), 724-734.</w:t>
      </w:r>
    </w:p>
    <w:p w14:paraId="41451BB1" w14:textId="77777777" w:rsidR="00D90097" w:rsidRPr="00F36460" w:rsidRDefault="00D90097" w:rsidP="007C057C">
      <w:pPr>
        <w:spacing w:line="480" w:lineRule="auto"/>
        <w:ind w:left="720" w:hanging="720"/>
        <w:jc w:val="both"/>
        <w:rPr>
          <w:rFonts w:cs="Times New Roman"/>
          <w:color w:val="222222"/>
          <w:shd w:val="clear" w:color="auto" w:fill="FFFFFF"/>
        </w:rPr>
      </w:pPr>
      <w:r w:rsidRPr="00F36460">
        <w:rPr>
          <w:rFonts w:cs="Times New Roman"/>
          <w:color w:val="222222"/>
          <w:shd w:val="clear" w:color="auto" w:fill="FFFFFF"/>
        </w:rPr>
        <w:t xml:space="preserve">Smith, L., Jackson, S. E., </w:t>
      </w:r>
      <w:proofErr w:type="spellStart"/>
      <w:r w:rsidRPr="00F36460">
        <w:rPr>
          <w:rFonts w:cs="Times New Roman"/>
          <w:color w:val="222222"/>
          <w:shd w:val="clear" w:color="auto" w:fill="FFFFFF"/>
        </w:rPr>
        <w:t>Vancampfort</w:t>
      </w:r>
      <w:proofErr w:type="spellEnd"/>
      <w:r w:rsidRPr="00F36460">
        <w:rPr>
          <w:rFonts w:cs="Times New Roman"/>
          <w:color w:val="222222"/>
          <w:shd w:val="clear" w:color="auto" w:fill="FFFFFF"/>
        </w:rPr>
        <w:t>, D., Jacob, L., Firth, J., Grabovac, I., ... &amp; Veronese, N. (2020). Sexual behavior and suicide attempts among adolescents aged 12–15 years from 38 countries: A global perspective. </w:t>
      </w:r>
      <w:r w:rsidRPr="00F36460">
        <w:rPr>
          <w:rFonts w:cs="Times New Roman"/>
          <w:i/>
          <w:iCs/>
          <w:color w:val="222222"/>
          <w:shd w:val="clear" w:color="auto" w:fill="FFFFFF"/>
        </w:rPr>
        <w:t>Psychiatry research</w:t>
      </w:r>
      <w:r w:rsidRPr="00F36460">
        <w:rPr>
          <w:rFonts w:cs="Times New Roman"/>
          <w:i/>
          <w:color w:val="222222"/>
          <w:shd w:val="clear" w:color="auto" w:fill="FFFFFF"/>
        </w:rPr>
        <w:t>, 287</w:t>
      </w:r>
      <w:r w:rsidRPr="00F36460">
        <w:rPr>
          <w:rFonts w:cs="Times New Roman"/>
          <w:color w:val="222222"/>
          <w:shd w:val="clear" w:color="auto" w:fill="FFFFFF"/>
        </w:rPr>
        <w:t>, 112564.</w:t>
      </w:r>
    </w:p>
    <w:p w14:paraId="13441DAF" w14:textId="15235863" w:rsidR="00D90097" w:rsidRPr="00C46D0C" w:rsidRDefault="00D90097" w:rsidP="007C057C">
      <w:pPr>
        <w:spacing w:line="480" w:lineRule="auto"/>
        <w:ind w:left="720" w:hanging="720"/>
        <w:jc w:val="both"/>
        <w:rPr>
          <w:rFonts w:cs="Times New Roman"/>
          <w:color w:val="222222"/>
          <w:shd w:val="clear" w:color="auto" w:fill="FFFFFF"/>
          <w:lang w:val="fr-FR"/>
        </w:rPr>
      </w:pPr>
      <w:r w:rsidRPr="00F36460">
        <w:rPr>
          <w:rFonts w:cs="Times New Roman"/>
          <w:color w:val="222222"/>
          <w:shd w:val="clear" w:color="auto" w:fill="FFFFFF"/>
        </w:rPr>
        <w:t xml:space="preserve">To, Q. G., </w:t>
      </w:r>
      <w:proofErr w:type="spellStart"/>
      <w:r w:rsidRPr="00F36460">
        <w:rPr>
          <w:rFonts w:cs="Times New Roman"/>
          <w:color w:val="222222"/>
          <w:shd w:val="clear" w:color="auto" w:fill="FFFFFF"/>
        </w:rPr>
        <w:t>Frongillo</w:t>
      </w:r>
      <w:proofErr w:type="spellEnd"/>
      <w:r w:rsidRPr="00F36460">
        <w:rPr>
          <w:rFonts w:cs="Times New Roman"/>
          <w:color w:val="222222"/>
          <w:shd w:val="clear" w:color="auto" w:fill="FFFFFF"/>
        </w:rPr>
        <w:t>, E. A., Gallegos, D., &amp; Moore, J. B. (2014). Household food insecurity is associated with less physical activity among children and adults in the US population. </w:t>
      </w:r>
      <w:r w:rsidRPr="00C46D0C">
        <w:rPr>
          <w:rFonts w:cs="Times New Roman"/>
          <w:i/>
          <w:iCs/>
          <w:color w:val="222222"/>
          <w:shd w:val="clear" w:color="auto" w:fill="FFFFFF"/>
          <w:lang w:val="fr-FR"/>
        </w:rPr>
        <w:t>The Journal of nutrition</w:t>
      </w:r>
      <w:r w:rsidRPr="00C46D0C">
        <w:rPr>
          <w:rFonts w:cs="Times New Roman"/>
          <w:color w:val="222222"/>
          <w:shd w:val="clear" w:color="auto" w:fill="FFFFFF"/>
          <w:lang w:val="fr-FR"/>
        </w:rPr>
        <w:t>, </w:t>
      </w:r>
      <w:r w:rsidRPr="00C46D0C">
        <w:rPr>
          <w:rFonts w:cs="Times New Roman"/>
          <w:i/>
          <w:iCs/>
          <w:color w:val="222222"/>
          <w:shd w:val="clear" w:color="auto" w:fill="FFFFFF"/>
          <w:lang w:val="fr-FR"/>
        </w:rPr>
        <w:t>144</w:t>
      </w:r>
      <w:r w:rsidRPr="00C46D0C">
        <w:rPr>
          <w:rFonts w:cs="Times New Roman"/>
          <w:color w:val="222222"/>
          <w:shd w:val="clear" w:color="auto" w:fill="FFFFFF"/>
          <w:lang w:val="fr-FR"/>
        </w:rPr>
        <w:t>(11), 1797-1802.</w:t>
      </w:r>
    </w:p>
    <w:p w14:paraId="08029081" w14:textId="76070E31" w:rsidR="00E043E1" w:rsidRPr="00F36460" w:rsidRDefault="00E043E1" w:rsidP="007C057C">
      <w:pPr>
        <w:spacing w:line="480" w:lineRule="auto"/>
        <w:ind w:left="720" w:hanging="720"/>
        <w:jc w:val="both"/>
        <w:rPr>
          <w:rFonts w:cs="Times New Roman"/>
          <w:color w:val="222222"/>
          <w:shd w:val="clear" w:color="auto" w:fill="FFFFFF"/>
          <w:lang w:val="es-ES"/>
        </w:rPr>
      </w:pPr>
      <w:proofErr w:type="spellStart"/>
      <w:r w:rsidRPr="00C46D0C">
        <w:rPr>
          <w:rFonts w:cs="Times New Roman"/>
          <w:color w:val="222222"/>
          <w:shd w:val="clear" w:color="auto" w:fill="FFFFFF"/>
          <w:lang w:val="fr-FR"/>
        </w:rPr>
        <w:t>Trachman</w:t>
      </w:r>
      <w:proofErr w:type="spellEnd"/>
      <w:r w:rsidRPr="00C46D0C">
        <w:rPr>
          <w:rFonts w:cs="Times New Roman"/>
          <w:color w:val="222222"/>
          <w:shd w:val="clear" w:color="auto" w:fill="FFFFFF"/>
          <w:lang w:val="fr-FR"/>
        </w:rPr>
        <w:t xml:space="preserve">, M. (2009). La banalité de l'échange. </w:t>
      </w:r>
      <w:proofErr w:type="spellStart"/>
      <w:r w:rsidRPr="00F36460">
        <w:rPr>
          <w:rFonts w:cs="Times New Roman"/>
          <w:color w:val="222222"/>
          <w:shd w:val="clear" w:color="auto" w:fill="FFFFFF"/>
          <w:lang w:val="es-ES"/>
        </w:rPr>
        <w:t>Entretien</w:t>
      </w:r>
      <w:proofErr w:type="spellEnd"/>
      <w:r w:rsidRPr="00F36460">
        <w:rPr>
          <w:rFonts w:cs="Times New Roman"/>
          <w:color w:val="222222"/>
          <w:shd w:val="clear" w:color="auto" w:fill="FFFFFF"/>
          <w:lang w:val="es-ES"/>
        </w:rPr>
        <w:t xml:space="preserve"> </w:t>
      </w:r>
      <w:proofErr w:type="spellStart"/>
      <w:r w:rsidRPr="00F36460">
        <w:rPr>
          <w:rFonts w:cs="Times New Roman"/>
          <w:color w:val="222222"/>
          <w:shd w:val="clear" w:color="auto" w:fill="FFFFFF"/>
          <w:lang w:val="es-ES"/>
        </w:rPr>
        <w:t>avec</w:t>
      </w:r>
      <w:proofErr w:type="spellEnd"/>
      <w:r w:rsidRPr="00F36460">
        <w:rPr>
          <w:rFonts w:cs="Times New Roman"/>
          <w:color w:val="222222"/>
          <w:shd w:val="clear" w:color="auto" w:fill="FFFFFF"/>
          <w:lang w:val="es-ES"/>
        </w:rPr>
        <w:t xml:space="preserve"> Paola </w:t>
      </w:r>
      <w:proofErr w:type="spellStart"/>
      <w:r w:rsidRPr="00F36460">
        <w:rPr>
          <w:rFonts w:cs="Times New Roman"/>
          <w:color w:val="222222"/>
          <w:shd w:val="clear" w:color="auto" w:fill="FFFFFF"/>
          <w:lang w:val="es-ES"/>
        </w:rPr>
        <w:t>Tabet</w:t>
      </w:r>
      <w:proofErr w:type="spellEnd"/>
      <w:r w:rsidRPr="00F36460">
        <w:rPr>
          <w:rFonts w:cs="Times New Roman"/>
          <w:color w:val="222222"/>
          <w:shd w:val="clear" w:color="auto" w:fill="FFFFFF"/>
          <w:lang w:val="es-ES"/>
        </w:rPr>
        <w:t xml:space="preserve">. </w:t>
      </w:r>
      <w:proofErr w:type="spellStart"/>
      <w:r w:rsidRPr="00F36460">
        <w:rPr>
          <w:rFonts w:cs="Times New Roman"/>
          <w:i/>
          <w:color w:val="222222"/>
          <w:shd w:val="clear" w:color="auto" w:fill="FFFFFF"/>
          <w:lang w:val="es-ES"/>
        </w:rPr>
        <w:t>Genre</w:t>
      </w:r>
      <w:proofErr w:type="spellEnd"/>
      <w:r w:rsidRPr="00F36460">
        <w:rPr>
          <w:rFonts w:cs="Times New Roman"/>
          <w:i/>
          <w:color w:val="222222"/>
          <w:shd w:val="clear" w:color="auto" w:fill="FFFFFF"/>
          <w:lang w:val="es-ES"/>
        </w:rPr>
        <w:t xml:space="preserve">, </w:t>
      </w:r>
      <w:proofErr w:type="spellStart"/>
      <w:r w:rsidRPr="00F36460">
        <w:rPr>
          <w:rFonts w:cs="Times New Roman"/>
          <w:i/>
          <w:color w:val="222222"/>
          <w:shd w:val="clear" w:color="auto" w:fill="FFFFFF"/>
          <w:lang w:val="es-ES"/>
        </w:rPr>
        <w:t>sexualité</w:t>
      </w:r>
      <w:proofErr w:type="spellEnd"/>
      <w:r w:rsidRPr="00F36460">
        <w:rPr>
          <w:rFonts w:cs="Times New Roman"/>
          <w:i/>
          <w:color w:val="222222"/>
          <w:shd w:val="clear" w:color="auto" w:fill="FFFFFF"/>
          <w:lang w:val="es-ES"/>
        </w:rPr>
        <w:t xml:space="preserve"> &amp; </w:t>
      </w:r>
      <w:proofErr w:type="spellStart"/>
      <w:r w:rsidRPr="00F36460">
        <w:rPr>
          <w:rFonts w:cs="Times New Roman"/>
          <w:i/>
          <w:color w:val="222222"/>
          <w:shd w:val="clear" w:color="auto" w:fill="FFFFFF"/>
          <w:lang w:val="es-ES"/>
        </w:rPr>
        <w:t>société</w:t>
      </w:r>
      <w:proofErr w:type="spellEnd"/>
      <w:r w:rsidRPr="00F36460">
        <w:rPr>
          <w:rFonts w:cs="Times New Roman"/>
          <w:i/>
          <w:color w:val="222222"/>
          <w:shd w:val="clear" w:color="auto" w:fill="FFFFFF"/>
          <w:lang w:val="es-ES"/>
        </w:rPr>
        <w:t>, 2</w:t>
      </w:r>
      <w:r w:rsidR="003E1FF7" w:rsidRPr="00F36460">
        <w:rPr>
          <w:rFonts w:cs="Times New Roman"/>
          <w:color w:val="222222"/>
          <w:shd w:val="clear" w:color="auto" w:fill="FFFFFF"/>
          <w:lang w:val="es-ES"/>
        </w:rPr>
        <w:t>, 2.</w:t>
      </w:r>
    </w:p>
    <w:p w14:paraId="373387E2" w14:textId="6A5A4256" w:rsidR="00D90097" w:rsidRPr="00F36460" w:rsidRDefault="00D90097" w:rsidP="007C057C">
      <w:pPr>
        <w:spacing w:line="480" w:lineRule="auto"/>
        <w:ind w:left="720" w:hanging="720"/>
        <w:jc w:val="both"/>
      </w:pPr>
      <w:r w:rsidRPr="00F36460">
        <w:t xml:space="preserve">United States Department of Agriculture Food and Nutrition Service. </w:t>
      </w:r>
      <w:r w:rsidR="00ED606D" w:rsidRPr="00F36460">
        <w:t xml:space="preserve"> (2000). </w:t>
      </w:r>
      <w:r w:rsidRPr="00F36460">
        <w:t xml:space="preserve">Measuring Food Security in the United States: Guide to Measuring Household Food Security. </w:t>
      </w:r>
      <w:hyperlink r:id="rId21" w:history="1">
        <w:r w:rsidR="00ED606D" w:rsidRPr="00F36460">
          <w:rPr>
            <w:rStyle w:val="Hyperlink"/>
          </w:rPr>
          <w:t>https://fns-prod.azureedge.net/sites/default/files/FSGuide.pdf</w:t>
        </w:r>
      </w:hyperlink>
      <w:r w:rsidR="00ED606D" w:rsidRPr="00F36460">
        <w:t>. Accessed 5 June 2020</w:t>
      </w:r>
      <w:r w:rsidRPr="00F36460">
        <w:t>.</w:t>
      </w:r>
    </w:p>
    <w:p w14:paraId="5BA0DF78" w14:textId="696DB9C2" w:rsidR="00ED606D" w:rsidRPr="00F36460" w:rsidRDefault="00ED606D" w:rsidP="007C057C">
      <w:pPr>
        <w:spacing w:line="480" w:lineRule="auto"/>
        <w:ind w:left="720" w:hanging="720"/>
        <w:jc w:val="both"/>
        <w:rPr>
          <w:rFonts w:cs="Times New Roman"/>
          <w:lang w:val="en-GB"/>
        </w:rPr>
      </w:pPr>
      <w:r w:rsidRPr="00F36460">
        <w:t xml:space="preserve">United States Department of Agriculture. (2019). Who </w:t>
      </w:r>
      <w:proofErr w:type="gramStart"/>
      <w:r w:rsidRPr="00F36460">
        <w:t>Are</w:t>
      </w:r>
      <w:proofErr w:type="gramEnd"/>
      <w:r w:rsidRPr="00F36460">
        <w:t xml:space="preserve"> the World’s Food Insecure? Identifying the Risk Factors of Food Insecurity Around the World. </w:t>
      </w:r>
      <w:hyperlink r:id="rId22" w:history="1">
        <w:r w:rsidRPr="00F36460">
          <w:rPr>
            <w:rStyle w:val="Hyperlink"/>
          </w:rPr>
          <w:t>https://www.ers.usda.gov/amber-waves/2019/june/who-are-the-world-s-food-insecure-identifying-the-risk-factors-of-food-insecurity-around-the-world/</w:t>
        </w:r>
      </w:hyperlink>
      <w:r w:rsidRPr="00F36460">
        <w:t xml:space="preserve"> Accessed 5 August 2020.</w:t>
      </w:r>
    </w:p>
    <w:p w14:paraId="4EF0C39D" w14:textId="2B430077" w:rsidR="00D90097" w:rsidRDefault="00D90097" w:rsidP="007C057C">
      <w:pPr>
        <w:spacing w:line="480" w:lineRule="auto"/>
        <w:ind w:left="720" w:hanging="720"/>
        <w:jc w:val="both"/>
        <w:rPr>
          <w:rFonts w:cs="Times New Roman"/>
          <w:color w:val="222222"/>
          <w:shd w:val="clear" w:color="auto" w:fill="FFFFFF"/>
        </w:rPr>
      </w:pPr>
      <w:r w:rsidRPr="00C46D0C">
        <w:rPr>
          <w:rFonts w:cs="Times New Roman"/>
          <w:color w:val="222222"/>
          <w:shd w:val="clear" w:color="auto" w:fill="FFFFFF"/>
          <w:lang w:val="de-DE"/>
        </w:rPr>
        <w:lastRenderedPageBreak/>
        <w:t xml:space="preserve">Weiser, S. D., Leiter, K., Bangsberg, D. R., Butler, L. M., Percy-de Korte, F., Hlanze, Z., ... </w:t>
      </w:r>
      <w:r w:rsidRPr="00F36460">
        <w:rPr>
          <w:rFonts w:cs="Times New Roman"/>
          <w:color w:val="222222"/>
          <w:shd w:val="clear" w:color="auto" w:fill="FFFFFF"/>
        </w:rPr>
        <w:t>&amp; Heisler, M. (2007). Food insufficiency is associated with high-risk sexual behavior among women in Botswana and Swaziland. </w:t>
      </w:r>
      <w:proofErr w:type="spellStart"/>
      <w:r w:rsidRPr="00F36460">
        <w:rPr>
          <w:rFonts w:cs="Times New Roman"/>
          <w:i/>
          <w:iCs/>
          <w:color w:val="222222"/>
          <w:shd w:val="clear" w:color="auto" w:fill="FFFFFF"/>
        </w:rPr>
        <w:t>PLoS</w:t>
      </w:r>
      <w:proofErr w:type="spellEnd"/>
      <w:r w:rsidRPr="00F36460">
        <w:rPr>
          <w:rFonts w:cs="Times New Roman"/>
          <w:i/>
          <w:iCs/>
          <w:color w:val="222222"/>
          <w:shd w:val="clear" w:color="auto" w:fill="FFFFFF"/>
        </w:rPr>
        <w:t xml:space="preserve"> medicine</w:t>
      </w:r>
      <w:r w:rsidRPr="00F36460">
        <w:rPr>
          <w:rFonts w:cs="Times New Roman"/>
          <w:color w:val="222222"/>
          <w:shd w:val="clear" w:color="auto" w:fill="FFFFFF"/>
        </w:rPr>
        <w:t>, </w:t>
      </w:r>
      <w:r w:rsidRPr="00F36460">
        <w:rPr>
          <w:rFonts w:cs="Times New Roman"/>
          <w:i/>
          <w:iCs/>
          <w:color w:val="222222"/>
          <w:shd w:val="clear" w:color="auto" w:fill="FFFFFF"/>
        </w:rPr>
        <w:t>4</w:t>
      </w:r>
      <w:r w:rsidRPr="00F36460">
        <w:rPr>
          <w:rFonts w:cs="Times New Roman"/>
          <w:color w:val="222222"/>
          <w:shd w:val="clear" w:color="auto" w:fill="FFFFFF"/>
        </w:rPr>
        <w:t>(10), e260.</w:t>
      </w:r>
    </w:p>
    <w:p w14:paraId="4475A0C2" w14:textId="1B29BE34" w:rsidR="00CB48D0" w:rsidRPr="00365B70" w:rsidRDefault="00CB48D0" w:rsidP="007C057C">
      <w:pPr>
        <w:spacing w:line="480" w:lineRule="auto"/>
        <w:ind w:left="720" w:hanging="720"/>
        <w:jc w:val="both"/>
        <w:rPr>
          <w:rFonts w:cs="Times New Roman"/>
        </w:rPr>
      </w:pPr>
      <w:r w:rsidRPr="00365B70">
        <w:rPr>
          <w:rFonts w:cs="Times New Roman"/>
        </w:rPr>
        <w:t xml:space="preserve">Weiser, S. D., Young, S. L., Cohen, C. R., </w:t>
      </w:r>
      <w:proofErr w:type="spellStart"/>
      <w:r w:rsidRPr="00365B70">
        <w:rPr>
          <w:rFonts w:cs="Times New Roman"/>
        </w:rPr>
        <w:t>Kushel</w:t>
      </w:r>
      <w:proofErr w:type="spellEnd"/>
      <w:r w:rsidRPr="00365B70">
        <w:rPr>
          <w:rFonts w:cs="Times New Roman"/>
        </w:rPr>
        <w:t xml:space="preserve">, M. B., Tsai, A. C., Tien, P. C., ... &amp; </w:t>
      </w:r>
      <w:proofErr w:type="spellStart"/>
      <w:r w:rsidRPr="00365B70">
        <w:rPr>
          <w:rFonts w:cs="Times New Roman"/>
        </w:rPr>
        <w:t>Bangsberg</w:t>
      </w:r>
      <w:proofErr w:type="spellEnd"/>
      <w:r w:rsidRPr="00365B70">
        <w:rPr>
          <w:rFonts w:cs="Times New Roman"/>
        </w:rPr>
        <w:t xml:space="preserve">, D. R. (2011). Conceptual framework for understanding the bidirectional links between food insecurity and HIV/AIDS. </w:t>
      </w:r>
      <w:r w:rsidRPr="00365B70">
        <w:rPr>
          <w:rFonts w:cs="Times New Roman"/>
          <w:i/>
        </w:rPr>
        <w:t>The American journal of clinical nutrition, 94</w:t>
      </w:r>
      <w:r w:rsidRPr="00365B70">
        <w:rPr>
          <w:rFonts w:cs="Times New Roman"/>
        </w:rPr>
        <w:t>(6), 1729S-1739S.</w:t>
      </w:r>
    </w:p>
    <w:p w14:paraId="058D4810" w14:textId="04DDAD8D" w:rsidR="00D90097" w:rsidRPr="00F36460" w:rsidRDefault="00D90097" w:rsidP="007C057C">
      <w:pPr>
        <w:spacing w:line="480" w:lineRule="auto"/>
        <w:ind w:left="720" w:hanging="720"/>
        <w:jc w:val="both"/>
        <w:rPr>
          <w:rFonts w:cs="Times New Roman"/>
          <w:color w:val="222222"/>
          <w:shd w:val="clear" w:color="auto" w:fill="FFFFFF"/>
        </w:rPr>
      </w:pPr>
      <w:r w:rsidRPr="00F36460">
        <w:rPr>
          <w:rFonts w:cs="Times New Roman"/>
          <w:color w:val="222222"/>
          <w:shd w:val="clear" w:color="auto" w:fill="FFFFFF"/>
        </w:rPr>
        <w:t xml:space="preserve">Whittle, H. J., </w:t>
      </w:r>
      <w:proofErr w:type="spellStart"/>
      <w:r w:rsidRPr="00F36460">
        <w:rPr>
          <w:rFonts w:cs="Times New Roman"/>
          <w:color w:val="222222"/>
          <w:shd w:val="clear" w:color="auto" w:fill="FFFFFF"/>
        </w:rPr>
        <w:t>Sheira</w:t>
      </w:r>
      <w:proofErr w:type="spellEnd"/>
      <w:r w:rsidRPr="00F36460">
        <w:rPr>
          <w:rFonts w:cs="Times New Roman"/>
          <w:color w:val="222222"/>
          <w:shd w:val="clear" w:color="auto" w:fill="FFFFFF"/>
        </w:rPr>
        <w:t xml:space="preserve">, L. A., </w:t>
      </w:r>
      <w:proofErr w:type="spellStart"/>
      <w:r w:rsidRPr="00F36460">
        <w:rPr>
          <w:rFonts w:cs="Times New Roman"/>
          <w:color w:val="222222"/>
          <w:shd w:val="clear" w:color="auto" w:fill="FFFFFF"/>
        </w:rPr>
        <w:t>Frongillo</w:t>
      </w:r>
      <w:proofErr w:type="spellEnd"/>
      <w:r w:rsidRPr="00F36460">
        <w:rPr>
          <w:rFonts w:cs="Times New Roman"/>
          <w:color w:val="222222"/>
          <w:shd w:val="clear" w:color="auto" w:fill="FFFFFF"/>
        </w:rPr>
        <w:t xml:space="preserve">, E. A., </w:t>
      </w:r>
      <w:proofErr w:type="spellStart"/>
      <w:r w:rsidRPr="00F36460">
        <w:rPr>
          <w:rFonts w:cs="Times New Roman"/>
          <w:color w:val="222222"/>
          <w:shd w:val="clear" w:color="auto" w:fill="FFFFFF"/>
        </w:rPr>
        <w:t>Palar</w:t>
      </w:r>
      <w:proofErr w:type="spellEnd"/>
      <w:r w:rsidRPr="00F36460">
        <w:rPr>
          <w:rFonts w:cs="Times New Roman"/>
          <w:color w:val="222222"/>
          <w:shd w:val="clear" w:color="auto" w:fill="FFFFFF"/>
        </w:rPr>
        <w:t xml:space="preserve">, K., Cohen, J., Merenstein, D., ... &amp; </w:t>
      </w:r>
      <w:proofErr w:type="spellStart"/>
      <w:r w:rsidRPr="00F36460">
        <w:rPr>
          <w:rFonts w:cs="Times New Roman"/>
          <w:color w:val="222222"/>
          <w:shd w:val="clear" w:color="auto" w:fill="FFFFFF"/>
        </w:rPr>
        <w:t>Ofotokun</w:t>
      </w:r>
      <w:proofErr w:type="spellEnd"/>
      <w:r w:rsidRPr="00F36460">
        <w:rPr>
          <w:rFonts w:cs="Times New Roman"/>
          <w:color w:val="222222"/>
          <w:shd w:val="clear" w:color="auto" w:fill="FFFFFF"/>
        </w:rPr>
        <w:t>, I. (2019). Longitudinal associations between food insecurity and substance use in a cohort of women with or at risk for HIV in the United States. </w:t>
      </w:r>
      <w:r w:rsidRPr="00F36460">
        <w:rPr>
          <w:rFonts w:cs="Times New Roman"/>
          <w:i/>
          <w:iCs/>
          <w:color w:val="222222"/>
          <w:shd w:val="clear" w:color="auto" w:fill="FFFFFF"/>
        </w:rPr>
        <w:t>Addiction</w:t>
      </w:r>
      <w:r w:rsidRPr="00F36460">
        <w:rPr>
          <w:rFonts w:cs="Times New Roman"/>
          <w:color w:val="222222"/>
          <w:shd w:val="clear" w:color="auto" w:fill="FFFFFF"/>
        </w:rPr>
        <w:t>, </w:t>
      </w:r>
      <w:r w:rsidRPr="00F36460">
        <w:rPr>
          <w:rFonts w:cs="Times New Roman"/>
          <w:i/>
          <w:iCs/>
          <w:color w:val="222222"/>
          <w:shd w:val="clear" w:color="auto" w:fill="FFFFFF"/>
        </w:rPr>
        <w:t>114</w:t>
      </w:r>
      <w:r w:rsidRPr="00F36460">
        <w:rPr>
          <w:rFonts w:cs="Times New Roman"/>
          <w:color w:val="222222"/>
          <w:shd w:val="clear" w:color="auto" w:fill="FFFFFF"/>
        </w:rPr>
        <w:t>(1), 127-136.</w:t>
      </w:r>
    </w:p>
    <w:p w14:paraId="1C15DE42" w14:textId="77777777" w:rsidR="005E5C07" w:rsidRPr="00F36460" w:rsidRDefault="005E5C07" w:rsidP="005E5C07">
      <w:pPr>
        <w:spacing w:line="480" w:lineRule="auto"/>
        <w:ind w:left="720" w:hanging="720"/>
        <w:jc w:val="both"/>
      </w:pPr>
      <w:r w:rsidRPr="00F36460">
        <w:rPr>
          <w:rFonts w:cs="Times New Roman"/>
          <w:color w:val="222222"/>
          <w:shd w:val="clear" w:color="auto" w:fill="FFFFFF"/>
        </w:rPr>
        <w:t xml:space="preserve">World Bank. (2020). The Global Economic Outlook During the COVID-19 Pandemic: A Changed World. </w:t>
      </w:r>
      <w:hyperlink r:id="rId23" w:history="1">
        <w:r w:rsidRPr="00F36460">
          <w:rPr>
            <w:rStyle w:val="Hyperlink"/>
          </w:rPr>
          <w:t>https://www.worldbank.org/en/news/feature/2020/06/08/the-global-economic-outlook-during-the-covid-19-pandemic-a-changed-world</w:t>
        </w:r>
      </w:hyperlink>
      <w:r w:rsidRPr="00F36460">
        <w:t xml:space="preserve"> Accessed 5 August 2020.</w:t>
      </w:r>
    </w:p>
    <w:p w14:paraId="1812421D" w14:textId="47978D55" w:rsidR="00D90097" w:rsidRPr="00F36460" w:rsidRDefault="00D90097" w:rsidP="005E5C07">
      <w:pPr>
        <w:spacing w:line="480" w:lineRule="auto"/>
        <w:ind w:left="720" w:hanging="720"/>
        <w:jc w:val="both"/>
      </w:pPr>
      <w:r w:rsidRPr="00F36460">
        <w:t xml:space="preserve">World Health Organization. </w:t>
      </w:r>
      <w:r w:rsidR="00002EED" w:rsidRPr="00F36460">
        <w:t xml:space="preserve">(2018). </w:t>
      </w:r>
      <w:r w:rsidRPr="00F36460">
        <w:t xml:space="preserve">Adolescent pregnancy. </w:t>
      </w:r>
      <w:hyperlink r:id="rId24" w:tgtFrame="_blank" w:history="1">
        <w:r w:rsidRPr="00F36460">
          <w:rPr>
            <w:rStyle w:val="Hyperlink"/>
          </w:rPr>
          <w:t>https://www.who.int/news-room/fact-sheets/detail/adolescent-pregnancy</w:t>
        </w:r>
      </w:hyperlink>
      <w:r w:rsidRPr="00F36460">
        <w:t>. Accessed 5 June 2020.</w:t>
      </w:r>
    </w:p>
    <w:p w14:paraId="0F7F2423" w14:textId="46F44166" w:rsidR="00D90097" w:rsidRPr="00F36460" w:rsidRDefault="00D90097" w:rsidP="007C057C">
      <w:pPr>
        <w:spacing w:line="480" w:lineRule="auto"/>
        <w:ind w:left="720" w:hanging="720"/>
        <w:jc w:val="both"/>
      </w:pPr>
      <w:r w:rsidRPr="00F36460">
        <w:rPr>
          <w:rFonts w:cs="Times New Roman"/>
        </w:rPr>
        <w:t xml:space="preserve">World Health Organization. </w:t>
      </w:r>
      <w:r w:rsidR="00002EED" w:rsidRPr="00F36460">
        <w:rPr>
          <w:rFonts w:cs="Times New Roman"/>
        </w:rPr>
        <w:t xml:space="preserve">(2012). </w:t>
      </w:r>
      <w:r w:rsidRPr="00F36460">
        <w:rPr>
          <w:rFonts w:cs="Times New Roman"/>
        </w:rPr>
        <w:t>Noncommunicable Diseases and Their Risk Factors: Global Sch</w:t>
      </w:r>
      <w:r w:rsidR="00BB0D61" w:rsidRPr="00F36460">
        <w:rPr>
          <w:rFonts w:cs="Times New Roman"/>
        </w:rPr>
        <w:t>ool-based Student Health Survey</w:t>
      </w:r>
      <w:r w:rsidRPr="00F36460">
        <w:rPr>
          <w:rFonts w:cs="Times New Roman"/>
        </w:rPr>
        <w:t xml:space="preserve">. </w:t>
      </w:r>
      <w:hyperlink r:id="rId25" w:tgtFrame="_blank" w:history="1">
        <w:r w:rsidRPr="00F36460">
          <w:rPr>
            <w:rStyle w:val="Hyperlink"/>
            <w:rFonts w:cs="Times New Roman"/>
          </w:rPr>
          <w:t>https://www.who.int/ncds/surveillance/gshs/en/</w:t>
        </w:r>
      </w:hyperlink>
      <w:r w:rsidRPr="00F36460">
        <w:rPr>
          <w:rFonts w:cs="Times New Roman"/>
        </w:rPr>
        <w:t>.</w:t>
      </w:r>
      <w:r w:rsidRPr="00F36460">
        <w:t xml:space="preserve"> Accessed 5 June 2020.</w:t>
      </w:r>
    </w:p>
    <w:p w14:paraId="1420C502" w14:textId="39A9334F" w:rsidR="00002EED" w:rsidRPr="00F36460" w:rsidRDefault="00002EED" w:rsidP="007C057C">
      <w:pPr>
        <w:spacing w:line="480" w:lineRule="auto"/>
        <w:ind w:left="720" w:hanging="720"/>
        <w:jc w:val="both"/>
        <w:rPr>
          <w:rFonts w:cs="Times New Roman"/>
          <w:lang w:val="en-GB"/>
        </w:rPr>
      </w:pPr>
      <w:r w:rsidRPr="00F36460">
        <w:rPr>
          <w:rFonts w:cs="Times New Roman"/>
        </w:rPr>
        <w:t>World Health Organization.</w:t>
      </w:r>
      <w:r w:rsidR="00BB0D61" w:rsidRPr="00F36460">
        <w:rPr>
          <w:rFonts w:cs="Times New Roman"/>
        </w:rPr>
        <w:t xml:space="preserve"> (2020). </w:t>
      </w:r>
      <w:r w:rsidR="00BB0D61" w:rsidRPr="00F36460">
        <w:t xml:space="preserve">Coronavirus disease 2019 (COVID-19) Situation Report – 58. </w:t>
      </w:r>
      <w:hyperlink r:id="rId26" w:history="1">
        <w:r w:rsidRPr="00F36460">
          <w:rPr>
            <w:rStyle w:val="Hyperlink"/>
          </w:rPr>
          <w:t>https://www.who.int/docs/default-source/coronaviruse/situation-reports/20200318-sitrep-58-covid-19.pdf?sfvrsn=20876712_2Ji</w:t>
        </w:r>
      </w:hyperlink>
      <w:r w:rsidR="00BB0D61" w:rsidRPr="00F36460">
        <w:t xml:space="preserve"> Accessed 5 August 2020.</w:t>
      </w:r>
    </w:p>
    <w:p w14:paraId="130FCDBA" w14:textId="77777777" w:rsidR="00D90097" w:rsidRPr="00F36460" w:rsidRDefault="00D90097" w:rsidP="009F166C">
      <w:pPr>
        <w:rPr>
          <w:rFonts w:cs="Times New Roman"/>
          <w:b/>
          <w:lang w:val="en-GB"/>
        </w:rPr>
      </w:pPr>
    </w:p>
    <w:p w14:paraId="6AC512F7" w14:textId="7C7B8983" w:rsidR="00C56E2F" w:rsidRPr="00F36460" w:rsidRDefault="00C56E2F" w:rsidP="009F166C">
      <w:pPr>
        <w:pStyle w:val="NormalWeb"/>
      </w:pPr>
    </w:p>
    <w:p w14:paraId="6E619AE7" w14:textId="0C1335CC" w:rsidR="00C56E2F" w:rsidRPr="00F36460" w:rsidRDefault="006240A0" w:rsidP="006240A0">
      <w:pPr>
        <w:pStyle w:val="Heading1"/>
        <w:sectPr w:rsidR="00C56E2F" w:rsidRPr="00F36460" w:rsidSect="008825A2">
          <w:pgSz w:w="11900" w:h="16840"/>
          <w:pgMar w:top="1440" w:right="1440" w:bottom="1440" w:left="1440" w:header="720" w:footer="720" w:gutter="0"/>
          <w:cols w:space="720"/>
          <w:docGrid w:linePitch="360"/>
        </w:sectPr>
      </w:pPr>
      <w:r>
        <w:t>Table 1</w:t>
      </w:r>
    </w:p>
    <w:tbl>
      <w:tblPr>
        <w:tblW w:w="4566" w:type="pct"/>
        <w:tblLook w:val="04A0" w:firstRow="1" w:lastRow="0" w:firstColumn="1" w:lastColumn="0" w:noHBand="0" w:noVBand="1"/>
      </w:tblPr>
      <w:tblGrid>
        <w:gridCol w:w="1109"/>
        <w:gridCol w:w="3039"/>
        <w:gridCol w:w="1143"/>
        <w:gridCol w:w="1939"/>
        <w:gridCol w:w="995"/>
        <w:gridCol w:w="12"/>
      </w:tblGrid>
      <w:tr w:rsidR="00CC4FE7" w:rsidRPr="00F36460" w14:paraId="4AACC994" w14:textId="77777777" w:rsidTr="009B2059">
        <w:trPr>
          <w:gridAfter w:val="1"/>
          <w:wAfter w:w="7" w:type="pct"/>
          <w:trHeight w:val="300"/>
        </w:trPr>
        <w:tc>
          <w:tcPr>
            <w:tcW w:w="4993" w:type="pct"/>
            <w:gridSpan w:val="5"/>
            <w:tcBorders>
              <w:top w:val="nil"/>
              <w:left w:val="nil"/>
              <w:bottom w:val="nil"/>
              <w:right w:val="nil"/>
            </w:tcBorders>
            <w:shd w:val="clear" w:color="auto" w:fill="auto"/>
            <w:noWrap/>
            <w:vAlign w:val="center"/>
            <w:hideMark/>
          </w:tcPr>
          <w:p w14:paraId="374AC678" w14:textId="0719987F" w:rsidR="00CC4FE7" w:rsidRPr="00F36460" w:rsidRDefault="000963AA" w:rsidP="009B2059">
            <w:pPr>
              <w:rPr>
                <w:rFonts w:eastAsia="Times New Roman" w:cs="Times New Roman"/>
                <w:color w:val="000000"/>
                <w:lang w:val="en-GB"/>
              </w:rPr>
            </w:pPr>
            <w:r w:rsidRPr="000963AA">
              <w:rPr>
                <w:rFonts w:eastAsia="Times New Roman" w:cs="Times New Roman"/>
                <w:b/>
                <w:bCs/>
                <w:color w:val="000000"/>
                <w:lang w:val="en-GB"/>
              </w:rPr>
              <w:lastRenderedPageBreak/>
              <w:t xml:space="preserve">Table 1 </w:t>
            </w:r>
            <w:r w:rsidR="00CC4FE7" w:rsidRPr="00F36460">
              <w:rPr>
                <w:rFonts w:eastAsia="Times New Roman" w:cs="Times New Roman"/>
                <w:color w:val="000000"/>
                <w:lang w:val="en-GB"/>
              </w:rPr>
              <w:t>Survey characteristics</w:t>
            </w:r>
          </w:p>
        </w:tc>
      </w:tr>
      <w:tr w:rsidR="00CC4FE7" w:rsidRPr="00F36460" w14:paraId="3ECCDAC0" w14:textId="77777777" w:rsidTr="009B2059">
        <w:trPr>
          <w:trHeight w:val="320"/>
        </w:trPr>
        <w:tc>
          <w:tcPr>
            <w:tcW w:w="673" w:type="pct"/>
            <w:tcBorders>
              <w:top w:val="single" w:sz="4" w:space="0" w:color="auto"/>
              <w:left w:val="nil"/>
              <w:bottom w:val="double" w:sz="6" w:space="0" w:color="auto"/>
              <w:right w:val="nil"/>
            </w:tcBorders>
            <w:shd w:val="clear" w:color="auto" w:fill="auto"/>
            <w:noWrap/>
            <w:vAlign w:val="center"/>
            <w:hideMark/>
          </w:tcPr>
          <w:p w14:paraId="61BE006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Region</w:t>
            </w:r>
          </w:p>
        </w:tc>
        <w:tc>
          <w:tcPr>
            <w:tcW w:w="1845" w:type="pct"/>
            <w:tcBorders>
              <w:top w:val="single" w:sz="4" w:space="0" w:color="auto"/>
              <w:left w:val="nil"/>
              <w:bottom w:val="double" w:sz="6" w:space="0" w:color="auto"/>
              <w:right w:val="nil"/>
            </w:tcBorders>
            <w:shd w:val="clear" w:color="auto" w:fill="auto"/>
            <w:noWrap/>
            <w:vAlign w:val="center"/>
            <w:hideMark/>
          </w:tcPr>
          <w:p w14:paraId="5121DD0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Country</w:t>
            </w:r>
          </w:p>
        </w:tc>
        <w:tc>
          <w:tcPr>
            <w:tcW w:w="694" w:type="pct"/>
            <w:tcBorders>
              <w:top w:val="single" w:sz="4" w:space="0" w:color="auto"/>
              <w:left w:val="nil"/>
              <w:bottom w:val="double" w:sz="6" w:space="0" w:color="auto"/>
              <w:right w:val="nil"/>
            </w:tcBorders>
            <w:shd w:val="clear" w:color="auto" w:fill="auto"/>
            <w:noWrap/>
            <w:vAlign w:val="center"/>
            <w:hideMark/>
          </w:tcPr>
          <w:p w14:paraId="1B2A756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Year</w:t>
            </w:r>
          </w:p>
        </w:tc>
        <w:tc>
          <w:tcPr>
            <w:tcW w:w="1177" w:type="pct"/>
            <w:tcBorders>
              <w:top w:val="single" w:sz="4" w:space="0" w:color="auto"/>
              <w:left w:val="nil"/>
              <w:bottom w:val="double" w:sz="6" w:space="0" w:color="auto"/>
              <w:right w:val="nil"/>
            </w:tcBorders>
            <w:shd w:val="clear" w:color="auto" w:fill="auto"/>
            <w:noWrap/>
            <w:vAlign w:val="center"/>
            <w:hideMark/>
          </w:tcPr>
          <w:p w14:paraId="46E6819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Response rate (%)</w:t>
            </w:r>
          </w:p>
        </w:tc>
        <w:tc>
          <w:tcPr>
            <w:tcW w:w="611" w:type="pct"/>
            <w:gridSpan w:val="2"/>
            <w:tcBorders>
              <w:top w:val="single" w:sz="4" w:space="0" w:color="auto"/>
              <w:left w:val="nil"/>
              <w:bottom w:val="double" w:sz="6" w:space="0" w:color="auto"/>
              <w:right w:val="nil"/>
            </w:tcBorders>
            <w:shd w:val="clear" w:color="auto" w:fill="auto"/>
            <w:noWrap/>
            <w:vAlign w:val="center"/>
            <w:hideMark/>
          </w:tcPr>
          <w:p w14:paraId="1405D51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w:t>
            </w:r>
          </w:p>
        </w:tc>
      </w:tr>
      <w:tr w:rsidR="00CC4FE7" w:rsidRPr="00F36460" w14:paraId="3ECAF030" w14:textId="77777777" w:rsidTr="009B2059">
        <w:trPr>
          <w:trHeight w:val="36"/>
        </w:trPr>
        <w:tc>
          <w:tcPr>
            <w:tcW w:w="673" w:type="pct"/>
            <w:tcBorders>
              <w:top w:val="nil"/>
              <w:left w:val="nil"/>
              <w:bottom w:val="nil"/>
              <w:right w:val="nil"/>
            </w:tcBorders>
            <w:shd w:val="clear" w:color="auto" w:fill="auto"/>
            <w:noWrap/>
            <w:vAlign w:val="center"/>
            <w:hideMark/>
          </w:tcPr>
          <w:p w14:paraId="53F0DA3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AFR</w:t>
            </w:r>
          </w:p>
        </w:tc>
        <w:tc>
          <w:tcPr>
            <w:tcW w:w="1845" w:type="pct"/>
            <w:tcBorders>
              <w:top w:val="nil"/>
              <w:left w:val="nil"/>
              <w:bottom w:val="nil"/>
              <w:right w:val="nil"/>
            </w:tcBorders>
            <w:shd w:val="clear" w:color="auto" w:fill="auto"/>
            <w:noWrap/>
            <w:vAlign w:val="center"/>
            <w:hideMark/>
          </w:tcPr>
          <w:p w14:paraId="59EFF0A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Benin</w:t>
            </w:r>
          </w:p>
        </w:tc>
        <w:tc>
          <w:tcPr>
            <w:tcW w:w="694" w:type="pct"/>
            <w:tcBorders>
              <w:top w:val="nil"/>
              <w:left w:val="nil"/>
              <w:bottom w:val="nil"/>
              <w:right w:val="nil"/>
            </w:tcBorders>
            <w:shd w:val="clear" w:color="auto" w:fill="auto"/>
            <w:noWrap/>
            <w:vAlign w:val="center"/>
            <w:hideMark/>
          </w:tcPr>
          <w:p w14:paraId="64F028D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2016</w:t>
            </w:r>
          </w:p>
        </w:tc>
        <w:tc>
          <w:tcPr>
            <w:tcW w:w="1177" w:type="pct"/>
            <w:tcBorders>
              <w:top w:val="nil"/>
              <w:left w:val="nil"/>
              <w:bottom w:val="nil"/>
              <w:right w:val="nil"/>
            </w:tcBorders>
            <w:shd w:val="clear" w:color="auto" w:fill="auto"/>
            <w:noWrap/>
            <w:vAlign w:val="center"/>
            <w:hideMark/>
          </w:tcPr>
          <w:p w14:paraId="6C5C52D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78</w:t>
            </w:r>
          </w:p>
        </w:tc>
        <w:tc>
          <w:tcPr>
            <w:tcW w:w="611" w:type="pct"/>
            <w:gridSpan w:val="2"/>
            <w:tcBorders>
              <w:top w:val="nil"/>
              <w:left w:val="nil"/>
              <w:bottom w:val="nil"/>
              <w:right w:val="nil"/>
            </w:tcBorders>
            <w:shd w:val="clear" w:color="auto" w:fill="auto"/>
            <w:noWrap/>
            <w:vAlign w:val="center"/>
            <w:hideMark/>
          </w:tcPr>
          <w:p w14:paraId="2CE3EB6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2536</w:t>
            </w:r>
          </w:p>
        </w:tc>
      </w:tr>
      <w:tr w:rsidR="00CC4FE7" w:rsidRPr="00F36460" w14:paraId="066DAAF9" w14:textId="77777777" w:rsidTr="009B2059">
        <w:trPr>
          <w:trHeight w:val="70"/>
        </w:trPr>
        <w:tc>
          <w:tcPr>
            <w:tcW w:w="673" w:type="pct"/>
            <w:tcBorders>
              <w:top w:val="nil"/>
              <w:left w:val="nil"/>
              <w:bottom w:val="nil"/>
              <w:right w:val="nil"/>
            </w:tcBorders>
            <w:shd w:val="clear" w:color="auto" w:fill="auto"/>
            <w:noWrap/>
            <w:vAlign w:val="center"/>
            <w:hideMark/>
          </w:tcPr>
          <w:p w14:paraId="0A6D4180"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C7679B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Botswana</w:t>
            </w:r>
          </w:p>
        </w:tc>
        <w:tc>
          <w:tcPr>
            <w:tcW w:w="694" w:type="pct"/>
            <w:tcBorders>
              <w:top w:val="nil"/>
              <w:left w:val="nil"/>
              <w:bottom w:val="nil"/>
              <w:right w:val="nil"/>
            </w:tcBorders>
            <w:shd w:val="clear" w:color="auto" w:fill="auto"/>
            <w:noWrap/>
            <w:vAlign w:val="center"/>
            <w:hideMark/>
          </w:tcPr>
          <w:p w14:paraId="0828D78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2005</w:t>
            </w:r>
          </w:p>
        </w:tc>
        <w:tc>
          <w:tcPr>
            <w:tcW w:w="1177" w:type="pct"/>
            <w:tcBorders>
              <w:top w:val="nil"/>
              <w:left w:val="nil"/>
              <w:bottom w:val="nil"/>
              <w:right w:val="nil"/>
            </w:tcBorders>
            <w:shd w:val="clear" w:color="auto" w:fill="auto"/>
            <w:noWrap/>
            <w:vAlign w:val="center"/>
            <w:hideMark/>
          </w:tcPr>
          <w:p w14:paraId="21E1DCD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95</w:t>
            </w:r>
          </w:p>
        </w:tc>
        <w:tc>
          <w:tcPr>
            <w:tcW w:w="611" w:type="pct"/>
            <w:gridSpan w:val="2"/>
            <w:tcBorders>
              <w:top w:val="nil"/>
              <w:left w:val="nil"/>
              <w:bottom w:val="nil"/>
              <w:right w:val="nil"/>
            </w:tcBorders>
            <w:shd w:val="clear" w:color="auto" w:fill="auto"/>
            <w:noWrap/>
            <w:vAlign w:val="center"/>
            <w:hideMark/>
          </w:tcPr>
          <w:p w14:paraId="70E118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2197</w:t>
            </w:r>
          </w:p>
        </w:tc>
      </w:tr>
      <w:tr w:rsidR="00CC4FE7" w:rsidRPr="00F36460" w14:paraId="2E9099DA" w14:textId="77777777" w:rsidTr="009B2059">
        <w:trPr>
          <w:trHeight w:val="70"/>
        </w:trPr>
        <w:tc>
          <w:tcPr>
            <w:tcW w:w="673" w:type="pct"/>
            <w:tcBorders>
              <w:top w:val="nil"/>
              <w:left w:val="nil"/>
              <w:bottom w:val="nil"/>
              <w:right w:val="nil"/>
            </w:tcBorders>
            <w:shd w:val="clear" w:color="auto" w:fill="auto"/>
            <w:noWrap/>
            <w:vAlign w:val="center"/>
            <w:hideMark/>
          </w:tcPr>
          <w:p w14:paraId="3844CF13"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42C8E3B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Ghana</w:t>
            </w:r>
          </w:p>
        </w:tc>
        <w:tc>
          <w:tcPr>
            <w:tcW w:w="694" w:type="pct"/>
            <w:tcBorders>
              <w:top w:val="nil"/>
              <w:left w:val="nil"/>
              <w:bottom w:val="nil"/>
              <w:right w:val="nil"/>
            </w:tcBorders>
            <w:shd w:val="clear" w:color="auto" w:fill="auto"/>
            <w:noWrap/>
            <w:vAlign w:val="center"/>
            <w:hideMark/>
          </w:tcPr>
          <w:p w14:paraId="2FD4DF3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2012</w:t>
            </w:r>
          </w:p>
        </w:tc>
        <w:tc>
          <w:tcPr>
            <w:tcW w:w="1177" w:type="pct"/>
            <w:tcBorders>
              <w:top w:val="nil"/>
              <w:left w:val="nil"/>
              <w:bottom w:val="nil"/>
              <w:right w:val="nil"/>
            </w:tcBorders>
            <w:shd w:val="clear" w:color="auto" w:fill="auto"/>
            <w:noWrap/>
            <w:vAlign w:val="center"/>
            <w:hideMark/>
          </w:tcPr>
          <w:p w14:paraId="14830A0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82</w:t>
            </w:r>
          </w:p>
        </w:tc>
        <w:tc>
          <w:tcPr>
            <w:tcW w:w="611" w:type="pct"/>
            <w:gridSpan w:val="2"/>
            <w:tcBorders>
              <w:top w:val="nil"/>
              <w:left w:val="nil"/>
              <w:bottom w:val="nil"/>
              <w:right w:val="nil"/>
            </w:tcBorders>
            <w:shd w:val="clear" w:color="auto" w:fill="auto"/>
            <w:noWrap/>
            <w:vAlign w:val="center"/>
            <w:hideMark/>
          </w:tcPr>
          <w:p w14:paraId="0223B2D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1648</w:t>
            </w:r>
          </w:p>
        </w:tc>
      </w:tr>
      <w:tr w:rsidR="00CC4FE7" w:rsidRPr="00F36460" w14:paraId="01B1132A" w14:textId="77777777" w:rsidTr="009B2059">
        <w:trPr>
          <w:trHeight w:val="70"/>
        </w:trPr>
        <w:tc>
          <w:tcPr>
            <w:tcW w:w="673" w:type="pct"/>
            <w:tcBorders>
              <w:top w:val="nil"/>
              <w:left w:val="nil"/>
              <w:bottom w:val="nil"/>
              <w:right w:val="nil"/>
            </w:tcBorders>
            <w:shd w:val="clear" w:color="auto" w:fill="auto"/>
            <w:noWrap/>
            <w:vAlign w:val="center"/>
            <w:hideMark/>
          </w:tcPr>
          <w:p w14:paraId="7C6B1F6E"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4A1AAA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Kenya</w:t>
            </w:r>
          </w:p>
        </w:tc>
        <w:tc>
          <w:tcPr>
            <w:tcW w:w="694" w:type="pct"/>
            <w:tcBorders>
              <w:top w:val="nil"/>
              <w:left w:val="nil"/>
              <w:bottom w:val="nil"/>
              <w:right w:val="nil"/>
            </w:tcBorders>
            <w:shd w:val="clear" w:color="auto" w:fill="auto"/>
            <w:noWrap/>
            <w:vAlign w:val="center"/>
            <w:hideMark/>
          </w:tcPr>
          <w:p w14:paraId="391BE37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2003</w:t>
            </w:r>
          </w:p>
        </w:tc>
        <w:tc>
          <w:tcPr>
            <w:tcW w:w="1177" w:type="pct"/>
            <w:tcBorders>
              <w:top w:val="nil"/>
              <w:left w:val="nil"/>
              <w:bottom w:val="nil"/>
              <w:right w:val="nil"/>
            </w:tcBorders>
            <w:shd w:val="clear" w:color="auto" w:fill="auto"/>
            <w:noWrap/>
            <w:vAlign w:val="center"/>
            <w:hideMark/>
          </w:tcPr>
          <w:p w14:paraId="7DF130A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84</w:t>
            </w:r>
          </w:p>
        </w:tc>
        <w:tc>
          <w:tcPr>
            <w:tcW w:w="611" w:type="pct"/>
            <w:gridSpan w:val="2"/>
            <w:tcBorders>
              <w:top w:val="nil"/>
              <w:left w:val="nil"/>
              <w:bottom w:val="nil"/>
              <w:right w:val="nil"/>
            </w:tcBorders>
            <w:shd w:val="clear" w:color="auto" w:fill="auto"/>
            <w:noWrap/>
            <w:vAlign w:val="center"/>
            <w:hideMark/>
          </w:tcPr>
          <w:p w14:paraId="28E559C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3691</w:t>
            </w:r>
          </w:p>
        </w:tc>
      </w:tr>
      <w:tr w:rsidR="00CC4FE7" w:rsidRPr="00F36460" w14:paraId="3BE7C61F" w14:textId="77777777" w:rsidTr="009B2059">
        <w:trPr>
          <w:trHeight w:val="70"/>
        </w:trPr>
        <w:tc>
          <w:tcPr>
            <w:tcW w:w="673" w:type="pct"/>
            <w:tcBorders>
              <w:top w:val="nil"/>
              <w:left w:val="nil"/>
              <w:bottom w:val="nil"/>
              <w:right w:val="nil"/>
            </w:tcBorders>
            <w:shd w:val="clear" w:color="auto" w:fill="auto"/>
            <w:noWrap/>
            <w:vAlign w:val="center"/>
            <w:hideMark/>
          </w:tcPr>
          <w:p w14:paraId="0138E1C4"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E39D5D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Malawi</w:t>
            </w:r>
          </w:p>
        </w:tc>
        <w:tc>
          <w:tcPr>
            <w:tcW w:w="694" w:type="pct"/>
            <w:tcBorders>
              <w:top w:val="nil"/>
              <w:left w:val="nil"/>
              <w:bottom w:val="nil"/>
              <w:right w:val="nil"/>
            </w:tcBorders>
            <w:shd w:val="clear" w:color="auto" w:fill="auto"/>
            <w:noWrap/>
            <w:vAlign w:val="center"/>
            <w:hideMark/>
          </w:tcPr>
          <w:p w14:paraId="0BCCE44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2009</w:t>
            </w:r>
          </w:p>
        </w:tc>
        <w:tc>
          <w:tcPr>
            <w:tcW w:w="1177" w:type="pct"/>
            <w:tcBorders>
              <w:top w:val="nil"/>
              <w:left w:val="nil"/>
              <w:bottom w:val="nil"/>
              <w:right w:val="nil"/>
            </w:tcBorders>
            <w:shd w:val="clear" w:color="auto" w:fill="auto"/>
            <w:noWrap/>
            <w:vAlign w:val="center"/>
            <w:hideMark/>
          </w:tcPr>
          <w:p w14:paraId="4E5E3C5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94</w:t>
            </w:r>
          </w:p>
        </w:tc>
        <w:tc>
          <w:tcPr>
            <w:tcW w:w="611" w:type="pct"/>
            <w:gridSpan w:val="2"/>
            <w:tcBorders>
              <w:top w:val="nil"/>
              <w:left w:val="nil"/>
              <w:bottom w:val="nil"/>
              <w:right w:val="nil"/>
            </w:tcBorders>
            <w:shd w:val="clear" w:color="auto" w:fill="auto"/>
            <w:noWrap/>
            <w:vAlign w:val="center"/>
            <w:hideMark/>
          </w:tcPr>
          <w:p w14:paraId="103E2A4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2359</w:t>
            </w:r>
          </w:p>
        </w:tc>
      </w:tr>
      <w:tr w:rsidR="00CC4FE7" w:rsidRPr="00F36460" w14:paraId="4482BCAB" w14:textId="77777777" w:rsidTr="009B2059">
        <w:trPr>
          <w:trHeight w:val="70"/>
        </w:trPr>
        <w:tc>
          <w:tcPr>
            <w:tcW w:w="673" w:type="pct"/>
            <w:tcBorders>
              <w:top w:val="nil"/>
              <w:left w:val="nil"/>
              <w:bottom w:val="nil"/>
              <w:right w:val="nil"/>
            </w:tcBorders>
            <w:shd w:val="clear" w:color="auto" w:fill="auto"/>
            <w:noWrap/>
            <w:vAlign w:val="center"/>
            <w:hideMark/>
          </w:tcPr>
          <w:p w14:paraId="45A86A2E"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8FE352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Mauritius</w:t>
            </w:r>
          </w:p>
        </w:tc>
        <w:tc>
          <w:tcPr>
            <w:tcW w:w="694" w:type="pct"/>
            <w:tcBorders>
              <w:top w:val="nil"/>
              <w:left w:val="nil"/>
              <w:bottom w:val="nil"/>
              <w:right w:val="nil"/>
            </w:tcBorders>
            <w:shd w:val="clear" w:color="auto" w:fill="auto"/>
            <w:noWrap/>
            <w:vAlign w:val="center"/>
            <w:hideMark/>
          </w:tcPr>
          <w:p w14:paraId="7B4A468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6B81753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82</w:t>
            </w:r>
          </w:p>
        </w:tc>
        <w:tc>
          <w:tcPr>
            <w:tcW w:w="611" w:type="pct"/>
            <w:gridSpan w:val="2"/>
            <w:tcBorders>
              <w:top w:val="nil"/>
              <w:left w:val="nil"/>
              <w:bottom w:val="nil"/>
              <w:right w:val="nil"/>
            </w:tcBorders>
            <w:shd w:val="clear" w:color="auto" w:fill="auto"/>
            <w:noWrap/>
            <w:vAlign w:val="center"/>
            <w:hideMark/>
          </w:tcPr>
          <w:p w14:paraId="607A079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2168</w:t>
            </w:r>
          </w:p>
        </w:tc>
      </w:tr>
      <w:tr w:rsidR="00CC4FE7" w:rsidRPr="00F36460" w14:paraId="62912FD0" w14:textId="77777777" w:rsidTr="009B2059">
        <w:trPr>
          <w:trHeight w:val="70"/>
        </w:trPr>
        <w:tc>
          <w:tcPr>
            <w:tcW w:w="673" w:type="pct"/>
            <w:tcBorders>
              <w:top w:val="nil"/>
              <w:left w:val="nil"/>
              <w:bottom w:val="nil"/>
              <w:right w:val="nil"/>
            </w:tcBorders>
            <w:shd w:val="clear" w:color="auto" w:fill="auto"/>
            <w:noWrap/>
            <w:vAlign w:val="center"/>
            <w:hideMark/>
          </w:tcPr>
          <w:p w14:paraId="668CD385"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439B88A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Mozambique</w:t>
            </w:r>
          </w:p>
        </w:tc>
        <w:tc>
          <w:tcPr>
            <w:tcW w:w="694" w:type="pct"/>
            <w:tcBorders>
              <w:top w:val="nil"/>
              <w:left w:val="nil"/>
              <w:bottom w:val="nil"/>
              <w:right w:val="nil"/>
            </w:tcBorders>
            <w:shd w:val="clear" w:color="auto" w:fill="auto"/>
            <w:noWrap/>
            <w:vAlign w:val="center"/>
            <w:hideMark/>
          </w:tcPr>
          <w:p w14:paraId="40D5773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584BFE1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80</w:t>
            </w:r>
          </w:p>
        </w:tc>
        <w:tc>
          <w:tcPr>
            <w:tcW w:w="611" w:type="pct"/>
            <w:gridSpan w:val="2"/>
            <w:tcBorders>
              <w:top w:val="nil"/>
              <w:left w:val="nil"/>
              <w:bottom w:val="nil"/>
              <w:right w:val="nil"/>
            </w:tcBorders>
            <w:shd w:val="clear" w:color="auto" w:fill="auto"/>
            <w:noWrap/>
            <w:vAlign w:val="center"/>
            <w:hideMark/>
          </w:tcPr>
          <w:p w14:paraId="76602C5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1918</w:t>
            </w:r>
          </w:p>
        </w:tc>
      </w:tr>
      <w:tr w:rsidR="00CC4FE7" w:rsidRPr="00F36460" w14:paraId="18DDB376" w14:textId="77777777" w:rsidTr="009B2059">
        <w:trPr>
          <w:trHeight w:val="70"/>
        </w:trPr>
        <w:tc>
          <w:tcPr>
            <w:tcW w:w="673" w:type="pct"/>
            <w:tcBorders>
              <w:top w:val="nil"/>
              <w:left w:val="nil"/>
              <w:bottom w:val="nil"/>
              <w:right w:val="nil"/>
            </w:tcBorders>
            <w:shd w:val="clear" w:color="auto" w:fill="auto"/>
            <w:noWrap/>
            <w:vAlign w:val="center"/>
            <w:hideMark/>
          </w:tcPr>
          <w:p w14:paraId="76E4194C"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27AB778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Namibia</w:t>
            </w:r>
          </w:p>
        </w:tc>
        <w:tc>
          <w:tcPr>
            <w:tcW w:w="694" w:type="pct"/>
            <w:tcBorders>
              <w:top w:val="nil"/>
              <w:left w:val="nil"/>
              <w:bottom w:val="nil"/>
              <w:right w:val="nil"/>
            </w:tcBorders>
            <w:shd w:val="clear" w:color="auto" w:fill="auto"/>
            <w:noWrap/>
            <w:vAlign w:val="center"/>
            <w:hideMark/>
          </w:tcPr>
          <w:p w14:paraId="7815B79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7430AFC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89</w:t>
            </w:r>
          </w:p>
        </w:tc>
        <w:tc>
          <w:tcPr>
            <w:tcW w:w="611" w:type="pct"/>
            <w:gridSpan w:val="2"/>
            <w:tcBorders>
              <w:top w:val="nil"/>
              <w:left w:val="nil"/>
              <w:bottom w:val="nil"/>
              <w:right w:val="nil"/>
            </w:tcBorders>
            <w:shd w:val="clear" w:color="auto" w:fill="auto"/>
            <w:noWrap/>
            <w:vAlign w:val="center"/>
            <w:hideMark/>
          </w:tcPr>
          <w:p w14:paraId="0AD4982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4531</w:t>
            </w:r>
          </w:p>
        </w:tc>
      </w:tr>
      <w:tr w:rsidR="00CC4FE7" w:rsidRPr="00F36460" w14:paraId="0FA81200" w14:textId="77777777" w:rsidTr="009B2059">
        <w:trPr>
          <w:trHeight w:val="70"/>
        </w:trPr>
        <w:tc>
          <w:tcPr>
            <w:tcW w:w="673" w:type="pct"/>
            <w:tcBorders>
              <w:top w:val="nil"/>
              <w:left w:val="nil"/>
              <w:bottom w:val="nil"/>
              <w:right w:val="nil"/>
            </w:tcBorders>
            <w:shd w:val="clear" w:color="auto" w:fill="auto"/>
            <w:noWrap/>
            <w:vAlign w:val="center"/>
            <w:hideMark/>
          </w:tcPr>
          <w:p w14:paraId="0C3A7E8D"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B15A20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Senegal</w:t>
            </w:r>
          </w:p>
        </w:tc>
        <w:tc>
          <w:tcPr>
            <w:tcW w:w="694" w:type="pct"/>
            <w:tcBorders>
              <w:top w:val="nil"/>
              <w:left w:val="nil"/>
              <w:bottom w:val="nil"/>
              <w:right w:val="nil"/>
            </w:tcBorders>
            <w:shd w:val="clear" w:color="auto" w:fill="auto"/>
            <w:noWrap/>
            <w:vAlign w:val="center"/>
            <w:hideMark/>
          </w:tcPr>
          <w:p w14:paraId="47F64A0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2005</w:t>
            </w:r>
          </w:p>
        </w:tc>
        <w:tc>
          <w:tcPr>
            <w:tcW w:w="1177" w:type="pct"/>
            <w:tcBorders>
              <w:top w:val="nil"/>
              <w:left w:val="nil"/>
              <w:bottom w:val="nil"/>
              <w:right w:val="nil"/>
            </w:tcBorders>
            <w:shd w:val="clear" w:color="auto" w:fill="auto"/>
            <w:noWrap/>
            <w:vAlign w:val="center"/>
            <w:hideMark/>
          </w:tcPr>
          <w:p w14:paraId="4E82B3B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60</w:t>
            </w:r>
          </w:p>
        </w:tc>
        <w:tc>
          <w:tcPr>
            <w:tcW w:w="611" w:type="pct"/>
            <w:gridSpan w:val="2"/>
            <w:tcBorders>
              <w:top w:val="nil"/>
              <w:left w:val="nil"/>
              <w:bottom w:val="nil"/>
              <w:right w:val="nil"/>
            </w:tcBorders>
            <w:shd w:val="clear" w:color="auto" w:fill="auto"/>
            <w:noWrap/>
            <w:vAlign w:val="center"/>
            <w:hideMark/>
          </w:tcPr>
          <w:p w14:paraId="0734CCF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3154</w:t>
            </w:r>
          </w:p>
        </w:tc>
      </w:tr>
      <w:tr w:rsidR="00CC4FE7" w:rsidRPr="00F36460" w14:paraId="6B47B9DB" w14:textId="77777777" w:rsidTr="009B2059">
        <w:trPr>
          <w:trHeight w:val="70"/>
        </w:trPr>
        <w:tc>
          <w:tcPr>
            <w:tcW w:w="673" w:type="pct"/>
            <w:tcBorders>
              <w:top w:val="nil"/>
              <w:left w:val="nil"/>
              <w:bottom w:val="nil"/>
              <w:right w:val="nil"/>
            </w:tcBorders>
            <w:shd w:val="clear" w:color="auto" w:fill="auto"/>
            <w:noWrap/>
            <w:vAlign w:val="center"/>
            <w:hideMark/>
          </w:tcPr>
          <w:p w14:paraId="3DC73D8D"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F9122D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Seychelles</w:t>
            </w:r>
          </w:p>
        </w:tc>
        <w:tc>
          <w:tcPr>
            <w:tcW w:w="694" w:type="pct"/>
            <w:tcBorders>
              <w:top w:val="nil"/>
              <w:left w:val="nil"/>
              <w:bottom w:val="nil"/>
              <w:right w:val="nil"/>
            </w:tcBorders>
            <w:shd w:val="clear" w:color="auto" w:fill="auto"/>
            <w:noWrap/>
            <w:vAlign w:val="center"/>
            <w:hideMark/>
          </w:tcPr>
          <w:p w14:paraId="1DF34D8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19F30F3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82</w:t>
            </w:r>
          </w:p>
        </w:tc>
        <w:tc>
          <w:tcPr>
            <w:tcW w:w="611" w:type="pct"/>
            <w:gridSpan w:val="2"/>
            <w:tcBorders>
              <w:top w:val="nil"/>
              <w:left w:val="nil"/>
              <w:bottom w:val="nil"/>
              <w:right w:val="nil"/>
            </w:tcBorders>
            <w:shd w:val="clear" w:color="auto" w:fill="auto"/>
            <w:noWrap/>
            <w:vAlign w:val="center"/>
            <w:hideMark/>
          </w:tcPr>
          <w:p w14:paraId="1C9A6C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2540</w:t>
            </w:r>
          </w:p>
        </w:tc>
      </w:tr>
      <w:tr w:rsidR="00CC4FE7" w:rsidRPr="00F36460" w14:paraId="647F37D1" w14:textId="77777777" w:rsidTr="009B2059">
        <w:trPr>
          <w:trHeight w:val="70"/>
        </w:trPr>
        <w:tc>
          <w:tcPr>
            <w:tcW w:w="673" w:type="pct"/>
            <w:tcBorders>
              <w:top w:val="nil"/>
              <w:left w:val="nil"/>
              <w:bottom w:val="nil"/>
              <w:right w:val="nil"/>
            </w:tcBorders>
            <w:shd w:val="clear" w:color="auto" w:fill="auto"/>
            <w:noWrap/>
            <w:vAlign w:val="center"/>
            <w:hideMark/>
          </w:tcPr>
          <w:p w14:paraId="39B1E951"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9508B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Swaziland</w:t>
            </w:r>
          </w:p>
        </w:tc>
        <w:tc>
          <w:tcPr>
            <w:tcW w:w="694" w:type="pct"/>
            <w:tcBorders>
              <w:top w:val="nil"/>
              <w:left w:val="nil"/>
              <w:bottom w:val="nil"/>
              <w:right w:val="nil"/>
            </w:tcBorders>
            <w:shd w:val="clear" w:color="auto" w:fill="auto"/>
            <w:noWrap/>
            <w:vAlign w:val="center"/>
            <w:hideMark/>
          </w:tcPr>
          <w:p w14:paraId="220403B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2003</w:t>
            </w:r>
          </w:p>
        </w:tc>
        <w:tc>
          <w:tcPr>
            <w:tcW w:w="1177" w:type="pct"/>
            <w:tcBorders>
              <w:top w:val="nil"/>
              <w:left w:val="nil"/>
              <w:bottom w:val="nil"/>
              <w:right w:val="nil"/>
            </w:tcBorders>
            <w:shd w:val="clear" w:color="auto" w:fill="auto"/>
            <w:noWrap/>
            <w:vAlign w:val="center"/>
            <w:hideMark/>
          </w:tcPr>
          <w:p w14:paraId="0F0E69A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96</w:t>
            </w:r>
          </w:p>
        </w:tc>
        <w:tc>
          <w:tcPr>
            <w:tcW w:w="611" w:type="pct"/>
            <w:gridSpan w:val="2"/>
            <w:tcBorders>
              <w:top w:val="nil"/>
              <w:left w:val="nil"/>
              <w:bottom w:val="nil"/>
              <w:right w:val="nil"/>
            </w:tcBorders>
            <w:shd w:val="clear" w:color="auto" w:fill="auto"/>
            <w:noWrap/>
            <w:vAlign w:val="center"/>
            <w:hideMark/>
          </w:tcPr>
          <w:p w14:paraId="36F8090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7341</w:t>
            </w:r>
          </w:p>
        </w:tc>
      </w:tr>
      <w:tr w:rsidR="00CC4FE7" w:rsidRPr="00F36460" w14:paraId="4428CEBC" w14:textId="77777777" w:rsidTr="009B2059">
        <w:trPr>
          <w:trHeight w:val="70"/>
        </w:trPr>
        <w:tc>
          <w:tcPr>
            <w:tcW w:w="673" w:type="pct"/>
            <w:tcBorders>
              <w:top w:val="nil"/>
              <w:left w:val="nil"/>
              <w:bottom w:val="nil"/>
              <w:right w:val="nil"/>
            </w:tcBorders>
            <w:shd w:val="clear" w:color="auto" w:fill="auto"/>
            <w:noWrap/>
            <w:vAlign w:val="center"/>
            <w:hideMark/>
          </w:tcPr>
          <w:p w14:paraId="7F8D4ACD"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A7BA0A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Tanzania</w:t>
            </w:r>
          </w:p>
        </w:tc>
        <w:tc>
          <w:tcPr>
            <w:tcW w:w="694" w:type="pct"/>
            <w:tcBorders>
              <w:top w:val="nil"/>
              <w:left w:val="nil"/>
              <w:bottom w:val="nil"/>
              <w:right w:val="nil"/>
            </w:tcBorders>
            <w:shd w:val="clear" w:color="auto" w:fill="auto"/>
            <w:noWrap/>
            <w:vAlign w:val="center"/>
            <w:hideMark/>
          </w:tcPr>
          <w:p w14:paraId="23CFA64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2014</w:t>
            </w:r>
          </w:p>
        </w:tc>
        <w:tc>
          <w:tcPr>
            <w:tcW w:w="1177" w:type="pct"/>
            <w:tcBorders>
              <w:top w:val="nil"/>
              <w:left w:val="nil"/>
              <w:bottom w:val="nil"/>
              <w:right w:val="nil"/>
            </w:tcBorders>
            <w:shd w:val="clear" w:color="auto" w:fill="auto"/>
            <w:noWrap/>
            <w:vAlign w:val="center"/>
            <w:hideMark/>
          </w:tcPr>
          <w:p w14:paraId="7029AED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87</w:t>
            </w:r>
          </w:p>
        </w:tc>
        <w:tc>
          <w:tcPr>
            <w:tcW w:w="611" w:type="pct"/>
            <w:gridSpan w:val="2"/>
            <w:tcBorders>
              <w:top w:val="nil"/>
              <w:left w:val="nil"/>
              <w:bottom w:val="nil"/>
              <w:right w:val="nil"/>
            </w:tcBorders>
            <w:shd w:val="clear" w:color="auto" w:fill="auto"/>
            <w:noWrap/>
            <w:vAlign w:val="center"/>
            <w:hideMark/>
          </w:tcPr>
          <w:p w14:paraId="0A24E31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3793</w:t>
            </w:r>
          </w:p>
        </w:tc>
      </w:tr>
      <w:tr w:rsidR="00CC4FE7" w:rsidRPr="00F36460" w14:paraId="4128A01E" w14:textId="77777777" w:rsidTr="009B2059">
        <w:trPr>
          <w:trHeight w:val="70"/>
        </w:trPr>
        <w:tc>
          <w:tcPr>
            <w:tcW w:w="673" w:type="pct"/>
            <w:tcBorders>
              <w:top w:val="nil"/>
              <w:left w:val="nil"/>
              <w:bottom w:val="nil"/>
              <w:right w:val="nil"/>
            </w:tcBorders>
            <w:shd w:val="clear" w:color="auto" w:fill="auto"/>
            <w:noWrap/>
            <w:vAlign w:val="center"/>
            <w:hideMark/>
          </w:tcPr>
          <w:p w14:paraId="6C8FD2EB"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49B6C4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Uganda</w:t>
            </w:r>
          </w:p>
        </w:tc>
        <w:tc>
          <w:tcPr>
            <w:tcW w:w="694" w:type="pct"/>
            <w:tcBorders>
              <w:top w:val="nil"/>
              <w:left w:val="nil"/>
              <w:bottom w:val="nil"/>
              <w:right w:val="nil"/>
            </w:tcBorders>
            <w:shd w:val="clear" w:color="auto" w:fill="auto"/>
            <w:noWrap/>
            <w:vAlign w:val="center"/>
            <w:hideMark/>
          </w:tcPr>
          <w:p w14:paraId="39965AE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2003</w:t>
            </w:r>
          </w:p>
        </w:tc>
        <w:tc>
          <w:tcPr>
            <w:tcW w:w="1177" w:type="pct"/>
            <w:tcBorders>
              <w:top w:val="nil"/>
              <w:left w:val="nil"/>
              <w:bottom w:val="nil"/>
              <w:right w:val="nil"/>
            </w:tcBorders>
            <w:shd w:val="clear" w:color="auto" w:fill="auto"/>
            <w:noWrap/>
            <w:vAlign w:val="center"/>
            <w:hideMark/>
          </w:tcPr>
          <w:p w14:paraId="5829373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69</w:t>
            </w:r>
          </w:p>
        </w:tc>
        <w:tc>
          <w:tcPr>
            <w:tcW w:w="611" w:type="pct"/>
            <w:gridSpan w:val="2"/>
            <w:tcBorders>
              <w:top w:val="nil"/>
              <w:left w:val="nil"/>
              <w:bottom w:val="nil"/>
              <w:right w:val="nil"/>
            </w:tcBorders>
            <w:shd w:val="clear" w:color="auto" w:fill="auto"/>
            <w:noWrap/>
            <w:vAlign w:val="center"/>
            <w:hideMark/>
          </w:tcPr>
          <w:p w14:paraId="40380BC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3215</w:t>
            </w:r>
          </w:p>
        </w:tc>
      </w:tr>
      <w:tr w:rsidR="00CC4FE7" w:rsidRPr="00F36460" w14:paraId="679707DC" w14:textId="77777777" w:rsidTr="009B2059">
        <w:trPr>
          <w:trHeight w:val="70"/>
        </w:trPr>
        <w:tc>
          <w:tcPr>
            <w:tcW w:w="673" w:type="pct"/>
            <w:tcBorders>
              <w:top w:val="nil"/>
              <w:left w:val="nil"/>
              <w:bottom w:val="nil"/>
              <w:right w:val="nil"/>
            </w:tcBorders>
            <w:shd w:val="clear" w:color="auto" w:fill="auto"/>
            <w:noWrap/>
            <w:vAlign w:val="center"/>
            <w:hideMark/>
          </w:tcPr>
          <w:p w14:paraId="4E937C09"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0B0A36A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Zambia</w:t>
            </w:r>
          </w:p>
        </w:tc>
        <w:tc>
          <w:tcPr>
            <w:tcW w:w="694" w:type="pct"/>
            <w:tcBorders>
              <w:top w:val="nil"/>
              <w:left w:val="nil"/>
              <w:bottom w:val="nil"/>
              <w:right w:val="nil"/>
            </w:tcBorders>
            <w:shd w:val="clear" w:color="auto" w:fill="auto"/>
            <w:noWrap/>
            <w:vAlign w:val="center"/>
            <w:hideMark/>
          </w:tcPr>
          <w:p w14:paraId="21DF157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2004</w:t>
            </w:r>
          </w:p>
        </w:tc>
        <w:tc>
          <w:tcPr>
            <w:tcW w:w="1177" w:type="pct"/>
            <w:tcBorders>
              <w:top w:val="nil"/>
              <w:left w:val="nil"/>
              <w:bottom w:val="nil"/>
              <w:right w:val="nil"/>
            </w:tcBorders>
            <w:shd w:val="clear" w:color="auto" w:fill="auto"/>
            <w:noWrap/>
            <w:vAlign w:val="center"/>
            <w:hideMark/>
          </w:tcPr>
          <w:p w14:paraId="0647083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70</w:t>
            </w:r>
          </w:p>
        </w:tc>
        <w:tc>
          <w:tcPr>
            <w:tcW w:w="611" w:type="pct"/>
            <w:gridSpan w:val="2"/>
            <w:tcBorders>
              <w:top w:val="nil"/>
              <w:left w:val="nil"/>
              <w:bottom w:val="nil"/>
              <w:right w:val="nil"/>
            </w:tcBorders>
            <w:shd w:val="clear" w:color="auto" w:fill="auto"/>
            <w:noWrap/>
            <w:vAlign w:val="center"/>
            <w:hideMark/>
          </w:tcPr>
          <w:p w14:paraId="6E12F03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2257</w:t>
            </w:r>
          </w:p>
        </w:tc>
      </w:tr>
      <w:tr w:rsidR="00CC4FE7" w:rsidRPr="00F36460" w14:paraId="5D80FD70" w14:textId="77777777" w:rsidTr="009B2059">
        <w:trPr>
          <w:trHeight w:val="70"/>
        </w:trPr>
        <w:tc>
          <w:tcPr>
            <w:tcW w:w="673" w:type="pct"/>
            <w:tcBorders>
              <w:top w:val="nil"/>
              <w:left w:val="nil"/>
              <w:bottom w:val="nil"/>
              <w:right w:val="nil"/>
            </w:tcBorders>
            <w:shd w:val="clear" w:color="auto" w:fill="auto"/>
            <w:noWrap/>
            <w:vAlign w:val="center"/>
            <w:hideMark/>
          </w:tcPr>
          <w:p w14:paraId="281569A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AMR</w:t>
            </w:r>
          </w:p>
        </w:tc>
        <w:tc>
          <w:tcPr>
            <w:tcW w:w="1845" w:type="pct"/>
            <w:tcBorders>
              <w:top w:val="nil"/>
              <w:left w:val="nil"/>
              <w:bottom w:val="nil"/>
              <w:right w:val="nil"/>
            </w:tcBorders>
            <w:shd w:val="clear" w:color="auto" w:fill="auto"/>
            <w:noWrap/>
            <w:vAlign w:val="center"/>
            <w:hideMark/>
          </w:tcPr>
          <w:p w14:paraId="5882E04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Antigua &amp; Barbuda</w:t>
            </w:r>
          </w:p>
        </w:tc>
        <w:tc>
          <w:tcPr>
            <w:tcW w:w="694" w:type="pct"/>
            <w:tcBorders>
              <w:top w:val="nil"/>
              <w:left w:val="nil"/>
              <w:bottom w:val="nil"/>
              <w:right w:val="nil"/>
            </w:tcBorders>
            <w:shd w:val="clear" w:color="auto" w:fill="auto"/>
            <w:noWrap/>
            <w:vAlign w:val="center"/>
            <w:hideMark/>
          </w:tcPr>
          <w:p w14:paraId="2FE27E2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2009</w:t>
            </w:r>
          </w:p>
        </w:tc>
        <w:tc>
          <w:tcPr>
            <w:tcW w:w="1177" w:type="pct"/>
            <w:tcBorders>
              <w:top w:val="nil"/>
              <w:left w:val="nil"/>
              <w:bottom w:val="nil"/>
              <w:right w:val="nil"/>
            </w:tcBorders>
            <w:shd w:val="clear" w:color="auto" w:fill="auto"/>
            <w:noWrap/>
            <w:vAlign w:val="center"/>
            <w:hideMark/>
          </w:tcPr>
          <w:p w14:paraId="1F0F46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67</w:t>
            </w:r>
          </w:p>
        </w:tc>
        <w:tc>
          <w:tcPr>
            <w:tcW w:w="611" w:type="pct"/>
            <w:gridSpan w:val="2"/>
            <w:tcBorders>
              <w:top w:val="nil"/>
              <w:left w:val="nil"/>
              <w:bottom w:val="nil"/>
              <w:right w:val="nil"/>
            </w:tcBorders>
            <w:shd w:val="clear" w:color="auto" w:fill="auto"/>
            <w:noWrap/>
            <w:vAlign w:val="center"/>
            <w:hideMark/>
          </w:tcPr>
          <w:p w14:paraId="2808325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1266</w:t>
            </w:r>
          </w:p>
        </w:tc>
      </w:tr>
      <w:tr w:rsidR="00CC4FE7" w:rsidRPr="00F36460" w14:paraId="211B271C" w14:textId="77777777" w:rsidTr="009B2059">
        <w:trPr>
          <w:trHeight w:val="70"/>
        </w:trPr>
        <w:tc>
          <w:tcPr>
            <w:tcW w:w="673" w:type="pct"/>
            <w:tcBorders>
              <w:top w:val="nil"/>
              <w:left w:val="nil"/>
              <w:bottom w:val="nil"/>
              <w:right w:val="nil"/>
            </w:tcBorders>
            <w:shd w:val="clear" w:color="auto" w:fill="auto"/>
            <w:noWrap/>
            <w:vAlign w:val="center"/>
            <w:hideMark/>
          </w:tcPr>
          <w:p w14:paraId="3887A1DB"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4659252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Argentina</w:t>
            </w:r>
          </w:p>
        </w:tc>
        <w:tc>
          <w:tcPr>
            <w:tcW w:w="694" w:type="pct"/>
            <w:tcBorders>
              <w:top w:val="nil"/>
              <w:left w:val="nil"/>
              <w:bottom w:val="nil"/>
              <w:right w:val="nil"/>
            </w:tcBorders>
            <w:shd w:val="clear" w:color="auto" w:fill="auto"/>
            <w:noWrap/>
            <w:vAlign w:val="center"/>
            <w:hideMark/>
          </w:tcPr>
          <w:p w14:paraId="64F408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2012</w:t>
            </w:r>
          </w:p>
        </w:tc>
        <w:tc>
          <w:tcPr>
            <w:tcW w:w="1177" w:type="pct"/>
            <w:tcBorders>
              <w:top w:val="nil"/>
              <w:left w:val="nil"/>
              <w:bottom w:val="nil"/>
              <w:right w:val="nil"/>
            </w:tcBorders>
            <w:shd w:val="clear" w:color="auto" w:fill="auto"/>
            <w:noWrap/>
            <w:vAlign w:val="center"/>
            <w:hideMark/>
          </w:tcPr>
          <w:p w14:paraId="00EEC9A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71</w:t>
            </w:r>
          </w:p>
        </w:tc>
        <w:tc>
          <w:tcPr>
            <w:tcW w:w="611" w:type="pct"/>
            <w:gridSpan w:val="2"/>
            <w:tcBorders>
              <w:top w:val="nil"/>
              <w:left w:val="nil"/>
              <w:bottom w:val="nil"/>
              <w:right w:val="nil"/>
            </w:tcBorders>
            <w:shd w:val="clear" w:color="auto" w:fill="auto"/>
            <w:noWrap/>
            <w:vAlign w:val="center"/>
            <w:hideMark/>
          </w:tcPr>
          <w:p w14:paraId="63BB3CD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28368</w:t>
            </w:r>
          </w:p>
        </w:tc>
      </w:tr>
      <w:tr w:rsidR="00CC4FE7" w:rsidRPr="00F36460" w14:paraId="6E9E97F6" w14:textId="77777777" w:rsidTr="009B2059">
        <w:trPr>
          <w:trHeight w:val="70"/>
        </w:trPr>
        <w:tc>
          <w:tcPr>
            <w:tcW w:w="673" w:type="pct"/>
            <w:tcBorders>
              <w:top w:val="nil"/>
              <w:left w:val="nil"/>
              <w:bottom w:val="nil"/>
              <w:right w:val="nil"/>
            </w:tcBorders>
            <w:shd w:val="clear" w:color="auto" w:fill="auto"/>
            <w:noWrap/>
            <w:vAlign w:val="center"/>
            <w:hideMark/>
          </w:tcPr>
          <w:p w14:paraId="29B811EC"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5945FC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Bahamas</w:t>
            </w:r>
          </w:p>
        </w:tc>
        <w:tc>
          <w:tcPr>
            <w:tcW w:w="694" w:type="pct"/>
            <w:tcBorders>
              <w:top w:val="nil"/>
              <w:left w:val="nil"/>
              <w:bottom w:val="nil"/>
              <w:right w:val="nil"/>
            </w:tcBorders>
            <w:shd w:val="clear" w:color="auto" w:fill="auto"/>
            <w:noWrap/>
            <w:vAlign w:val="center"/>
            <w:hideMark/>
          </w:tcPr>
          <w:p w14:paraId="782B355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2CAA924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78</w:t>
            </w:r>
          </w:p>
        </w:tc>
        <w:tc>
          <w:tcPr>
            <w:tcW w:w="611" w:type="pct"/>
            <w:gridSpan w:val="2"/>
            <w:tcBorders>
              <w:top w:val="nil"/>
              <w:left w:val="nil"/>
              <w:bottom w:val="nil"/>
              <w:right w:val="nil"/>
            </w:tcBorders>
            <w:shd w:val="clear" w:color="auto" w:fill="auto"/>
            <w:noWrap/>
            <w:vAlign w:val="center"/>
            <w:hideMark/>
          </w:tcPr>
          <w:p w14:paraId="26BAFD9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1357</w:t>
            </w:r>
          </w:p>
        </w:tc>
      </w:tr>
      <w:tr w:rsidR="00CC4FE7" w:rsidRPr="00F36460" w14:paraId="3FA73750" w14:textId="77777777" w:rsidTr="009B2059">
        <w:trPr>
          <w:trHeight w:val="70"/>
        </w:trPr>
        <w:tc>
          <w:tcPr>
            <w:tcW w:w="673" w:type="pct"/>
            <w:tcBorders>
              <w:top w:val="nil"/>
              <w:left w:val="nil"/>
              <w:bottom w:val="nil"/>
              <w:right w:val="nil"/>
            </w:tcBorders>
            <w:shd w:val="clear" w:color="auto" w:fill="auto"/>
            <w:noWrap/>
            <w:vAlign w:val="center"/>
            <w:hideMark/>
          </w:tcPr>
          <w:p w14:paraId="5538B4F9"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B8390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Barbados</w:t>
            </w:r>
          </w:p>
        </w:tc>
        <w:tc>
          <w:tcPr>
            <w:tcW w:w="694" w:type="pct"/>
            <w:tcBorders>
              <w:top w:val="nil"/>
              <w:left w:val="nil"/>
              <w:bottom w:val="nil"/>
              <w:right w:val="nil"/>
            </w:tcBorders>
            <w:shd w:val="clear" w:color="auto" w:fill="auto"/>
            <w:noWrap/>
            <w:vAlign w:val="center"/>
            <w:hideMark/>
          </w:tcPr>
          <w:p w14:paraId="015E46A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18C846C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73</w:t>
            </w:r>
          </w:p>
        </w:tc>
        <w:tc>
          <w:tcPr>
            <w:tcW w:w="611" w:type="pct"/>
            <w:gridSpan w:val="2"/>
            <w:tcBorders>
              <w:top w:val="nil"/>
              <w:left w:val="nil"/>
              <w:bottom w:val="nil"/>
              <w:right w:val="nil"/>
            </w:tcBorders>
            <w:shd w:val="clear" w:color="auto" w:fill="auto"/>
            <w:noWrap/>
            <w:vAlign w:val="center"/>
            <w:hideMark/>
          </w:tcPr>
          <w:p w14:paraId="564F6A2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1629</w:t>
            </w:r>
          </w:p>
        </w:tc>
      </w:tr>
      <w:tr w:rsidR="00CC4FE7" w:rsidRPr="00F36460" w14:paraId="5BE454DB" w14:textId="77777777" w:rsidTr="009B2059">
        <w:trPr>
          <w:trHeight w:val="70"/>
        </w:trPr>
        <w:tc>
          <w:tcPr>
            <w:tcW w:w="673" w:type="pct"/>
            <w:tcBorders>
              <w:top w:val="nil"/>
              <w:left w:val="nil"/>
              <w:bottom w:val="nil"/>
              <w:right w:val="nil"/>
            </w:tcBorders>
            <w:shd w:val="clear" w:color="auto" w:fill="auto"/>
            <w:noWrap/>
            <w:vAlign w:val="center"/>
            <w:hideMark/>
          </w:tcPr>
          <w:p w14:paraId="0D01C697"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82C501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Belize</w:t>
            </w:r>
          </w:p>
        </w:tc>
        <w:tc>
          <w:tcPr>
            <w:tcW w:w="694" w:type="pct"/>
            <w:tcBorders>
              <w:top w:val="nil"/>
              <w:left w:val="nil"/>
              <w:bottom w:val="nil"/>
              <w:right w:val="nil"/>
            </w:tcBorders>
            <w:shd w:val="clear" w:color="auto" w:fill="auto"/>
            <w:noWrap/>
            <w:vAlign w:val="center"/>
            <w:hideMark/>
          </w:tcPr>
          <w:p w14:paraId="770A70C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66947E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88</w:t>
            </w:r>
          </w:p>
        </w:tc>
        <w:tc>
          <w:tcPr>
            <w:tcW w:w="611" w:type="pct"/>
            <w:gridSpan w:val="2"/>
            <w:tcBorders>
              <w:top w:val="nil"/>
              <w:left w:val="nil"/>
              <w:bottom w:val="nil"/>
              <w:right w:val="nil"/>
            </w:tcBorders>
            <w:shd w:val="clear" w:color="auto" w:fill="auto"/>
            <w:noWrap/>
            <w:vAlign w:val="center"/>
            <w:hideMark/>
          </w:tcPr>
          <w:p w14:paraId="69C594A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2112</w:t>
            </w:r>
          </w:p>
        </w:tc>
      </w:tr>
      <w:tr w:rsidR="00CC4FE7" w:rsidRPr="00F36460" w14:paraId="6730D4C0" w14:textId="77777777" w:rsidTr="009B2059">
        <w:trPr>
          <w:trHeight w:val="70"/>
        </w:trPr>
        <w:tc>
          <w:tcPr>
            <w:tcW w:w="673" w:type="pct"/>
            <w:tcBorders>
              <w:top w:val="nil"/>
              <w:left w:val="nil"/>
              <w:bottom w:val="nil"/>
              <w:right w:val="nil"/>
            </w:tcBorders>
            <w:shd w:val="clear" w:color="auto" w:fill="auto"/>
            <w:noWrap/>
            <w:vAlign w:val="center"/>
            <w:hideMark/>
          </w:tcPr>
          <w:p w14:paraId="61984A5F"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2A69FF2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Bolivia</w:t>
            </w:r>
          </w:p>
        </w:tc>
        <w:tc>
          <w:tcPr>
            <w:tcW w:w="694" w:type="pct"/>
            <w:tcBorders>
              <w:top w:val="nil"/>
              <w:left w:val="nil"/>
              <w:bottom w:val="nil"/>
              <w:right w:val="nil"/>
            </w:tcBorders>
            <w:shd w:val="clear" w:color="auto" w:fill="auto"/>
            <w:noWrap/>
            <w:vAlign w:val="center"/>
            <w:hideMark/>
          </w:tcPr>
          <w:p w14:paraId="3F6EFA9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2012</w:t>
            </w:r>
          </w:p>
        </w:tc>
        <w:tc>
          <w:tcPr>
            <w:tcW w:w="1177" w:type="pct"/>
            <w:tcBorders>
              <w:top w:val="nil"/>
              <w:left w:val="nil"/>
              <w:bottom w:val="nil"/>
              <w:right w:val="nil"/>
            </w:tcBorders>
            <w:shd w:val="clear" w:color="auto" w:fill="auto"/>
            <w:noWrap/>
            <w:vAlign w:val="center"/>
            <w:hideMark/>
          </w:tcPr>
          <w:p w14:paraId="1F90A19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88</w:t>
            </w:r>
          </w:p>
        </w:tc>
        <w:tc>
          <w:tcPr>
            <w:tcW w:w="611" w:type="pct"/>
            <w:gridSpan w:val="2"/>
            <w:tcBorders>
              <w:top w:val="nil"/>
              <w:left w:val="nil"/>
              <w:bottom w:val="nil"/>
              <w:right w:val="nil"/>
            </w:tcBorders>
            <w:shd w:val="clear" w:color="auto" w:fill="auto"/>
            <w:noWrap/>
            <w:vAlign w:val="center"/>
            <w:hideMark/>
          </w:tcPr>
          <w:p w14:paraId="0A93E7D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3696</w:t>
            </w:r>
          </w:p>
        </w:tc>
      </w:tr>
      <w:tr w:rsidR="00CC4FE7" w:rsidRPr="00F36460" w14:paraId="13883950" w14:textId="77777777" w:rsidTr="009B2059">
        <w:trPr>
          <w:trHeight w:val="70"/>
        </w:trPr>
        <w:tc>
          <w:tcPr>
            <w:tcW w:w="673" w:type="pct"/>
            <w:tcBorders>
              <w:top w:val="nil"/>
              <w:left w:val="nil"/>
              <w:bottom w:val="nil"/>
              <w:right w:val="nil"/>
            </w:tcBorders>
            <w:shd w:val="clear" w:color="auto" w:fill="auto"/>
            <w:noWrap/>
            <w:vAlign w:val="center"/>
            <w:hideMark/>
          </w:tcPr>
          <w:p w14:paraId="575EC0CF"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917B71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Cayman Islands</w:t>
            </w:r>
          </w:p>
        </w:tc>
        <w:tc>
          <w:tcPr>
            <w:tcW w:w="694" w:type="pct"/>
            <w:tcBorders>
              <w:top w:val="nil"/>
              <w:left w:val="nil"/>
              <w:bottom w:val="nil"/>
              <w:right w:val="nil"/>
            </w:tcBorders>
            <w:shd w:val="clear" w:color="auto" w:fill="auto"/>
            <w:noWrap/>
            <w:vAlign w:val="center"/>
            <w:hideMark/>
          </w:tcPr>
          <w:p w14:paraId="4DD7CAC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2007</w:t>
            </w:r>
          </w:p>
        </w:tc>
        <w:tc>
          <w:tcPr>
            <w:tcW w:w="1177" w:type="pct"/>
            <w:tcBorders>
              <w:top w:val="nil"/>
              <w:left w:val="nil"/>
              <w:bottom w:val="nil"/>
              <w:right w:val="nil"/>
            </w:tcBorders>
            <w:shd w:val="clear" w:color="auto" w:fill="auto"/>
            <w:noWrap/>
            <w:vAlign w:val="center"/>
            <w:hideMark/>
          </w:tcPr>
          <w:p w14:paraId="6A8B94A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79</w:t>
            </w:r>
          </w:p>
        </w:tc>
        <w:tc>
          <w:tcPr>
            <w:tcW w:w="611" w:type="pct"/>
            <w:gridSpan w:val="2"/>
            <w:tcBorders>
              <w:top w:val="nil"/>
              <w:left w:val="nil"/>
              <w:bottom w:val="nil"/>
              <w:right w:val="nil"/>
            </w:tcBorders>
            <w:shd w:val="clear" w:color="auto" w:fill="auto"/>
            <w:noWrap/>
            <w:vAlign w:val="center"/>
            <w:hideMark/>
          </w:tcPr>
          <w:p w14:paraId="07D1B7E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1299</w:t>
            </w:r>
          </w:p>
        </w:tc>
      </w:tr>
      <w:tr w:rsidR="00CC4FE7" w:rsidRPr="00F36460" w14:paraId="25354AD1" w14:textId="77777777" w:rsidTr="009B2059">
        <w:trPr>
          <w:trHeight w:val="70"/>
        </w:trPr>
        <w:tc>
          <w:tcPr>
            <w:tcW w:w="673" w:type="pct"/>
            <w:tcBorders>
              <w:top w:val="nil"/>
              <w:left w:val="nil"/>
              <w:bottom w:val="nil"/>
              <w:right w:val="nil"/>
            </w:tcBorders>
            <w:shd w:val="clear" w:color="auto" w:fill="auto"/>
            <w:noWrap/>
            <w:vAlign w:val="center"/>
            <w:hideMark/>
          </w:tcPr>
          <w:p w14:paraId="6C0B6E3A"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0D90A1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Chile</w:t>
            </w:r>
          </w:p>
        </w:tc>
        <w:tc>
          <w:tcPr>
            <w:tcW w:w="694" w:type="pct"/>
            <w:tcBorders>
              <w:top w:val="nil"/>
              <w:left w:val="nil"/>
              <w:bottom w:val="nil"/>
              <w:right w:val="nil"/>
            </w:tcBorders>
            <w:shd w:val="clear" w:color="auto" w:fill="auto"/>
            <w:noWrap/>
            <w:vAlign w:val="center"/>
            <w:hideMark/>
          </w:tcPr>
          <w:p w14:paraId="009C23B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01121E9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60</w:t>
            </w:r>
          </w:p>
        </w:tc>
        <w:tc>
          <w:tcPr>
            <w:tcW w:w="611" w:type="pct"/>
            <w:gridSpan w:val="2"/>
            <w:tcBorders>
              <w:top w:val="nil"/>
              <w:left w:val="nil"/>
              <w:bottom w:val="nil"/>
              <w:right w:val="nil"/>
            </w:tcBorders>
            <w:shd w:val="clear" w:color="auto" w:fill="auto"/>
            <w:noWrap/>
            <w:vAlign w:val="center"/>
            <w:hideMark/>
          </w:tcPr>
          <w:p w14:paraId="2F2B24F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2049</w:t>
            </w:r>
          </w:p>
        </w:tc>
      </w:tr>
      <w:tr w:rsidR="00CC4FE7" w:rsidRPr="00F36460" w14:paraId="74941646" w14:textId="77777777" w:rsidTr="009B2059">
        <w:trPr>
          <w:trHeight w:val="70"/>
        </w:trPr>
        <w:tc>
          <w:tcPr>
            <w:tcW w:w="673" w:type="pct"/>
            <w:tcBorders>
              <w:top w:val="nil"/>
              <w:left w:val="nil"/>
              <w:bottom w:val="nil"/>
              <w:right w:val="nil"/>
            </w:tcBorders>
            <w:shd w:val="clear" w:color="auto" w:fill="auto"/>
            <w:noWrap/>
            <w:vAlign w:val="center"/>
            <w:hideMark/>
          </w:tcPr>
          <w:p w14:paraId="0883F887"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49E1FE8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Costa Rica</w:t>
            </w:r>
          </w:p>
        </w:tc>
        <w:tc>
          <w:tcPr>
            <w:tcW w:w="694" w:type="pct"/>
            <w:tcBorders>
              <w:top w:val="nil"/>
              <w:left w:val="nil"/>
              <w:bottom w:val="nil"/>
              <w:right w:val="nil"/>
            </w:tcBorders>
            <w:shd w:val="clear" w:color="auto" w:fill="auto"/>
            <w:noWrap/>
            <w:vAlign w:val="center"/>
            <w:hideMark/>
          </w:tcPr>
          <w:p w14:paraId="7DEECBC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2009</w:t>
            </w:r>
          </w:p>
        </w:tc>
        <w:tc>
          <w:tcPr>
            <w:tcW w:w="1177" w:type="pct"/>
            <w:tcBorders>
              <w:top w:val="nil"/>
              <w:left w:val="nil"/>
              <w:bottom w:val="nil"/>
              <w:right w:val="nil"/>
            </w:tcBorders>
            <w:shd w:val="clear" w:color="auto" w:fill="auto"/>
            <w:noWrap/>
            <w:vAlign w:val="center"/>
            <w:hideMark/>
          </w:tcPr>
          <w:p w14:paraId="4D0BCEE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72</w:t>
            </w:r>
          </w:p>
        </w:tc>
        <w:tc>
          <w:tcPr>
            <w:tcW w:w="611" w:type="pct"/>
            <w:gridSpan w:val="2"/>
            <w:tcBorders>
              <w:top w:val="nil"/>
              <w:left w:val="nil"/>
              <w:bottom w:val="nil"/>
              <w:right w:val="nil"/>
            </w:tcBorders>
            <w:shd w:val="clear" w:color="auto" w:fill="auto"/>
            <w:noWrap/>
            <w:vAlign w:val="center"/>
            <w:hideMark/>
          </w:tcPr>
          <w:p w14:paraId="590D76D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2679</w:t>
            </w:r>
          </w:p>
        </w:tc>
      </w:tr>
      <w:tr w:rsidR="00CC4FE7" w:rsidRPr="00F36460" w14:paraId="6D81BDC0" w14:textId="77777777" w:rsidTr="009B2059">
        <w:trPr>
          <w:trHeight w:val="70"/>
        </w:trPr>
        <w:tc>
          <w:tcPr>
            <w:tcW w:w="673" w:type="pct"/>
            <w:tcBorders>
              <w:top w:val="nil"/>
              <w:left w:val="nil"/>
              <w:bottom w:val="nil"/>
              <w:right w:val="nil"/>
            </w:tcBorders>
            <w:shd w:val="clear" w:color="auto" w:fill="auto"/>
            <w:noWrap/>
            <w:vAlign w:val="center"/>
            <w:hideMark/>
          </w:tcPr>
          <w:p w14:paraId="70278046"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670FF9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Curaçao</w:t>
            </w:r>
          </w:p>
        </w:tc>
        <w:tc>
          <w:tcPr>
            <w:tcW w:w="694" w:type="pct"/>
            <w:tcBorders>
              <w:top w:val="nil"/>
              <w:left w:val="nil"/>
              <w:bottom w:val="nil"/>
              <w:right w:val="nil"/>
            </w:tcBorders>
            <w:shd w:val="clear" w:color="auto" w:fill="auto"/>
            <w:noWrap/>
            <w:vAlign w:val="center"/>
            <w:hideMark/>
          </w:tcPr>
          <w:p w14:paraId="2809BE3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18D3EC1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83</w:t>
            </w:r>
          </w:p>
        </w:tc>
        <w:tc>
          <w:tcPr>
            <w:tcW w:w="611" w:type="pct"/>
            <w:gridSpan w:val="2"/>
            <w:tcBorders>
              <w:top w:val="nil"/>
              <w:left w:val="nil"/>
              <w:bottom w:val="nil"/>
              <w:right w:val="nil"/>
            </w:tcBorders>
            <w:shd w:val="clear" w:color="auto" w:fill="auto"/>
            <w:noWrap/>
            <w:vAlign w:val="center"/>
            <w:hideMark/>
          </w:tcPr>
          <w:p w14:paraId="15154EE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2765</w:t>
            </w:r>
          </w:p>
        </w:tc>
      </w:tr>
      <w:tr w:rsidR="00CC4FE7" w:rsidRPr="00F36460" w14:paraId="7D9FC66F" w14:textId="77777777" w:rsidTr="009B2059">
        <w:trPr>
          <w:trHeight w:val="70"/>
        </w:trPr>
        <w:tc>
          <w:tcPr>
            <w:tcW w:w="673" w:type="pct"/>
            <w:tcBorders>
              <w:top w:val="nil"/>
              <w:left w:val="nil"/>
              <w:bottom w:val="nil"/>
              <w:right w:val="nil"/>
            </w:tcBorders>
            <w:shd w:val="clear" w:color="auto" w:fill="auto"/>
            <w:noWrap/>
            <w:vAlign w:val="center"/>
            <w:hideMark/>
          </w:tcPr>
          <w:p w14:paraId="25595EEB"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09B340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Dominica</w:t>
            </w:r>
          </w:p>
        </w:tc>
        <w:tc>
          <w:tcPr>
            <w:tcW w:w="694" w:type="pct"/>
            <w:tcBorders>
              <w:top w:val="nil"/>
              <w:left w:val="nil"/>
              <w:bottom w:val="nil"/>
              <w:right w:val="nil"/>
            </w:tcBorders>
            <w:shd w:val="clear" w:color="auto" w:fill="auto"/>
            <w:noWrap/>
            <w:vAlign w:val="center"/>
            <w:hideMark/>
          </w:tcPr>
          <w:p w14:paraId="0D2929B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2009</w:t>
            </w:r>
          </w:p>
        </w:tc>
        <w:tc>
          <w:tcPr>
            <w:tcW w:w="1177" w:type="pct"/>
            <w:tcBorders>
              <w:top w:val="nil"/>
              <w:left w:val="nil"/>
              <w:bottom w:val="nil"/>
              <w:right w:val="nil"/>
            </w:tcBorders>
            <w:shd w:val="clear" w:color="auto" w:fill="auto"/>
            <w:noWrap/>
            <w:vAlign w:val="center"/>
            <w:hideMark/>
          </w:tcPr>
          <w:p w14:paraId="7F3264D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84</w:t>
            </w:r>
          </w:p>
        </w:tc>
        <w:tc>
          <w:tcPr>
            <w:tcW w:w="611" w:type="pct"/>
            <w:gridSpan w:val="2"/>
            <w:tcBorders>
              <w:top w:val="nil"/>
              <w:left w:val="nil"/>
              <w:bottom w:val="nil"/>
              <w:right w:val="nil"/>
            </w:tcBorders>
            <w:shd w:val="clear" w:color="auto" w:fill="auto"/>
            <w:noWrap/>
            <w:vAlign w:val="center"/>
            <w:hideMark/>
          </w:tcPr>
          <w:p w14:paraId="4B54572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1642</w:t>
            </w:r>
          </w:p>
        </w:tc>
      </w:tr>
      <w:tr w:rsidR="00CC4FE7" w:rsidRPr="00F36460" w14:paraId="5C15D6B7" w14:textId="77777777" w:rsidTr="009B2059">
        <w:trPr>
          <w:trHeight w:val="70"/>
        </w:trPr>
        <w:tc>
          <w:tcPr>
            <w:tcW w:w="673" w:type="pct"/>
            <w:tcBorders>
              <w:top w:val="nil"/>
              <w:left w:val="nil"/>
              <w:bottom w:val="nil"/>
              <w:right w:val="nil"/>
            </w:tcBorders>
            <w:shd w:val="clear" w:color="auto" w:fill="auto"/>
            <w:noWrap/>
            <w:vAlign w:val="center"/>
            <w:hideMark/>
          </w:tcPr>
          <w:p w14:paraId="758C7FAA"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2A0A99F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El Salvador</w:t>
            </w:r>
          </w:p>
        </w:tc>
        <w:tc>
          <w:tcPr>
            <w:tcW w:w="694" w:type="pct"/>
            <w:tcBorders>
              <w:top w:val="nil"/>
              <w:left w:val="nil"/>
              <w:bottom w:val="nil"/>
              <w:right w:val="nil"/>
            </w:tcBorders>
            <w:shd w:val="clear" w:color="auto" w:fill="auto"/>
            <w:noWrap/>
            <w:vAlign w:val="center"/>
            <w:hideMark/>
          </w:tcPr>
          <w:p w14:paraId="73C160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5C97BC4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88</w:t>
            </w:r>
          </w:p>
        </w:tc>
        <w:tc>
          <w:tcPr>
            <w:tcW w:w="611" w:type="pct"/>
            <w:gridSpan w:val="2"/>
            <w:tcBorders>
              <w:top w:val="nil"/>
              <w:left w:val="nil"/>
              <w:bottom w:val="nil"/>
              <w:right w:val="nil"/>
            </w:tcBorders>
            <w:shd w:val="clear" w:color="auto" w:fill="auto"/>
            <w:noWrap/>
            <w:vAlign w:val="center"/>
            <w:hideMark/>
          </w:tcPr>
          <w:p w14:paraId="441E5E5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1915</w:t>
            </w:r>
          </w:p>
        </w:tc>
      </w:tr>
      <w:tr w:rsidR="00CC4FE7" w:rsidRPr="00F36460" w14:paraId="54006BCF" w14:textId="77777777" w:rsidTr="009B2059">
        <w:trPr>
          <w:trHeight w:val="70"/>
        </w:trPr>
        <w:tc>
          <w:tcPr>
            <w:tcW w:w="673" w:type="pct"/>
            <w:tcBorders>
              <w:top w:val="nil"/>
              <w:left w:val="nil"/>
              <w:bottom w:val="nil"/>
              <w:right w:val="nil"/>
            </w:tcBorders>
            <w:shd w:val="clear" w:color="auto" w:fill="auto"/>
            <w:noWrap/>
            <w:vAlign w:val="center"/>
            <w:hideMark/>
          </w:tcPr>
          <w:p w14:paraId="4CDB23A4"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0DF3196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Grenada</w:t>
            </w:r>
          </w:p>
        </w:tc>
        <w:tc>
          <w:tcPr>
            <w:tcW w:w="694" w:type="pct"/>
            <w:tcBorders>
              <w:top w:val="nil"/>
              <w:left w:val="nil"/>
              <w:bottom w:val="nil"/>
              <w:right w:val="nil"/>
            </w:tcBorders>
            <w:shd w:val="clear" w:color="auto" w:fill="auto"/>
            <w:noWrap/>
            <w:vAlign w:val="center"/>
            <w:hideMark/>
          </w:tcPr>
          <w:p w14:paraId="4222618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2008</w:t>
            </w:r>
          </w:p>
        </w:tc>
        <w:tc>
          <w:tcPr>
            <w:tcW w:w="1177" w:type="pct"/>
            <w:tcBorders>
              <w:top w:val="nil"/>
              <w:left w:val="nil"/>
              <w:bottom w:val="nil"/>
              <w:right w:val="nil"/>
            </w:tcBorders>
            <w:shd w:val="clear" w:color="auto" w:fill="auto"/>
            <w:noWrap/>
            <w:vAlign w:val="center"/>
            <w:hideMark/>
          </w:tcPr>
          <w:p w14:paraId="3C0555F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78</w:t>
            </w:r>
          </w:p>
        </w:tc>
        <w:tc>
          <w:tcPr>
            <w:tcW w:w="611" w:type="pct"/>
            <w:gridSpan w:val="2"/>
            <w:tcBorders>
              <w:top w:val="nil"/>
              <w:left w:val="nil"/>
              <w:bottom w:val="nil"/>
              <w:right w:val="nil"/>
            </w:tcBorders>
            <w:shd w:val="clear" w:color="auto" w:fill="auto"/>
            <w:noWrap/>
            <w:vAlign w:val="center"/>
            <w:hideMark/>
          </w:tcPr>
          <w:p w14:paraId="33BF7BE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1542</w:t>
            </w:r>
          </w:p>
        </w:tc>
      </w:tr>
      <w:tr w:rsidR="00CC4FE7" w:rsidRPr="00F36460" w14:paraId="7AFAAFE4" w14:textId="77777777" w:rsidTr="009B2059">
        <w:trPr>
          <w:trHeight w:val="70"/>
        </w:trPr>
        <w:tc>
          <w:tcPr>
            <w:tcW w:w="673" w:type="pct"/>
            <w:tcBorders>
              <w:top w:val="nil"/>
              <w:left w:val="nil"/>
              <w:bottom w:val="nil"/>
              <w:right w:val="nil"/>
            </w:tcBorders>
            <w:shd w:val="clear" w:color="auto" w:fill="auto"/>
            <w:noWrap/>
            <w:vAlign w:val="center"/>
            <w:hideMark/>
          </w:tcPr>
          <w:p w14:paraId="2F34D4D1"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8D52FF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Guatemala</w:t>
            </w:r>
          </w:p>
        </w:tc>
        <w:tc>
          <w:tcPr>
            <w:tcW w:w="694" w:type="pct"/>
            <w:tcBorders>
              <w:top w:val="nil"/>
              <w:left w:val="nil"/>
              <w:bottom w:val="nil"/>
              <w:right w:val="nil"/>
            </w:tcBorders>
            <w:shd w:val="clear" w:color="auto" w:fill="auto"/>
            <w:noWrap/>
            <w:vAlign w:val="center"/>
            <w:hideMark/>
          </w:tcPr>
          <w:p w14:paraId="459EE37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7B89FF6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82</w:t>
            </w:r>
          </w:p>
        </w:tc>
        <w:tc>
          <w:tcPr>
            <w:tcW w:w="611" w:type="pct"/>
            <w:gridSpan w:val="2"/>
            <w:tcBorders>
              <w:top w:val="nil"/>
              <w:left w:val="nil"/>
              <w:bottom w:val="nil"/>
              <w:right w:val="nil"/>
            </w:tcBorders>
            <w:shd w:val="clear" w:color="auto" w:fill="auto"/>
            <w:noWrap/>
            <w:vAlign w:val="center"/>
            <w:hideMark/>
          </w:tcPr>
          <w:p w14:paraId="78193B0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4374</w:t>
            </w:r>
          </w:p>
        </w:tc>
      </w:tr>
      <w:tr w:rsidR="00CC4FE7" w:rsidRPr="00F36460" w14:paraId="23CD23E1" w14:textId="77777777" w:rsidTr="009B2059">
        <w:trPr>
          <w:trHeight w:val="70"/>
        </w:trPr>
        <w:tc>
          <w:tcPr>
            <w:tcW w:w="673" w:type="pct"/>
            <w:tcBorders>
              <w:top w:val="nil"/>
              <w:left w:val="nil"/>
              <w:bottom w:val="nil"/>
              <w:right w:val="nil"/>
            </w:tcBorders>
            <w:shd w:val="clear" w:color="auto" w:fill="auto"/>
            <w:noWrap/>
            <w:vAlign w:val="center"/>
            <w:hideMark/>
          </w:tcPr>
          <w:p w14:paraId="7E3AC61F"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2FCF7CB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Guyana</w:t>
            </w:r>
          </w:p>
        </w:tc>
        <w:tc>
          <w:tcPr>
            <w:tcW w:w="694" w:type="pct"/>
            <w:tcBorders>
              <w:top w:val="nil"/>
              <w:left w:val="nil"/>
              <w:bottom w:val="nil"/>
              <w:right w:val="nil"/>
            </w:tcBorders>
            <w:shd w:val="clear" w:color="auto" w:fill="auto"/>
            <w:noWrap/>
            <w:vAlign w:val="center"/>
            <w:hideMark/>
          </w:tcPr>
          <w:p w14:paraId="45EF354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2010</w:t>
            </w:r>
          </w:p>
        </w:tc>
        <w:tc>
          <w:tcPr>
            <w:tcW w:w="1177" w:type="pct"/>
            <w:tcBorders>
              <w:top w:val="nil"/>
              <w:left w:val="nil"/>
              <w:bottom w:val="nil"/>
              <w:right w:val="nil"/>
            </w:tcBorders>
            <w:shd w:val="clear" w:color="auto" w:fill="auto"/>
            <w:noWrap/>
            <w:vAlign w:val="center"/>
            <w:hideMark/>
          </w:tcPr>
          <w:p w14:paraId="04DC516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76</w:t>
            </w:r>
          </w:p>
        </w:tc>
        <w:tc>
          <w:tcPr>
            <w:tcW w:w="611" w:type="pct"/>
            <w:gridSpan w:val="2"/>
            <w:tcBorders>
              <w:top w:val="nil"/>
              <w:left w:val="nil"/>
              <w:bottom w:val="nil"/>
              <w:right w:val="nil"/>
            </w:tcBorders>
            <w:shd w:val="clear" w:color="auto" w:fill="auto"/>
            <w:noWrap/>
            <w:vAlign w:val="center"/>
            <w:hideMark/>
          </w:tcPr>
          <w:p w14:paraId="132C412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2392</w:t>
            </w:r>
          </w:p>
        </w:tc>
      </w:tr>
      <w:tr w:rsidR="00CC4FE7" w:rsidRPr="00F36460" w14:paraId="384AD641" w14:textId="77777777" w:rsidTr="009B2059">
        <w:trPr>
          <w:trHeight w:val="70"/>
        </w:trPr>
        <w:tc>
          <w:tcPr>
            <w:tcW w:w="673" w:type="pct"/>
            <w:tcBorders>
              <w:top w:val="nil"/>
              <w:left w:val="nil"/>
              <w:bottom w:val="nil"/>
              <w:right w:val="nil"/>
            </w:tcBorders>
            <w:shd w:val="clear" w:color="auto" w:fill="auto"/>
            <w:noWrap/>
            <w:vAlign w:val="center"/>
            <w:hideMark/>
          </w:tcPr>
          <w:p w14:paraId="0FE641FD"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0F7E32D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Honduras</w:t>
            </w:r>
          </w:p>
        </w:tc>
        <w:tc>
          <w:tcPr>
            <w:tcW w:w="694" w:type="pct"/>
            <w:tcBorders>
              <w:top w:val="nil"/>
              <w:left w:val="nil"/>
              <w:bottom w:val="nil"/>
              <w:right w:val="nil"/>
            </w:tcBorders>
            <w:shd w:val="clear" w:color="auto" w:fill="auto"/>
            <w:noWrap/>
            <w:vAlign w:val="center"/>
            <w:hideMark/>
          </w:tcPr>
          <w:p w14:paraId="777066B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2012</w:t>
            </w:r>
          </w:p>
        </w:tc>
        <w:tc>
          <w:tcPr>
            <w:tcW w:w="1177" w:type="pct"/>
            <w:tcBorders>
              <w:top w:val="nil"/>
              <w:left w:val="nil"/>
              <w:bottom w:val="nil"/>
              <w:right w:val="nil"/>
            </w:tcBorders>
            <w:shd w:val="clear" w:color="auto" w:fill="auto"/>
            <w:noWrap/>
            <w:vAlign w:val="center"/>
            <w:hideMark/>
          </w:tcPr>
          <w:p w14:paraId="2E20B4A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79</w:t>
            </w:r>
          </w:p>
        </w:tc>
        <w:tc>
          <w:tcPr>
            <w:tcW w:w="611" w:type="pct"/>
            <w:gridSpan w:val="2"/>
            <w:tcBorders>
              <w:top w:val="nil"/>
              <w:left w:val="nil"/>
              <w:bottom w:val="nil"/>
              <w:right w:val="nil"/>
            </w:tcBorders>
            <w:shd w:val="clear" w:color="auto" w:fill="auto"/>
            <w:noWrap/>
            <w:vAlign w:val="center"/>
            <w:hideMark/>
          </w:tcPr>
          <w:p w14:paraId="37BF130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1779</w:t>
            </w:r>
          </w:p>
        </w:tc>
      </w:tr>
      <w:tr w:rsidR="00CC4FE7" w:rsidRPr="00F36460" w14:paraId="015B2FD4" w14:textId="77777777" w:rsidTr="009B2059">
        <w:trPr>
          <w:trHeight w:val="270"/>
        </w:trPr>
        <w:tc>
          <w:tcPr>
            <w:tcW w:w="673" w:type="pct"/>
            <w:tcBorders>
              <w:top w:val="nil"/>
              <w:left w:val="nil"/>
              <w:bottom w:val="nil"/>
              <w:right w:val="nil"/>
            </w:tcBorders>
            <w:shd w:val="clear" w:color="auto" w:fill="auto"/>
            <w:noWrap/>
            <w:vAlign w:val="center"/>
            <w:hideMark/>
          </w:tcPr>
          <w:p w14:paraId="2A0A511C"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8D65C5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Peru</w:t>
            </w:r>
          </w:p>
        </w:tc>
        <w:tc>
          <w:tcPr>
            <w:tcW w:w="694" w:type="pct"/>
            <w:tcBorders>
              <w:top w:val="nil"/>
              <w:left w:val="nil"/>
              <w:bottom w:val="nil"/>
              <w:right w:val="nil"/>
            </w:tcBorders>
            <w:shd w:val="clear" w:color="auto" w:fill="auto"/>
            <w:noWrap/>
            <w:vAlign w:val="center"/>
            <w:hideMark/>
          </w:tcPr>
          <w:p w14:paraId="02A04B4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2010</w:t>
            </w:r>
          </w:p>
        </w:tc>
        <w:tc>
          <w:tcPr>
            <w:tcW w:w="1177" w:type="pct"/>
            <w:tcBorders>
              <w:top w:val="nil"/>
              <w:left w:val="nil"/>
              <w:bottom w:val="nil"/>
              <w:right w:val="nil"/>
            </w:tcBorders>
            <w:shd w:val="clear" w:color="auto" w:fill="auto"/>
            <w:noWrap/>
            <w:vAlign w:val="center"/>
            <w:hideMark/>
          </w:tcPr>
          <w:p w14:paraId="5A755B1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85</w:t>
            </w:r>
          </w:p>
        </w:tc>
        <w:tc>
          <w:tcPr>
            <w:tcW w:w="611" w:type="pct"/>
            <w:gridSpan w:val="2"/>
            <w:tcBorders>
              <w:top w:val="nil"/>
              <w:left w:val="nil"/>
              <w:bottom w:val="nil"/>
              <w:right w:val="nil"/>
            </w:tcBorders>
            <w:shd w:val="clear" w:color="auto" w:fill="auto"/>
            <w:noWrap/>
            <w:vAlign w:val="center"/>
            <w:hideMark/>
          </w:tcPr>
          <w:p w14:paraId="6334F30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2882</w:t>
            </w:r>
          </w:p>
        </w:tc>
      </w:tr>
      <w:tr w:rsidR="00CC4FE7" w:rsidRPr="00F36460" w14:paraId="1E949332" w14:textId="77777777" w:rsidTr="009B2059">
        <w:trPr>
          <w:trHeight w:val="70"/>
        </w:trPr>
        <w:tc>
          <w:tcPr>
            <w:tcW w:w="673" w:type="pct"/>
            <w:tcBorders>
              <w:top w:val="nil"/>
              <w:left w:val="nil"/>
              <w:bottom w:val="nil"/>
              <w:right w:val="nil"/>
            </w:tcBorders>
            <w:shd w:val="clear" w:color="auto" w:fill="auto"/>
            <w:noWrap/>
            <w:vAlign w:val="center"/>
            <w:hideMark/>
          </w:tcPr>
          <w:p w14:paraId="22468FEA"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080BCAD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St. Vincent &amp; the Grenadines</w:t>
            </w:r>
          </w:p>
        </w:tc>
        <w:tc>
          <w:tcPr>
            <w:tcW w:w="694" w:type="pct"/>
            <w:tcBorders>
              <w:top w:val="nil"/>
              <w:left w:val="nil"/>
              <w:bottom w:val="nil"/>
              <w:right w:val="nil"/>
            </w:tcBorders>
            <w:shd w:val="clear" w:color="auto" w:fill="auto"/>
            <w:noWrap/>
            <w:vAlign w:val="center"/>
            <w:hideMark/>
          </w:tcPr>
          <w:p w14:paraId="47708BD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2007</w:t>
            </w:r>
          </w:p>
        </w:tc>
        <w:tc>
          <w:tcPr>
            <w:tcW w:w="1177" w:type="pct"/>
            <w:tcBorders>
              <w:top w:val="nil"/>
              <w:left w:val="nil"/>
              <w:bottom w:val="nil"/>
              <w:right w:val="nil"/>
            </w:tcBorders>
            <w:shd w:val="clear" w:color="auto" w:fill="auto"/>
            <w:noWrap/>
            <w:vAlign w:val="center"/>
            <w:hideMark/>
          </w:tcPr>
          <w:p w14:paraId="43B21D2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84</w:t>
            </w:r>
          </w:p>
        </w:tc>
        <w:tc>
          <w:tcPr>
            <w:tcW w:w="611" w:type="pct"/>
            <w:gridSpan w:val="2"/>
            <w:tcBorders>
              <w:top w:val="nil"/>
              <w:left w:val="nil"/>
              <w:bottom w:val="nil"/>
              <w:right w:val="nil"/>
            </w:tcBorders>
            <w:shd w:val="clear" w:color="auto" w:fill="auto"/>
            <w:noWrap/>
            <w:vAlign w:val="center"/>
            <w:hideMark/>
          </w:tcPr>
          <w:p w14:paraId="2316039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1333</w:t>
            </w:r>
          </w:p>
        </w:tc>
      </w:tr>
      <w:tr w:rsidR="00CC4FE7" w:rsidRPr="00F36460" w14:paraId="05CEE5B9" w14:textId="77777777" w:rsidTr="009B2059">
        <w:trPr>
          <w:trHeight w:val="70"/>
        </w:trPr>
        <w:tc>
          <w:tcPr>
            <w:tcW w:w="673" w:type="pct"/>
            <w:tcBorders>
              <w:top w:val="nil"/>
              <w:left w:val="nil"/>
              <w:bottom w:val="nil"/>
              <w:right w:val="nil"/>
            </w:tcBorders>
            <w:shd w:val="clear" w:color="auto" w:fill="auto"/>
            <w:noWrap/>
            <w:vAlign w:val="center"/>
            <w:hideMark/>
          </w:tcPr>
          <w:p w14:paraId="44DFA8C0"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5359A17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St. Lucia</w:t>
            </w:r>
          </w:p>
        </w:tc>
        <w:tc>
          <w:tcPr>
            <w:tcW w:w="694" w:type="pct"/>
            <w:tcBorders>
              <w:top w:val="nil"/>
              <w:left w:val="nil"/>
              <w:bottom w:val="nil"/>
              <w:right w:val="nil"/>
            </w:tcBorders>
            <w:shd w:val="clear" w:color="auto" w:fill="auto"/>
            <w:noWrap/>
            <w:vAlign w:val="center"/>
            <w:hideMark/>
          </w:tcPr>
          <w:p w14:paraId="3093682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2007</w:t>
            </w:r>
          </w:p>
        </w:tc>
        <w:tc>
          <w:tcPr>
            <w:tcW w:w="1177" w:type="pct"/>
            <w:tcBorders>
              <w:top w:val="nil"/>
              <w:left w:val="nil"/>
              <w:bottom w:val="nil"/>
              <w:right w:val="nil"/>
            </w:tcBorders>
            <w:shd w:val="clear" w:color="auto" w:fill="auto"/>
            <w:noWrap/>
            <w:vAlign w:val="center"/>
            <w:hideMark/>
          </w:tcPr>
          <w:p w14:paraId="220EB26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82</w:t>
            </w:r>
          </w:p>
        </w:tc>
        <w:tc>
          <w:tcPr>
            <w:tcW w:w="611" w:type="pct"/>
            <w:gridSpan w:val="2"/>
            <w:tcBorders>
              <w:top w:val="nil"/>
              <w:left w:val="nil"/>
              <w:bottom w:val="nil"/>
              <w:right w:val="nil"/>
            </w:tcBorders>
            <w:shd w:val="clear" w:color="auto" w:fill="auto"/>
            <w:noWrap/>
            <w:vAlign w:val="center"/>
            <w:hideMark/>
          </w:tcPr>
          <w:p w14:paraId="28DEC8E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1276</w:t>
            </w:r>
          </w:p>
        </w:tc>
      </w:tr>
      <w:tr w:rsidR="00CC4FE7" w:rsidRPr="00F36460" w14:paraId="0DFF2A79" w14:textId="77777777" w:rsidTr="009B2059">
        <w:trPr>
          <w:trHeight w:val="70"/>
        </w:trPr>
        <w:tc>
          <w:tcPr>
            <w:tcW w:w="673" w:type="pct"/>
            <w:tcBorders>
              <w:top w:val="nil"/>
              <w:left w:val="nil"/>
              <w:bottom w:val="nil"/>
              <w:right w:val="nil"/>
            </w:tcBorders>
            <w:shd w:val="clear" w:color="auto" w:fill="auto"/>
            <w:noWrap/>
            <w:vAlign w:val="center"/>
            <w:hideMark/>
          </w:tcPr>
          <w:p w14:paraId="6D4F9178"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208C895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Suriname</w:t>
            </w:r>
          </w:p>
        </w:tc>
        <w:tc>
          <w:tcPr>
            <w:tcW w:w="694" w:type="pct"/>
            <w:tcBorders>
              <w:top w:val="nil"/>
              <w:left w:val="nil"/>
              <w:bottom w:val="nil"/>
              <w:right w:val="nil"/>
            </w:tcBorders>
            <w:shd w:val="clear" w:color="auto" w:fill="auto"/>
            <w:noWrap/>
            <w:vAlign w:val="center"/>
            <w:hideMark/>
          </w:tcPr>
          <w:p w14:paraId="4A7D222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2009</w:t>
            </w:r>
          </w:p>
        </w:tc>
        <w:tc>
          <w:tcPr>
            <w:tcW w:w="1177" w:type="pct"/>
            <w:tcBorders>
              <w:top w:val="nil"/>
              <w:left w:val="nil"/>
              <w:bottom w:val="nil"/>
              <w:right w:val="nil"/>
            </w:tcBorders>
            <w:shd w:val="clear" w:color="auto" w:fill="auto"/>
            <w:noWrap/>
            <w:vAlign w:val="center"/>
            <w:hideMark/>
          </w:tcPr>
          <w:p w14:paraId="3D94D6D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89</w:t>
            </w:r>
          </w:p>
        </w:tc>
        <w:tc>
          <w:tcPr>
            <w:tcW w:w="611" w:type="pct"/>
            <w:gridSpan w:val="2"/>
            <w:tcBorders>
              <w:top w:val="nil"/>
              <w:left w:val="nil"/>
              <w:bottom w:val="nil"/>
              <w:right w:val="nil"/>
            </w:tcBorders>
            <w:shd w:val="clear" w:color="auto" w:fill="auto"/>
            <w:noWrap/>
            <w:vAlign w:val="center"/>
            <w:hideMark/>
          </w:tcPr>
          <w:p w14:paraId="1202BC5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1698</w:t>
            </w:r>
          </w:p>
        </w:tc>
      </w:tr>
      <w:tr w:rsidR="00CC4FE7" w:rsidRPr="00F36460" w14:paraId="1B4BF068" w14:textId="77777777" w:rsidTr="009B2059">
        <w:trPr>
          <w:trHeight w:val="70"/>
        </w:trPr>
        <w:tc>
          <w:tcPr>
            <w:tcW w:w="673" w:type="pct"/>
            <w:tcBorders>
              <w:top w:val="nil"/>
              <w:left w:val="nil"/>
              <w:bottom w:val="nil"/>
              <w:right w:val="nil"/>
            </w:tcBorders>
            <w:shd w:val="clear" w:color="auto" w:fill="auto"/>
            <w:noWrap/>
            <w:vAlign w:val="center"/>
            <w:hideMark/>
          </w:tcPr>
          <w:p w14:paraId="110D1C88"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F0C463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Trinidad &amp; Tobago</w:t>
            </w:r>
          </w:p>
        </w:tc>
        <w:tc>
          <w:tcPr>
            <w:tcW w:w="694" w:type="pct"/>
            <w:tcBorders>
              <w:top w:val="nil"/>
              <w:left w:val="nil"/>
              <w:bottom w:val="nil"/>
              <w:right w:val="nil"/>
            </w:tcBorders>
            <w:shd w:val="clear" w:color="auto" w:fill="auto"/>
            <w:noWrap/>
            <w:vAlign w:val="center"/>
            <w:hideMark/>
          </w:tcPr>
          <w:p w14:paraId="54EE069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4A7FB68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90</w:t>
            </w:r>
          </w:p>
        </w:tc>
        <w:tc>
          <w:tcPr>
            <w:tcW w:w="611" w:type="pct"/>
            <w:gridSpan w:val="2"/>
            <w:tcBorders>
              <w:top w:val="nil"/>
              <w:left w:val="nil"/>
              <w:bottom w:val="nil"/>
              <w:right w:val="nil"/>
            </w:tcBorders>
            <w:shd w:val="clear" w:color="auto" w:fill="auto"/>
            <w:noWrap/>
            <w:vAlign w:val="center"/>
            <w:hideMark/>
          </w:tcPr>
          <w:p w14:paraId="208B4E6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2811</w:t>
            </w:r>
          </w:p>
        </w:tc>
      </w:tr>
      <w:tr w:rsidR="00CC4FE7" w:rsidRPr="00F36460" w14:paraId="4DAE1CF8" w14:textId="77777777" w:rsidTr="009B2059">
        <w:trPr>
          <w:trHeight w:val="70"/>
        </w:trPr>
        <w:tc>
          <w:tcPr>
            <w:tcW w:w="673" w:type="pct"/>
            <w:tcBorders>
              <w:top w:val="nil"/>
              <w:left w:val="nil"/>
              <w:bottom w:val="nil"/>
              <w:right w:val="nil"/>
            </w:tcBorders>
            <w:shd w:val="clear" w:color="auto" w:fill="auto"/>
            <w:noWrap/>
            <w:vAlign w:val="center"/>
            <w:hideMark/>
          </w:tcPr>
          <w:p w14:paraId="4B528C97"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8E8494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Uruguay</w:t>
            </w:r>
          </w:p>
        </w:tc>
        <w:tc>
          <w:tcPr>
            <w:tcW w:w="694" w:type="pct"/>
            <w:tcBorders>
              <w:top w:val="nil"/>
              <w:left w:val="nil"/>
              <w:bottom w:val="nil"/>
              <w:right w:val="nil"/>
            </w:tcBorders>
            <w:shd w:val="clear" w:color="auto" w:fill="auto"/>
            <w:noWrap/>
            <w:vAlign w:val="center"/>
            <w:hideMark/>
          </w:tcPr>
          <w:p w14:paraId="425033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2012</w:t>
            </w:r>
          </w:p>
        </w:tc>
        <w:tc>
          <w:tcPr>
            <w:tcW w:w="1177" w:type="pct"/>
            <w:tcBorders>
              <w:top w:val="nil"/>
              <w:left w:val="nil"/>
              <w:bottom w:val="nil"/>
              <w:right w:val="nil"/>
            </w:tcBorders>
            <w:shd w:val="clear" w:color="auto" w:fill="auto"/>
            <w:noWrap/>
            <w:vAlign w:val="center"/>
            <w:hideMark/>
          </w:tcPr>
          <w:p w14:paraId="19D3FE3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77</w:t>
            </w:r>
          </w:p>
        </w:tc>
        <w:tc>
          <w:tcPr>
            <w:tcW w:w="611" w:type="pct"/>
            <w:gridSpan w:val="2"/>
            <w:tcBorders>
              <w:top w:val="nil"/>
              <w:left w:val="nil"/>
              <w:bottom w:val="nil"/>
              <w:right w:val="nil"/>
            </w:tcBorders>
            <w:shd w:val="clear" w:color="auto" w:fill="auto"/>
            <w:noWrap/>
            <w:vAlign w:val="center"/>
            <w:hideMark/>
          </w:tcPr>
          <w:p w14:paraId="74CBE8C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3524</w:t>
            </w:r>
          </w:p>
        </w:tc>
      </w:tr>
      <w:tr w:rsidR="00CC4FE7" w:rsidRPr="00F36460" w14:paraId="0D0293C0" w14:textId="77777777" w:rsidTr="009B2059">
        <w:trPr>
          <w:trHeight w:val="70"/>
        </w:trPr>
        <w:tc>
          <w:tcPr>
            <w:tcW w:w="673" w:type="pct"/>
            <w:tcBorders>
              <w:top w:val="nil"/>
              <w:left w:val="nil"/>
              <w:bottom w:val="nil"/>
              <w:right w:val="nil"/>
            </w:tcBorders>
            <w:shd w:val="clear" w:color="auto" w:fill="auto"/>
            <w:noWrap/>
            <w:vAlign w:val="center"/>
            <w:hideMark/>
          </w:tcPr>
          <w:p w14:paraId="2B9A278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SEAR</w:t>
            </w:r>
          </w:p>
        </w:tc>
        <w:tc>
          <w:tcPr>
            <w:tcW w:w="1845" w:type="pct"/>
            <w:tcBorders>
              <w:top w:val="nil"/>
              <w:left w:val="nil"/>
              <w:bottom w:val="nil"/>
              <w:right w:val="nil"/>
            </w:tcBorders>
            <w:shd w:val="clear" w:color="auto" w:fill="auto"/>
            <w:noWrap/>
            <w:vAlign w:val="center"/>
            <w:hideMark/>
          </w:tcPr>
          <w:p w14:paraId="53EBC3F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Bangladesh</w:t>
            </w:r>
          </w:p>
        </w:tc>
        <w:tc>
          <w:tcPr>
            <w:tcW w:w="694" w:type="pct"/>
            <w:tcBorders>
              <w:top w:val="nil"/>
              <w:left w:val="nil"/>
              <w:bottom w:val="nil"/>
              <w:right w:val="nil"/>
            </w:tcBorders>
            <w:shd w:val="clear" w:color="auto" w:fill="auto"/>
            <w:noWrap/>
            <w:vAlign w:val="center"/>
            <w:hideMark/>
          </w:tcPr>
          <w:p w14:paraId="16CA4EC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2014</w:t>
            </w:r>
          </w:p>
        </w:tc>
        <w:tc>
          <w:tcPr>
            <w:tcW w:w="1177" w:type="pct"/>
            <w:tcBorders>
              <w:top w:val="nil"/>
              <w:left w:val="nil"/>
              <w:bottom w:val="nil"/>
              <w:right w:val="nil"/>
            </w:tcBorders>
            <w:shd w:val="clear" w:color="auto" w:fill="auto"/>
            <w:noWrap/>
            <w:vAlign w:val="center"/>
            <w:hideMark/>
          </w:tcPr>
          <w:p w14:paraId="6A3CCC8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91</w:t>
            </w:r>
          </w:p>
        </w:tc>
        <w:tc>
          <w:tcPr>
            <w:tcW w:w="611" w:type="pct"/>
            <w:gridSpan w:val="2"/>
            <w:tcBorders>
              <w:top w:val="nil"/>
              <w:left w:val="nil"/>
              <w:bottom w:val="nil"/>
              <w:right w:val="nil"/>
            </w:tcBorders>
            <w:shd w:val="clear" w:color="auto" w:fill="auto"/>
            <w:noWrap/>
            <w:vAlign w:val="center"/>
            <w:hideMark/>
          </w:tcPr>
          <w:p w14:paraId="398060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2989</w:t>
            </w:r>
          </w:p>
        </w:tc>
      </w:tr>
      <w:tr w:rsidR="00CC4FE7" w:rsidRPr="00F36460" w14:paraId="0891FA5D" w14:textId="77777777" w:rsidTr="009B2059">
        <w:trPr>
          <w:trHeight w:val="70"/>
        </w:trPr>
        <w:tc>
          <w:tcPr>
            <w:tcW w:w="673" w:type="pct"/>
            <w:tcBorders>
              <w:top w:val="nil"/>
              <w:left w:val="nil"/>
              <w:bottom w:val="nil"/>
              <w:right w:val="nil"/>
            </w:tcBorders>
            <w:shd w:val="clear" w:color="auto" w:fill="auto"/>
            <w:noWrap/>
            <w:vAlign w:val="center"/>
            <w:hideMark/>
          </w:tcPr>
          <w:p w14:paraId="36EAD549"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A05359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East Timor</w:t>
            </w:r>
          </w:p>
        </w:tc>
        <w:tc>
          <w:tcPr>
            <w:tcW w:w="694" w:type="pct"/>
            <w:tcBorders>
              <w:top w:val="nil"/>
              <w:left w:val="nil"/>
              <w:bottom w:val="nil"/>
              <w:right w:val="nil"/>
            </w:tcBorders>
            <w:shd w:val="clear" w:color="auto" w:fill="auto"/>
            <w:noWrap/>
            <w:vAlign w:val="center"/>
            <w:hideMark/>
          </w:tcPr>
          <w:p w14:paraId="64E7086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0E392F2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79</w:t>
            </w:r>
          </w:p>
        </w:tc>
        <w:tc>
          <w:tcPr>
            <w:tcW w:w="611" w:type="pct"/>
            <w:gridSpan w:val="2"/>
            <w:tcBorders>
              <w:top w:val="nil"/>
              <w:left w:val="nil"/>
              <w:bottom w:val="nil"/>
              <w:right w:val="nil"/>
            </w:tcBorders>
            <w:shd w:val="clear" w:color="auto" w:fill="auto"/>
            <w:noWrap/>
            <w:vAlign w:val="center"/>
            <w:hideMark/>
          </w:tcPr>
          <w:p w14:paraId="42D1E02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3704</w:t>
            </w:r>
          </w:p>
        </w:tc>
      </w:tr>
      <w:tr w:rsidR="00CC4FE7" w:rsidRPr="00F36460" w14:paraId="2C4B734E" w14:textId="77777777" w:rsidTr="009B2059">
        <w:trPr>
          <w:trHeight w:val="70"/>
        </w:trPr>
        <w:tc>
          <w:tcPr>
            <w:tcW w:w="673" w:type="pct"/>
            <w:tcBorders>
              <w:top w:val="nil"/>
              <w:left w:val="nil"/>
              <w:bottom w:val="nil"/>
              <w:right w:val="nil"/>
            </w:tcBorders>
            <w:shd w:val="clear" w:color="auto" w:fill="auto"/>
            <w:noWrap/>
            <w:vAlign w:val="center"/>
            <w:hideMark/>
          </w:tcPr>
          <w:p w14:paraId="633E775B"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E75D96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Indonesia</w:t>
            </w:r>
          </w:p>
        </w:tc>
        <w:tc>
          <w:tcPr>
            <w:tcW w:w="694" w:type="pct"/>
            <w:tcBorders>
              <w:top w:val="nil"/>
              <w:left w:val="nil"/>
              <w:bottom w:val="nil"/>
              <w:right w:val="nil"/>
            </w:tcBorders>
            <w:shd w:val="clear" w:color="auto" w:fill="auto"/>
            <w:noWrap/>
            <w:vAlign w:val="center"/>
            <w:hideMark/>
          </w:tcPr>
          <w:p w14:paraId="3A21AA6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3893A3A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94</w:t>
            </w:r>
          </w:p>
        </w:tc>
        <w:tc>
          <w:tcPr>
            <w:tcW w:w="611" w:type="pct"/>
            <w:gridSpan w:val="2"/>
            <w:tcBorders>
              <w:top w:val="nil"/>
              <w:left w:val="nil"/>
              <w:bottom w:val="nil"/>
              <w:right w:val="nil"/>
            </w:tcBorders>
            <w:shd w:val="clear" w:color="auto" w:fill="auto"/>
            <w:noWrap/>
            <w:vAlign w:val="center"/>
            <w:hideMark/>
          </w:tcPr>
          <w:p w14:paraId="12FA6D9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11142</w:t>
            </w:r>
          </w:p>
        </w:tc>
      </w:tr>
      <w:tr w:rsidR="00CC4FE7" w:rsidRPr="00F36460" w14:paraId="0E1059B8" w14:textId="77777777" w:rsidTr="009B2059">
        <w:trPr>
          <w:trHeight w:val="70"/>
        </w:trPr>
        <w:tc>
          <w:tcPr>
            <w:tcW w:w="673" w:type="pct"/>
            <w:tcBorders>
              <w:top w:val="nil"/>
              <w:left w:val="nil"/>
              <w:bottom w:val="nil"/>
              <w:right w:val="nil"/>
            </w:tcBorders>
            <w:shd w:val="clear" w:color="auto" w:fill="auto"/>
            <w:noWrap/>
            <w:vAlign w:val="center"/>
            <w:hideMark/>
          </w:tcPr>
          <w:p w14:paraId="65934050"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5D173A1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Nepal</w:t>
            </w:r>
          </w:p>
        </w:tc>
        <w:tc>
          <w:tcPr>
            <w:tcW w:w="694" w:type="pct"/>
            <w:tcBorders>
              <w:top w:val="nil"/>
              <w:left w:val="nil"/>
              <w:bottom w:val="nil"/>
              <w:right w:val="nil"/>
            </w:tcBorders>
            <w:shd w:val="clear" w:color="auto" w:fill="auto"/>
            <w:noWrap/>
            <w:vAlign w:val="center"/>
            <w:hideMark/>
          </w:tcPr>
          <w:p w14:paraId="5F1D70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077D7BD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69</w:t>
            </w:r>
          </w:p>
        </w:tc>
        <w:tc>
          <w:tcPr>
            <w:tcW w:w="611" w:type="pct"/>
            <w:gridSpan w:val="2"/>
            <w:tcBorders>
              <w:top w:val="nil"/>
              <w:left w:val="nil"/>
              <w:bottom w:val="nil"/>
              <w:right w:val="nil"/>
            </w:tcBorders>
            <w:shd w:val="clear" w:color="auto" w:fill="auto"/>
            <w:noWrap/>
            <w:vAlign w:val="center"/>
            <w:hideMark/>
          </w:tcPr>
          <w:p w14:paraId="7405656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6529</w:t>
            </w:r>
          </w:p>
        </w:tc>
      </w:tr>
      <w:tr w:rsidR="00CC4FE7" w:rsidRPr="00F36460" w14:paraId="5EF30A44" w14:textId="77777777" w:rsidTr="009B2059">
        <w:trPr>
          <w:trHeight w:val="70"/>
        </w:trPr>
        <w:tc>
          <w:tcPr>
            <w:tcW w:w="673" w:type="pct"/>
            <w:tcBorders>
              <w:top w:val="nil"/>
              <w:left w:val="nil"/>
              <w:bottom w:val="nil"/>
              <w:right w:val="nil"/>
            </w:tcBorders>
            <w:shd w:val="clear" w:color="auto" w:fill="auto"/>
            <w:noWrap/>
            <w:vAlign w:val="center"/>
            <w:hideMark/>
          </w:tcPr>
          <w:p w14:paraId="244EA2F7"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7CE9D4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Thailand</w:t>
            </w:r>
          </w:p>
        </w:tc>
        <w:tc>
          <w:tcPr>
            <w:tcW w:w="694" w:type="pct"/>
            <w:tcBorders>
              <w:top w:val="nil"/>
              <w:left w:val="nil"/>
              <w:bottom w:val="nil"/>
              <w:right w:val="nil"/>
            </w:tcBorders>
            <w:shd w:val="clear" w:color="auto" w:fill="auto"/>
            <w:noWrap/>
            <w:vAlign w:val="center"/>
            <w:hideMark/>
          </w:tcPr>
          <w:p w14:paraId="4C743B1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220C48F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89</w:t>
            </w:r>
          </w:p>
        </w:tc>
        <w:tc>
          <w:tcPr>
            <w:tcW w:w="611" w:type="pct"/>
            <w:gridSpan w:val="2"/>
            <w:tcBorders>
              <w:top w:val="nil"/>
              <w:left w:val="nil"/>
              <w:bottom w:val="nil"/>
              <w:right w:val="nil"/>
            </w:tcBorders>
            <w:shd w:val="clear" w:color="auto" w:fill="auto"/>
            <w:noWrap/>
            <w:vAlign w:val="center"/>
            <w:hideMark/>
          </w:tcPr>
          <w:p w14:paraId="4C57CA2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5894</w:t>
            </w:r>
          </w:p>
        </w:tc>
      </w:tr>
      <w:tr w:rsidR="00CC4FE7" w:rsidRPr="00F36460" w14:paraId="6E5213D3" w14:textId="77777777" w:rsidTr="009B2059">
        <w:trPr>
          <w:trHeight w:val="70"/>
        </w:trPr>
        <w:tc>
          <w:tcPr>
            <w:tcW w:w="673" w:type="pct"/>
            <w:tcBorders>
              <w:top w:val="nil"/>
              <w:left w:val="nil"/>
              <w:bottom w:val="nil"/>
              <w:right w:val="nil"/>
            </w:tcBorders>
            <w:shd w:val="clear" w:color="auto" w:fill="auto"/>
            <w:noWrap/>
            <w:vAlign w:val="center"/>
            <w:hideMark/>
          </w:tcPr>
          <w:p w14:paraId="2CDDB33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WPR</w:t>
            </w:r>
          </w:p>
        </w:tc>
        <w:tc>
          <w:tcPr>
            <w:tcW w:w="1845" w:type="pct"/>
            <w:tcBorders>
              <w:top w:val="nil"/>
              <w:left w:val="nil"/>
              <w:bottom w:val="nil"/>
              <w:right w:val="nil"/>
            </w:tcBorders>
            <w:shd w:val="clear" w:color="auto" w:fill="auto"/>
            <w:noWrap/>
            <w:vAlign w:val="center"/>
            <w:hideMark/>
          </w:tcPr>
          <w:p w14:paraId="5030F6A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Brunei Darussalam</w:t>
            </w:r>
          </w:p>
        </w:tc>
        <w:tc>
          <w:tcPr>
            <w:tcW w:w="694" w:type="pct"/>
            <w:tcBorders>
              <w:top w:val="nil"/>
              <w:left w:val="nil"/>
              <w:bottom w:val="nil"/>
              <w:right w:val="nil"/>
            </w:tcBorders>
            <w:shd w:val="clear" w:color="auto" w:fill="auto"/>
            <w:noWrap/>
            <w:vAlign w:val="center"/>
            <w:hideMark/>
          </w:tcPr>
          <w:p w14:paraId="017375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2014</w:t>
            </w:r>
          </w:p>
        </w:tc>
        <w:tc>
          <w:tcPr>
            <w:tcW w:w="1177" w:type="pct"/>
            <w:tcBorders>
              <w:top w:val="nil"/>
              <w:left w:val="nil"/>
              <w:bottom w:val="nil"/>
              <w:right w:val="nil"/>
            </w:tcBorders>
            <w:shd w:val="clear" w:color="auto" w:fill="auto"/>
            <w:noWrap/>
            <w:vAlign w:val="center"/>
            <w:hideMark/>
          </w:tcPr>
          <w:p w14:paraId="4567145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65</w:t>
            </w:r>
          </w:p>
        </w:tc>
        <w:tc>
          <w:tcPr>
            <w:tcW w:w="611" w:type="pct"/>
            <w:gridSpan w:val="2"/>
            <w:tcBorders>
              <w:top w:val="nil"/>
              <w:left w:val="nil"/>
              <w:bottom w:val="nil"/>
              <w:right w:val="nil"/>
            </w:tcBorders>
            <w:shd w:val="clear" w:color="auto" w:fill="auto"/>
            <w:noWrap/>
            <w:vAlign w:val="center"/>
            <w:hideMark/>
          </w:tcPr>
          <w:p w14:paraId="1E84F90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2599</w:t>
            </w:r>
          </w:p>
        </w:tc>
      </w:tr>
      <w:tr w:rsidR="00CC4FE7" w:rsidRPr="00F36460" w14:paraId="2ACF4C55" w14:textId="77777777" w:rsidTr="009B2059">
        <w:trPr>
          <w:trHeight w:val="70"/>
        </w:trPr>
        <w:tc>
          <w:tcPr>
            <w:tcW w:w="673" w:type="pct"/>
            <w:tcBorders>
              <w:top w:val="nil"/>
              <w:left w:val="nil"/>
              <w:bottom w:val="nil"/>
              <w:right w:val="nil"/>
            </w:tcBorders>
            <w:shd w:val="clear" w:color="auto" w:fill="auto"/>
            <w:noWrap/>
            <w:vAlign w:val="center"/>
            <w:hideMark/>
          </w:tcPr>
          <w:p w14:paraId="5DCF6BC7"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966A14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Cambodia</w:t>
            </w:r>
          </w:p>
        </w:tc>
        <w:tc>
          <w:tcPr>
            <w:tcW w:w="694" w:type="pct"/>
            <w:tcBorders>
              <w:top w:val="nil"/>
              <w:left w:val="nil"/>
              <w:bottom w:val="nil"/>
              <w:right w:val="nil"/>
            </w:tcBorders>
            <w:shd w:val="clear" w:color="auto" w:fill="auto"/>
            <w:noWrap/>
            <w:vAlign w:val="center"/>
            <w:hideMark/>
          </w:tcPr>
          <w:p w14:paraId="714742B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55D8545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85</w:t>
            </w:r>
          </w:p>
        </w:tc>
        <w:tc>
          <w:tcPr>
            <w:tcW w:w="611" w:type="pct"/>
            <w:gridSpan w:val="2"/>
            <w:tcBorders>
              <w:top w:val="nil"/>
              <w:left w:val="nil"/>
              <w:bottom w:val="nil"/>
              <w:right w:val="nil"/>
            </w:tcBorders>
            <w:shd w:val="clear" w:color="auto" w:fill="auto"/>
            <w:noWrap/>
            <w:vAlign w:val="center"/>
            <w:hideMark/>
          </w:tcPr>
          <w:p w14:paraId="6728FF1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3806</w:t>
            </w:r>
          </w:p>
        </w:tc>
      </w:tr>
      <w:tr w:rsidR="00CC4FE7" w:rsidRPr="00F36460" w14:paraId="371C041F" w14:textId="77777777" w:rsidTr="009B2059">
        <w:trPr>
          <w:trHeight w:val="70"/>
        </w:trPr>
        <w:tc>
          <w:tcPr>
            <w:tcW w:w="673" w:type="pct"/>
            <w:tcBorders>
              <w:top w:val="nil"/>
              <w:left w:val="nil"/>
              <w:bottom w:val="nil"/>
              <w:right w:val="nil"/>
            </w:tcBorders>
            <w:shd w:val="clear" w:color="auto" w:fill="auto"/>
            <w:noWrap/>
            <w:vAlign w:val="center"/>
            <w:hideMark/>
          </w:tcPr>
          <w:p w14:paraId="6DB02215"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9186B3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Fiji</w:t>
            </w:r>
          </w:p>
        </w:tc>
        <w:tc>
          <w:tcPr>
            <w:tcW w:w="694" w:type="pct"/>
            <w:tcBorders>
              <w:top w:val="nil"/>
              <w:left w:val="nil"/>
              <w:bottom w:val="nil"/>
              <w:right w:val="nil"/>
            </w:tcBorders>
            <w:shd w:val="clear" w:color="auto" w:fill="auto"/>
            <w:noWrap/>
            <w:vAlign w:val="center"/>
            <w:hideMark/>
          </w:tcPr>
          <w:p w14:paraId="58D6639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2016</w:t>
            </w:r>
          </w:p>
        </w:tc>
        <w:tc>
          <w:tcPr>
            <w:tcW w:w="1177" w:type="pct"/>
            <w:tcBorders>
              <w:top w:val="nil"/>
              <w:left w:val="nil"/>
              <w:bottom w:val="nil"/>
              <w:right w:val="nil"/>
            </w:tcBorders>
            <w:shd w:val="clear" w:color="auto" w:fill="auto"/>
            <w:noWrap/>
            <w:vAlign w:val="center"/>
            <w:hideMark/>
          </w:tcPr>
          <w:p w14:paraId="33B86C2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79</w:t>
            </w:r>
          </w:p>
        </w:tc>
        <w:tc>
          <w:tcPr>
            <w:tcW w:w="611" w:type="pct"/>
            <w:gridSpan w:val="2"/>
            <w:tcBorders>
              <w:top w:val="nil"/>
              <w:left w:val="nil"/>
              <w:bottom w:val="nil"/>
              <w:right w:val="nil"/>
            </w:tcBorders>
            <w:shd w:val="clear" w:color="auto" w:fill="auto"/>
            <w:noWrap/>
            <w:vAlign w:val="center"/>
            <w:hideMark/>
          </w:tcPr>
          <w:p w14:paraId="451AFB0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3705</w:t>
            </w:r>
          </w:p>
        </w:tc>
      </w:tr>
      <w:tr w:rsidR="00CC4FE7" w:rsidRPr="00F36460" w14:paraId="649CB566" w14:textId="77777777" w:rsidTr="009B2059">
        <w:trPr>
          <w:trHeight w:val="70"/>
        </w:trPr>
        <w:tc>
          <w:tcPr>
            <w:tcW w:w="673" w:type="pct"/>
            <w:tcBorders>
              <w:top w:val="nil"/>
              <w:left w:val="nil"/>
              <w:bottom w:val="nil"/>
              <w:right w:val="nil"/>
            </w:tcBorders>
            <w:shd w:val="clear" w:color="auto" w:fill="auto"/>
            <w:noWrap/>
            <w:vAlign w:val="center"/>
            <w:hideMark/>
          </w:tcPr>
          <w:p w14:paraId="48D6D9ED"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573299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French Polynesia</w:t>
            </w:r>
          </w:p>
        </w:tc>
        <w:tc>
          <w:tcPr>
            <w:tcW w:w="694" w:type="pct"/>
            <w:tcBorders>
              <w:top w:val="nil"/>
              <w:left w:val="nil"/>
              <w:bottom w:val="nil"/>
              <w:right w:val="nil"/>
            </w:tcBorders>
            <w:shd w:val="clear" w:color="auto" w:fill="auto"/>
            <w:noWrap/>
            <w:vAlign w:val="center"/>
            <w:hideMark/>
          </w:tcPr>
          <w:p w14:paraId="5E0EA30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7291070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70</w:t>
            </w:r>
          </w:p>
        </w:tc>
        <w:tc>
          <w:tcPr>
            <w:tcW w:w="611" w:type="pct"/>
            <w:gridSpan w:val="2"/>
            <w:tcBorders>
              <w:top w:val="nil"/>
              <w:left w:val="nil"/>
              <w:bottom w:val="nil"/>
              <w:right w:val="nil"/>
            </w:tcBorders>
            <w:shd w:val="clear" w:color="auto" w:fill="auto"/>
            <w:noWrap/>
            <w:vAlign w:val="center"/>
            <w:hideMark/>
          </w:tcPr>
          <w:p w14:paraId="40C870D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3216</w:t>
            </w:r>
          </w:p>
        </w:tc>
      </w:tr>
      <w:tr w:rsidR="00CC4FE7" w:rsidRPr="00F36460" w14:paraId="2853BF82" w14:textId="77777777" w:rsidTr="009B2059">
        <w:trPr>
          <w:trHeight w:val="70"/>
        </w:trPr>
        <w:tc>
          <w:tcPr>
            <w:tcW w:w="673" w:type="pct"/>
            <w:tcBorders>
              <w:top w:val="nil"/>
              <w:left w:val="nil"/>
              <w:bottom w:val="nil"/>
              <w:right w:val="nil"/>
            </w:tcBorders>
            <w:shd w:val="clear" w:color="auto" w:fill="auto"/>
            <w:noWrap/>
            <w:vAlign w:val="center"/>
            <w:hideMark/>
          </w:tcPr>
          <w:p w14:paraId="6AE80216"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61A505B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Kiribati</w:t>
            </w:r>
          </w:p>
        </w:tc>
        <w:tc>
          <w:tcPr>
            <w:tcW w:w="694" w:type="pct"/>
            <w:tcBorders>
              <w:top w:val="nil"/>
              <w:left w:val="nil"/>
              <w:bottom w:val="nil"/>
              <w:right w:val="nil"/>
            </w:tcBorders>
            <w:shd w:val="clear" w:color="auto" w:fill="auto"/>
            <w:noWrap/>
            <w:vAlign w:val="center"/>
            <w:hideMark/>
          </w:tcPr>
          <w:p w14:paraId="12DA3EB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59A3B8A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85</w:t>
            </w:r>
          </w:p>
        </w:tc>
        <w:tc>
          <w:tcPr>
            <w:tcW w:w="611" w:type="pct"/>
            <w:gridSpan w:val="2"/>
            <w:tcBorders>
              <w:top w:val="nil"/>
              <w:left w:val="nil"/>
              <w:bottom w:val="nil"/>
              <w:right w:val="nil"/>
            </w:tcBorders>
            <w:shd w:val="clear" w:color="auto" w:fill="auto"/>
            <w:noWrap/>
            <w:vAlign w:val="center"/>
            <w:hideMark/>
          </w:tcPr>
          <w:p w14:paraId="78EFF33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1582</w:t>
            </w:r>
          </w:p>
        </w:tc>
      </w:tr>
      <w:tr w:rsidR="00CC4FE7" w:rsidRPr="00F36460" w14:paraId="43588799" w14:textId="77777777" w:rsidTr="009B2059">
        <w:trPr>
          <w:trHeight w:val="70"/>
        </w:trPr>
        <w:tc>
          <w:tcPr>
            <w:tcW w:w="673" w:type="pct"/>
            <w:tcBorders>
              <w:top w:val="nil"/>
              <w:left w:val="nil"/>
              <w:bottom w:val="nil"/>
              <w:right w:val="nil"/>
            </w:tcBorders>
            <w:shd w:val="clear" w:color="auto" w:fill="auto"/>
            <w:noWrap/>
            <w:vAlign w:val="center"/>
            <w:hideMark/>
          </w:tcPr>
          <w:p w14:paraId="2FE6AF60"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FE2C4D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Laos</w:t>
            </w:r>
          </w:p>
        </w:tc>
        <w:tc>
          <w:tcPr>
            <w:tcW w:w="694" w:type="pct"/>
            <w:tcBorders>
              <w:top w:val="nil"/>
              <w:left w:val="nil"/>
              <w:bottom w:val="nil"/>
              <w:right w:val="nil"/>
            </w:tcBorders>
            <w:shd w:val="clear" w:color="auto" w:fill="auto"/>
            <w:noWrap/>
            <w:vAlign w:val="center"/>
            <w:hideMark/>
          </w:tcPr>
          <w:p w14:paraId="79A6A3E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2015</w:t>
            </w:r>
          </w:p>
        </w:tc>
        <w:tc>
          <w:tcPr>
            <w:tcW w:w="1177" w:type="pct"/>
            <w:tcBorders>
              <w:top w:val="nil"/>
              <w:left w:val="nil"/>
              <w:bottom w:val="nil"/>
              <w:right w:val="nil"/>
            </w:tcBorders>
            <w:shd w:val="clear" w:color="auto" w:fill="auto"/>
            <w:noWrap/>
            <w:vAlign w:val="center"/>
            <w:hideMark/>
          </w:tcPr>
          <w:p w14:paraId="08EAC46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70</w:t>
            </w:r>
          </w:p>
        </w:tc>
        <w:tc>
          <w:tcPr>
            <w:tcW w:w="611" w:type="pct"/>
            <w:gridSpan w:val="2"/>
            <w:tcBorders>
              <w:top w:val="nil"/>
              <w:left w:val="nil"/>
              <w:bottom w:val="nil"/>
              <w:right w:val="nil"/>
            </w:tcBorders>
            <w:shd w:val="clear" w:color="auto" w:fill="auto"/>
            <w:noWrap/>
            <w:vAlign w:val="center"/>
            <w:hideMark/>
          </w:tcPr>
          <w:p w14:paraId="317DD4C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3683</w:t>
            </w:r>
          </w:p>
        </w:tc>
      </w:tr>
      <w:tr w:rsidR="00CC4FE7" w:rsidRPr="00F36460" w14:paraId="4D67C801" w14:textId="77777777" w:rsidTr="009B2059">
        <w:trPr>
          <w:trHeight w:val="70"/>
        </w:trPr>
        <w:tc>
          <w:tcPr>
            <w:tcW w:w="673" w:type="pct"/>
            <w:tcBorders>
              <w:top w:val="nil"/>
              <w:left w:val="nil"/>
              <w:bottom w:val="nil"/>
              <w:right w:val="nil"/>
            </w:tcBorders>
            <w:shd w:val="clear" w:color="auto" w:fill="auto"/>
            <w:noWrap/>
            <w:vAlign w:val="center"/>
            <w:hideMark/>
          </w:tcPr>
          <w:p w14:paraId="3656BFFD"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39102AB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Malaysia</w:t>
            </w:r>
          </w:p>
        </w:tc>
        <w:tc>
          <w:tcPr>
            <w:tcW w:w="694" w:type="pct"/>
            <w:tcBorders>
              <w:top w:val="nil"/>
              <w:left w:val="nil"/>
              <w:bottom w:val="nil"/>
              <w:right w:val="nil"/>
            </w:tcBorders>
            <w:shd w:val="clear" w:color="auto" w:fill="auto"/>
            <w:noWrap/>
            <w:vAlign w:val="center"/>
            <w:hideMark/>
          </w:tcPr>
          <w:p w14:paraId="3C43BE9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2012</w:t>
            </w:r>
          </w:p>
        </w:tc>
        <w:tc>
          <w:tcPr>
            <w:tcW w:w="1177" w:type="pct"/>
            <w:tcBorders>
              <w:top w:val="nil"/>
              <w:left w:val="nil"/>
              <w:bottom w:val="nil"/>
              <w:right w:val="nil"/>
            </w:tcBorders>
            <w:shd w:val="clear" w:color="auto" w:fill="auto"/>
            <w:noWrap/>
            <w:vAlign w:val="center"/>
            <w:hideMark/>
          </w:tcPr>
          <w:p w14:paraId="0DF2A5D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89</w:t>
            </w:r>
          </w:p>
        </w:tc>
        <w:tc>
          <w:tcPr>
            <w:tcW w:w="611" w:type="pct"/>
            <w:gridSpan w:val="2"/>
            <w:tcBorders>
              <w:top w:val="nil"/>
              <w:left w:val="nil"/>
              <w:bottom w:val="nil"/>
              <w:right w:val="nil"/>
            </w:tcBorders>
            <w:shd w:val="clear" w:color="auto" w:fill="auto"/>
            <w:noWrap/>
            <w:vAlign w:val="center"/>
            <w:hideMark/>
          </w:tcPr>
          <w:p w14:paraId="30D0981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25507</w:t>
            </w:r>
          </w:p>
        </w:tc>
      </w:tr>
      <w:tr w:rsidR="00CC4FE7" w:rsidRPr="00F36460" w14:paraId="66F346CD" w14:textId="77777777" w:rsidTr="009B2059">
        <w:trPr>
          <w:trHeight w:val="70"/>
        </w:trPr>
        <w:tc>
          <w:tcPr>
            <w:tcW w:w="673" w:type="pct"/>
            <w:tcBorders>
              <w:top w:val="nil"/>
              <w:left w:val="nil"/>
              <w:bottom w:val="nil"/>
              <w:right w:val="nil"/>
            </w:tcBorders>
            <w:shd w:val="clear" w:color="auto" w:fill="auto"/>
            <w:noWrap/>
            <w:vAlign w:val="center"/>
            <w:hideMark/>
          </w:tcPr>
          <w:p w14:paraId="2170AECC"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AEE992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Mongolia</w:t>
            </w:r>
          </w:p>
        </w:tc>
        <w:tc>
          <w:tcPr>
            <w:tcW w:w="694" w:type="pct"/>
            <w:tcBorders>
              <w:top w:val="nil"/>
              <w:left w:val="nil"/>
              <w:bottom w:val="nil"/>
              <w:right w:val="nil"/>
            </w:tcBorders>
            <w:shd w:val="clear" w:color="auto" w:fill="auto"/>
            <w:noWrap/>
            <w:vAlign w:val="center"/>
            <w:hideMark/>
          </w:tcPr>
          <w:p w14:paraId="2E77681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35E0B68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88</w:t>
            </w:r>
          </w:p>
        </w:tc>
        <w:tc>
          <w:tcPr>
            <w:tcW w:w="611" w:type="pct"/>
            <w:gridSpan w:val="2"/>
            <w:tcBorders>
              <w:top w:val="nil"/>
              <w:left w:val="nil"/>
              <w:bottom w:val="nil"/>
              <w:right w:val="nil"/>
            </w:tcBorders>
            <w:shd w:val="clear" w:color="auto" w:fill="auto"/>
            <w:noWrap/>
            <w:vAlign w:val="center"/>
            <w:hideMark/>
          </w:tcPr>
          <w:p w14:paraId="08C7757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5393</w:t>
            </w:r>
          </w:p>
        </w:tc>
      </w:tr>
      <w:tr w:rsidR="00CC4FE7" w:rsidRPr="00F36460" w14:paraId="576D7874" w14:textId="77777777" w:rsidTr="009B2059">
        <w:trPr>
          <w:trHeight w:val="70"/>
        </w:trPr>
        <w:tc>
          <w:tcPr>
            <w:tcW w:w="673" w:type="pct"/>
            <w:tcBorders>
              <w:top w:val="nil"/>
              <w:left w:val="nil"/>
              <w:bottom w:val="nil"/>
              <w:right w:val="nil"/>
            </w:tcBorders>
            <w:shd w:val="clear" w:color="auto" w:fill="auto"/>
            <w:noWrap/>
            <w:vAlign w:val="center"/>
            <w:hideMark/>
          </w:tcPr>
          <w:p w14:paraId="1DF0131F"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1E1A4E4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Samoa</w:t>
            </w:r>
          </w:p>
        </w:tc>
        <w:tc>
          <w:tcPr>
            <w:tcW w:w="694" w:type="pct"/>
            <w:tcBorders>
              <w:top w:val="nil"/>
              <w:left w:val="nil"/>
              <w:bottom w:val="nil"/>
              <w:right w:val="nil"/>
            </w:tcBorders>
            <w:shd w:val="clear" w:color="auto" w:fill="auto"/>
            <w:noWrap/>
            <w:vAlign w:val="center"/>
            <w:hideMark/>
          </w:tcPr>
          <w:p w14:paraId="7239AE3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29DE600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79</w:t>
            </w:r>
          </w:p>
        </w:tc>
        <w:tc>
          <w:tcPr>
            <w:tcW w:w="611" w:type="pct"/>
            <w:gridSpan w:val="2"/>
            <w:tcBorders>
              <w:top w:val="nil"/>
              <w:left w:val="nil"/>
              <w:bottom w:val="nil"/>
              <w:right w:val="nil"/>
            </w:tcBorders>
            <w:shd w:val="clear" w:color="auto" w:fill="auto"/>
            <w:noWrap/>
            <w:vAlign w:val="center"/>
            <w:hideMark/>
          </w:tcPr>
          <w:p w14:paraId="5317E9B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2418</w:t>
            </w:r>
          </w:p>
        </w:tc>
      </w:tr>
      <w:tr w:rsidR="00CC4FE7" w:rsidRPr="00F36460" w14:paraId="0162403C" w14:textId="77777777" w:rsidTr="009B2059">
        <w:trPr>
          <w:trHeight w:val="70"/>
        </w:trPr>
        <w:tc>
          <w:tcPr>
            <w:tcW w:w="673" w:type="pct"/>
            <w:tcBorders>
              <w:top w:val="nil"/>
              <w:left w:val="nil"/>
              <w:bottom w:val="nil"/>
              <w:right w:val="nil"/>
            </w:tcBorders>
            <w:shd w:val="clear" w:color="auto" w:fill="auto"/>
            <w:noWrap/>
            <w:vAlign w:val="center"/>
            <w:hideMark/>
          </w:tcPr>
          <w:p w14:paraId="1DB2E0B8"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7263BFD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Tuvalu</w:t>
            </w:r>
          </w:p>
        </w:tc>
        <w:tc>
          <w:tcPr>
            <w:tcW w:w="694" w:type="pct"/>
            <w:tcBorders>
              <w:top w:val="nil"/>
              <w:left w:val="nil"/>
              <w:bottom w:val="nil"/>
              <w:right w:val="nil"/>
            </w:tcBorders>
            <w:shd w:val="clear" w:color="auto" w:fill="auto"/>
            <w:noWrap/>
            <w:vAlign w:val="center"/>
            <w:hideMark/>
          </w:tcPr>
          <w:p w14:paraId="77C49D5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nil"/>
              <w:right w:val="nil"/>
            </w:tcBorders>
            <w:shd w:val="clear" w:color="auto" w:fill="auto"/>
            <w:noWrap/>
            <w:vAlign w:val="center"/>
            <w:hideMark/>
          </w:tcPr>
          <w:p w14:paraId="4CD5BA0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90</w:t>
            </w:r>
          </w:p>
        </w:tc>
        <w:tc>
          <w:tcPr>
            <w:tcW w:w="611" w:type="pct"/>
            <w:gridSpan w:val="2"/>
            <w:tcBorders>
              <w:top w:val="nil"/>
              <w:left w:val="nil"/>
              <w:bottom w:val="nil"/>
              <w:right w:val="nil"/>
            </w:tcBorders>
            <w:shd w:val="clear" w:color="auto" w:fill="auto"/>
            <w:noWrap/>
            <w:vAlign w:val="center"/>
            <w:hideMark/>
          </w:tcPr>
          <w:p w14:paraId="3E4F404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943</w:t>
            </w:r>
          </w:p>
        </w:tc>
      </w:tr>
      <w:tr w:rsidR="00CC4FE7" w:rsidRPr="00F36460" w14:paraId="12269186" w14:textId="77777777" w:rsidTr="009B2059">
        <w:trPr>
          <w:trHeight w:val="70"/>
        </w:trPr>
        <w:tc>
          <w:tcPr>
            <w:tcW w:w="673" w:type="pct"/>
            <w:tcBorders>
              <w:top w:val="nil"/>
              <w:left w:val="nil"/>
              <w:bottom w:val="nil"/>
              <w:right w:val="nil"/>
            </w:tcBorders>
            <w:shd w:val="clear" w:color="auto" w:fill="auto"/>
            <w:noWrap/>
            <w:vAlign w:val="center"/>
            <w:hideMark/>
          </w:tcPr>
          <w:p w14:paraId="3147001C" w14:textId="77777777" w:rsidR="00CC4FE7" w:rsidRPr="00F36460" w:rsidRDefault="00CC4FE7" w:rsidP="009B2059">
            <w:pPr>
              <w:rPr>
                <w:rFonts w:eastAsia="Times New Roman" w:cs="Times New Roman"/>
                <w:color w:val="000000"/>
                <w:sz w:val="22"/>
                <w:szCs w:val="22"/>
                <w:lang w:val="en-GB"/>
              </w:rPr>
            </w:pPr>
          </w:p>
        </w:tc>
        <w:tc>
          <w:tcPr>
            <w:tcW w:w="1845" w:type="pct"/>
            <w:tcBorders>
              <w:top w:val="nil"/>
              <w:left w:val="nil"/>
              <w:bottom w:val="nil"/>
              <w:right w:val="nil"/>
            </w:tcBorders>
            <w:shd w:val="clear" w:color="auto" w:fill="auto"/>
            <w:noWrap/>
            <w:vAlign w:val="center"/>
            <w:hideMark/>
          </w:tcPr>
          <w:p w14:paraId="0BDC028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Vanuatu</w:t>
            </w:r>
          </w:p>
        </w:tc>
        <w:tc>
          <w:tcPr>
            <w:tcW w:w="694" w:type="pct"/>
            <w:tcBorders>
              <w:top w:val="nil"/>
              <w:left w:val="nil"/>
              <w:bottom w:val="nil"/>
              <w:right w:val="nil"/>
            </w:tcBorders>
            <w:shd w:val="clear" w:color="auto" w:fill="auto"/>
            <w:noWrap/>
            <w:vAlign w:val="center"/>
            <w:hideMark/>
          </w:tcPr>
          <w:p w14:paraId="12589CB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2011</w:t>
            </w:r>
          </w:p>
        </w:tc>
        <w:tc>
          <w:tcPr>
            <w:tcW w:w="1177" w:type="pct"/>
            <w:tcBorders>
              <w:top w:val="nil"/>
              <w:left w:val="nil"/>
              <w:bottom w:val="nil"/>
              <w:right w:val="nil"/>
            </w:tcBorders>
            <w:shd w:val="clear" w:color="auto" w:fill="auto"/>
            <w:noWrap/>
            <w:vAlign w:val="center"/>
            <w:hideMark/>
          </w:tcPr>
          <w:p w14:paraId="6C7FE64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72</w:t>
            </w:r>
          </w:p>
        </w:tc>
        <w:tc>
          <w:tcPr>
            <w:tcW w:w="611" w:type="pct"/>
            <w:gridSpan w:val="2"/>
            <w:tcBorders>
              <w:top w:val="nil"/>
              <w:left w:val="nil"/>
              <w:bottom w:val="nil"/>
              <w:right w:val="nil"/>
            </w:tcBorders>
            <w:shd w:val="clear" w:color="auto" w:fill="auto"/>
            <w:noWrap/>
            <w:vAlign w:val="center"/>
            <w:hideMark/>
          </w:tcPr>
          <w:p w14:paraId="01B1842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1119</w:t>
            </w:r>
          </w:p>
        </w:tc>
      </w:tr>
      <w:tr w:rsidR="00CC4FE7" w:rsidRPr="00F36460" w14:paraId="5FFF0B2E" w14:textId="77777777" w:rsidTr="009B2059">
        <w:trPr>
          <w:trHeight w:val="70"/>
        </w:trPr>
        <w:tc>
          <w:tcPr>
            <w:tcW w:w="673" w:type="pct"/>
            <w:tcBorders>
              <w:top w:val="nil"/>
              <w:left w:val="nil"/>
              <w:bottom w:val="single" w:sz="4" w:space="0" w:color="auto"/>
              <w:right w:val="nil"/>
            </w:tcBorders>
            <w:shd w:val="clear" w:color="auto" w:fill="auto"/>
            <w:noWrap/>
            <w:vAlign w:val="center"/>
            <w:hideMark/>
          </w:tcPr>
          <w:p w14:paraId="6CA9899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w:t>
            </w:r>
          </w:p>
        </w:tc>
        <w:tc>
          <w:tcPr>
            <w:tcW w:w="1845" w:type="pct"/>
            <w:tcBorders>
              <w:top w:val="nil"/>
              <w:left w:val="nil"/>
              <w:bottom w:val="single" w:sz="4" w:space="0" w:color="auto"/>
              <w:right w:val="nil"/>
            </w:tcBorders>
            <w:shd w:val="clear" w:color="auto" w:fill="auto"/>
            <w:noWrap/>
            <w:vAlign w:val="center"/>
            <w:hideMark/>
          </w:tcPr>
          <w:p w14:paraId="3F1124E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Vietnam</w:t>
            </w:r>
          </w:p>
        </w:tc>
        <w:tc>
          <w:tcPr>
            <w:tcW w:w="694" w:type="pct"/>
            <w:tcBorders>
              <w:top w:val="nil"/>
              <w:left w:val="nil"/>
              <w:bottom w:val="single" w:sz="4" w:space="0" w:color="auto"/>
              <w:right w:val="nil"/>
            </w:tcBorders>
            <w:shd w:val="clear" w:color="auto" w:fill="auto"/>
            <w:noWrap/>
            <w:vAlign w:val="center"/>
            <w:hideMark/>
          </w:tcPr>
          <w:p w14:paraId="0FC175E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2013</w:t>
            </w:r>
          </w:p>
        </w:tc>
        <w:tc>
          <w:tcPr>
            <w:tcW w:w="1177" w:type="pct"/>
            <w:tcBorders>
              <w:top w:val="nil"/>
              <w:left w:val="nil"/>
              <w:bottom w:val="single" w:sz="4" w:space="0" w:color="auto"/>
              <w:right w:val="nil"/>
            </w:tcBorders>
            <w:shd w:val="clear" w:color="auto" w:fill="auto"/>
            <w:noWrap/>
            <w:vAlign w:val="center"/>
            <w:hideMark/>
          </w:tcPr>
          <w:p w14:paraId="0BD408E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96</w:t>
            </w:r>
          </w:p>
        </w:tc>
        <w:tc>
          <w:tcPr>
            <w:tcW w:w="611" w:type="pct"/>
            <w:gridSpan w:val="2"/>
            <w:tcBorders>
              <w:top w:val="nil"/>
              <w:left w:val="nil"/>
              <w:bottom w:val="single" w:sz="4" w:space="0" w:color="auto"/>
              <w:right w:val="nil"/>
            </w:tcBorders>
            <w:shd w:val="clear" w:color="auto" w:fill="auto"/>
            <w:noWrap/>
            <w:vAlign w:val="center"/>
            <w:hideMark/>
          </w:tcPr>
          <w:p w14:paraId="6066BA1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3331</w:t>
            </w:r>
          </w:p>
        </w:tc>
      </w:tr>
    </w:tbl>
    <w:p w14:paraId="565CCE55" w14:textId="77777777" w:rsidR="00CC4FE7" w:rsidRPr="00F36460" w:rsidRDefault="00CC4FE7" w:rsidP="00CC4FE7">
      <w:pPr>
        <w:rPr>
          <w:rFonts w:cs="Times New Roman"/>
          <w:sz w:val="20"/>
          <w:szCs w:val="20"/>
        </w:rPr>
      </w:pPr>
      <w:r w:rsidRPr="00F36460">
        <w:rPr>
          <w:rFonts w:cs="Times New Roman"/>
          <w:sz w:val="20"/>
          <w:szCs w:val="20"/>
        </w:rPr>
        <w:t xml:space="preserve">Abbreviation: </w:t>
      </w:r>
      <w:r w:rsidRPr="00F36460">
        <w:rPr>
          <w:sz w:val="20"/>
          <w:szCs w:val="20"/>
        </w:rPr>
        <w:t>AFR African Region; AMR Region of the Americas; SEAR South-East Asia Region; WPR Western Pacific Region</w:t>
      </w:r>
    </w:p>
    <w:p w14:paraId="47662117" w14:textId="4C3C5241" w:rsidR="000963AA" w:rsidRDefault="000963AA">
      <w:pPr>
        <w:spacing w:after="160" w:line="259" w:lineRule="auto"/>
      </w:pPr>
      <w:r>
        <w:br w:type="page"/>
      </w:r>
    </w:p>
    <w:p w14:paraId="1B3C144F" w14:textId="3B64B2A2" w:rsidR="00CC4FE7" w:rsidRPr="00F36460" w:rsidRDefault="000963AA" w:rsidP="000963AA">
      <w:pPr>
        <w:pStyle w:val="Heading1"/>
        <w:sectPr w:rsidR="00CC4FE7" w:rsidRPr="00F36460" w:rsidSect="008825A2">
          <w:headerReference w:type="even" r:id="rId27"/>
          <w:headerReference w:type="default" r:id="rId28"/>
          <w:pgSz w:w="11900" w:h="16840"/>
          <w:pgMar w:top="720" w:right="1440" w:bottom="720" w:left="1440" w:header="720" w:footer="720" w:gutter="0"/>
          <w:cols w:space="720"/>
          <w:docGrid w:linePitch="360"/>
        </w:sectPr>
      </w:pPr>
      <w:r>
        <w:lastRenderedPageBreak/>
        <w:t>Table 2</w:t>
      </w:r>
    </w:p>
    <w:tbl>
      <w:tblPr>
        <w:tblW w:w="9800" w:type="dxa"/>
        <w:tblInd w:w="93" w:type="dxa"/>
        <w:tblLook w:val="04A0" w:firstRow="1" w:lastRow="0" w:firstColumn="1" w:lastColumn="0" w:noHBand="0" w:noVBand="1"/>
      </w:tblPr>
      <w:tblGrid>
        <w:gridCol w:w="852"/>
        <w:gridCol w:w="3286"/>
        <w:gridCol w:w="1261"/>
        <w:gridCol w:w="1118"/>
        <w:gridCol w:w="1422"/>
        <w:gridCol w:w="1092"/>
        <w:gridCol w:w="815"/>
      </w:tblGrid>
      <w:tr w:rsidR="00CC4FE7" w:rsidRPr="00F36460" w14:paraId="6F2B3C77" w14:textId="77777777" w:rsidTr="009B2059">
        <w:trPr>
          <w:trHeight w:val="300"/>
        </w:trPr>
        <w:tc>
          <w:tcPr>
            <w:tcW w:w="9800" w:type="dxa"/>
            <w:gridSpan w:val="7"/>
            <w:tcBorders>
              <w:top w:val="nil"/>
              <w:left w:val="nil"/>
              <w:bottom w:val="single" w:sz="4" w:space="0" w:color="auto"/>
              <w:right w:val="nil"/>
            </w:tcBorders>
            <w:shd w:val="clear" w:color="auto" w:fill="auto"/>
            <w:noWrap/>
            <w:vAlign w:val="center"/>
            <w:hideMark/>
          </w:tcPr>
          <w:p w14:paraId="341044C6" w14:textId="3DBE63DB" w:rsidR="00CC4FE7" w:rsidRPr="00F36460" w:rsidRDefault="00CC4FE7" w:rsidP="009B2059">
            <w:pPr>
              <w:rPr>
                <w:rFonts w:eastAsia="Times New Roman" w:cs="Times New Roman"/>
                <w:b/>
                <w:bCs/>
                <w:color w:val="000000"/>
                <w:lang w:val="en-GB"/>
              </w:rPr>
            </w:pPr>
            <w:r w:rsidRPr="00F36460">
              <w:rPr>
                <w:rFonts w:eastAsia="Times New Roman" w:cs="Times New Roman"/>
                <w:b/>
                <w:bCs/>
                <w:color w:val="000000"/>
                <w:lang w:val="en-GB"/>
              </w:rPr>
              <w:lastRenderedPageBreak/>
              <w:t xml:space="preserve">Table 2 </w:t>
            </w:r>
            <w:r w:rsidRPr="00F36460">
              <w:rPr>
                <w:rFonts w:eastAsia="Times New Roman" w:cs="Times New Roman"/>
                <w:color w:val="000000"/>
                <w:lang w:val="en-GB"/>
              </w:rPr>
              <w:t>Prevalence of sexual intercourse, condom non-use, multiple sexual partners, and food insecurity by country</w:t>
            </w:r>
          </w:p>
        </w:tc>
      </w:tr>
      <w:tr w:rsidR="00CC4FE7" w:rsidRPr="00F36460" w14:paraId="64692D04" w14:textId="77777777" w:rsidTr="009B2059">
        <w:trPr>
          <w:trHeight w:val="60"/>
        </w:trPr>
        <w:tc>
          <w:tcPr>
            <w:tcW w:w="834" w:type="dxa"/>
            <w:vMerge w:val="restart"/>
            <w:tcBorders>
              <w:top w:val="nil"/>
              <w:left w:val="nil"/>
              <w:bottom w:val="double" w:sz="6" w:space="0" w:color="000000"/>
              <w:right w:val="nil"/>
            </w:tcBorders>
            <w:shd w:val="clear" w:color="auto" w:fill="auto"/>
            <w:noWrap/>
            <w:vAlign w:val="bottom"/>
            <w:hideMark/>
          </w:tcPr>
          <w:p w14:paraId="68BB879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Region</w:t>
            </w:r>
          </w:p>
        </w:tc>
        <w:tc>
          <w:tcPr>
            <w:tcW w:w="3286" w:type="dxa"/>
            <w:vMerge w:val="restart"/>
            <w:tcBorders>
              <w:top w:val="nil"/>
              <w:left w:val="nil"/>
              <w:bottom w:val="double" w:sz="6" w:space="0" w:color="000000"/>
              <w:right w:val="nil"/>
            </w:tcBorders>
            <w:shd w:val="clear" w:color="auto" w:fill="auto"/>
            <w:noWrap/>
            <w:vAlign w:val="bottom"/>
            <w:hideMark/>
          </w:tcPr>
          <w:p w14:paraId="7D4D3DC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Country</w:t>
            </w:r>
          </w:p>
        </w:tc>
        <w:tc>
          <w:tcPr>
            <w:tcW w:w="1261" w:type="dxa"/>
            <w:tcBorders>
              <w:top w:val="nil"/>
              <w:left w:val="nil"/>
              <w:bottom w:val="nil"/>
              <w:right w:val="nil"/>
            </w:tcBorders>
            <w:shd w:val="clear" w:color="auto" w:fill="auto"/>
            <w:noWrap/>
            <w:vAlign w:val="bottom"/>
            <w:hideMark/>
          </w:tcPr>
          <w:p w14:paraId="17474B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xml:space="preserve">Sexual </w:t>
            </w:r>
          </w:p>
        </w:tc>
        <w:tc>
          <w:tcPr>
            <w:tcW w:w="1118" w:type="dxa"/>
            <w:tcBorders>
              <w:top w:val="nil"/>
              <w:left w:val="nil"/>
              <w:bottom w:val="nil"/>
              <w:right w:val="nil"/>
            </w:tcBorders>
            <w:shd w:val="clear" w:color="auto" w:fill="auto"/>
            <w:noWrap/>
            <w:vAlign w:val="bottom"/>
            <w:hideMark/>
          </w:tcPr>
          <w:p w14:paraId="2527D8B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xml:space="preserve">Condom </w:t>
            </w:r>
          </w:p>
        </w:tc>
        <w:tc>
          <w:tcPr>
            <w:tcW w:w="1422" w:type="dxa"/>
            <w:tcBorders>
              <w:top w:val="nil"/>
              <w:left w:val="nil"/>
              <w:bottom w:val="nil"/>
              <w:right w:val="nil"/>
            </w:tcBorders>
            <w:shd w:val="clear" w:color="auto" w:fill="auto"/>
            <w:noWrap/>
            <w:vAlign w:val="bottom"/>
            <w:hideMark/>
          </w:tcPr>
          <w:p w14:paraId="04B2E52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Multiple sex</w:t>
            </w:r>
          </w:p>
        </w:tc>
        <w:tc>
          <w:tcPr>
            <w:tcW w:w="1879" w:type="dxa"/>
            <w:gridSpan w:val="2"/>
            <w:tcBorders>
              <w:top w:val="single" w:sz="4" w:space="0" w:color="auto"/>
              <w:left w:val="nil"/>
              <w:bottom w:val="nil"/>
              <w:right w:val="nil"/>
            </w:tcBorders>
            <w:shd w:val="clear" w:color="auto" w:fill="auto"/>
            <w:noWrap/>
            <w:vAlign w:val="bottom"/>
            <w:hideMark/>
          </w:tcPr>
          <w:p w14:paraId="5E0E449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Food insecurity</w:t>
            </w:r>
          </w:p>
        </w:tc>
      </w:tr>
      <w:tr w:rsidR="00CC4FE7" w:rsidRPr="00F36460" w14:paraId="13AB0799" w14:textId="77777777" w:rsidTr="009B2059">
        <w:trPr>
          <w:trHeight w:val="25"/>
        </w:trPr>
        <w:tc>
          <w:tcPr>
            <w:tcW w:w="834" w:type="dxa"/>
            <w:vMerge/>
            <w:tcBorders>
              <w:top w:val="nil"/>
              <w:left w:val="nil"/>
              <w:bottom w:val="double" w:sz="6" w:space="0" w:color="000000"/>
              <w:right w:val="nil"/>
            </w:tcBorders>
            <w:vAlign w:val="center"/>
            <w:hideMark/>
          </w:tcPr>
          <w:p w14:paraId="31F0D117" w14:textId="77777777" w:rsidR="00CC4FE7" w:rsidRPr="00F36460" w:rsidRDefault="00CC4FE7" w:rsidP="009B2059">
            <w:pPr>
              <w:rPr>
                <w:rFonts w:eastAsia="Times New Roman" w:cs="Times New Roman"/>
                <w:color w:val="000000"/>
                <w:sz w:val="22"/>
                <w:szCs w:val="22"/>
                <w:lang w:val="en-GB"/>
              </w:rPr>
            </w:pPr>
          </w:p>
        </w:tc>
        <w:tc>
          <w:tcPr>
            <w:tcW w:w="3286" w:type="dxa"/>
            <w:vMerge/>
            <w:tcBorders>
              <w:top w:val="nil"/>
              <w:left w:val="nil"/>
              <w:bottom w:val="double" w:sz="6" w:space="0" w:color="000000"/>
              <w:right w:val="nil"/>
            </w:tcBorders>
            <w:vAlign w:val="center"/>
            <w:hideMark/>
          </w:tcPr>
          <w:p w14:paraId="7E9222A3" w14:textId="77777777" w:rsidR="00CC4FE7" w:rsidRPr="00F36460" w:rsidRDefault="00CC4FE7" w:rsidP="009B2059">
            <w:pPr>
              <w:rPr>
                <w:rFonts w:eastAsia="Times New Roman" w:cs="Times New Roman"/>
                <w:color w:val="000000"/>
                <w:sz w:val="22"/>
                <w:szCs w:val="22"/>
                <w:lang w:val="en-GB"/>
              </w:rPr>
            </w:pPr>
          </w:p>
        </w:tc>
        <w:tc>
          <w:tcPr>
            <w:tcW w:w="1261" w:type="dxa"/>
            <w:tcBorders>
              <w:top w:val="nil"/>
              <w:left w:val="nil"/>
              <w:bottom w:val="double" w:sz="6" w:space="0" w:color="auto"/>
              <w:right w:val="nil"/>
            </w:tcBorders>
            <w:shd w:val="clear" w:color="auto" w:fill="auto"/>
            <w:noWrap/>
            <w:hideMark/>
          </w:tcPr>
          <w:p w14:paraId="4747CBC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Intercourse</w:t>
            </w:r>
          </w:p>
          <w:p w14:paraId="2860DE1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t>
            </w:r>
          </w:p>
        </w:tc>
        <w:tc>
          <w:tcPr>
            <w:tcW w:w="1118" w:type="dxa"/>
            <w:tcBorders>
              <w:top w:val="nil"/>
              <w:left w:val="nil"/>
              <w:bottom w:val="double" w:sz="6" w:space="0" w:color="auto"/>
              <w:right w:val="nil"/>
            </w:tcBorders>
            <w:shd w:val="clear" w:color="auto" w:fill="auto"/>
            <w:noWrap/>
            <w:vAlign w:val="bottom"/>
            <w:hideMark/>
          </w:tcPr>
          <w:p w14:paraId="2735FC6B" w14:textId="77777777" w:rsidR="00CC4FE7" w:rsidRPr="00F36460" w:rsidRDefault="00CC4FE7" w:rsidP="009B2059">
            <w:pPr>
              <w:rPr>
                <w:rFonts w:eastAsia="Times New Roman" w:cs="Times New Roman"/>
                <w:color w:val="000000"/>
                <w:sz w:val="22"/>
                <w:szCs w:val="22"/>
                <w:vertAlign w:val="superscript"/>
                <w:lang w:val="en-GB"/>
              </w:rPr>
            </w:pPr>
            <w:r w:rsidRPr="00F36460">
              <w:rPr>
                <w:rFonts w:eastAsia="Times New Roman" w:cs="Times New Roman"/>
                <w:color w:val="000000"/>
                <w:sz w:val="22"/>
                <w:szCs w:val="22"/>
                <w:lang w:val="en-GB"/>
              </w:rPr>
              <w:t>non-</w:t>
            </w:r>
            <w:proofErr w:type="spellStart"/>
            <w:proofErr w:type="gramStart"/>
            <w:r w:rsidRPr="00F36460">
              <w:rPr>
                <w:rFonts w:eastAsia="Times New Roman" w:cs="Times New Roman"/>
                <w:color w:val="000000"/>
                <w:sz w:val="22"/>
                <w:szCs w:val="22"/>
                <w:lang w:val="en-GB"/>
              </w:rPr>
              <w:t>use</w:t>
            </w:r>
            <w:r w:rsidRPr="00F36460">
              <w:rPr>
                <w:rFonts w:eastAsia="Times New Roman" w:cs="Times New Roman"/>
                <w:color w:val="000000"/>
                <w:sz w:val="22"/>
                <w:szCs w:val="22"/>
                <w:vertAlign w:val="superscript"/>
                <w:lang w:val="en-GB"/>
              </w:rPr>
              <w:t>a,b</w:t>
            </w:r>
            <w:proofErr w:type="spellEnd"/>
            <w:proofErr w:type="gramEnd"/>
          </w:p>
          <w:p w14:paraId="5D214E5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t>
            </w:r>
          </w:p>
        </w:tc>
        <w:tc>
          <w:tcPr>
            <w:tcW w:w="1422" w:type="dxa"/>
            <w:tcBorders>
              <w:top w:val="nil"/>
              <w:left w:val="nil"/>
              <w:bottom w:val="double" w:sz="6" w:space="0" w:color="auto"/>
              <w:right w:val="nil"/>
            </w:tcBorders>
            <w:shd w:val="clear" w:color="auto" w:fill="auto"/>
            <w:noWrap/>
            <w:vAlign w:val="bottom"/>
            <w:hideMark/>
          </w:tcPr>
          <w:p w14:paraId="61C745A8" w14:textId="77777777" w:rsidR="00CC4FE7" w:rsidRPr="00F36460" w:rsidRDefault="00CC4FE7" w:rsidP="009B2059">
            <w:pPr>
              <w:rPr>
                <w:rFonts w:eastAsia="Times New Roman" w:cs="Times New Roman"/>
                <w:color w:val="000000"/>
                <w:sz w:val="22"/>
                <w:szCs w:val="22"/>
                <w:vertAlign w:val="superscript"/>
                <w:lang w:val="en-GB"/>
              </w:rPr>
            </w:pPr>
            <w:proofErr w:type="spellStart"/>
            <w:proofErr w:type="gramStart"/>
            <w:r w:rsidRPr="00F36460">
              <w:rPr>
                <w:rFonts w:eastAsia="Times New Roman" w:cs="Times New Roman"/>
                <w:color w:val="000000"/>
                <w:sz w:val="22"/>
                <w:szCs w:val="22"/>
                <w:lang w:val="en-GB"/>
              </w:rPr>
              <w:t>partners</w:t>
            </w:r>
            <w:r w:rsidRPr="00F36460">
              <w:rPr>
                <w:rFonts w:eastAsia="Times New Roman" w:cs="Times New Roman"/>
                <w:color w:val="000000"/>
                <w:sz w:val="22"/>
                <w:szCs w:val="22"/>
                <w:vertAlign w:val="superscript"/>
                <w:lang w:val="en-GB"/>
              </w:rPr>
              <w:t>a,c</w:t>
            </w:r>
            <w:proofErr w:type="spellEnd"/>
            <w:proofErr w:type="gramEnd"/>
          </w:p>
          <w:p w14:paraId="34C8270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t>
            </w:r>
          </w:p>
        </w:tc>
        <w:tc>
          <w:tcPr>
            <w:tcW w:w="1092" w:type="dxa"/>
            <w:tcBorders>
              <w:top w:val="nil"/>
              <w:left w:val="nil"/>
              <w:bottom w:val="double" w:sz="6" w:space="0" w:color="auto"/>
              <w:right w:val="nil"/>
            </w:tcBorders>
            <w:shd w:val="clear" w:color="auto" w:fill="auto"/>
            <w:noWrap/>
            <w:vAlign w:val="bottom"/>
            <w:hideMark/>
          </w:tcPr>
          <w:p w14:paraId="7D8D3D8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Moderate</w:t>
            </w:r>
          </w:p>
          <w:p w14:paraId="2E7F7BE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t>
            </w:r>
          </w:p>
        </w:tc>
        <w:tc>
          <w:tcPr>
            <w:tcW w:w="787" w:type="dxa"/>
            <w:tcBorders>
              <w:top w:val="nil"/>
              <w:left w:val="nil"/>
              <w:bottom w:val="double" w:sz="6" w:space="0" w:color="auto"/>
              <w:right w:val="nil"/>
            </w:tcBorders>
            <w:shd w:val="clear" w:color="auto" w:fill="auto"/>
            <w:noWrap/>
            <w:vAlign w:val="bottom"/>
            <w:hideMark/>
          </w:tcPr>
          <w:p w14:paraId="6BC033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Severe</w:t>
            </w:r>
          </w:p>
          <w:p w14:paraId="4797552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t>
            </w:r>
          </w:p>
        </w:tc>
      </w:tr>
      <w:tr w:rsidR="00CC4FE7" w:rsidRPr="00F36460" w14:paraId="26B1A61B" w14:textId="77777777" w:rsidTr="009B2059">
        <w:trPr>
          <w:trHeight w:val="243"/>
        </w:trPr>
        <w:tc>
          <w:tcPr>
            <w:tcW w:w="834" w:type="dxa"/>
            <w:tcBorders>
              <w:top w:val="nil"/>
              <w:left w:val="nil"/>
              <w:bottom w:val="nil"/>
              <w:right w:val="nil"/>
            </w:tcBorders>
            <w:shd w:val="clear" w:color="auto" w:fill="auto"/>
            <w:noWrap/>
            <w:vAlign w:val="center"/>
            <w:hideMark/>
          </w:tcPr>
          <w:p w14:paraId="234F3C2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AFR</w:t>
            </w:r>
          </w:p>
        </w:tc>
        <w:tc>
          <w:tcPr>
            <w:tcW w:w="3286" w:type="dxa"/>
            <w:tcBorders>
              <w:top w:val="nil"/>
              <w:left w:val="nil"/>
              <w:bottom w:val="nil"/>
              <w:right w:val="nil"/>
            </w:tcBorders>
            <w:shd w:val="clear" w:color="auto" w:fill="auto"/>
            <w:noWrap/>
            <w:vAlign w:val="center"/>
            <w:hideMark/>
          </w:tcPr>
          <w:p w14:paraId="31C4115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Benin</w:t>
            </w:r>
          </w:p>
        </w:tc>
        <w:tc>
          <w:tcPr>
            <w:tcW w:w="1261" w:type="dxa"/>
            <w:tcBorders>
              <w:top w:val="nil"/>
              <w:left w:val="nil"/>
              <w:bottom w:val="nil"/>
              <w:right w:val="nil"/>
            </w:tcBorders>
            <w:shd w:val="clear" w:color="auto" w:fill="auto"/>
            <w:noWrap/>
            <w:vAlign w:val="center"/>
            <w:hideMark/>
          </w:tcPr>
          <w:p w14:paraId="49D9262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53.4</w:t>
            </w:r>
          </w:p>
        </w:tc>
        <w:tc>
          <w:tcPr>
            <w:tcW w:w="1118" w:type="dxa"/>
            <w:tcBorders>
              <w:top w:val="nil"/>
              <w:left w:val="nil"/>
              <w:bottom w:val="nil"/>
              <w:right w:val="nil"/>
            </w:tcBorders>
            <w:shd w:val="clear" w:color="auto" w:fill="auto"/>
            <w:noWrap/>
            <w:vAlign w:val="center"/>
            <w:hideMark/>
          </w:tcPr>
          <w:p w14:paraId="2A992B7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51.4</w:t>
            </w:r>
          </w:p>
        </w:tc>
        <w:tc>
          <w:tcPr>
            <w:tcW w:w="1422" w:type="dxa"/>
            <w:tcBorders>
              <w:top w:val="nil"/>
              <w:left w:val="nil"/>
              <w:bottom w:val="nil"/>
              <w:right w:val="nil"/>
            </w:tcBorders>
            <w:shd w:val="clear" w:color="auto" w:fill="auto"/>
            <w:noWrap/>
            <w:vAlign w:val="center"/>
            <w:hideMark/>
          </w:tcPr>
          <w:p w14:paraId="5126304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65.0</w:t>
            </w:r>
          </w:p>
        </w:tc>
        <w:tc>
          <w:tcPr>
            <w:tcW w:w="1092" w:type="dxa"/>
            <w:tcBorders>
              <w:top w:val="nil"/>
              <w:left w:val="nil"/>
              <w:bottom w:val="nil"/>
              <w:right w:val="nil"/>
            </w:tcBorders>
            <w:shd w:val="clear" w:color="auto" w:fill="auto"/>
            <w:noWrap/>
            <w:vAlign w:val="center"/>
            <w:hideMark/>
          </w:tcPr>
          <w:p w14:paraId="4116F3C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39.3</w:t>
            </w:r>
          </w:p>
        </w:tc>
        <w:tc>
          <w:tcPr>
            <w:tcW w:w="787" w:type="dxa"/>
            <w:tcBorders>
              <w:top w:val="nil"/>
              <w:left w:val="nil"/>
              <w:bottom w:val="nil"/>
              <w:right w:val="nil"/>
            </w:tcBorders>
            <w:shd w:val="clear" w:color="auto" w:fill="auto"/>
            <w:noWrap/>
            <w:vAlign w:val="center"/>
            <w:hideMark/>
          </w:tcPr>
          <w:p w14:paraId="2892E6E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18.4</w:t>
            </w:r>
          </w:p>
        </w:tc>
      </w:tr>
      <w:tr w:rsidR="00CC4FE7" w:rsidRPr="00F36460" w14:paraId="473E0AC9" w14:textId="77777777" w:rsidTr="009B2059">
        <w:trPr>
          <w:trHeight w:val="252"/>
        </w:trPr>
        <w:tc>
          <w:tcPr>
            <w:tcW w:w="834" w:type="dxa"/>
            <w:tcBorders>
              <w:top w:val="nil"/>
              <w:left w:val="nil"/>
              <w:bottom w:val="nil"/>
              <w:right w:val="nil"/>
            </w:tcBorders>
            <w:shd w:val="clear" w:color="auto" w:fill="auto"/>
            <w:noWrap/>
            <w:vAlign w:val="center"/>
            <w:hideMark/>
          </w:tcPr>
          <w:p w14:paraId="083E2065"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526D7A3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Botswana</w:t>
            </w:r>
          </w:p>
        </w:tc>
        <w:tc>
          <w:tcPr>
            <w:tcW w:w="1261" w:type="dxa"/>
            <w:tcBorders>
              <w:top w:val="nil"/>
              <w:left w:val="nil"/>
              <w:bottom w:val="nil"/>
              <w:right w:val="nil"/>
            </w:tcBorders>
            <w:shd w:val="clear" w:color="auto" w:fill="auto"/>
            <w:noWrap/>
            <w:vAlign w:val="center"/>
            <w:hideMark/>
          </w:tcPr>
          <w:p w14:paraId="4CF65A4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23.6</w:t>
            </w:r>
          </w:p>
        </w:tc>
        <w:tc>
          <w:tcPr>
            <w:tcW w:w="1118" w:type="dxa"/>
            <w:tcBorders>
              <w:top w:val="nil"/>
              <w:left w:val="nil"/>
              <w:bottom w:val="nil"/>
              <w:right w:val="nil"/>
            </w:tcBorders>
            <w:shd w:val="clear" w:color="auto" w:fill="auto"/>
            <w:noWrap/>
            <w:vAlign w:val="center"/>
            <w:hideMark/>
          </w:tcPr>
          <w:p w14:paraId="21F369B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29.9</w:t>
            </w:r>
          </w:p>
        </w:tc>
        <w:tc>
          <w:tcPr>
            <w:tcW w:w="1422" w:type="dxa"/>
            <w:tcBorders>
              <w:top w:val="nil"/>
              <w:left w:val="nil"/>
              <w:bottom w:val="nil"/>
              <w:right w:val="nil"/>
            </w:tcBorders>
            <w:shd w:val="clear" w:color="auto" w:fill="auto"/>
            <w:noWrap/>
            <w:vAlign w:val="center"/>
            <w:hideMark/>
          </w:tcPr>
          <w:p w14:paraId="122C0D6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47.2</w:t>
            </w:r>
          </w:p>
        </w:tc>
        <w:tc>
          <w:tcPr>
            <w:tcW w:w="1092" w:type="dxa"/>
            <w:tcBorders>
              <w:top w:val="nil"/>
              <w:left w:val="nil"/>
              <w:bottom w:val="nil"/>
              <w:right w:val="nil"/>
            </w:tcBorders>
            <w:shd w:val="clear" w:color="auto" w:fill="auto"/>
            <w:noWrap/>
            <w:vAlign w:val="center"/>
            <w:hideMark/>
          </w:tcPr>
          <w:p w14:paraId="3F0A82B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51.5</w:t>
            </w:r>
          </w:p>
        </w:tc>
        <w:tc>
          <w:tcPr>
            <w:tcW w:w="787" w:type="dxa"/>
            <w:tcBorders>
              <w:top w:val="nil"/>
              <w:left w:val="nil"/>
              <w:bottom w:val="nil"/>
              <w:right w:val="nil"/>
            </w:tcBorders>
            <w:shd w:val="clear" w:color="auto" w:fill="auto"/>
            <w:noWrap/>
            <w:vAlign w:val="center"/>
            <w:hideMark/>
          </w:tcPr>
          <w:p w14:paraId="11460BC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14.0</w:t>
            </w:r>
          </w:p>
        </w:tc>
      </w:tr>
      <w:tr w:rsidR="00CC4FE7" w:rsidRPr="00F36460" w14:paraId="111A1D75" w14:textId="77777777" w:rsidTr="009B2059">
        <w:trPr>
          <w:trHeight w:val="70"/>
        </w:trPr>
        <w:tc>
          <w:tcPr>
            <w:tcW w:w="834" w:type="dxa"/>
            <w:tcBorders>
              <w:top w:val="nil"/>
              <w:left w:val="nil"/>
              <w:bottom w:val="nil"/>
              <w:right w:val="nil"/>
            </w:tcBorders>
            <w:shd w:val="clear" w:color="auto" w:fill="auto"/>
            <w:noWrap/>
            <w:vAlign w:val="center"/>
            <w:hideMark/>
          </w:tcPr>
          <w:p w14:paraId="32309DC8"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E21D68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Ghana</w:t>
            </w:r>
          </w:p>
        </w:tc>
        <w:tc>
          <w:tcPr>
            <w:tcW w:w="1261" w:type="dxa"/>
            <w:tcBorders>
              <w:top w:val="nil"/>
              <w:left w:val="nil"/>
              <w:bottom w:val="nil"/>
              <w:right w:val="nil"/>
            </w:tcBorders>
            <w:shd w:val="clear" w:color="auto" w:fill="auto"/>
            <w:noWrap/>
            <w:vAlign w:val="center"/>
            <w:hideMark/>
          </w:tcPr>
          <w:p w14:paraId="4330B15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33.3</w:t>
            </w:r>
          </w:p>
        </w:tc>
        <w:tc>
          <w:tcPr>
            <w:tcW w:w="1118" w:type="dxa"/>
            <w:tcBorders>
              <w:top w:val="nil"/>
              <w:left w:val="nil"/>
              <w:bottom w:val="nil"/>
              <w:right w:val="nil"/>
            </w:tcBorders>
            <w:shd w:val="clear" w:color="auto" w:fill="auto"/>
            <w:noWrap/>
            <w:vAlign w:val="center"/>
            <w:hideMark/>
          </w:tcPr>
          <w:p w14:paraId="3E1059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53.4</w:t>
            </w:r>
          </w:p>
        </w:tc>
        <w:tc>
          <w:tcPr>
            <w:tcW w:w="1422" w:type="dxa"/>
            <w:tcBorders>
              <w:top w:val="nil"/>
              <w:left w:val="nil"/>
              <w:bottom w:val="nil"/>
              <w:right w:val="nil"/>
            </w:tcBorders>
            <w:shd w:val="clear" w:color="auto" w:fill="auto"/>
            <w:noWrap/>
            <w:vAlign w:val="center"/>
            <w:hideMark/>
          </w:tcPr>
          <w:p w14:paraId="14520FB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54.2</w:t>
            </w:r>
          </w:p>
        </w:tc>
        <w:tc>
          <w:tcPr>
            <w:tcW w:w="1092" w:type="dxa"/>
            <w:tcBorders>
              <w:top w:val="nil"/>
              <w:left w:val="nil"/>
              <w:bottom w:val="nil"/>
              <w:right w:val="nil"/>
            </w:tcBorders>
            <w:shd w:val="clear" w:color="auto" w:fill="auto"/>
            <w:noWrap/>
            <w:vAlign w:val="center"/>
            <w:hideMark/>
          </w:tcPr>
          <w:p w14:paraId="2B31140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49.7</w:t>
            </w:r>
          </w:p>
        </w:tc>
        <w:tc>
          <w:tcPr>
            <w:tcW w:w="787" w:type="dxa"/>
            <w:tcBorders>
              <w:top w:val="nil"/>
              <w:left w:val="nil"/>
              <w:bottom w:val="nil"/>
              <w:right w:val="nil"/>
            </w:tcBorders>
            <w:shd w:val="clear" w:color="auto" w:fill="auto"/>
            <w:noWrap/>
            <w:vAlign w:val="center"/>
            <w:hideMark/>
          </w:tcPr>
          <w:p w14:paraId="14DA2DC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15.2</w:t>
            </w:r>
          </w:p>
        </w:tc>
      </w:tr>
      <w:tr w:rsidR="00CC4FE7" w:rsidRPr="00F36460" w14:paraId="212827EC" w14:textId="77777777" w:rsidTr="009B2059">
        <w:trPr>
          <w:trHeight w:val="234"/>
        </w:trPr>
        <w:tc>
          <w:tcPr>
            <w:tcW w:w="834" w:type="dxa"/>
            <w:tcBorders>
              <w:top w:val="nil"/>
              <w:left w:val="nil"/>
              <w:bottom w:val="nil"/>
              <w:right w:val="nil"/>
            </w:tcBorders>
            <w:shd w:val="clear" w:color="auto" w:fill="auto"/>
            <w:noWrap/>
            <w:vAlign w:val="center"/>
            <w:hideMark/>
          </w:tcPr>
          <w:p w14:paraId="31E8CAE6"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4ABCB8A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Kenya</w:t>
            </w:r>
          </w:p>
        </w:tc>
        <w:tc>
          <w:tcPr>
            <w:tcW w:w="1261" w:type="dxa"/>
            <w:tcBorders>
              <w:top w:val="nil"/>
              <w:left w:val="nil"/>
              <w:bottom w:val="nil"/>
              <w:right w:val="nil"/>
            </w:tcBorders>
            <w:shd w:val="clear" w:color="auto" w:fill="auto"/>
            <w:noWrap/>
            <w:vAlign w:val="center"/>
            <w:hideMark/>
          </w:tcPr>
          <w:p w14:paraId="4504324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36.7</w:t>
            </w:r>
          </w:p>
        </w:tc>
        <w:tc>
          <w:tcPr>
            <w:tcW w:w="1118" w:type="dxa"/>
            <w:tcBorders>
              <w:top w:val="nil"/>
              <w:left w:val="nil"/>
              <w:bottom w:val="nil"/>
              <w:right w:val="nil"/>
            </w:tcBorders>
            <w:shd w:val="clear" w:color="auto" w:fill="auto"/>
            <w:noWrap/>
            <w:vAlign w:val="center"/>
            <w:hideMark/>
          </w:tcPr>
          <w:p w14:paraId="4D0AEC8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55.0</w:t>
            </w:r>
          </w:p>
        </w:tc>
        <w:tc>
          <w:tcPr>
            <w:tcW w:w="1422" w:type="dxa"/>
            <w:tcBorders>
              <w:top w:val="nil"/>
              <w:left w:val="nil"/>
              <w:bottom w:val="nil"/>
              <w:right w:val="nil"/>
            </w:tcBorders>
            <w:shd w:val="clear" w:color="auto" w:fill="auto"/>
            <w:noWrap/>
            <w:vAlign w:val="center"/>
            <w:hideMark/>
          </w:tcPr>
          <w:p w14:paraId="372092C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NA</w:t>
            </w:r>
          </w:p>
        </w:tc>
        <w:tc>
          <w:tcPr>
            <w:tcW w:w="1092" w:type="dxa"/>
            <w:tcBorders>
              <w:top w:val="nil"/>
              <w:left w:val="nil"/>
              <w:bottom w:val="nil"/>
              <w:right w:val="nil"/>
            </w:tcBorders>
            <w:shd w:val="clear" w:color="auto" w:fill="auto"/>
            <w:noWrap/>
            <w:vAlign w:val="center"/>
            <w:hideMark/>
          </w:tcPr>
          <w:p w14:paraId="77AB4AF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47.4</w:t>
            </w:r>
          </w:p>
        </w:tc>
        <w:tc>
          <w:tcPr>
            <w:tcW w:w="787" w:type="dxa"/>
            <w:tcBorders>
              <w:top w:val="nil"/>
              <w:left w:val="nil"/>
              <w:bottom w:val="nil"/>
              <w:right w:val="nil"/>
            </w:tcBorders>
            <w:shd w:val="clear" w:color="auto" w:fill="auto"/>
            <w:noWrap/>
            <w:vAlign w:val="center"/>
            <w:hideMark/>
          </w:tcPr>
          <w:p w14:paraId="016880F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14.7</w:t>
            </w:r>
          </w:p>
        </w:tc>
      </w:tr>
      <w:tr w:rsidR="00CC4FE7" w:rsidRPr="00F36460" w14:paraId="32F0E206" w14:textId="77777777" w:rsidTr="009B2059">
        <w:trPr>
          <w:trHeight w:val="70"/>
        </w:trPr>
        <w:tc>
          <w:tcPr>
            <w:tcW w:w="834" w:type="dxa"/>
            <w:tcBorders>
              <w:top w:val="nil"/>
              <w:left w:val="nil"/>
              <w:bottom w:val="nil"/>
              <w:right w:val="nil"/>
            </w:tcBorders>
            <w:shd w:val="clear" w:color="auto" w:fill="auto"/>
            <w:noWrap/>
            <w:vAlign w:val="center"/>
            <w:hideMark/>
          </w:tcPr>
          <w:p w14:paraId="1C905850"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898B04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Malawi</w:t>
            </w:r>
          </w:p>
        </w:tc>
        <w:tc>
          <w:tcPr>
            <w:tcW w:w="1261" w:type="dxa"/>
            <w:tcBorders>
              <w:top w:val="nil"/>
              <w:left w:val="nil"/>
              <w:bottom w:val="nil"/>
              <w:right w:val="nil"/>
            </w:tcBorders>
            <w:shd w:val="clear" w:color="auto" w:fill="auto"/>
            <w:noWrap/>
            <w:vAlign w:val="center"/>
            <w:hideMark/>
          </w:tcPr>
          <w:p w14:paraId="44B00A6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23.2</w:t>
            </w:r>
          </w:p>
        </w:tc>
        <w:tc>
          <w:tcPr>
            <w:tcW w:w="1118" w:type="dxa"/>
            <w:tcBorders>
              <w:top w:val="nil"/>
              <w:left w:val="nil"/>
              <w:bottom w:val="nil"/>
              <w:right w:val="nil"/>
            </w:tcBorders>
            <w:shd w:val="clear" w:color="auto" w:fill="auto"/>
            <w:noWrap/>
            <w:vAlign w:val="center"/>
            <w:hideMark/>
          </w:tcPr>
          <w:p w14:paraId="308C92D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36.2</w:t>
            </w:r>
          </w:p>
        </w:tc>
        <w:tc>
          <w:tcPr>
            <w:tcW w:w="1422" w:type="dxa"/>
            <w:tcBorders>
              <w:top w:val="nil"/>
              <w:left w:val="nil"/>
              <w:bottom w:val="nil"/>
              <w:right w:val="nil"/>
            </w:tcBorders>
            <w:shd w:val="clear" w:color="auto" w:fill="auto"/>
            <w:noWrap/>
            <w:vAlign w:val="center"/>
            <w:hideMark/>
          </w:tcPr>
          <w:p w14:paraId="1BEB535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39.9</w:t>
            </w:r>
          </w:p>
        </w:tc>
        <w:tc>
          <w:tcPr>
            <w:tcW w:w="1092" w:type="dxa"/>
            <w:tcBorders>
              <w:top w:val="nil"/>
              <w:left w:val="nil"/>
              <w:bottom w:val="nil"/>
              <w:right w:val="nil"/>
            </w:tcBorders>
            <w:shd w:val="clear" w:color="auto" w:fill="auto"/>
            <w:noWrap/>
            <w:vAlign w:val="center"/>
            <w:hideMark/>
          </w:tcPr>
          <w:p w14:paraId="2DE94B1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47.3</w:t>
            </w:r>
          </w:p>
        </w:tc>
        <w:tc>
          <w:tcPr>
            <w:tcW w:w="787" w:type="dxa"/>
            <w:tcBorders>
              <w:top w:val="nil"/>
              <w:left w:val="nil"/>
              <w:bottom w:val="nil"/>
              <w:right w:val="nil"/>
            </w:tcBorders>
            <w:shd w:val="clear" w:color="auto" w:fill="auto"/>
            <w:noWrap/>
            <w:vAlign w:val="center"/>
            <w:hideMark/>
          </w:tcPr>
          <w:p w14:paraId="69F3397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18.5</w:t>
            </w:r>
          </w:p>
        </w:tc>
      </w:tr>
      <w:tr w:rsidR="00CC4FE7" w:rsidRPr="00F36460" w14:paraId="448CAD6A" w14:textId="77777777" w:rsidTr="009B2059">
        <w:trPr>
          <w:trHeight w:val="70"/>
        </w:trPr>
        <w:tc>
          <w:tcPr>
            <w:tcW w:w="834" w:type="dxa"/>
            <w:tcBorders>
              <w:top w:val="nil"/>
              <w:left w:val="nil"/>
              <w:bottom w:val="nil"/>
              <w:right w:val="nil"/>
            </w:tcBorders>
            <w:shd w:val="clear" w:color="auto" w:fill="auto"/>
            <w:noWrap/>
            <w:vAlign w:val="center"/>
            <w:hideMark/>
          </w:tcPr>
          <w:p w14:paraId="5E1BDED0"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E3FBB3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Mauritius</w:t>
            </w:r>
          </w:p>
        </w:tc>
        <w:tc>
          <w:tcPr>
            <w:tcW w:w="1261" w:type="dxa"/>
            <w:tcBorders>
              <w:top w:val="nil"/>
              <w:left w:val="nil"/>
              <w:bottom w:val="nil"/>
              <w:right w:val="nil"/>
            </w:tcBorders>
            <w:shd w:val="clear" w:color="auto" w:fill="auto"/>
            <w:noWrap/>
            <w:vAlign w:val="center"/>
            <w:hideMark/>
          </w:tcPr>
          <w:p w14:paraId="1DFDE4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22.0</w:t>
            </w:r>
          </w:p>
        </w:tc>
        <w:tc>
          <w:tcPr>
            <w:tcW w:w="1118" w:type="dxa"/>
            <w:tcBorders>
              <w:top w:val="nil"/>
              <w:left w:val="nil"/>
              <w:bottom w:val="nil"/>
              <w:right w:val="nil"/>
            </w:tcBorders>
            <w:shd w:val="clear" w:color="auto" w:fill="auto"/>
            <w:noWrap/>
            <w:vAlign w:val="center"/>
            <w:hideMark/>
          </w:tcPr>
          <w:p w14:paraId="303F72C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56.0</w:t>
            </w:r>
          </w:p>
        </w:tc>
        <w:tc>
          <w:tcPr>
            <w:tcW w:w="1422" w:type="dxa"/>
            <w:tcBorders>
              <w:top w:val="nil"/>
              <w:left w:val="nil"/>
              <w:bottom w:val="nil"/>
              <w:right w:val="nil"/>
            </w:tcBorders>
            <w:shd w:val="clear" w:color="auto" w:fill="auto"/>
            <w:noWrap/>
            <w:vAlign w:val="center"/>
            <w:hideMark/>
          </w:tcPr>
          <w:p w14:paraId="0D22074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50.9</w:t>
            </w:r>
          </w:p>
        </w:tc>
        <w:tc>
          <w:tcPr>
            <w:tcW w:w="1092" w:type="dxa"/>
            <w:tcBorders>
              <w:top w:val="nil"/>
              <w:left w:val="nil"/>
              <w:bottom w:val="nil"/>
              <w:right w:val="nil"/>
            </w:tcBorders>
            <w:shd w:val="clear" w:color="auto" w:fill="auto"/>
            <w:noWrap/>
            <w:vAlign w:val="center"/>
            <w:hideMark/>
          </w:tcPr>
          <w:p w14:paraId="6D7D9B8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21.7</w:t>
            </w:r>
          </w:p>
        </w:tc>
        <w:tc>
          <w:tcPr>
            <w:tcW w:w="787" w:type="dxa"/>
            <w:tcBorders>
              <w:top w:val="nil"/>
              <w:left w:val="nil"/>
              <w:bottom w:val="nil"/>
              <w:right w:val="nil"/>
            </w:tcBorders>
            <w:shd w:val="clear" w:color="auto" w:fill="auto"/>
            <w:noWrap/>
            <w:vAlign w:val="center"/>
            <w:hideMark/>
          </w:tcPr>
          <w:p w14:paraId="06C4BCD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w:t>
            </w:r>
          </w:p>
        </w:tc>
      </w:tr>
      <w:tr w:rsidR="00CC4FE7" w:rsidRPr="00F36460" w14:paraId="12662DF0" w14:textId="77777777" w:rsidTr="009B2059">
        <w:trPr>
          <w:trHeight w:val="225"/>
        </w:trPr>
        <w:tc>
          <w:tcPr>
            <w:tcW w:w="834" w:type="dxa"/>
            <w:tcBorders>
              <w:top w:val="nil"/>
              <w:left w:val="nil"/>
              <w:bottom w:val="nil"/>
              <w:right w:val="nil"/>
            </w:tcBorders>
            <w:shd w:val="clear" w:color="auto" w:fill="auto"/>
            <w:noWrap/>
            <w:vAlign w:val="center"/>
            <w:hideMark/>
          </w:tcPr>
          <w:p w14:paraId="63E58F47"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78B6737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Mozambique</w:t>
            </w:r>
          </w:p>
        </w:tc>
        <w:tc>
          <w:tcPr>
            <w:tcW w:w="1261" w:type="dxa"/>
            <w:tcBorders>
              <w:top w:val="nil"/>
              <w:left w:val="nil"/>
              <w:bottom w:val="nil"/>
              <w:right w:val="nil"/>
            </w:tcBorders>
            <w:shd w:val="clear" w:color="auto" w:fill="auto"/>
            <w:noWrap/>
            <w:vAlign w:val="center"/>
            <w:hideMark/>
          </w:tcPr>
          <w:p w14:paraId="0A79039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57.4</w:t>
            </w:r>
          </w:p>
        </w:tc>
        <w:tc>
          <w:tcPr>
            <w:tcW w:w="1118" w:type="dxa"/>
            <w:tcBorders>
              <w:top w:val="nil"/>
              <w:left w:val="nil"/>
              <w:bottom w:val="nil"/>
              <w:right w:val="nil"/>
            </w:tcBorders>
            <w:shd w:val="clear" w:color="auto" w:fill="auto"/>
            <w:noWrap/>
            <w:vAlign w:val="center"/>
            <w:hideMark/>
          </w:tcPr>
          <w:p w14:paraId="5F8C4DE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24.7</w:t>
            </w:r>
          </w:p>
        </w:tc>
        <w:tc>
          <w:tcPr>
            <w:tcW w:w="1422" w:type="dxa"/>
            <w:tcBorders>
              <w:top w:val="nil"/>
              <w:left w:val="nil"/>
              <w:bottom w:val="nil"/>
              <w:right w:val="nil"/>
            </w:tcBorders>
            <w:shd w:val="clear" w:color="auto" w:fill="auto"/>
            <w:noWrap/>
            <w:vAlign w:val="center"/>
            <w:hideMark/>
          </w:tcPr>
          <w:p w14:paraId="2495E67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57.2</w:t>
            </w:r>
          </w:p>
        </w:tc>
        <w:tc>
          <w:tcPr>
            <w:tcW w:w="1092" w:type="dxa"/>
            <w:tcBorders>
              <w:top w:val="nil"/>
              <w:left w:val="nil"/>
              <w:bottom w:val="nil"/>
              <w:right w:val="nil"/>
            </w:tcBorders>
            <w:shd w:val="clear" w:color="auto" w:fill="auto"/>
            <w:noWrap/>
            <w:vAlign w:val="center"/>
            <w:hideMark/>
          </w:tcPr>
          <w:p w14:paraId="25B768F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37.4</w:t>
            </w:r>
          </w:p>
        </w:tc>
        <w:tc>
          <w:tcPr>
            <w:tcW w:w="787" w:type="dxa"/>
            <w:tcBorders>
              <w:top w:val="nil"/>
              <w:left w:val="nil"/>
              <w:bottom w:val="nil"/>
              <w:right w:val="nil"/>
            </w:tcBorders>
            <w:shd w:val="clear" w:color="auto" w:fill="auto"/>
            <w:noWrap/>
            <w:vAlign w:val="center"/>
            <w:hideMark/>
          </w:tcPr>
          <w:p w14:paraId="0843216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11.3</w:t>
            </w:r>
          </w:p>
        </w:tc>
      </w:tr>
      <w:tr w:rsidR="00CC4FE7" w:rsidRPr="00F36460" w14:paraId="68636DCC" w14:textId="77777777" w:rsidTr="009B2059">
        <w:trPr>
          <w:trHeight w:val="126"/>
        </w:trPr>
        <w:tc>
          <w:tcPr>
            <w:tcW w:w="834" w:type="dxa"/>
            <w:tcBorders>
              <w:top w:val="nil"/>
              <w:left w:val="nil"/>
              <w:bottom w:val="nil"/>
              <w:right w:val="nil"/>
            </w:tcBorders>
            <w:shd w:val="clear" w:color="auto" w:fill="auto"/>
            <w:noWrap/>
            <w:vAlign w:val="center"/>
            <w:hideMark/>
          </w:tcPr>
          <w:p w14:paraId="74FD13C5"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2BEC66A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Namibia</w:t>
            </w:r>
          </w:p>
        </w:tc>
        <w:tc>
          <w:tcPr>
            <w:tcW w:w="1261" w:type="dxa"/>
            <w:tcBorders>
              <w:top w:val="nil"/>
              <w:left w:val="nil"/>
              <w:bottom w:val="nil"/>
              <w:right w:val="nil"/>
            </w:tcBorders>
            <w:shd w:val="clear" w:color="auto" w:fill="auto"/>
            <w:noWrap/>
            <w:vAlign w:val="center"/>
            <w:hideMark/>
          </w:tcPr>
          <w:p w14:paraId="2729DDE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53.7</w:t>
            </w:r>
          </w:p>
        </w:tc>
        <w:tc>
          <w:tcPr>
            <w:tcW w:w="1118" w:type="dxa"/>
            <w:tcBorders>
              <w:top w:val="nil"/>
              <w:left w:val="nil"/>
              <w:bottom w:val="nil"/>
              <w:right w:val="nil"/>
            </w:tcBorders>
            <w:shd w:val="clear" w:color="auto" w:fill="auto"/>
            <w:noWrap/>
            <w:vAlign w:val="center"/>
            <w:hideMark/>
          </w:tcPr>
          <w:p w14:paraId="0C33596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23.3</w:t>
            </w:r>
          </w:p>
        </w:tc>
        <w:tc>
          <w:tcPr>
            <w:tcW w:w="1422" w:type="dxa"/>
            <w:tcBorders>
              <w:top w:val="nil"/>
              <w:left w:val="nil"/>
              <w:bottom w:val="nil"/>
              <w:right w:val="nil"/>
            </w:tcBorders>
            <w:shd w:val="clear" w:color="auto" w:fill="auto"/>
            <w:noWrap/>
            <w:vAlign w:val="center"/>
            <w:hideMark/>
          </w:tcPr>
          <w:p w14:paraId="28F8FCB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59.5</w:t>
            </w:r>
          </w:p>
        </w:tc>
        <w:tc>
          <w:tcPr>
            <w:tcW w:w="1092" w:type="dxa"/>
            <w:tcBorders>
              <w:top w:val="nil"/>
              <w:left w:val="nil"/>
              <w:bottom w:val="nil"/>
              <w:right w:val="nil"/>
            </w:tcBorders>
            <w:shd w:val="clear" w:color="auto" w:fill="auto"/>
            <w:noWrap/>
            <w:vAlign w:val="center"/>
            <w:hideMark/>
          </w:tcPr>
          <w:p w14:paraId="7303B27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43.5</w:t>
            </w:r>
          </w:p>
        </w:tc>
        <w:tc>
          <w:tcPr>
            <w:tcW w:w="787" w:type="dxa"/>
            <w:tcBorders>
              <w:top w:val="nil"/>
              <w:left w:val="nil"/>
              <w:bottom w:val="nil"/>
              <w:right w:val="nil"/>
            </w:tcBorders>
            <w:shd w:val="clear" w:color="auto" w:fill="auto"/>
            <w:noWrap/>
            <w:vAlign w:val="center"/>
            <w:hideMark/>
          </w:tcPr>
          <w:p w14:paraId="6FE2BC6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9.9</w:t>
            </w:r>
          </w:p>
        </w:tc>
      </w:tr>
      <w:tr w:rsidR="00CC4FE7" w:rsidRPr="00F36460" w14:paraId="77B63394" w14:textId="77777777" w:rsidTr="009B2059">
        <w:trPr>
          <w:trHeight w:val="70"/>
        </w:trPr>
        <w:tc>
          <w:tcPr>
            <w:tcW w:w="834" w:type="dxa"/>
            <w:tcBorders>
              <w:top w:val="nil"/>
              <w:left w:val="nil"/>
              <w:bottom w:val="nil"/>
              <w:right w:val="nil"/>
            </w:tcBorders>
            <w:shd w:val="clear" w:color="auto" w:fill="auto"/>
            <w:noWrap/>
            <w:vAlign w:val="center"/>
            <w:hideMark/>
          </w:tcPr>
          <w:p w14:paraId="497820F9"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2095BF9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Senegal</w:t>
            </w:r>
          </w:p>
        </w:tc>
        <w:tc>
          <w:tcPr>
            <w:tcW w:w="1261" w:type="dxa"/>
            <w:tcBorders>
              <w:top w:val="nil"/>
              <w:left w:val="nil"/>
              <w:bottom w:val="nil"/>
              <w:right w:val="nil"/>
            </w:tcBorders>
            <w:shd w:val="clear" w:color="auto" w:fill="auto"/>
            <w:noWrap/>
            <w:vAlign w:val="center"/>
            <w:hideMark/>
          </w:tcPr>
          <w:p w14:paraId="2BE389C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25.4</w:t>
            </w:r>
          </w:p>
        </w:tc>
        <w:tc>
          <w:tcPr>
            <w:tcW w:w="1118" w:type="dxa"/>
            <w:tcBorders>
              <w:top w:val="nil"/>
              <w:left w:val="nil"/>
              <w:bottom w:val="nil"/>
              <w:right w:val="nil"/>
            </w:tcBorders>
            <w:shd w:val="clear" w:color="auto" w:fill="auto"/>
            <w:noWrap/>
            <w:vAlign w:val="center"/>
            <w:hideMark/>
          </w:tcPr>
          <w:p w14:paraId="5329582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40.3</w:t>
            </w:r>
          </w:p>
        </w:tc>
        <w:tc>
          <w:tcPr>
            <w:tcW w:w="1422" w:type="dxa"/>
            <w:tcBorders>
              <w:top w:val="nil"/>
              <w:left w:val="nil"/>
              <w:bottom w:val="nil"/>
              <w:right w:val="nil"/>
            </w:tcBorders>
            <w:shd w:val="clear" w:color="auto" w:fill="auto"/>
            <w:noWrap/>
            <w:vAlign w:val="center"/>
            <w:hideMark/>
          </w:tcPr>
          <w:p w14:paraId="7428C21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61.9</w:t>
            </w:r>
          </w:p>
        </w:tc>
        <w:tc>
          <w:tcPr>
            <w:tcW w:w="1092" w:type="dxa"/>
            <w:tcBorders>
              <w:top w:val="nil"/>
              <w:left w:val="nil"/>
              <w:bottom w:val="nil"/>
              <w:right w:val="nil"/>
            </w:tcBorders>
            <w:shd w:val="clear" w:color="auto" w:fill="auto"/>
            <w:noWrap/>
            <w:vAlign w:val="center"/>
            <w:hideMark/>
          </w:tcPr>
          <w:p w14:paraId="5AAABCF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36.1</w:t>
            </w:r>
          </w:p>
        </w:tc>
        <w:tc>
          <w:tcPr>
            <w:tcW w:w="787" w:type="dxa"/>
            <w:tcBorders>
              <w:top w:val="nil"/>
              <w:left w:val="nil"/>
              <w:bottom w:val="nil"/>
              <w:right w:val="nil"/>
            </w:tcBorders>
            <w:shd w:val="clear" w:color="auto" w:fill="auto"/>
            <w:noWrap/>
            <w:vAlign w:val="center"/>
            <w:hideMark/>
          </w:tcPr>
          <w:p w14:paraId="6320ADB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12.2</w:t>
            </w:r>
          </w:p>
        </w:tc>
      </w:tr>
      <w:tr w:rsidR="00CC4FE7" w:rsidRPr="00F36460" w14:paraId="37E907BF" w14:textId="77777777" w:rsidTr="009B2059">
        <w:trPr>
          <w:trHeight w:val="70"/>
        </w:trPr>
        <w:tc>
          <w:tcPr>
            <w:tcW w:w="834" w:type="dxa"/>
            <w:tcBorders>
              <w:top w:val="nil"/>
              <w:left w:val="nil"/>
              <w:bottom w:val="nil"/>
              <w:right w:val="nil"/>
            </w:tcBorders>
            <w:shd w:val="clear" w:color="auto" w:fill="auto"/>
            <w:noWrap/>
            <w:vAlign w:val="center"/>
            <w:hideMark/>
          </w:tcPr>
          <w:p w14:paraId="23E5A1A3"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3B76C13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Seychelles</w:t>
            </w:r>
          </w:p>
        </w:tc>
        <w:tc>
          <w:tcPr>
            <w:tcW w:w="1261" w:type="dxa"/>
            <w:tcBorders>
              <w:top w:val="nil"/>
              <w:left w:val="nil"/>
              <w:bottom w:val="nil"/>
              <w:right w:val="nil"/>
            </w:tcBorders>
            <w:shd w:val="clear" w:color="auto" w:fill="auto"/>
            <w:noWrap/>
            <w:vAlign w:val="center"/>
            <w:hideMark/>
          </w:tcPr>
          <w:p w14:paraId="55DEE3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40.4</w:t>
            </w:r>
          </w:p>
        </w:tc>
        <w:tc>
          <w:tcPr>
            <w:tcW w:w="1118" w:type="dxa"/>
            <w:tcBorders>
              <w:top w:val="nil"/>
              <w:left w:val="nil"/>
              <w:bottom w:val="nil"/>
              <w:right w:val="nil"/>
            </w:tcBorders>
            <w:shd w:val="clear" w:color="auto" w:fill="auto"/>
            <w:noWrap/>
            <w:vAlign w:val="center"/>
            <w:hideMark/>
          </w:tcPr>
          <w:p w14:paraId="62D11A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48.7</w:t>
            </w:r>
          </w:p>
        </w:tc>
        <w:tc>
          <w:tcPr>
            <w:tcW w:w="1422" w:type="dxa"/>
            <w:tcBorders>
              <w:top w:val="nil"/>
              <w:left w:val="nil"/>
              <w:bottom w:val="nil"/>
              <w:right w:val="nil"/>
            </w:tcBorders>
            <w:shd w:val="clear" w:color="auto" w:fill="auto"/>
            <w:noWrap/>
            <w:vAlign w:val="center"/>
            <w:hideMark/>
          </w:tcPr>
          <w:p w14:paraId="0AE0182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65.3</w:t>
            </w:r>
          </w:p>
        </w:tc>
        <w:tc>
          <w:tcPr>
            <w:tcW w:w="1092" w:type="dxa"/>
            <w:tcBorders>
              <w:top w:val="nil"/>
              <w:left w:val="nil"/>
              <w:bottom w:val="nil"/>
              <w:right w:val="nil"/>
            </w:tcBorders>
            <w:shd w:val="clear" w:color="auto" w:fill="auto"/>
            <w:noWrap/>
            <w:vAlign w:val="center"/>
            <w:hideMark/>
          </w:tcPr>
          <w:p w14:paraId="520C081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31.3</w:t>
            </w:r>
          </w:p>
        </w:tc>
        <w:tc>
          <w:tcPr>
            <w:tcW w:w="787" w:type="dxa"/>
            <w:tcBorders>
              <w:top w:val="nil"/>
              <w:left w:val="nil"/>
              <w:bottom w:val="nil"/>
              <w:right w:val="nil"/>
            </w:tcBorders>
            <w:shd w:val="clear" w:color="auto" w:fill="auto"/>
            <w:noWrap/>
            <w:vAlign w:val="center"/>
            <w:hideMark/>
          </w:tcPr>
          <w:p w14:paraId="329FCF8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12.5</w:t>
            </w:r>
          </w:p>
        </w:tc>
      </w:tr>
      <w:tr w:rsidR="00CC4FE7" w:rsidRPr="00F36460" w14:paraId="4AD42D4D" w14:textId="77777777" w:rsidTr="009B2059">
        <w:trPr>
          <w:trHeight w:val="70"/>
        </w:trPr>
        <w:tc>
          <w:tcPr>
            <w:tcW w:w="834" w:type="dxa"/>
            <w:tcBorders>
              <w:top w:val="nil"/>
              <w:left w:val="nil"/>
              <w:bottom w:val="nil"/>
              <w:right w:val="nil"/>
            </w:tcBorders>
            <w:shd w:val="clear" w:color="auto" w:fill="auto"/>
            <w:noWrap/>
            <w:vAlign w:val="center"/>
            <w:hideMark/>
          </w:tcPr>
          <w:p w14:paraId="01DAE97B"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463BC4E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Swaziland</w:t>
            </w:r>
          </w:p>
        </w:tc>
        <w:tc>
          <w:tcPr>
            <w:tcW w:w="1261" w:type="dxa"/>
            <w:tcBorders>
              <w:top w:val="nil"/>
              <w:left w:val="nil"/>
              <w:bottom w:val="nil"/>
              <w:right w:val="nil"/>
            </w:tcBorders>
            <w:shd w:val="clear" w:color="auto" w:fill="auto"/>
            <w:noWrap/>
            <w:vAlign w:val="center"/>
            <w:hideMark/>
          </w:tcPr>
          <w:p w14:paraId="7DFE057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11.5</w:t>
            </w:r>
          </w:p>
        </w:tc>
        <w:tc>
          <w:tcPr>
            <w:tcW w:w="1118" w:type="dxa"/>
            <w:tcBorders>
              <w:top w:val="nil"/>
              <w:left w:val="nil"/>
              <w:bottom w:val="nil"/>
              <w:right w:val="nil"/>
            </w:tcBorders>
            <w:shd w:val="clear" w:color="auto" w:fill="auto"/>
            <w:noWrap/>
            <w:vAlign w:val="center"/>
            <w:hideMark/>
          </w:tcPr>
          <w:p w14:paraId="1523DF5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54.6</w:t>
            </w:r>
          </w:p>
        </w:tc>
        <w:tc>
          <w:tcPr>
            <w:tcW w:w="1422" w:type="dxa"/>
            <w:tcBorders>
              <w:top w:val="nil"/>
              <w:left w:val="nil"/>
              <w:bottom w:val="nil"/>
              <w:right w:val="nil"/>
            </w:tcBorders>
            <w:shd w:val="clear" w:color="auto" w:fill="auto"/>
            <w:noWrap/>
            <w:vAlign w:val="center"/>
            <w:hideMark/>
          </w:tcPr>
          <w:p w14:paraId="1C3C39C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52.8</w:t>
            </w:r>
          </w:p>
        </w:tc>
        <w:tc>
          <w:tcPr>
            <w:tcW w:w="1092" w:type="dxa"/>
            <w:tcBorders>
              <w:top w:val="nil"/>
              <w:left w:val="nil"/>
              <w:bottom w:val="nil"/>
              <w:right w:val="nil"/>
            </w:tcBorders>
            <w:shd w:val="clear" w:color="auto" w:fill="auto"/>
            <w:noWrap/>
            <w:vAlign w:val="center"/>
            <w:hideMark/>
          </w:tcPr>
          <w:p w14:paraId="4D80E54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42.9</w:t>
            </w:r>
          </w:p>
        </w:tc>
        <w:tc>
          <w:tcPr>
            <w:tcW w:w="787" w:type="dxa"/>
            <w:tcBorders>
              <w:top w:val="nil"/>
              <w:left w:val="nil"/>
              <w:bottom w:val="nil"/>
              <w:right w:val="nil"/>
            </w:tcBorders>
            <w:shd w:val="clear" w:color="auto" w:fill="auto"/>
            <w:noWrap/>
            <w:vAlign w:val="center"/>
            <w:hideMark/>
          </w:tcPr>
          <w:p w14:paraId="64E89CC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9.7</w:t>
            </w:r>
          </w:p>
        </w:tc>
      </w:tr>
      <w:tr w:rsidR="00CC4FE7" w:rsidRPr="00F36460" w14:paraId="518F705F" w14:textId="77777777" w:rsidTr="009B2059">
        <w:trPr>
          <w:trHeight w:val="270"/>
        </w:trPr>
        <w:tc>
          <w:tcPr>
            <w:tcW w:w="834" w:type="dxa"/>
            <w:tcBorders>
              <w:top w:val="nil"/>
              <w:left w:val="nil"/>
              <w:bottom w:val="nil"/>
              <w:right w:val="nil"/>
            </w:tcBorders>
            <w:shd w:val="clear" w:color="auto" w:fill="auto"/>
            <w:noWrap/>
            <w:vAlign w:val="center"/>
            <w:hideMark/>
          </w:tcPr>
          <w:p w14:paraId="48DAD217"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DBAA48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Tanzania</w:t>
            </w:r>
          </w:p>
        </w:tc>
        <w:tc>
          <w:tcPr>
            <w:tcW w:w="1261" w:type="dxa"/>
            <w:tcBorders>
              <w:top w:val="nil"/>
              <w:left w:val="nil"/>
              <w:bottom w:val="nil"/>
              <w:right w:val="nil"/>
            </w:tcBorders>
            <w:shd w:val="clear" w:color="auto" w:fill="auto"/>
            <w:noWrap/>
            <w:vAlign w:val="center"/>
            <w:hideMark/>
          </w:tcPr>
          <w:p w14:paraId="4C45D52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20.0</w:t>
            </w:r>
          </w:p>
        </w:tc>
        <w:tc>
          <w:tcPr>
            <w:tcW w:w="1118" w:type="dxa"/>
            <w:tcBorders>
              <w:top w:val="nil"/>
              <w:left w:val="nil"/>
              <w:bottom w:val="nil"/>
              <w:right w:val="nil"/>
            </w:tcBorders>
            <w:shd w:val="clear" w:color="auto" w:fill="auto"/>
            <w:noWrap/>
            <w:vAlign w:val="center"/>
            <w:hideMark/>
          </w:tcPr>
          <w:p w14:paraId="2E0E654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63.9</w:t>
            </w:r>
          </w:p>
        </w:tc>
        <w:tc>
          <w:tcPr>
            <w:tcW w:w="1422" w:type="dxa"/>
            <w:tcBorders>
              <w:top w:val="nil"/>
              <w:left w:val="nil"/>
              <w:bottom w:val="nil"/>
              <w:right w:val="nil"/>
            </w:tcBorders>
            <w:shd w:val="clear" w:color="auto" w:fill="auto"/>
            <w:noWrap/>
            <w:vAlign w:val="center"/>
            <w:hideMark/>
          </w:tcPr>
          <w:p w14:paraId="794F114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52.0</w:t>
            </w:r>
          </w:p>
        </w:tc>
        <w:tc>
          <w:tcPr>
            <w:tcW w:w="1092" w:type="dxa"/>
            <w:tcBorders>
              <w:top w:val="nil"/>
              <w:left w:val="nil"/>
              <w:bottom w:val="nil"/>
              <w:right w:val="nil"/>
            </w:tcBorders>
            <w:shd w:val="clear" w:color="auto" w:fill="auto"/>
            <w:noWrap/>
            <w:vAlign w:val="center"/>
            <w:hideMark/>
          </w:tcPr>
          <w:p w14:paraId="6957BAF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19.2</w:t>
            </w:r>
          </w:p>
        </w:tc>
        <w:tc>
          <w:tcPr>
            <w:tcW w:w="787" w:type="dxa"/>
            <w:tcBorders>
              <w:top w:val="nil"/>
              <w:left w:val="nil"/>
              <w:bottom w:val="nil"/>
              <w:right w:val="nil"/>
            </w:tcBorders>
            <w:shd w:val="clear" w:color="auto" w:fill="auto"/>
            <w:noWrap/>
            <w:vAlign w:val="center"/>
            <w:hideMark/>
          </w:tcPr>
          <w:p w14:paraId="65ADA49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6.7</w:t>
            </w:r>
          </w:p>
        </w:tc>
      </w:tr>
      <w:tr w:rsidR="00CC4FE7" w:rsidRPr="00F36460" w14:paraId="5FC84EED" w14:textId="77777777" w:rsidTr="009B2059">
        <w:trPr>
          <w:trHeight w:val="70"/>
        </w:trPr>
        <w:tc>
          <w:tcPr>
            <w:tcW w:w="834" w:type="dxa"/>
            <w:tcBorders>
              <w:top w:val="nil"/>
              <w:left w:val="nil"/>
              <w:bottom w:val="nil"/>
              <w:right w:val="nil"/>
            </w:tcBorders>
            <w:shd w:val="clear" w:color="auto" w:fill="auto"/>
            <w:noWrap/>
            <w:vAlign w:val="center"/>
            <w:hideMark/>
          </w:tcPr>
          <w:p w14:paraId="06D6C59B"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78677DA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Uganda</w:t>
            </w:r>
          </w:p>
        </w:tc>
        <w:tc>
          <w:tcPr>
            <w:tcW w:w="1261" w:type="dxa"/>
            <w:tcBorders>
              <w:top w:val="nil"/>
              <w:left w:val="nil"/>
              <w:bottom w:val="nil"/>
              <w:right w:val="nil"/>
            </w:tcBorders>
            <w:shd w:val="clear" w:color="auto" w:fill="auto"/>
            <w:noWrap/>
            <w:vAlign w:val="center"/>
            <w:hideMark/>
          </w:tcPr>
          <w:p w14:paraId="354C98A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28.5</w:t>
            </w:r>
          </w:p>
        </w:tc>
        <w:tc>
          <w:tcPr>
            <w:tcW w:w="1118" w:type="dxa"/>
            <w:tcBorders>
              <w:top w:val="nil"/>
              <w:left w:val="nil"/>
              <w:bottom w:val="nil"/>
              <w:right w:val="nil"/>
            </w:tcBorders>
            <w:shd w:val="clear" w:color="auto" w:fill="auto"/>
            <w:noWrap/>
            <w:vAlign w:val="center"/>
            <w:hideMark/>
          </w:tcPr>
          <w:p w14:paraId="5688496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36.5</w:t>
            </w:r>
          </w:p>
        </w:tc>
        <w:tc>
          <w:tcPr>
            <w:tcW w:w="1422" w:type="dxa"/>
            <w:tcBorders>
              <w:top w:val="nil"/>
              <w:left w:val="nil"/>
              <w:bottom w:val="nil"/>
              <w:right w:val="nil"/>
            </w:tcBorders>
            <w:shd w:val="clear" w:color="auto" w:fill="auto"/>
            <w:noWrap/>
            <w:vAlign w:val="center"/>
            <w:hideMark/>
          </w:tcPr>
          <w:p w14:paraId="4574EA5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51.2</w:t>
            </w:r>
          </w:p>
        </w:tc>
        <w:tc>
          <w:tcPr>
            <w:tcW w:w="1092" w:type="dxa"/>
            <w:tcBorders>
              <w:top w:val="nil"/>
              <w:left w:val="nil"/>
              <w:bottom w:val="nil"/>
              <w:right w:val="nil"/>
            </w:tcBorders>
            <w:shd w:val="clear" w:color="auto" w:fill="auto"/>
            <w:noWrap/>
            <w:vAlign w:val="center"/>
            <w:hideMark/>
          </w:tcPr>
          <w:p w14:paraId="314F7B2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45.4</w:t>
            </w:r>
          </w:p>
        </w:tc>
        <w:tc>
          <w:tcPr>
            <w:tcW w:w="787" w:type="dxa"/>
            <w:tcBorders>
              <w:top w:val="nil"/>
              <w:left w:val="nil"/>
              <w:bottom w:val="nil"/>
              <w:right w:val="nil"/>
            </w:tcBorders>
            <w:shd w:val="clear" w:color="auto" w:fill="auto"/>
            <w:noWrap/>
            <w:vAlign w:val="center"/>
            <w:hideMark/>
          </w:tcPr>
          <w:p w14:paraId="513455B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9.3</w:t>
            </w:r>
          </w:p>
        </w:tc>
      </w:tr>
      <w:tr w:rsidR="00CC4FE7" w:rsidRPr="00F36460" w14:paraId="263B46DE" w14:textId="77777777" w:rsidTr="009B2059">
        <w:trPr>
          <w:trHeight w:val="70"/>
        </w:trPr>
        <w:tc>
          <w:tcPr>
            <w:tcW w:w="834" w:type="dxa"/>
            <w:tcBorders>
              <w:top w:val="nil"/>
              <w:left w:val="nil"/>
              <w:bottom w:val="nil"/>
              <w:right w:val="nil"/>
            </w:tcBorders>
            <w:shd w:val="clear" w:color="auto" w:fill="auto"/>
            <w:noWrap/>
            <w:vAlign w:val="center"/>
            <w:hideMark/>
          </w:tcPr>
          <w:p w14:paraId="2288BBF5"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729F62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Zambia</w:t>
            </w:r>
          </w:p>
        </w:tc>
        <w:tc>
          <w:tcPr>
            <w:tcW w:w="1261" w:type="dxa"/>
            <w:tcBorders>
              <w:top w:val="nil"/>
              <w:left w:val="nil"/>
              <w:bottom w:val="nil"/>
              <w:right w:val="nil"/>
            </w:tcBorders>
            <w:shd w:val="clear" w:color="auto" w:fill="auto"/>
            <w:noWrap/>
            <w:vAlign w:val="center"/>
            <w:hideMark/>
          </w:tcPr>
          <w:p w14:paraId="6780469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44.7</w:t>
            </w:r>
          </w:p>
        </w:tc>
        <w:tc>
          <w:tcPr>
            <w:tcW w:w="1118" w:type="dxa"/>
            <w:tcBorders>
              <w:top w:val="nil"/>
              <w:left w:val="nil"/>
              <w:bottom w:val="nil"/>
              <w:right w:val="nil"/>
            </w:tcBorders>
            <w:shd w:val="clear" w:color="auto" w:fill="auto"/>
            <w:noWrap/>
            <w:vAlign w:val="center"/>
            <w:hideMark/>
          </w:tcPr>
          <w:p w14:paraId="3F21C4F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49.4</w:t>
            </w:r>
          </w:p>
        </w:tc>
        <w:tc>
          <w:tcPr>
            <w:tcW w:w="1422" w:type="dxa"/>
            <w:tcBorders>
              <w:top w:val="nil"/>
              <w:left w:val="nil"/>
              <w:bottom w:val="nil"/>
              <w:right w:val="nil"/>
            </w:tcBorders>
            <w:shd w:val="clear" w:color="auto" w:fill="auto"/>
            <w:noWrap/>
            <w:vAlign w:val="center"/>
            <w:hideMark/>
          </w:tcPr>
          <w:p w14:paraId="0D8ECA1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59.9</w:t>
            </w:r>
          </w:p>
        </w:tc>
        <w:tc>
          <w:tcPr>
            <w:tcW w:w="1092" w:type="dxa"/>
            <w:tcBorders>
              <w:top w:val="nil"/>
              <w:left w:val="nil"/>
              <w:bottom w:val="nil"/>
              <w:right w:val="nil"/>
            </w:tcBorders>
            <w:shd w:val="clear" w:color="auto" w:fill="auto"/>
            <w:noWrap/>
            <w:vAlign w:val="center"/>
            <w:hideMark/>
          </w:tcPr>
          <w:p w14:paraId="39ECC12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53.9</w:t>
            </w:r>
          </w:p>
        </w:tc>
        <w:tc>
          <w:tcPr>
            <w:tcW w:w="787" w:type="dxa"/>
            <w:tcBorders>
              <w:top w:val="nil"/>
              <w:left w:val="nil"/>
              <w:bottom w:val="nil"/>
              <w:right w:val="nil"/>
            </w:tcBorders>
            <w:shd w:val="clear" w:color="auto" w:fill="auto"/>
            <w:noWrap/>
            <w:vAlign w:val="center"/>
            <w:hideMark/>
          </w:tcPr>
          <w:p w14:paraId="4ABBEB3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28.7</w:t>
            </w:r>
          </w:p>
        </w:tc>
      </w:tr>
      <w:tr w:rsidR="00CC4FE7" w:rsidRPr="00F36460" w14:paraId="7A7546E2" w14:textId="77777777" w:rsidTr="009B2059">
        <w:trPr>
          <w:trHeight w:val="252"/>
        </w:trPr>
        <w:tc>
          <w:tcPr>
            <w:tcW w:w="834" w:type="dxa"/>
            <w:tcBorders>
              <w:top w:val="nil"/>
              <w:left w:val="nil"/>
              <w:bottom w:val="nil"/>
              <w:right w:val="nil"/>
            </w:tcBorders>
            <w:shd w:val="clear" w:color="auto" w:fill="auto"/>
            <w:noWrap/>
            <w:vAlign w:val="center"/>
            <w:hideMark/>
          </w:tcPr>
          <w:p w14:paraId="4B1A7AB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AMR</w:t>
            </w:r>
          </w:p>
        </w:tc>
        <w:tc>
          <w:tcPr>
            <w:tcW w:w="3286" w:type="dxa"/>
            <w:tcBorders>
              <w:top w:val="nil"/>
              <w:left w:val="nil"/>
              <w:bottom w:val="nil"/>
              <w:right w:val="nil"/>
            </w:tcBorders>
            <w:shd w:val="clear" w:color="auto" w:fill="auto"/>
            <w:noWrap/>
            <w:vAlign w:val="center"/>
            <w:hideMark/>
          </w:tcPr>
          <w:p w14:paraId="51E327B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Antigua &amp; Barbuda</w:t>
            </w:r>
          </w:p>
        </w:tc>
        <w:tc>
          <w:tcPr>
            <w:tcW w:w="1261" w:type="dxa"/>
            <w:tcBorders>
              <w:top w:val="nil"/>
              <w:left w:val="nil"/>
              <w:bottom w:val="nil"/>
              <w:right w:val="nil"/>
            </w:tcBorders>
            <w:shd w:val="clear" w:color="auto" w:fill="auto"/>
            <w:noWrap/>
            <w:vAlign w:val="center"/>
            <w:hideMark/>
          </w:tcPr>
          <w:p w14:paraId="12781BE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36.3</w:t>
            </w:r>
          </w:p>
        </w:tc>
        <w:tc>
          <w:tcPr>
            <w:tcW w:w="1118" w:type="dxa"/>
            <w:tcBorders>
              <w:top w:val="nil"/>
              <w:left w:val="nil"/>
              <w:bottom w:val="nil"/>
              <w:right w:val="nil"/>
            </w:tcBorders>
            <w:shd w:val="clear" w:color="auto" w:fill="auto"/>
            <w:noWrap/>
            <w:vAlign w:val="center"/>
            <w:hideMark/>
          </w:tcPr>
          <w:p w14:paraId="24D461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31.8</w:t>
            </w:r>
          </w:p>
        </w:tc>
        <w:tc>
          <w:tcPr>
            <w:tcW w:w="1422" w:type="dxa"/>
            <w:tcBorders>
              <w:top w:val="nil"/>
              <w:left w:val="nil"/>
              <w:bottom w:val="nil"/>
              <w:right w:val="nil"/>
            </w:tcBorders>
            <w:shd w:val="clear" w:color="auto" w:fill="auto"/>
            <w:noWrap/>
            <w:vAlign w:val="center"/>
            <w:hideMark/>
          </w:tcPr>
          <w:p w14:paraId="02BFE94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68.7</w:t>
            </w:r>
          </w:p>
        </w:tc>
        <w:tc>
          <w:tcPr>
            <w:tcW w:w="1092" w:type="dxa"/>
            <w:tcBorders>
              <w:top w:val="nil"/>
              <w:left w:val="nil"/>
              <w:bottom w:val="nil"/>
              <w:right w:val="nil"/>
            </w:tcBorders>
            <w:shd w:val="clear" w:color="auto" w:fill="auto"/>
            <w:noWrap/>
            <w:vAlign w:val="center"/>
            <w:hideMark/>
          </w:tcPr>
          <w:p w14:paraId="1765DFE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36.8</w:t>
            </w:r>
          </w:p>
        </w:tc>
        <w:tc>
          <w:tcPr>
            <w:tcW w:w="787" w:type="dxa"/>
            <w:tcBorders>
              <w:top w:val="nil"/>
              <w:left w:val="nil"/>
              <w:bottom w:val="nil"/>
              <w:right w:val="nil"/>
            </w:tcBorders>
            <w:shd w:val="clear" w:color="auto" w:fill="auto"/>
            <w:noWrap/>
            <w:vAlign w:val="center"/>
            <w:hideMark/>
          </w:tcPr>
          <w:p w14:paraId="3A4B6BD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7.4</w:t>
            </w:r>
          </w:p>
        </w:tc>
      </w:tr>
      <w:tr w:rsidR="00CC4FE7" w:rsidRPr="00F36460" w14:paraId="4AF45DBB" w14:textId="77777777" w:rsidTr="009B2059">
        <w:trPr>
          <w:trHeight w:val="252"/>
        </w:trPr>
        <w:tc>
          <w:tcPr>
            <w:tcW w:w="834" w:type="dxa"/>
            <w:tcBorders>
              <w:top w:val="nil"/>
              <w:left w:val="nil"/>
              <w:bottom w:val="nil"/>
              <w:right w:val="nil"/>
            </w:tcBorders>
            <w:shd w:val="clear" w:color="auto" w:fill="auto"/>
            <w:noWrap/>
            <w:vAlign w:val="center"/>
            <w:hideMark/>
          </w:tcPr>
          <w:p w14:paraId="002D5141"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592D58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Argentina</w:t>
            </w:r>
          </w:p>
        </w:tc>
        <w:tc>
          <w:tcPr>
            <w:tcW w:w="1261" w:type="dxa"/>
            <w:tcBorders>
              <w:top w:val="nil"/>
              <w:left w:val="nil"/>
              <w:bottom w:val="nil"/>
              <w:right w:val="nil"/>
            </w:tcBorders>
            <w:shd w:val="clear" w:color="auto" w:fill="auto"/>
            <w:noWrap/>
            <w:vAlign w:val="center"/>
            <w:hideMark/>
          </w:tcPr>
          <w:p w14:paraId="4D1738C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41.6</w:t>
            </w:r>
          </w:p>
        </w:tc>
        <w:tc>
          <w:tcPr>
            <w:tcW w:w="1118" w:type="dxa"/>
            <w:tcBorders>
              <w:top w:val="nil"/>
              <w:left w:val="nil"/>
              <w:bottom w:val="nil"/>
              <w:right w:val="nil"/>
            </w:tcBorders>
            <w:shd w:val="clear" w:color="auto" w:fill="auto"/>
            <w:noWrap/>
            <w:vAlign w:val="center"/>
            <w:hideMark/>
          </w:tcPr>
          <w:p w14:paraId="0EE9CEC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23.8</w:t>
            </w:r>
          </w:p>
        </w:tc>
        <w:tc>
          <w:tcPr>
            <w:tcW w:w="1422" w:type="dxa"/>
            <w:tcBorders>
              <w:top w:val="nil"/>
              <w:left w:val="nil"/>
              <w:bottom w:val="nil"/>
              <w:right w:val="nil"/>
            </w:tcBorders>
            <w:shd w:val="clear" w:color="auto" w:fill="auto"/>
            <w:noWrap/>
            <w:vAlign w:val="center"/>
            <w:hideMark/>
          </w:tcPr>
          <w:p w14:paraId="3AAEBA1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57.9</w:t>
            </w:r>
          </w:p>
        </w:tc>
        <w:tc>
          <w:tcPr>
            <w:tcW w:w="1092" w:type="dxa"/>
            <w:tcBorders>
              <w:top w:val="nil"/>
              <w:left w:val="nil"/>
              <w:bottom w:val="nil"/>
              <w:right w:val="nil"/>
            </w:tcBorders>
            <w:shd w:val="clear" w:color="auto" w:fill="auto"/>
            <w:noWrap/>
            <w:vAlign w:val="center"/>
            <w:hideMark/>
          </w:tcPr>
          <w:p w14:paraId="5C26636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31.7</w:t>
            </w:r>
          </w:p>
        </w:tc>
        <w:tc>
          <w:tcPr>
            <w:tcW w:w="787" w:type="dxa"/>
            <w:tcBorders>
              <w:top w:val="nil"/>
              <w:left w:val="nil"/>
              <w:bottom w:val="nil"/>
              <w:right w:val="nil"/>
            </w:tcBorders>
            <w:shd w:val="clear" w:color="auto" w:fill="auto"/>
            <w:noWrap/>
            <w:vAlign w:val="center"/>
            <w:hideMark/>
          </w:tcPr>
          <w:p w14:paraId="47C0CFE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w:t>
            </w:r>
          </w:p>
        </w:tc>
      </w:tr>
      <w:tr w:rsidR="00CC4FE7" w:rsidRPr="00F36460" w14:paraId="08651045" w14:textId="77777777" w:rsidTr="009B2059">
        <w:trPr>
          <w:trHeight w:val="70"/>
        </w:trPr>
        <w:tc>
          <w:tcPr>
            <w:tcW w:w="834" w:type="dxa"/>
            <w:tcBorders>
              <w:top w:val="nil"/>
              <w:left w:val="nil"/>
              <w:bottom w:val="nil"/>
              <w:right w:val="nil"/>
            </w:tcBorders>
            <w:shd w:val="clear" w:color="auto" w:fill="auto"/>
            <w:noWrap/>
            <w:vAlign w:val="center"/>
            <w:hideMark/>
          </w:tcPr>
          <w:p w14:paraId="1BBCAB19"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2FFCA19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Bahamas</w:t>
            </w:r>
          </w:p>
        </w:tc>
        <w:tc>
          <w:tcPr>
            <w:tcW w:w="1261" w:type="dxa"/>
            <w:tcBorders>
              <w:top w:val="nil"/>
              <w:left w:val="nil"/>
              <w:bottom w:val="nil"/>
              <w:right w:val="nil"/>
            </w:tcBorders>
            <w:shd w:val="clear" w:color="auto" w:fill="auto"/>
            <w:noWrap/>
            <w:vAlign w:val="center"/>
            <w:hideMark/>
          </w:tcPr>
          <w:p w14:paraId="09D010F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28.2</w:t>
            </w:r>
          </w:p>
        </w:tc>
        <w:tc>
          <w:tcPr>
            <w:tcW w:w="1118" w:type="dxa"/>
            <w:tcBorders>
              <w:top w:val="nil"/>
              <w:left w:val="nil"/>
              <w:bottom w:val="nil"/>
              <w:right w:val="nil"/>
            </w:tcBorders>
            <w:shd w:val="clear" w:color="auto" w:fill="auto"/>
            <w:noWrap/>
            <w:vAlign w:val="center"/>
            <w:hideMark/>
          </w:tcPr>
          <w:p w14:paraId="0E26EDC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40.1</w:t>
            </w:r>
          </w:p>
        </w:tc>
        <w:tc>
          <w:tcPr>
            <w:tcW w:w="1422" w:type="dxa"/>
            <w:tcBorders>
              <w:top w:val="nil"/>
              <w:left w:val="nil"/>
              <w:bottom w:val="nil"/>
              <w:right w:val="nil"/>
            </w:tcBorders>
            <w:shd w:val="clear" w:color="auto" w:fill="auto"/>
            <w:noWrap/>
            <w:vAlign w:val="center"/>
            <w:hideMark/>
          </w:tcPr>
          <w:p w14:paraId="067BD6C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61.2</w:t>
            </w:r>
          </w:p>
        </w:tc>
        <w:tc>
          <w:tcPr>
            <w:tcW w:w="1092" w:type="dxa"/>
            <w:tcBorders>
              <w:top w:val="nil"/>
              <w:left w:val="nil"/>
              <w:bottom w:val="nil"/>
              <w:right w:val="nil"/>
            </w:tcBorders>
            <w:shd w:val="clear" w:color="auto" w:fill="auto"/>
            <w:noWrap/>
            <w:vAlign w:val="center"/>
            <w:hideMark/>
          </w:tcPr>
          <w:p w14:paraId="57EBB66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40.0</w:t>
            </w:r>
          </w:p>
        </w:tc>
        <w:tc>
          <w:tcPr>
            <w:tcW w:w="787" w:type="dxa"/>
            <w:tcBorders>
              <w:top w:val="nil"/>
              <w:left w:val="nil"/>
              <w:bottom w:val="nil"/>
              <w:right w:val="nil"/>
            </w:tcBorders>
            <w:shd w:val="clear" w:color="auto" w:fill="auto"/>
            <w:noWrap/>
            <w:vAlign w:val="center"/>
            <w:hideMark/>
          </w:tcPr>
          <w:p w14:paraId="08C1A86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6.9</w:t>
            </w:r>
          </w:p>
        </w:tc>
      </w:tr>
      <w:tr w:rsidR="00CC4FE7" w:rsidRPr="00F36460" w14:paraId="6E910DEF" w14:textId="77777777" w:rsidTr="009B2059">
        <w:trPr>
          <w:trHeight w:val="70"/>
        </w:trPr>
        <w:tc>
          <w:tcPr>
            <w:tcW w:w="834" w:type="dxa"/>
            <w:tcBorders>
              <w:top w:val="nil"/>
              <w:left w:val="nil"/>
              <w:bottom w:val="nil"/>
              <w:right w:val="nil"/>
            </w:tcBorders>
            <w:shd w:val="clear" w:color="auto" w:fill="auto"/>
            <w:noWrap/>
            <w:vAlign w:val="center"/>
            <w:hideMark/>
          </w:tcPr>
          <w:p w14:paraId="282DCCAF"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012101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Barbados</w:t>
            </w:r>
          </w:p>
        </w:tc>
        <w:tc>
          <w:tcPr>
            <w:tcW w:w="1261" w:type="dxa"/>
            <w:tcBorders>
              <w:top w:val="nil"/>
              <w:left w:val="nil"/>
              <w:bottom w:val="nil"/>
              <w:right w:val="nil"/>
            </w:tcBorders>
            <w:shd w:val="clear" w:color="auto" w:fill="auto"/>
            <w:noWrap/>
            <w:vAlign w:val="center"/>
            <w:hideMark/>
          </w:tcPr>
          <w:p w14:paraId="50003D3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34.8</w:t>
            </w:r>
          </w:p>
        </w:tc>
        <w:tc>
          <w:tcPr>
            <w:tcW w:w="1118" w:type="dxa"/>
            <w:tcBorders>
              <w:top w:val="nil"/>
              <w:left w:val="nil"/>
              <w:bottom w:val="nil"/>
              <w:right w:val="nil"/>
            </w:tcBorders>
            <w:shd w:val="clear" w:color="auto" w:fill="auto"/>
            <w:noWrap/>
            <w:vAlign w:val="center"/>
            <w:hideMark/>
          </w:tcPr>
          <w:p w14:paraId="343A22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35.9</w:t>
            </w:r>
          </w:p>
        </w:tc>
        <w:tc>
          <w:tcPr>
            <w:tcW w:w="1422" w:type="dxa"/>
            <w:tcBorders>
              <w:top w:val="nil"/>
              <w:left w:val="nil"/>
              <w:bottom w:val="nil"/>
              <w:right w:val="nil"/>
            </w:tcBorders>
            <w:shd w:val="clear" w:color="auto" w:fill="auto"/>
            <w:noWrap/>
            <w:vAlign w:val="center"/>
            <w:hideMark/>
          </w:tcPr>
          <w:p w14:paraId="3556118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59.9</w:t>
            </w:r>
          </w:p>
        </w:tc>
        <w:tc>
          <w:tcPr>
            <w:tcW w:w="1092" w:type="dxa"/>
            <w:tcBorders>
              <w:top w:val="nil"/>
              <w:left w:val="nil"/>
              <w:bottom w:val="nil"/>
              <w:right w:val="nil"/>
            </w:tcBorders>
            <w:shd w:val="clear" w:color="auto" w:fill="auto"/>
            <w:noWrap/>
            <w:vAlign w:val="center"/>
            <w:hideMark/>
          </w:tcPr>
          <w:p w14:paraId="41EC2A7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38.1</w:t>
            </w:r>
          </w:p>
        </w:tc>
        <w:tc>
          <w:tcPr>
            <w:tcW w:w="787" w:type="dxa"/>
            <w:tcBorders>
              <w:top w:val="nil"/>
              <w:left w:val="nil"/>
              <w:bottom w:val="nil"/>
              <w:right w:val="nil"/>
            </w:tcBorders>
            <w:shd w:val="clear" w:color="auto" w:fill="auto"/>
            <w:noWrap/>
            <w:vAlign w:val="center"/>
            <w:hideMark/>
          </w:tcPr>
          <w:p w14:paraId="1C25BB5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4.6</w:t>
            </w:r>
          </w:p>
        </w:tc>
      </w:tr>
      <w:tr w:rsidR="00CC4FE7" w:rsidRPr="00F36460" w14:paraId="30720999" w14:textId="77777777" w:rsidTr="009B2059">
        <w:trPr>
          <w:trHeight w:val="70"/>
        </w:trPr>
        <w:tc>
          <w:tcPr>
            <w:tcW w:w="834" w:type="dxa"/>
            <w:tcBorders>
              <w:top w:val="nil"/>
              <w:left w:val="nil"/>
              <w:bottom w:val="nil"/>
              <w:right w:val="nil"/>
            </w:tcBorders>
            <w:shd w:val="clear" w:color="auto" w:fill="auto"/>
            <w:noWrap/>
            <w:vAlign w:val="center"/>
            <w:hideMark/>
          </w:tcPr>
          <w:p w14:paraId="4DD08A67"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545A5F9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Belize</w:t>
            </w:r>
          </w:p>
        </w:tc>
        <w:tc>
          <w:tcPr>
            <w:tcW w:w="1261" w:type="dxa"/>
            <w:tcBorders>
              <w:top w:val="nil"/>
              <w:left w:val="nil"/>
              <w:bottom w:val="nil"/>
              <w:right w:val="nil"/>
            </w:tcBorders>
            <w:shd w:val="clear" w:color="auto" w:fill="auto"/>
            <w:noWrap/>
            <w:vAlign w:val="center"/>
            <w:hideMark/>
          </w:tcPr>
          <w:p w14:paraId="2A1128D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24.8</w:t>
            </w:r>
          </w:p>
        </w:tc>
        <w:tc>
          <w:tcPr>
            <w:tcW w:w="1118" w:type="dxa"/>
            <w:tcBorders>
              <w:top w:val="nil"/>
              <w:left w:val="nil"/>
              <w:bottom w:val="nil"/>
              <w:right w:val="nil"/>
            </w:tcBorders>
            <w:shd w:val="clear" w:color="auto" w:fill="auto"/>
            <w:noWrap/>
            <w:vAlign w:val="center"/>
            <w:hideMark/>
          </w:tcPr>
          <w:p w14:paraId="6F57F6C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31.1</w:t>
            </w:r>
          </w:p>
        </w:tc>
        <w:tc>
          <w:tcPr>
            <w:tcW w:w="1422" w:type="dxa"/>
            <w:tcBorders>
              <w:top w:val="nil"/>
              <w:left w:val="nil"/>
              <w:bottom w:val="nil"/>
              <w:right w:val="nil"/>
            </w:tcBorders>
            <w:shd w:val="clear" w:color="auto" w:fill="auto"/>
            <w:noWrap/>
            <w:vAlign w:val="center"/>
            <w:hideMark/>
          </w:tcPr>
          <w:p w14:paraId="1CA2044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66.4</w:t>
            </w:r>
          </w:p>
        </w:tc>
        <w:tc>
          <w:tcPr>
            <w:tcW w:w="1092" w:type="dxa"/>
            <w:tcBorders>
              <w:top w:val="nil"/>
              <w:left w:val="nil"/>
              <w:bottom w:val="nil"/>
              <w:right w:val="nil"/>
            </w:tcBorders>
            <w:shd w:val="clear" w:color="auto" w:fill="auto"/>
            <w:noWrap/>
            <w:vAlign w:val="center"/>
            <w:hideMark/>
          </w:tcPr>
          <w:p w14:paraId="0E8A30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30.7</w:t>
            </w:r>
          </w:p>
        </w:tc>
        <w:tc>
          <w:tcPr>
            <w:tcW w:w="787" w:type="dxa"/>
            <w:tcBorders>
              <w:top w:val="nil"/>
              <w:left w:val="nil"/>
              <w:bottom w:val="nil"/>
              <w:right w:val="nil"/>
            </w:tcBorders>
            <w:shd w:val="clear" w:color="auto" w:fill="auto"/>
            <w:noWrap/>
            <w:vAlign w:val="center"/>
            <w:hideMark/>
          </w:tcPr>
          <w:p w14:paraId="6660F3B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7.2</w:t>
            </w:r>
          </w:p>
        </w:tc>
      </w:tr>
      <w:tr w:rsidR="00CC4FE7" w:rsidRPr="00F36460" w14:paraId="522F149D" w14:textId="77777777" w:rsidTr="009B2059">
        <w:trPr>
          <w:trHeight w:val="70"/>
        </w:trPr>
        <w:tc>
          <w:tcPr>
            <w:tcW w:w="834" w:type="dxa"/>
            <w:tcBorders>
              <w:top w:val="nil"/>
              <w:left w:val="nil"/>
              <w:bottom w:val="nil"/>
              <w:right w:val="nil"/>
            </w:tcBorders>
            <w:shd w:val="clear" w:color="auto" w:fill="auto"/>
            <w:noWrap/>
            <w:vAlign w:val="center"/>
            <w:hideMark/>
          </w:tcPr>
          <w:p w14:paraId="21E6F7D1"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34BDE07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Bolivia</w:t>
            </w:r>
          </w:p>
        </w:tc>
        <w:tc>
          <w:tcPr>
            <w:tcW w:w="1261" w:type="dxa"/>
            <w:tcBorders>
              <w:top w:val="nil"/>
              <w:left w:val="nil"/>
              <w:bottom w:val="nil"/>
              <w:right w:val="nil"/>
            </w:tcBorders>
            <w:shd w:val="clear" w:color="auto" w:fill="auto"/>
            <w:noWrap/>
            <w:vAlign w:val="center"/>
            <w:hideMark/>
          </w:tcPr>
          <w:p w14:paraId="735949B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26.1</w:t>
            </w:r>
          </w:p>
        </w:tc>
        <w:tc>
          <w:tcPr>
            <w:tcW w:w="1118" w:type="dxa"/>
            <w:tcBorders>
              <w:top w:val="nil"/>
              <w:left w:val="nil"/>
              <w:bottom w:val="nil"/>
              <w:right w:val="nil"/>
            </w:tcBorders>
            <w:shd w:val="clear" w:color="auto" w:fill="auto"/>
            <w:noWrap/>
            <w:vAlign w:val="center"/>
            <w:hideMark/>
          </w:tcPr>
          <w:p w14:paraId="436EB1F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41.0</w:t>
            </w:r>
          </w:p>
        </w:tc>
        <w:tc>
          <w:tcPr>
            <w:tcW w:w="1422" w:type="dxa"/>
            <w:tcBorders>
              <w:top w:val="nil"/>
              <w:left w:val="nil"/>
              <w:bottom w:val="nil"/>
              <w:right w:val="nil"/>
            </w:tcBorders>
            <w:shd w:val="clear" w:color="auto" w:fill="auto"/>
            <w:noWrap/>
            <w:vAlign w:val="center"/>
            <w:hideMark/>
          </w:tcPr>
          <w:p w14:paraId="08AD8C7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52.0</w:t>
            </w:r>
          </w:p>
        </w:tc>
        <w:tc>
          <w:tcPr>
            <w:tcW w:w="1092" w:type="dxa"/>
            <w:tcBorders>
              <w:top w:val="nil"/>
              <w:left w:val="nil"/>
              <w:bottom w:val="nil"/>
              <w:right w:val="nil"/>
            </w:tcBorders>
            <w:shd w:val="clear" w:color="auto" w:fill="auto"/>
            <w:noWrap/>
            <w:vAlign w:val="center"/>
            <w:hideMark/>
          </w:tcPr>
          <w:p w14:paraId="04F2C59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53.2</w:t>
            </w:r>
          </w:p>
        </w:tc>
        <w:tc>
          <w:tcPr>
            <w:tcW w:w="787" w:type="dxa"/>
            <w:tcBorders>
              <w:top w:val="nil"/>
              <w:left w:val="nil"/>
              <w:bottom w:val="nil"/>
              <w:right w:val="nil"/>
            </w:tcBorders>
            <w:shd w:val="clear" w:color="auto" w:fill="auto"/>
            <w:noWrap/>
            <w:vAlign w:val="center"/>
            <w:hideMark/>
          </w:tcPr>
          <w:p w14:paraId="7092FE3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8.6</w:t>
            </w:r>
          </w:p>
        </w:tc>
      </w:tr>
      <w:tr w:rsidR="00CC4FE7" w:rsidRPr="00F36460" w14:paraId="4D62D4AD" w14:textId="77777777" w:rsidTr="009B2059">
        <w:trPr>
          <w:trHeight w:val="70"/>
        </w:trPr>
        <w:tc>
          <w:tcPr>
            <w:tcW w:w="834" w:type="dxa"/>
            <w:tcBorders>
              <w:top w:val="nil"/>
              <w:left w:val="nil"/>
              <w:bottom w:val="nil"/>
              <w:right w:val="nil"/>
            </w:tcBorders>
            <w:shd w:val="clear" w:color="auto" w:fill="auto"/>
            <w:noWrap/>
            <w:vAlign w:val="center"/>
            <w:hideMark/>
          </w:tcPr>
          <w:p w14:paraId="7336B176"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442E15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Cayman Islands</w:t>
            </w:r>
          </w:p>
        </w:tc>
        <w:tc>
          <w:tcPr>
            <w:tcW w:w="1261" w:type="dxa"/>
            <w:tcBorders>
              <w:top w:val="nil"/>
              <w:left w:val="nil"/>
              <w:bottom w:val="nil"/>
              <w:right w:val="nil"/>
            </w:tcBorders>
            <w:shd w:val="clear" w:color="auto" w:fill="auto"/>
            <w:noWrap/>
            <w:vAlign w:val="center"/>
            <w:hideMark/>
          </w:tcPr>
          <w:p w14:paraId="64CADE8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29.0</w:t>
            </w:r>
          </w:p>
        </w:tc>
        <w:tc>
          <w:tcPr>
            <w:tcW w:w="1118" w:type="dxa"/>
            <w:tcBorders>
              <w:top w:val="nil"/>
              <w:left w:val="nil"/>
              <w:bottom w:val="nil"/>
              <w:right w:val="nil"/>
            </w:tcBorders>
            <w:shd w:val="clear" w:color="auto" w:fill="auto"/>
            <w:noWrap/>
            <w:vAlign w:val="center"/>
            <w:hideMark/>
          </w:tcPr>
          <w:p w14:paraId="55C7D5C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28.2</w:t>
            </w:r>
          </w:p>
        </w:tc>
        <w:tc>
          <w:tcPr>
            <w:tcW w:w="1422" w:type="dxa"/>
            <w:tcBorders>
              <w:top w:val="nil"/>
              <w:left w:val="nil"/>
              <w:bottom w:val="nil"/>
              <w:right w:val="nil"/>
            </w:tcBorders>
            <w:shd w:val="clear" w:color="auto" w:fill="auto"/>
            <w:noWrap/>
            <w:vAlign w:val="center"/>
            <w:hideMark/>
          </w:tcPr>
          <w:p w14:paraId="6E61335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63.2</w:t>
            </w:r>
          </w:p>
        </w:tc>
        <w:tc>
          <w:tcPr>
            <w:tcW w:w="1092" w:type="dxa"/>
            <w:tcBorders>
              <w:top w:val="nil"/>
              <w:left w:val="nil"/>
              <w:bottom w:val="nil"/>
              <w:right w:val="nil"/>
            </w:tcBorders>
            <w:shd w:val="clear" w:color="auto" w:fill="auto"/>
            <w:noWrap/>
            <w:vAlign w:val="center"/>
            <w:hideMark/>
          </w:tcPr>
          <w:p w14:paraId="21FBA11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38.4</w:t>
            </w:r>
          </w:p>
        </w:tc>
        <w:tc>
          <w:tcPr>
            <w:tcW w:w="787" w:type="dxa"/>
            <w:tcBorders>
              <w:top w:val="nil"/>
              <w:left w:val="nil"/>
              <w:bottom w:val="nil"/>
              <w:right w:val="nil"/>
            </w:tcBorders>
            <w:shd w:val="clear" w:color="auto" w:fill="auto"/>
            <w:noWrap/>
            <w:vAlign w:val="center"/>
            <w:hideMark/>
          </w:tcPr>
          <w:p w14:paraId="4D5EEAC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w:t>
            </w:r>
          </w:p>
        </w:tc>
      </w:tr>
      <w:tr w:rsidR="00CC4FE7" w:rsidRPr="00F36460" w14:paraId="4C52FF38" w14:textId="77777777" w:rsidTr="009B2059">
        <w:trPr>
          <w:trHeight w:val="216"/>
        </w:trPr>
        <w:tc>
          <w:tcPr>
            <w:tcW w:w="834" w:type="dxa"/>
            <w:tcBorders>
              <w:top w:val="nil"/>
              <w:left w:val="nil"/>
              <w:bottom w:val="nil"/>
              <w:right w:val="nil"/>
            </w:tcBorders>
            <w:shd w:val="clear" w:color="auto" w:fill="auto"/>
            <w:noWrap/>
            <w:vAlign w:val="center"/>
            <w:hideMark/>
          </w:tcPr>
          <w:p w14:paraId="6385C3A4"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DAF5FC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Chile</w:t>
            </w:r>
          </w:p>
        </w:tc>
        <w:tc>
          <w:tcPr>
            <w:tcW w:w="1261" w:type="dxa"/>
            <w:tcBorders>
              <w:top w:val="nil"/>
              <w:left w:val="nil"/>
              <w:bottom w:val="nil"/>
              <w:right w:val="nil"/>
            </w:tcBorders>
            <w:shd w:val="clear" w:color="auto" w:fill="auto"/>
            <w:noWrap/>
            <w:vAlign w:val="center"/>
            <w:hideMark/>
          </w:tcPr>
          <w:p w14:paraId="6BF9BF5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37.8</w:t>
            </w:r>
          </w:p>
        </w:tc>
        <w:tc>
          <w:tcPr>
            <w:tcW w:w="1118" w:type="dxa"/>
            <w:tcBorders>
              <w:top w:val="nil"/>
              <w:left w:val="nil"/>
              <w:bottom w:val="nil"/>
              <w:right w:val="nil"/>
            </w:tcBorders>
            <w:shd w:val="clear" w:color="auto" w:fill="auto"/>
            <w:noWrap/>
            <w:vAlign w:val="center"/>
            <w:hideMark/>
          </w:tcPr>
          <w:p w14:paraId="672E3DF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47.0</w:t>
            </w:r>
          </w:p>
        </w:tc>
        <w:tc>
          <w:tcPr>
            <w:tcW w:w="1422" w:type="dxa"/>
            <w:tcBorders>
              <w:top w:val="nil"/>
              <w:left w:val="nil"/>
              <w:bottom w:val="nil"/>
              <w:right w:val="nil"/>
            </w:tcBorders>
            <w:shd w:val="clear" w:color="auto" w:fill="auto"/>
            <w:noWrap/>
            <w:vAlign w:val="center"/>
            <w:hideMark/>
          </w:tcPr>
          <w:p w14:paraId="740C83D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54.1</w:t>
            </w:r>
          </w:p>
        </w:tc>
        <w:tc>
          <w:tcPr>
            <w:tcW w:w="1092" w:type="dxa"/>
            <w:tcBorders>
              <w:top w:val="nil"/>
              <w:left w:val="nil"/>
              <w:bottom w:val="nil"/>
              <w:right w:val="nil"/>
            </w:tcBorders>
            <w:shd w:val="clear" w:color="auto" w:fill="auto"/>
            <w:noWrap/>
            <w:vAlign w:val="center"/>
            <w:hideMark/>
          </w:tcPr>
          <w:p w14:paraId="1F2B087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25.8</w:t>
            </w:r>
          </w:p>
        </w:tc>
        <w:tc>
          <w:tcPr>
            <w:tcW w:w="787" w:type="dxa"/>
            <w:tcBorders>
              <w:top w:val="nil"/>
              <w:left w:val="nil"/>
              <w:bottom w:val="nil"/>
              <w:right w:val="nil"/>
            </w:tcBorders>
            <w:shd w:val="clear" w:color="auto" w:fill="auto"/>
            <w:noWrap/>
            <w:vAlign w:val="center"/>
            <w:hideMark/>
          </w:tcPr>
          <w:p w14:paraId="50F118D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w:t>
            </w:r>
          </w:p>
        </w:tc>
      </w:tr>
      <w:tr w:rsidR="00CC4FE7" w:rsidRPr="00F36460" w14:paraId="7C3CD05A" w14:textId="77777777" w:rsidTr="009B2059">
        <w:trPr>
          <w:trHeight w:val="70"/>
        </w:trPr>
        <w:tc>
          <w:tcPr>
            <w:tcW w:w="834" w:type="dxa"/>
            <w:tcBorders>
              <w:top w:val="nil"/>
              <w:left w:val="nil"/>
              <w:bottom w:val="nil"/>
              <w:right w:val="nil"/>
            </w:tcBorders>
            <w:shd w:val="clear" w:color="auto" w:fill="auto"/>
            <w:noWrap/>
            <w:vAlign w:val="center"/>
            <w:hideMark/>
          </w:tcPr>
          <w:p w14:paraId="2715DEA3"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D0ADE2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Costa Rica</w:t>
            </w:r>
          </w:p>
        </w:tc>
        <w:tc>
          <w:tcPr>
            <w:tcW w:w="1261" w:type="dxa"/>
            <w:tcBorders>
              <w:top w:val="nil"/>
              <w:left w:val="nil"/>
              <w:bottom w:val="nil"/>
              <w:right w:val="nil"/>
            </w:tcBorders>
            <w:shd w:val="clear" w:color="auto" w:fill="auto"/>
            <w:noWrap/>
            <w:vAlign w:val="center"/>
            <w:hideMark/>
          </w:tcPr>
          <w:p w14:paraId="74F8FD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24.1</w:t>
            </w:r>
          </w:p>
        </w:tc>
        <w:tc>
          <w:tcPr>
            <w:tcW w:w="1118" w:type="dxa"/>
            <w:tcBorders>
              <w:top w:val="nil"/>
              <w:left w:val="nil"/>
              <w:bottom w:val="nil"/>
              <w:right w:val="nil"/>
            </w:tcBorders>
            <w:shd w:val="clear" w:color="auto" w:fill="auto"/>
            <w:noWrap/>
            <w:vAlign w:val="center"/>
            <w:hideMark/>
          </w:tcPr>
          <w:p w14:paraId="0F21B2A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41.6</w:t>
            </w:r>
          </w:p>
        </w:tc>
        <w:tc>
          <w:tcPr>
            <w:tcW w:w="1422" w:type="dxa"/>
            <w:tcBorders>
              <w:top w:val="nil"/>
              <w:left w:val="nil"/>
              <w:bottom w:val="nil"/>
              <w:right w:val="nil"/>
            </w:tcBorders>
            <w:shd w:val="clear" w:color="auto" w:fill="auto"/>
            <w:noWrap/>
            <w:vAlign w:val="center"/>
            <w:hideMark/>
          </w:tcPr>
          <w:p w14:paraId="1ACE74A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57.9</w:t>
            </w:r>
          </w:p>
        </w:tc>
        <w:tc>
          <w:tcPr>
            <w:tcW w:w="1092" w:type="dxa"/>
            <w:tcBorders>
              <w:top w:val="nil"/>
              <w:left w:val="nil"/>
              <w:bottom w:val="nil"/>
              <w:right w:val="nil"/>
            </w:tcBorders>
            <w:shd w:val="clear" w:color="auto" w:fill="auto"/>
            <w:noWrap/>
            <w:vAlign w:val="center"/>
            <w:hideMark/>
          </w:tcPr>
          <w:p w14:paraId="7D5ECE6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18.8</w:t>
            </w:r>
          </w:p>
        </w:tc>
        <w:tc>
          <w:tcPr>
            <w:tcW w:w="787" w:type="dxa"/>
            <w:tcBorders>
              <w:top w:val="nil"/>
              <w:left w:val="nil"/>
              <w:bottom w:val="nil"/>
              <w:right w:val="nil"/>
            </w:tcBorders>
            <w:shd w:val="clear" w:color="auto" w:fill="auto"/>
            <w:noWrap/>
            <w:vAlign w:val="center"/>
            <w:hideMark/>
          </w:tcPr>
          <w:p w14:paraId="3922845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1.4</w:t>
            </w:r>
          </w:p>
        </w:tc>
      </w:tr>
      <w:tr w:rsidR="00CC4FE7" w:rsidRPr="00F36460" w14:paraId="67956F81" w14:textId="77777777" w:rsidTr="009B2059">
        <w:trPr>
          <w:trHeight w:val="70"/>
        </w:trPr>
        <w:tc>
          <w:tcPr>
            <w:tcW w:w="834" w:type="dxa"/>
            <w:tcBorders>
              <w:top w:val="nil"/>
              <w:left w:val="nil"/>
              <w:bottom w:val="nil"/>
              <w:right w:val="nil"/>
            </w:tcBorders>
            <w:shd w:val="clear" w:color="auto" w:fill="auto"/>
            <w:noWrap/>
            <w:vAlign w:val="center"/>
            <w:hideMark/>
          </w:tcPr>
          <w:p w14:paraId="44121477"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4A7F82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Curaçao</w:t>
            </w:r>
          </w:p>
        </w:tc>
        <w:tc>
          <w:tcPr>
            <w:tcW w:w="1261" w:type="dxa"/>
            <w:tcBorders>
              <w:top w:val="nil"/>
              <w:left w:val="nil"/>
              <w:bottom w:val="nil"/>
              <w:right w:val="nil"/>
            </w:tcBorders>
            <w:shd w:val="clear" w:color="auto" w:fill="auto"/>
            <w:noWrap/>
            <w:vAlign w:val="center"/>
            <w:hideMark/>
          </w:tcPr>
          <w:p w14:paraId="3AE8426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38.5</w:t>
            </w:r>
          </w:p>
        </w:tc>
        <w:tc>
          <w:tcPr>
            <w:tcW w:w="1118" w:type="dxa"/>
            <w:tcBorders>
              <w:top w:val="nil"/>
              <w:left w:val="nil"/>
              <w:bottom w:val="nil"/>
              <w:right w:val="nil"/>
            </w:tcBorders>
            <w:shd w:val="clear" w:color="auto" w:fill="auto"/>
            <w:noWrap/>
            <w:vAlign w:val="center"/>
            <w:hideMark/>
          </w:tcPr>
          <w:p w14:paraId="7B48D09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45.0</w:t>
            </w:r>
          </w:p>
        </w:tc>
        <w:tc>
          <w:tcPr>
            <w:tcW w:w="1422" w:type="dxa"/>
            <w:tcBorders>
              <w:top w:val="nil"/>
              <w:left w:val="nil"/>
              <w:bottom w:val="nil"/>
              <w:right w:val="nil"/>
            </w:tcBorders>
            <w:shd w:val="clear" w:color="auto" w:fill="auto"/>
            <w:noWrap/>
            <w:vAlign w:val="center"/>
            <w:hideMark/>
          </w:tcPr>
          <w:p w14:paraId="337658B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57.4</w:t>
            </w:r>
          </w:p>
        </w:tc>
        <w:tc>
          <w:tcPr>
            <w:tcW w:w="1092" w:type="dxa"/>
            <w:tcBorders>
              <w:top w:val="nil"/>
              <w:left w:val="nil"/>
              <w:bottom w:val="nil"/>
              <w:right w:val="nil"/>
            </w:tcBorders>
            <w:shd w:val="clear" w:color="auto" w:fill="auto"/>
            <w:noWrap/>
            <w:vAlign w:val="center"/>
            <w:hideMark/>
          </w:tcPr>
          <w:p w14:paraId="5E3733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21.4</w:t>
            </w:r>
          </w:p>
        </w:tc>
        <w:tc>
          <w:tcPr>
            <w:tcW w:w="787" w:type="dxa"/>
            <w:tcBorders>
              <w:top w:val="nil"/>
              <w:left w:val="nil"/>
              <w:bottom w:val="nil"/>
              <w:right w:val="nil"/>
            </w:tcBorders>
            <w:shd w:val="clear" w:color="auto" w:fill="auto"/>
            <w:noWrap/>
            <w:vAlign w:val="center"/>
            <w:hideMark/>
          </w:tcPr>
          <w:p w14:paraId="06BEFA4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3.8</w:t>
            </w:r>
          </w:p>
        </w:tc>
      </w:tr>
      <w:tr w:rsidR="00CC4FE7" w:rsidRPr="00F36460" w14:paraId="7408EFB1" w14:textId="77777777" w:rsidTr="009B2059">
        <w:trPr>
          <w:trHeight w:val="70"/>
        </w:trPr>
        <w:tc>
          <w:tcPr>
            <w:tcW w:w="834" w:type="dxa"/>
            <w:tcBorders>
              <w:top w:val="nil"/>
              <w:left w:val="nil"/>
              <w:bottom w:val="nil"/>
              <w:right w:val="nil"/>
            </w:tcBorders>
            <w:shd w:val="clear" w:color="auto" w:fill="auto"/>
            <w:noWrap/>
            <w:vAlign w:val="center"/>
            <w:hideMark/>
          </w:tcPr>
          <w:p w14:paraId="6AE39AA7"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38B0DCF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Dominica</w:t>
            </w:r>
          </w:p>
        </w:tc>
        <w:tc>
          <w:tcPr>
            <w:tcW w:w="1261" w:type="dxa"/>
            <w:tcBorders>
              <w:top w:val="nil"/>
              <w:left w:val="nil"/>
              <w:bottom w:val="nil"/>
              <w:right w:val="nil"/>
            </w:tcBorders>
            <w:shd w:val="clear" w:color="auto" w:fill="auto"/>
            <w:noWrap/>
            <w:vAlign w:val="center"/>
            <w:hideMark/>
          </w:tcPr>
          <w:p w14:paraId="741B04D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47.8</w:t>
            </w:r>
          </w:p>
        </w:tc>
        <w:tc>
          <w:tcPr>
            <w:tcW w:w="1118" w:type="dxa"/>
            <w:tcBorders>
              <w:top w:val="nil"/>
              <w:left w:val="nil"/>
              <w:bottom w:val="nil"/>
              <w:right w:val="nil"/>
            </w:tcBorders>
            <w:shd w:val="clear" w:color="auto" w:fill="auto"/>
            <w:noWrap/>
            <w:vAlign w:val="center"/>
            <w:hideMark/>
          </w:tcPr>
          <w:p w14:paraId="4B96978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35.1</w:t>
            </w:r>
          </w:p>
        </w:tc>
        <w:tc>
          <w:tcPr>
            <w:tcW w:w="1422" w:type="dxa"/>
            <w:tcBorders>
              <w:top w:val="nil"/>
              <w:left w:val="nil"/>
              <w:bottom w:val="nil"/>
              <w:right w:val="nil"/>
            </w:tcBorders>
            <w:shd w:val="clear" w:color="auto" w:fill="auto"/>
            <w:noWrap/>
            <w:vAlign w:val="center"/>
            <w:hideMark/>
          </w:tcPr>
          <w:p w14:paraId="6B3F2E9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69.6</w:t>
            </w:r>
          </w:p>
        </w:tc>
        <w:tc>
          <w:tcPr>
            <w:tcW w:w="1092" w:type="dxa"/>
            <w:tcBorders>
              <w:top w:val="nil"/>
              <w:left w:val="nil"/>
              <w:bottom w:val="nil"/>
              <w:right w:val="nil"/>
            </w:tcBorders>
            <w:shd w:val="clear" w:color="auto" w:fill="auto"/>
            <w:noWrap/>
            <w:vAlign w:val="center"/>
            <w:hideMark/>
          </w:tcPr>
          <w:p w14:paraId="71EA506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30.0</w:t>
            </w:r>
          </w:p>
        </w:tc>
        <w:tc>
          <w:tcPr>
            <w:tcW w:w="787" w:type="dxa"/>
            <w:tcBorders>
              <w:top w:val="nil"/>
              <w:left w:val="nil"/>
              <w:bottom w:val="nil"/>
              <w:right w:val="nil"/>
            </w:tcBorders>
            <w:shd w:val="clear" w:color="auto" w:fill="auto"/>
            <w:noWrap/>
            <w:vAlign w:val="center"/>
            <w:hideMark/>
          </w:tcPr>
          <w:p w14:paraId="451C918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w:t>
            </w:r>
          </w:p>
        </w:tc>
      </w:tr>
      <w:tr w:rsidR="00CC4FE7" w:rsidRPr="00F36460" w14:paraId="7580579C" w14:textId="77777777" w:rsidTr="009B2059">
        <w:trPr>
          <w:trHeight w:val="70"/>
        </w:trPr>
        <w:tc>
          <w:tcPr>
            <w:tcW w:w="834" w:type="dxa"/>
            <w:tcBorders>
              <w:top w:val="nil"/>
              <w:left w:val="nil"/>
              <w:bottom w:val="nil"/>
              <w:right w:val="nil"/>
            </w:tcBorders>
            <w:shd w:val="clear" w:color="auto" w:fill="auto"/>
            <w:noWrap/>
            <w:vAlign w:val="center"/>
            <w:hideMark/>
          </w:tcPr>
          <w:p w14:paraId="15E043DA"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5797C10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El Salvador</w:t>
            </w:r>
          </w:p>
        </w:tc>
        <w:tc>
          <w:tcPr>
            <w:tcW w:w="1261" w:type="dxa"/>
            <w:tcBorders>
              <w:top w:val="nil"/>
              <w:left w:val="nil"/>
              <w:bottom w:val="nil"/>
              <w:right w:val="nil"/>
            </w:tcBorders>
            <w:shd w:val="clear" w:color="auto" w:fill="auto"/>
            <w:noWrap/>
            <w:vAlign w:val="center"/>
            <w:hideMark/>
          </w:tcPr>
          <w:p w14:paraId="73D6457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22.7</w:t>
            </w:r>
          </w:p>
        </w:tc>
        <w:tc>
          <w:tcPr>
            <w:tcW w:w="1118" w:type="dxa"/>
            <w:tcBorders>
              <w:top w:val="nil"/>
              <w:left w:val="nil"/>
              <w:bottom w:val="nil"/>
              <w:right w:val="nil"/>
            </w:tcBorders>
            <w:shd w:val="clear" w:color="auto" w:fill="auto"/>
            <w:noWrap/>
            <w:vAlign w:val="center"/>
            <w:hideMark/>
          </w:tcPr>
          <w:p w14:paraId="7E350C4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28.3</w:t>
            </w:r>
          </w:p>
        </w:tc>
        <w:tc>
          <w:tcPr>
            <w:tcW w:w="1422" w:type="dxa"/>
            <w:tcBorders>
              <w:top w:val="nil"/>
              <w:left w:val="nil"/>
              <w:bottom w:val="nil"/>
              <w:right w:val="nil"/>
            </w:tcBorders>
            <w:shd w:val="clear" w:color="auto" w:fill="auto"/>
            <w:noWrap/>
            <w:vAlign w:val="center"/>
            <w:hideMark/>
          </w:tcPr>
          <w:p w14:paraId="5425C6D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54.1</w:t>
            </w:r>
          </w:p>
        </w:tc>
        <w:tc>
          <w:tcPr>
            <w:tcW w:w="1092" w:type="dxa"/>
            <w:tcBorders>
              <w:top w:val="nil"/>
              <w:left w:val="nil"/>
              <w:bottom w:val="nil"/>
              <w:right w:val="nil"/>
            </w:tcBorders>
            <w:shd w:val="clear" w:color="auto" w:fill="auto"/>
            <w:noWrap/>
            <w:vAlign w:val="center"/>
            <w:hideMark/>
          </w:tcPr>
          <w:p w14:paraId="484A942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30.6</w:t>
            </w:r>
          </w:p>
        </w:tc>
        <w:tc>
          <w:tcPr>
            <w:tcW w:w="787" w:type="dxa"/>
            <w:tcBorders>
              <w:top w:val="nil"/>
              <w:left w:val="nil"/>
              <w:bottom w:val="nil"/>
              <w:right w:val="nil"/>
            </w:tcBorders>
            <w:shd w:val="clear" w:color="auto" w:fill="auto"/>
            <w:noWrap/>
            <w:vAlign w:val="center"/>
            <w:hideMark/>
          </w:tcPr>
          <w:p w14:paraId="702278C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w:t>
            </w:r>
          </w:p>
        </w:tc>
      </w:tr>
      <w:tr w:rsidR="00CC4FE7" w:rsidRPr="00F36460" w14:paraId="5F821E52" w14:textId="77777777" w:rsidTr="009B2059">
        <w:trPr>
          <w:trHeight w:val="70"/>
        </w:trPr>
        <w:tc>
          <w:tcPr>
            <w:tcW w:w="834" w:type="dxa"/>
            <w:tcBorders>
              <w:top w:val="nil"/>
              <w:left w:val="nil"/>
              <w:bottom w:val="nil"/>
              <w:right w:val="nil"/>
            </w:tcBorders>
            <w:shd w:val="clear" w:color="auto" w:fill="auto"/>
            <w:noWrap/>
            <w:vAlign w:val="center"/>
            <w:hideMark/>
          </w:tcPr>
          <w:p w14:paraId="57ADFC79"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48BB911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Grenada</w:t>
            </w:r>
          </w:p>
        </w:tc>
        <w:tc>
          <w:tcPr>
            <w:tcW w:w="1261" w:type="dxa"/>
            <w:tcBorders>
              <w:top w:val="nil"/>
              <w:left w:val="nil"/>
              <w:bottom w:val="nil"/>
              <w:right w:val="nil"/>
            </w:tcBorders>
            <w:shd w:val="clear" w:color="auto" w:fill="auto"/>
            <w:noWrap/>
            <w:vAlign w:val="center"/>
            <w:hideMark/>
          </w:tcPr>
          <w:p w14:paraId="5EB9DEB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30.8</w:t>
            </w:r>
          </w:p>
        </w:tc>
        <w:tc>
          <w:tcPr>
            <w:tcW w:w="1118" w:type="dxa"/>
            <w:tcBorders>
              <w:top w:val="nil"/>
              <w:left w:val="nil"/>
              <w:bottom w:val="nil"/>
              <w:right w:val="nil"/>
            </w:tcBorders>
            <w:shd w:val="clear" w:color="auto" w:fill="auto"/>
            <w:noWrap/>
            <w:vAlign w:val="center"/>
            <w:hideMark/>
          </w:tcPr>
          <w:p w14:paraId="1BA312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42.0</w:t>
            </w:r>
          </w:p>
        </w:tc>
        <w:tc>
          <w:tcPr>
            <w:tcW w:w="1422" w:type="dxa"/>
            <w:tcBorders>
              <w:top w:val="nil"/>
              <w:left w:val="nil"/>
              <w:bottom w:val="nil"/>
              <w:right w:val="nil"/>
            </w:tcBorders>
            <w:shd w:val="clear" w:color="auto" w:fill="auto"/>
            <w:noWrap/>
            <w:vAlign w:val="center"/>
            <w:hideMark/>
          </w:tcPr>
          <w:p w14:paraId="5A091BB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63.3</w:t>
            </w:r>
          </w:p>
        </w:tc>
        <w:tc>
          <w:tcPr>
            <w:tcW w:w="1092" w:type="dxa"/>
            <w:tcBorders>
              <w:top w:val="nil"/>
              <w:left w:val="nil"/>
              <w:bottom w:val="nil"/>
              <w:right w:val="nil"/>
            </w:tcBorders>
            <w:shd w:val="clear" w:color="auto" w:fill="auto"/>
            <w:noWrap/>
            <w:vAlign w:val="center"/>
            <w:hideMark/>
          </w:tcPr>
          <w:p w14:paraId="2A79920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36.1</w:t>
            </w:r>
          </w:p>
        </w:tc>
        <w:tc>
          <w:tcPr>
            <w:tcW w:w="787" w:type="dxa"/>
            <w:tcBorders>
              <w:top w:val="nil"/>
              <w:left w:val="nil"/>
              <w:bottom w:val="nil"/>
              <w:right w:val="nil"/>
            </w:tcBorders>
            <w:shd w:val="clear" w:color="auto" w:fill="auto"/>
            <w:noWrap/>
            <w:vAlign w:val="center"/>
            <w:hideMark/>
          </w:tcPr>
          <w:p w14:paraId="14E2E54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8.1</w:t>
            </w:r>
          </w:p>
        </w:tc>
      </w:tr>
      <w:tr w:rsidR="00CC4FE7" w:rsidRPr="00F36460" w14:paraId="4BFC69B1" w14:textId="77777777" w:rsidTr="009B2059">
        <w:trPr>
          <w:trHeight w:val="70"/>
        </w:trPr>
        <w:tc>
          <w:tcPr>
            <w:tcW w:w="834" w:type="dxa"/>
            <w:tcBorders>
              <w:top w:val="nil"/>
              <w:left w:val="nil"/>
              <w:bottom w:val="nil"/>
              <w:right w:val="nil"/>
            </w:tcBorders>
            <w:shd w:val="clear" w:color="auto" w:fill="auto"/>
            <w:noWrap/>
            <w:vAlign w:val="center"/>
            <w:hideMark/>
          </w:tcPr>
          <w:p w14:paraId="1DD2079C"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D7A9AA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Guatemala</w:t>
            </w:r>
          </w:p>
        </w:tc>
        <w:tc>
          <w:tcPr>
            <w:tcW w:w="1261" w:type="dxa"/>
            <w:tcBorders>
              <w:top w:val="nil"/>
              <w:left w:val="nil"/>
              <w:bottom w:val="nil"/>
              <w:right w:val="nil"/>
            </w:tcBorders>
            <w:shd w:val="clear" w:color="auto" w:fill="auto"/>
            <w:noWrap/>
            <w:vAlign w:val="center"/>
            <w:hideMark/>
          </w:tcPr>
          <w:p w14:paraId="038BCE3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19.7</w:t>
            </w:r>
          </w:p>
        </w:tc>
        <w:tc>
          <w:tcPr>
            <w:tcW w:w="1118" w:type="dxa"/>
            <w:tcBorders>
              <w:top w:val="nil"/>
              <w:left w:val="nil"/>
              <w:bottom w:val="nil"/>
              <w:right w:val="nil"/>
            </w:tcBorders>
            <w:shd w:val="clear" w:color="auto" w:fill="auto"/>
            <w:noWrap/>
            <w:vAlign w:val="center"/>
            <w:hideMark/>
          </w:tcPr>
          <w:p w14:paraId="2573BE4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43.5</w:t>
            </w:r>
          </w:p>
        </w:tc>
        <w:tc>
          <w:tcPr>
            <w:tcW w:w="1422" w:type="dxa"/>
            <w:tcBorders>
              <w:top w:val="nil"/>
              <w:left w:val="nil"/>
              <w:bottom w:val="nil"/>
              <w:right w:val="nil"/>
            </w:tcBorders>
            <w:shd w:val="clear" w:color="auto" w:fill="auto"/>
            <w:noWrap/>
            <w:vAlign w:val="center"/>
            <w:hideMark/>
          </w:tcPr>
          <w:p w14:paraId="64573B2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63.1</w:t>
            </w:r>
          </w:p>
        </w:tc>
        <w:tc>
          <w:tcPr>
            <w:tcW w:w="1092" w:type="dxa"/>
            <w:tcBorders>
              <w:top w:val="nil"/>
              <w:left w:val="nil"/>
              <w:bottom w:val="nil"/>
              <w:right w:val="nil"/>
            </w:tcBorders>
            <w:shd w:val="clear" w:color="auto" w:fill="auto"/>
            <w:noWrap/>
            <w:vAlign w:val="center"/>
            <w:hideMark/>
          </w:tcPr>
          <w:p w14:paraId="01860C9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34.4</w:t>
            </w:r>
          </w:p>
        </w:tc>
        <w:tc>
          <w:tcPr>
            <w:tcW w:w="787" w:type="dxa"/>
            <w:tcBorders>
              <w:top w:val="nil"/>
              <w:left w:val="nil"/>
              <w:bottom w:val="nil"/>
              <w:right w:val="nil"/>
            </w:tcBorders>
            <w:shd w:val="clear" w:color="auto" w:fill="auto"/>
            <w:noWrap/>
            <w:vAlign w:val="center"/>
            <w:hideMark/>
          </w:tcPr>
          <w:p w14:paraId="0E9D84C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w:t>
            </w:r>
          </w:p>
        </w:tc>
      </w:tr>
      <w:tr w:rsidR="00CC4FE7" w:rsidRPr="00F36460" w14:paraId="54C16553" w14:textId="77777777" w:rsidTr="009B2059">
        <w:trPr>
          <w:trHeight w:val="70"/>
        </w:trPr>
        <w:tc>
          <w:tcPr>
            <w:tcW w:w="834" w:type="dxa"/>
            <w:tcBorders>
              <w:top w:val="nil"/>
              <w:left w:val="nil"/>
              <w:bottom w:val="nil"/>
              <w:right w:val="nil"/>
            </w:tcBorders>
            <w:shd w:val="clear" w:color="auto" w:fill="auto"/>
            <w:noWrap/>
            <w:vAlign w:val="center"/>
            <w:hideMark/>
          </w:tcPr>
          <w:p w14:paraId="2D6F79A4"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289A4B9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Guyana</w:t>
            </w:r>
          </w:p>
        </w:tc>
        <w:tc>
          <w:tcPr>
            <w:tcW w:w="1261" w:type="dxa"/>
            <w:tcBorders>
              <w:top w:val="nil"/>
              <w:left w:val="nil"/>
              <w:bottom w:val="nil"/>
              <w:right w:val="nil"/>
            </w:tcBorders>
            <w:shd w:val="clear" w:color="auto" w:fill="auto"/>
            <w:noWrap/>
            <w:vAlign w:val="center"/>
            <w:hideMark/>
          </w:tcPr>
          <w:p w14:paraId="4251BB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32.7</w:t>
            </w:r>
          </w:p>
        </w:tc>
        <w:tc>
          <w:tcPr>
            <w:tcW w:w="1118" w:type="dxa"/>
            <w:tcBorders>
              <w:top w:val="nil"/>
              <w:left w:val="nil"/>
              <w:bottom w:val="nil"/>
              <w:right w:val="nil"/>
            </w:tcBorders>
            <w:shd w:val="clear" w:color="auto" w:fill="auto"/>
            <w:noWrap/>
            <w:vAlign w:val="center"/>
            <w:hideMark/>
          </w:tcPr>
          <w:p w14:paraId="54A5A93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31.9</w:t>
            </w:r>
          </w:p>
        </w:tc>
        <w:tc>
          <w:tcPr>
            <w:tcW w:w="1422" w:type="dxa"/>
            <w:tcBorders>
              <w:top w:val="nil"/>
              <w:left w:val="nil"/>
              <w:bottom w:val="nil"/>
              <w:right w:val="nil"/>
            </w:tcBorders>
            <w:shd w:val="clear" w:color="auto" w:fill="auto"/>
            <w:noWrap/>
            <w:vAlign w:val="center"/>
            <w:hideMark/>
          </w:tcPr>
          <w:p w14:paraId="725A31D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57.8</w:t>
            </w:r>
          </w:p>
        </w:tc>
        <w:tc>
          <w:tcPr>
            <w:tcW w:w="1092" w:type="dxa"/>
            <w:tcBorders>
              <w:top w:val="nil"/>
              <w:left w:val="nil"/>
              <w:bottom w:val="nil"/>
              <w:right w:val="nil"/>
            </w:tcBorders>
            <w:shd w:val="clear" w:color="auto" w:fill="auto"/>
            <w:noWrap/>
            <w:vAlign w:val="center"/>
            <w:hideMark/>
          </w:tcPr>
          <w:p w14:paraId="09371D8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38.0</w:t>
            </w:r>
          </w:p>
        </w:tc>
        <w:tc>
          <w:tcPr>
            <w:tcW w:w="787" w:type="dxa"/>
            <w:tcBorders>
              <w:top w:val="nil"/>
              <w:left w:val="nil"/>
              <w:bottom w:val="nil"/>
              <w:right w:val="nil"/>
            </w:tcBorders>
            <w:shd w:val="clear" w:color="auto" w:fill="auto"/>
            <w:noWrap/>
            <w:vAlign w:val="center"/>
            <w:hideMark/>
          </w:tcPr>
          <w:p w14:paraId="2273EFC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7.8</w:t>
            </w:r>
          </w:p>
        </w:tc>
      </w:tr>
      <w:tr w:rsidR="00CC4FE7" w:rsidRPr="00F36460" w14:paraId="3BA75B2D" w14:textId="77777777" w:rsidTr="009B2059">
        <w:trPr>
          <w:trHeight w:val="261"/>
        </w:trPr>
        <w:tc>
          <w:tcPr>
            <w:tcW w:w="834" w:type="dxa"/>
            <w:tcBorders>
              <w:top w:val="nil"/>
              <w:left w:val="nil"/>
              <w:bottom w:val="nil"/>
              <w:right w:val="nil"/>
            </w:tcBorders>
            <w:shd w:val="clear" w:color="auto" w:fill="auto"/>
            <w:noWrap/>
            <w:vAlign w:val="center"/>
            <w:hideMark/>
          </w:tcPr>
          <w:p w14:paraId="1A59136C"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64AC9C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Honduras</w:t>
            </w:r>
          </w:p>
        </w:tc>
        <w:tc>
          <w:tcPr>
            <w:tcW w:w="1261" w:type="dxa"/>
            <w:tcBorders>
              <w:top w:val="nil"/>
              <w:left w:val="nil"/>
              <w:bottom w:val="nil"/>
              <w:right w:val="nil"/>
            </w:tcBorders>
            <w:shd w:val="clear" w:color="auto" w:fill="auto"/>
            <w:noWrap/>
            <w:vAlign w:val="center"/>
            <w:hideMark/>
          </w:tcPr>
          <w:p w14:paraId="5E2BFCA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25.3</w:t>
            </w:r>
          </w:p>
        </w:tc>
        <w:tc>
          <w:tcPr>
            <w:tcW w:w="1118" w:type="dxa"/>
            <w:tcBorders>
              <w:top w:val="nil"/>
              <w:left w:val="nil"/>
              <w:bottom w:val="nil"/>
              <w:right w:val="nil"/>
            </w:tcBorders>
            <w:shd w:val="clear" w:color="auto" w:fill="auto"/>
            <w:noWrap/>
            <w:vAlign w:val="center"/>
            <w:hideMark/>
          </w:tcPr>
          <w:p w14:paraId="5888B4A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32.9</w:t>
            </w:r>
          </w:p>
        </w:tc>
        <w:tc>
          <w:tcPr>
            <w:tcW w:w="1422" w:type="dxa"/>
            <w:tcBorders>
              <w:top w:val="nil"/>
              <w:left w:val="nil"/>
              <w:bottom w:val="nil"/>
              <w:right w:val="nil"/>
            </w:tcBorders>
            <w:shd w:val="clear" w:color="auto" w:fill="auto"/>
            <w:noWrap/>
            <w:vAlign w:val="center"/>
            <w:hideMark/>
          </w:tcPr>
          <w:p w14:paraId="0F87AC5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48.5</w:t>
            </w:r>
          </w:p>
        </w:tc>
        <w:tc>
          <w:tcPr>
            <w:tcW w:w="1092" w:type="dxa"/>
            <w:tcBorders>
              <w:top w:val="nil"/>
              <w:left w:val="nil"/>
              <w:bottom w:val="nil"/>
              <w:right w:val="nil"/>
            </w:tcBorders>
            <w:shd w:val="clear" w:color="auto" w:fill="auto"/>
            <w:noWrap/>
            <w:vAlign w:val="center"/>
            <w:hideMark/>
          </w:tcPr>
          <w:p w14:paraId="62EC0DA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32.8</w:t>
            </w:r>
          </w:p>
        </w:tc>
        <w:tc>
          <w:tcPr>
            <w:tcW w:w="787" w:type="dxa"/>
            <w:tcBorders>
              <w:top w:val="nil"/>
              <w:left w:val="nil"/>
              <w:bottom w:val="nil"/>
              <w:right w:val="nil"/>
            </w:tcBorders>
            <w:shd w:val="clear" w:color="auto" w:fill="auto"/>
            <w:noWrap/>
            <w:vAlign w:val="center"/>
            <w:hideMark/>
          </w:tcPr>
          <w:p w14:paraId="14D49D6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w:t>
            </w:r>
          </w:p>
        </w:tc>
      </w:tr>
      <w:tr w:rsidR="00CC4FE7" w:rsidRPr="00F36460" w14:paraId="09CE01F4" w14:textId="77777777" w:rsidTr="009B2059">
        <w:trPr>
          <w:trHeight w:val="70"/>
        </w:trPr>
        <w:tc>
          <w:tcPr>
            <w:tcW w:w="834" w:type="dxa"/>
            <w:tcBorders>
              <w:top w:val="nil"/>
              <w:left w:val="nil"/>
              <w:bottom w:val="nil"/>
              <w:right w:val="nil"/>
            </w:tcBorders>
            <w:shd w:val="clear" w:color="auto" w:fill="auto"/>
            <w:noWrap/>
            <w:vAlign w:val="center"/>
            <w:hideMark/>
          </w:tcPr>
          <w:p w14:paraId="1E619043"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FE815A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Peru</w:t>
            </w:r>
          </w:p>
        </w:tc>
        <w:tc>
          <w:tcPr>
            <w:tcW w:w="1261" w:type="dxa"/>
            <w:tcBorders>
              <w:top w:val="nil"/>
              <w:left w:val="nil"/>
              <w:bottom w:val="nil"/>
              <w:right w:val="nil"/>
            </w:tcBorders>
            <w:shd w:val="clear" w:color="auto" w:fill="auto"/>
            <w:noWrap/>
            <w:vAlign w:val="center"/>
            <w:hideMark/>
          </w:tcPr>
          <w:p w14:paraId="2594AF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19.7</w:t>
            </w:r>
          </w:p>
        </w:tc>
        <w:tc>
          <w:tcPr>
            <w:tcW w:w="1118" w:type="dxa"/>
            <w:tcBorders>
              <w:top w:val="nil"/>
              <w:left w:val="nil"/>
              <w:bottom w:val="nil"/>
              <w:right w:val="nil"/>
            </w:tcBorders>
            <w:shd w:val="clear" w:color="auto" w:fill="auto"/>
            <w:noWrap/>
            <w:vAlign w:val="center"/>
            <w:hideMark/>
          </w:tcPr>
          <w:p w14:paraId="540B217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35.8</w:t>
            </w:r>
          </w:p>
        </w:tc>
        <w:tc>
          <w:tcPr>
            <w:tcW w:w="1422" w:type="dxa"/>
            <w:tcBorders>
              <w:top w:val="nil"/>
              <w:left w:val="nil"/>
              <w:bottom w:val="nil"/>
              <w:right w:val="nil"/>
            </w:tcBorders>
            <w:shd w:val="clear" w:color="auto" w:fill="auto"/>
            <w:noWrap/>
            <w:vAlign w:val="center"/>
            <w:hideMark/>
          </w:tcPr>
          <w:p w14:paraId="4A10ADF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51.3</w:t>
            </w:r>
          </w:p>
        </w:tc>
        <w:tc>
          <w:tcPr>
            <w:tcW w:w="1092" w:type="dxa"/>
            <w:tcBorders>
              <w:top w:val="nil"/>
              <w:left w:val="nil"/>
              <w:bottom w:val="nil"/>
              <w:right w:val="nil"/>
            </w:tcBorders>
            <w:shd w:val="clear" w:color="auto" w:fill="auto"/>
            <w:noWrap/>
            <w:vAlign w:val="center"/>
            <w:hideMark/>
          </w:tcPr>
          <w:p w14:paraId="7CEF031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49.0</w:t>
            </w:r>
          </w:p>
        </w:tc>
        <w:tc>
          <w:tcPr>
            <w:tcW w:w="787" w:type="dxa"/>
            <w:tcBorders>
              <w:top w:val="nil"/>
              <w:left w:val="nil"/>
              <w:bottom w:val="nil"/>
              <w:right w:val="nil"/>
            </w:tcBorders>
            <w:shd w:val="clear" w:color="auto" w:fill="auto"/>
            <w:noWrap/>
            <w:vAlign w:val="center"/>
            <w:hideMark/>
          </w:tcPr>
          <w:p w14:paraId="7855ACA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3.2</w:t>
            </w:r>
          </w:p>
        </w:tc>
      </w:tr>
      <w:tr w:rsidR="00CC4FE7" w:rsidRPr="00F36460" w14:paraId="2005BAC1" w14:textId="77777777" w:rsidTr="009B2059">
        <w:trPr>
          <w:trHeight w:val="70"/>
        </w:trPr>
        <w:tc>
          <w:tcPr>
            <w:tcW w:w="834" w:type="dxa"/>
            <w:tcBorders>
              <w:top w:val="nil"/>
              <w:left w:val="nil"/>
              <w:bottom w:val="nil"/>
              <w:right w:val="nil"/>
            </w:tcBorders>
            <w:shd w:val="clear" w:color="auto" w:fill="auto"/>
            <w:noWrap/>
            <w:vAlign w:val="center"/>
            <w:hideMark/>
          </w:tcPr>
          <w:p w14:paraId="3F2D9B6C"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53B0576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St. Lucia</w:t>
            </w:r>
          </w:p>
        </w:tc>
        <w:tc>
          <w:tcPr>
            <w:tcW w:w="1261" w:type="dxa"/>
            <w:tcBorders>
              <w:top w:val="nil"/>
              <w:left w:val="nil"/>
              <w:bottom w:val="nil"/>
              <w:right w:val="nil"/>
            </w:tcBorders>
            <w:shd w:val="clear" w:color="auto" w:fill="auto"/>
            <w:noWrap/>
            <w:vAlign w:val="center"/>
            <w:hideMark/>
          </w:tcPr>
          <w:p w14:paraId="2F15C3B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27.4</w:t>
            </w:r>
          </w:p>
        </w:tc>
        <w:tc>
          <w:tcPr>
            <w:tcW w:w="1118" w:type="dxa"/>
            <w:tcBorders>
              <w:top w:val="nil"/>
              <w:left w:val="nil"/>
              <w:bottom w:val="nil"/>
              <w:right w:val="nil"/>
            </w:tcBorders>
            <w:shd w:val="clear" w:color="auto" w:fill="auto"/>
            <w:noWrap/>
            <w:vAlign w:val="center"/>
            <w:hideMark/>
          </w:tcPr>
          <w:p w14:paraId="710301C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45.9</w:t>
            </w:r>
          </w:p>
        </w:tc>
        <w:tc>
          <w:tcPr>
            <w:tcW w:w="1422" w:type="dxa"/>
            <w:tcBorders>
              <w:top w:val="nil"/>
              <w:left w:val="nil"/>
              <w:bottom w:val="nil"/>
              <w:right w:val="nil"/>
            </w:tcBorders>
            <w:shd w:val="clear" w:color="auto" w:fill="auto"/>
            <w:noWrap/>
            <w:vAlign w:val="center"/>
            <w:hideMark/>
          </w:tcPr>
          <w:p w14:paraId="1B67FA2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66.5</w:t>
            </w:r>
          </w:p>
        </w:tc>
        <w:tc>
          <w:tcPr>
            <w:tcW w:w="1092" w:type="dxa"/>
            <w:tcBorders>
              <w:top w:val="nil"/>
              <w:left w:val="nil"/>
              <w:bottom w:val="nil"/>
              <w:right w:val="nil"/>
            </w:tcBorders>
            <w:shd w:val="clear" w:color="auto" w:fill="auto"/>
            <w:noWrap/>
            <w:vAlign w:val="center"/>
            <w:hideMark/>
          </w:tcPr>
          <w:p w14:paraId="7EF448F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37.8</w:t>
            </w:r>
          </w:p>
        </w:tc>
        <w:tc>
          <w:tcPr>
            <w:tcW w:w="787" w:type="dxa"/>
            <w:tcBorders>
              <w:top w:val="nil"/>
              <w:left w:val="nil"/>
              <w:bottom w:val="nil"/>
              <w:right w:val="nil"/>
            </w:tcBorders>
            <w:shd w:val="clear" w:color="auto" w:fill="auto"/>
            <w:noWrap/>
            <w:vAlign w:val="center"/>
            <w:hideMark/>
          </w:tcPr>
          <w:p w14:paraId="7C9FF84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6.5</w:t>
            </w:r>
          </w:p>
        </w:tc>
      </w:tr>
      <w:tr w:rsidR="00CC4FE7" w:rsidRPr="00F36460" w14:paraId="2926D56A" w14:textId="77777777" w:rsidTr="009B2059">
        <w:trPr>
          <w:trHeight w:val="70"/>
        </w:trPr>
        <w:tc>
          <w:tcPr>
            <w:tcW w:w="834" w:type="dxa"/>
            <w:tcBorders>
              <w:top w:val="nil"/>
              <w:left w:val="nil"/>
              <w:bottom w:val="nil"/>
              <w:right w:val="nil"/>
            </w:tcBorders>
            <w:shd w:val="clear" w:color="auto" w:fill="auto"/>
            <w:noWrap/>
            <w:vAlign w:val="center"/>
            <w:hideMark/>
          </w:tcPr>
          <w:p w14:paraId="16DA3FAE"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4DC9A73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St. Vincent &amp; the Grenadines</w:t>
            </w:r>
          </w:p>
        </w:tc>
        <w:tc>
          <w:tcPr>
            <w:tcW w:w="1261" w:type="dxa"/>
            <w:tcBorders>
              <w:top w:val="nil"/>
              <w:left w:val="nil"/>
              <w:bottom w:val="nil"/>
              <w:right w:val="nil"/>
            </w:tcBorders>
            <w:shd w:val="clear" w:color="auto" w:fill="auto"/>
            <w:noWrap/>
            <w:vAlign w:val="center"/>
            <w:hideMark/>
          </w:tcPr>
          <w:p w14:paraId="4C20BAE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30.3</w:t>
            </w:r>
          </w:p>
        </w:tc>
        <w:tc>
          <w:tcPr>
            <w:tcW w:w="1118" w:type="dxa"/>
            <w:tcBorders>
              <w:top w:val="nil"/>
              <w:left w:val="nil"/>
              <w:bottom w:val="nil"/>
              <w:right w:val="nil"/>
            </w:tcBorders>
            <w:shd w:val="clear" w:color="auto" w:fill="auto"/>
            <w:noWrap/>
            <w:vAlign w:val="center"/>
            <w:hideMark/>
          </w:tcPr>
          <w:p w14:paraId="1EAE11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40.6</w:t>
            </w:r>
          </w:p>
        </w:tc>
        <w:tc>
          <w:tcPr>
            <w:tcW w:w="1422" w:type="dxa"/>
            <w:tcBorders>
              <w:top w:val="nil"/>
              <w:left w:val="nil"/>
              <w:bottom w:val="nil"/>
              <w:right w:val="nil"/>
            </w:tcBorders>
            <w:shd w:val="clear" w:color="auto" w:fill="auto"/>
            <w:noWrap/>
            <w:vAlign w:val="center"/>
            <w:hideMark/>
          </w:tcPr>
          <w:p w14:paraId="16E8B55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68.6</w:t>
            </w:r>
          </w:p>
        </w:tc>
        <w:tc>
          <w:tcPr>
            <w:tcW w:w="1092" w:type="dxa"/>
            <w:tcBorders>
              <w:top w:val="nil"/>
              <w:left w:val="nil"/>
              <w:bottom w:val="nil"/>
              <w:right w:val="nil"/>
            </w:tcBorders>
            <w:shd w:val="clear" w:color="auto" w:fill="auto"/>
            <w:noWrap/>
            <w:vAlign w:val="center"/>
            <w:hideMark/>
          </w:tcPr>
          <w:p w14:paraId="7881E43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33.8</w:t>
            </w:r>
          </w:p>
        </w:tc>
        <w:tc>
          <w:tcPr>
            <w:tcW w:w="787" w:type="dxa"/>
            <w:tcBorders>
              <w:top w:val="nil"/>
              <w:left w:val="nil"/>
              <w:bottom w:val="nil"/>
              <w:right w:val="nil"/>
            </w:tcBorders>
            <w:shd w:val="clear" w:color="auto" w:fill="auto"/>
            <w:noWrap/>
            <w:vAlign w:val="center"/>
            <w:hideMark/>
          </w:tcPr>
          <w:p w14:paraId="2A1CAD0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7.0</w:t>
            </w:r>
          </w:p>
        </w:tc>
      </w:tr>
      <w:tr w:rsidR="00CC4FE7" w:rsidRPr="00F36460" w14:paraId="62A5B99E" w14:textId="77777777" w:rsidTr="009B2059">
        <w:trPr>
          <w:trHeight w:val="70"/>
        </w:trPr>
        <w:tc>
          <w:tcPr>
            <w:tcW w:w="834" w:type="dxa"/>
            <w:tcBorders>
              <w:top w:val="nil"/>
              <w:left w:val="nil"/>
              <w:bottom w:val="nil"/>
              <w:right w:val="nil"/>
            </w:tcBorders>
            <w:shd w:val="clear" w:color="auto" w:fill="auto"/>
            <w:noWrap/>
            <w:vAlign w:val="center"/>
            <w:hideMark/>
          </w:tcPr>
          <w:p w14:paraId="51D5FE40"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987C6A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Suriname</w:t>
            </w:r>
          </w:p>
        </w:tc>
        <w:tc>
          <w:tcPr>
            <w:tcW w:w="1261" w:type="dxa"/>
            <w:tcBorders>
              <w:top w:val="nil"/>
              <w:left w:val="nil"/>
              <w:bottom w:val="nil"/>
              <w:right w:val="nil"/>
            </w:tcBorders>
            <w:shd w:val="clear" w:color="auto" w:fill="auto"/>
            <w:noWrap/>
            <w:vAlign w:val="center"/>
            <w:hideMark/>
          </w:tcPr>
          <w:p w14:paraId="08DDA42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39.4</w:t>
            </w:r>
          </w:p>
        </w:tc>
        <w:tc>
          <w:tcPr>
            <w:tcW w:w="1118" w:type="dxa"/>
            <w:tcBorders>
              <w:top w:val="nil"/>
              <w:left w:val="nil"/>
              <w:bottom w:val="nil"/>
              <w:right w:val="nil"/>
            </w:tcBorders>
            <w:shd w:val="clear" w:color="auto" w:fill="auto"/>
            <w:noWrap/>
            <w:vAlign w:val="center"/>
            <w:hideMark/>
          </w:tcPr>
          <w:p w14:paraId="39EE523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27.5</w:t>
            </w:r>
          </w:p>
        </w:tc>
        <w:tc>
          <w:tcPr>
            <w:tcW w:w="1422" w:type="dxa"/>
            <w:tcBorders>
              <w:top w:val="nil"/>
              <w:left w:val="nil"/>
              <w:bottom w:val="nil"/>
              <w:right w:val="nil"/>
            </w:tcBorders>
            <w:shd w:val="clear" w:color="auto" w:fill="auto"/>
            <w:noWrap/>
            <w:vAlign w:val="center"/>
            <w:hideMark/>
          </w:tcPr>
          <w:p w14:paraId="06D3F13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58.8</w:t>
            </w:r>
          </w:p>
        </w:tc>
        <w:tc>
          <w:tcPr>
            <w:tcW w:w="1092" w:type="dxa"/>
            <w:tcBorders>
              <w:top w:val="nil"/>
              <w:left w:val="nil"/>
              <w:bottom w:val="nil"/>
              <w:right w:val="nil"/>
            </w:tcBorders>
            <w:shd w:val="clear" w:color="auto" w:fill="auto"/>
            <w:noWrap/>
            <w:vAlign w:val="center"/>
            <w:hideMark/>
          </w:tcPr>
          <w:p w14:paraId="0BDA063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28.2</w:t>
            </w:r>
          </w:p>
        </w:tc>
        <w:tc>
          <w:tcPr>
            <w:tcW w:w="787" w:type="dxa"/>
            <w:tcBorders>
              <w:top w:val="nil"/>
              <w:left w:val="nil"/>
              <w:bottom w:val="nil"/>
              <w:right w:val="nil"/>
            </w:tcBorders>
            <w:shd w:val="clear" w:color="auto" w:fill="auto"/>
            <w:noWrap/>
            <w:vAlign w:val="center"/>
            <w:hideMark/>
          </w:tcPr>
          <w:p w14:paraId="462DB5D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10.6</w:t>
            </w:r>
          </w:p>
        </w:tc>
      </w:tr>
      <w:tr w:rsidR="00CC4FE7" w:rsidRPr="00F36460" w14:paraId="5BCB371A" w14:textId="77777777" w:rsidTr="009B2059">
        <w:trPr>
          <w:trHeight w:val="70"/>
        </w:trPr>
        <w:tc>
          <w:tcPr>
            <w:tcW w:w="834" w:type="dxa"/>
            <w:tcBorders>
              <w:top w:val="nil"/>
              <w:left w:val="nil"/>
              <w:bottom w:val="nil"/>
              <w:right w:val="nil"/>
            </w:tcBorders>
            <w:shd w:val="clear" w:color="auto" w:fill="auto"/>
            <w:noWrap/>
            <w:vAlign w:val="center"/>
            <w:hideMark/>
          </w:tcPr>
          <w:p w14:paraId="0ACECB4D"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3A5A07D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Trinidad &amp; Tobago</w:t>
            </w:r>
          </w:p>
        </w:tc>
        <w:tc>
          <w:tcPr>
            <w:tcW w:w="1261" w:type="dxa"/>
            <w:tcBorders>
              <w:top w:val="nil"/>
              <w:left w:val="nil"/>
              <w:bottom w:val="nil"/>
              <w:right w:val="nil"/>
            </w:tcBorders>
            <w:shd w:val="clear" w:color="auto" w:fill="auto"/>
            <w:noWrap/>
            <w:vAlign w:val="center"/>
            <w:hideMark/>
          </w:tcPr>
          <w:p w14:paraId="2AEB85C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26.1</w:t>
            </w:r>
          </w:p>
        </w:tc>
        <w:tc>
          <w:tcPr>
            <w:tcW w:w="1118" w:type="dxa"/>
            <w:tcBorders>
              <w:top w:val="nil"/>
              <w:left w:val="nil"/>
              <w:bottom w:val="nil"/>
              <w:right w:val="nil"/>
            </w:tcBorders>
            <w:shd w:val="clear" w:color="auto" w:fill="auto"/>
            <w:noWrap/>
            <w:vAlign w:val="center"/>
            <w:hideMark/>
          </w:tcPr>
          <w:p w14:paraId="2878898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44.1</w:t>
            </w:r>
          </w:p>
        </w:tc>
        <w:tc>
          <w:tcPr>
            <w:tcW w:w="1422" w:type="dxa"/>
            <w:tcBorders>
              <w:top w:val="nil"/>
              <w:left w:val="nil"/>
              <w:bottom w:val="nil"/>
              <w:right w:val="nil"/>
            </w:tcBorders>
            <w:shd w:val="clear" w:color="auto" w:fill="auto"/>
            <w:noWrap/>
            <w:vAlign w:val="center"/>
            <w:hideMark/>
          </w:tcPr>
          <w:p w14:paraId="3341A0A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61.5</w:t>
            </w:r>
          </w:p>
        </w:tc>
        <w:tc>
          <w:tcPr>
            <w:tcW w:w="1092" w:type="dxa"/>
            <w:tcBorders>
              <w:top w:val="nil"/>
              <w:left w:val="nil"/>
              <w:bottom w:val="nil"/>
              <w:right w:val="nil"/>
            </w:tcBorders>
            <w:shd w:val="clear" w:color="auto" w:fill="auto"/>
            <w:noWrap/>
            <w:vAlign w:val="center"/>
            <w:hideMark/>
          </w:tcPr>
          <w:p w14:paraId="77BD8DA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40.6</w:t>
            </w:r>
          </w:p>
        </w:tc>
        <w:tc>
          <w:tcPr>
            <w:tcW w:w="787" w:type="dxa"/>
            <w:tcBorders>
              <w:top w:val="nil"/>
              <w:left w:val="nil"/>
              <w:bottom w:val="nil"/>
              <w:right w:val="nil"/>
            </w:tcBorders>
            <w:shd w:val="clear" w:color="auto" w:fill="auto"/>
            <w:noWrap/>
            <w:vAlign w:val="center"/>
            <w:hideMark/>
          </w:tcPr>
          <w:p w14:paraId="3DF0D94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6.4</w:t>
            </w:r>
          </w:p>
        </w:tc>
      </w:tr>
      <w:tr w:rsidR="00CC4FE7" w:rsidRPr="00F36460" w14:paraId="4A70B953" w14:textId="77777777" w:rsidTr="009B2059">
        <w:trPr>
          <w:trHeight w:val="70"/>
        </w:trPr>
        <w:tc>
          <w:tcPr>
            <w:tcW w:w="834" w:type="dxa"/>
            <w:tcBorders>
              <w:top w:val="nil"/>
              <w:left w:val="nil"/>
              <w:bottom w:val="nil"/>
              <w:right w:val="nil"/>
            </w:tcBorders>
            <w:shd w:val="clear" w:color="auto" w:fill="auto"/>
            <w:noWrap/>
            <w:vAlign w:val="center"/>
            <w:hideMark/>
          </w:tcPr>
          <w:p w14:paraId="1E0DCBE5"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253D5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Uruguay</w:t>
            </w:r>
          </w:p>
        </w:tc>
        <w:tc>
          <w:tcPr>
            <w:tcW w:w="1261" w:type="dxa"/>
            <w:tcBorders>
              <w:top w:val="nil"/>
              <w:left w:val="nil"/>
              <w:bottom w:val="nil"/>
              <w:right w:val="nil"/>
            </w:tcBorders>
            <w:shd w:val="clear" w:color="auto" w:fill="auto"/>
            <w:noWrap/>
            <w:vAlign w:val="center"/>
            <w:hideMark/>
          </w:tcPr>
          <w:p w14:paraId="353DE97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34.2</w:t>
            </w:r>
          </w:p>
        </w:tc>
        <w:tc>
          <w:tcPr>
            <w:tcW w:w="1118" w:type="dxa"/>
            <w:tcBorders>
              <w:top w:val="nil"/>
              <w:left w:val="nil"/>
              <w:bottom w:val="nil"/>
              <w:right w:val="nil"/>
            </w:tcBorders>
            <w:shd w:val="clear" w:color="auto" w:fill="auto"/>
            <w:noWrap/>
            <w:vAlign w:val="center"/>
            <w:hideMark/>
          </w:tcPr>
          <w:p w14:paraId="233386A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18.2</w:t>
            </w:r>
          </w:p>
        </w:tc>
        <w:tc>
          <w:tcPr>
            <w:tcW w:w="1422" w:type="dxa"/>
            <w:tcBorders>
              <w:top w:val="nil"/>
              <w:left w:val="nil"/>
              <w:bottom w:val="nil"/>
              <w:right w:val="nil"/>
            </w:tcBorders>
            <w:shd w:val="clear" w:color="auto" w:fill="auto"/>
            <w:noWrap/>
            <w:vAlign w:val="center"/>
            <w:hideMark/>
          </w:tcPr>
          <w:p w14:paraId="0AC2770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53.2</w:t>
            </w:r>
          </w:p>
        </w:tc>
        <w:tc>
          <w:tcPr>
            <w:tcW w:w="1092" w:type="dxa"/>
            <w:tcBorders>
              <w:top w:val="nil"/>
              <w:left w:val="nil"/>
              <w:bottom w:val="nil"/>
              <w:right w:val="nil"/>
            </w:tcBorders>
            <w:shd w:val="clear" w:color="auto" w:fill="auto"/>
            <w:noWrap/>
            <w:vAlign w:val="center"/>
            <w:hideMark/>
          </w:tcPr>
          <w:p w14:paraId="615C719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21.9</w:t>
            </w:r>
          </w:p>
        </w:tc>
        <w:tc>
          <w:tcPr>
            <w:tcW w:w="787" w:type="dxa"/>
            <w:tcBorders>
              <w:top w:val="nil"/>
              <w:left w:val="nil"/>
              <w:bottom w:val="nil"/>
              <w:right w:val="nil"/>
            </w:tcBorders>
            <w:shd w:val="clear" w:color="auto" w:fill="auto"/>
            <w:noWrap/>
            <w:vAlign w:val="center"/>
            <w:hideMark/>
          </w:tcPr>
          <w:p w14:paraId="327EED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w:t>
            </w:r>
          </w:p>
        </w:tc>
      </w:tr>
      <w:tr w:rsidR="00CC4FE7" w:rsidRPr="00F36460" w14:paraId="5974A9E6" w14:textId="77777777" w:rsidTr="009B2059">
        <w:trPr>
          <w:trHeight w:val="70"/>
        </w:trPr>
        <w:tc>
          <w:tcPr>
            <w:tcW w:w="834" w:type="dxa"/>
            <w:tcBorders>
              <w:top w:val="nil"/>
              <w:left w:val="nil"/>
              <w:bottom w:val="nil"/>
              <w:right w:val="nil"/>
            </w:tcBorders>
            <w:shd w:val="clear" w:color="auto" w:fill="auto"/>
            <w:noWrap/>
            <w:vAlign w:val="center"/>
            <w:hideMark/>
          </w:tcPr>
          <w:p w14:paraId="618276D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SEAR</w:t>
            </w:r>
          </w:p>
        </w:tc>
        <w:tc>
          <w:tcPr>
            <w:tcW w:w="3286" w:type="dxa"/>
            <w:tcBorders>
              <w:top w:val="nil"/>
              <w:left w:val="nil"/>
              <w:bottom w:val="nil"/>
              <w:right w:val="nil"/>
            </w:tcBorders>
            <w:shd w:val="clear" w:color="auto" w:fill="auto"/>
            <w:noWrap/>
            <w:vAlign w:val="center"/>
            <w:hideMark/>
          </w:tcPr>
          <w:p w14:paraId="6515560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Bangladesh</w:t>
            </w:r>
          </w:p>
        </w:tc>
        <w:tc>
          <w:tcPr>
            <w:tcW w:w="1261" w:type="dxa"/>
            <w:tcBorders>
              <w:top w:val="nil"/>
              <w:left w:val="nil"/>
              <w:bottom w:val="nil"/>
              <w:right w:val="nil"/>
            </w:tcBorders>
            <w:shd w:val="clear" w:color="auto" w:fill="auto"/>
            <w:noWrap/>
            <w:vAlign w:val="center"/>
            <w:hideMark/>
          </w:tcPr>
          <w:p w14:paraId="7E92B23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9.3</w:t>
            </w:r>
          </w:p>
        </w:tc>
        <w:tc>
          <w:tcPr>
            <w:tcW w:w="1118" w:type="dxa"/>
            <w:tcBorders>
              <w:top w:val="nil"/>
              <w:left w:val="nil"/>
              <w:bottom w:val="nil"/>
              <w:right w:val="nil"/>
            </w:tcBorders>
            <w:shd w:val="clear" w:color="auto" w:fill="auto"/>
            <w:noWrap/>
            <w:vAlign w:val="center"/>
            <w:hideMark/>
          </w:tcPr>
          <w:p w14:paraId="5CCC007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42.1</w:t>
            </w:r>
          </w:p>
        </w:tc>
        <w:tc>
          <w:tcPr>
            <w:tcW w:w="1422" w:type="dxa"/>
            <w:tcBorders>
              <w:top w:val="nil"/>
              <w:left w:val="nil"/>
              <w:bottom w:val="nil"/>
              <w:right w:val="nil"/>
            </w:tcBorders>
            <w:shd w:val="clear" w:color="auto" w:fill="auto"/>
            <w:noWrap/>
            <w:vAlign w:val="center"/>
            <w:hideMark/>
          </w:tcPr>
          <w:p w14:paraId="193A7AE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NA</w:t>
            </w:r>
          </w:p>
        </w:tc>
        <w:tc>
          <w:tcPr>
            <w:tcW w:w="1092" w:type="dxa"/>
            <w:tcBorders>
              <w:top w:val="nil"/>
              <w:left w:val="nil"/>
              <w:bottom w:val="nil"/>
              <w:right w:val="nil"/>
            </w:tcBorders>
            <w:shd w:val="clear" w:color="auto" w:fill="auto"/>
            <w:noWrap/>
            <w:vAlign w:val="center"/>
            <w:hideMark/>
          </w:tcPr>
          <w:p w14:paraId="738A713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48.3</w:t>
            </w:r>
          </w:p>
        </w:tc>
        <w:tc>
          <w:tcPr>
            <w:tcW w:w="787" w:type="dxa"/>
            <w:tcBorders>
              <w:top w:val="nil"/>
              <w:left w:val="nil"/>
              <w:bottom w:val="nil"/>
              <w:right w:val="nil"/>
            </w:tcBorders>
            <w:shd w:val="clear" w:color="auto" w:fill="auto"/>
            <w:noWrap/>
            <w:vAlign w:val="center"/>
            <w:hideMark/>
          </w:tcPr>
          <w:p w14:paraId="2126681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13.1</w:t>
            </w:r>
          </w:p>
        </w:tc>
      </w:tr>
      <w:tr w:rsidR="00CC4FE7" w:rsidRPr="00F36460" w14:paraId="0E978A50" w14:textId="77777777" w:rsidTr="009B2059">
        <w:trPr>
          <w:trHeight w:val="70"/>
        </w:trPr>
        <w:tc>
          <w:tcPr>
            <w:tcW w:w="834" w:type="dxa"/>
            <w:tcBorders>
              <w:top w:val="nil"/>
              <w:left w:val="nil"/>
              <w:bottom w:val="nil"/>
              <w:right w:val="nil"/>
            </w:tcBorders>
            <w:shd w:val="clear" w:color="auto" w:fill="auto"/>
            <w:noWrap/>
            <w:vAlign w:val="center"/>
            <w:hideMark/>
          </w:tcPr>
          <w:p w14:paraId="6BA6D171"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79BDC3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East Timor</w:t>
            </w:r>
          </w:p>
        </w:tc>
        <w:tc>
          <w:tcPr>
            <w:tcW w:w="1261" w:type="dxa"/>
            <w:tcBorders>
              <w:top w:val="nil"/>
              <w:left w:val="nil"/>
              <w:bottom w:val="nil"/>
              <w:right w:val="nil"/>
            </w:tcBorders>
            <w:shd w:val="clear" w:color="auto" w:fill="auto"/>
            <w:noWrap/>
            <w:vAlign w:val="center"/>
            <w:hideMark/>
          </w:tcPr>
          <w:p w14:paraId="0008A5C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26.4</w:t>
            </w:r>
          </w:p>
        </w:tc>
        <w:tc>
          <w:tcPr>
            <w:tcW w:w="1118" w:type="dxa"/>
            <w:tcBorders>
              <w:top w:val="nil"/>
              <w:left w:val="nil"/>
              <w:bottom w:val="nil"/>
              <w:right w:val="nil"/>
            </w:tcBorders>
            <w:shd w:val="clear" w:color="auto" w:fill="auto"/>
            <w:noWrap/>
            <w:vAlign w:val="center"/>
            <w:hideMark/>
          </w:tcPr>
          <w:p w14:paraId="66CCACB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46.8</w:t>
            </w:r>
          </w:p>
        </w:tc>
        <w:tc>
          <w:tcPr>
            <w:tcW w:w="1422" w:type="dxa"/>
            <w:tcBorders>
              <w:top w:val="nil"/>
              <w:left w:val="nil"/>
              <w:bottom w:val="nil"/>
              <w:right w:val="nil"/>
            </w:tcBorders>
            <w:shd w:val="clear" w:color="auto" w:fill="auto"/>
            <w:noWrap/>
            <w:vAlign w:val="center"/>
            <w:hideMark/>
          </w:tcPr>
          <w:p w14:paraId="550AD82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54.4</w:t>
            </w:r>
          </w:p>
        </w:tc>
        <w:tc>
          <w:tcPr>
            <w:tcW w:w="1092" w:type="dxa"/>
            <w:tcBorders>
              <w:top w:val="nil"/>
              <w:left w:val="nil"/>
              <w:bottom w:val="nil"/>
              <w:right w:val="nil"/>
            </w:tcBorders>
            <w:shd w:val="clear" w:color="auto" w:fill="auto"/>
            <w:noWrap/>
            <w:vAlign w:val="center"/>
            <w:hideMark/>
          </w:tcPr>
          <w:p w14:paraId="1C121D7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40.0</w:t>
            </w:r>
          </w:p>
        </w:tc>
        <w:tc>
          <w:tcPr>
            <w:tcW w:w="787" w:type="dxa"/>
            <w:tcBorders>
              <w:top w:val="nil"/>
              <w:left w:val="nil"/>
              <w:bottom w:val="nil"/>
              <w:right w:val="nil"/>
            </w:tcBorders>
            <w:shd w:val="clear" w:color="auto" w:fill="auto"/>
            <w:noWrap/>
            <w:vAlign w:val="center"/>
            <w:hideMark/>
          </w:tcPr>
          <w:p w14:paraId="7E012FE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11.7</w:t>
            </w:r>
          </w:p>
        </w:tc>
      </w:tr>
      <w:tr w:rsidR="00CC4FE7" w:rsidRPr="00F36460" w14:paraId="6CC10291" w14:textId="77777777" w:rsidTr="009B2059">
        <w:trPr>
          <w:trHeight w:val="70"/>
        </w:trPr>
        <w:tc>
          <w:tcPr>
            <w:tcW w:w="834" w:type="dxa"/>
            <w:tcBorders>
              <w:top w:val="nil"/>
              <w:left w:val="nil"/>
              <w:bottom w:val="nil"/>
              <w:right w:val="nil"/>
            </w:tcBorders>
            <w:shd w:val="clear" w:color="auto" w:fill="auto"/>
            <w:noWrap/>
            <w:vAlign w:val="center"/>
            <w:hideMark/>
          </w:tcPr>
          <w:p w14:paraId="66A1C6FF"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75C1DB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Indonesia</w:t>
            </w:r>
          </w:p>
        </w:tc>
        <w:tc>
          <w:tcPr>
            <w:tcW w:w="1261" w:type="dxa"/>
            <w:tcBorders>
              <w:top w:val="nil"/>
              <w:left w:val="nil"/>
              <w:bottom w:val="nil"/>
              <w:right w:val="nil"/>
            </w:tcBorders>
            <w:shd w:val="clear" w:color="auto" w:fill="auto"/>
            <w:noWrap/>
            <w:vAlign w:val="center"/>
            <w:hideMark/>
          </w:tcPr>
          <w:p w14:paraId="53ED0A1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w:t>
            </w:r>
          </w:p>
        </w:tc>
        <w:tc>
          <w:tcPr>
            <w:tcW w:w="1118" w:type="dxa"/>
            <w:tcBorders>
              <w:top w:val="nil"/>
              <w:left w:val="nil"/>
              <w:bottom w:val="nil"/>
              <w:right w:val="nil"/>
            </w:tcBorders>
            <w:shd w:val="clear" w:color="auto" w:fill="auto"/>
            <w:noWrap/>
            <w:vAlign w:val="center"/>
            <w:hideMark/>
          </w:tcPr>
          <w:p w14:paraId="47A7E91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72.0</w:t>
            </w:r>
          </w:p>
        </w:tc>
        <w:tc>
          <w:tcPr>
            <w:tcW w:w="1422" w:type="dxa"/>
            <w:tcBorders>
              <w:top w:val="nil"/>
              <w:left w:val="nil"/>
              <w:bottom w:val="nil"/>
              <w:right w:val="nil"/>
            </w:tcBorders>
            <w:shd w:val="clear" w:color="auto" w:fill="auto"/>
            <w:noWrap/>
            <w:vAlign w:val="center"/>
            <w:hideMark/>
          </w:tcPr>
          <w:p w14:paraId="0FA5288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60.2</w:t>
            </w:r>
          </w:p>
        </w:tc>
        <w:tc>
          <w:tcPr>
            <w:tcW w:w="1092" w:type="dxa"/>
            <w:tcBorders>
              <w:top w:val="nil"/>
              <w:left w:val="nil"/>
              <w:bottom w:val="nil"/>
              <w:right w:val="nil"/>
            </w:tcBorders>
            <w:shd w:val="clear" w:color="auto" w:fill="auto"/>
            <w:noWrap/>
            <w:vAlign w:val="center"/>
            <w:hideMark/>
          </w:tcPr>
          <w:p w14:paraId="4E10F72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51.1</w:t>
            </w:r>
          </w:p>
        </w:tc>
        <w:tc>
          <w:tcPr>
            <w:tcW w:w="787" w:type="dxa"/>
            <w:tcBorders>
              <w:top w:val="nil"/>
              <w:left w:val="nil"/>
              <w:bottom w:val="nil"/>
              <w:right w:val="nil"/>
            </w:tcBorders>
            <w:shd w:val="clear" w:color="auto" w:fill="auto"/>
            <w:noWrap/>
            <w:vAlign w:val="center"/>
            <w:hideMark/>
          </w:tcPr>
          <w:p w14:paraId="7BE71FE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4.1</w:t>
            </w:r>
          </w:p>
        </w:tc>
      </w:tr>
      <w:tr w:rsidR="00CC4FE7" w:rsidRPr="00F36460" w14:paraId="010236E1" w14:textId="77777777" w:rsidTr="009B2059">
        <w:trPr>
          <w:trHeight w:val="70"/>
        </w:trPr>
        <w:tc>
          <w:tcPr>
            <w:tcW w:w="834" w:type="dxa"/>
            <w:tcBorders>
              <w:top w:val="nil"/>
              <w:left w:val="nil"/>
              <w:bottom w:val="nil"/>
              <w:right w:val="nil"/>
            </w:tcBorders>
            <w:shd w:val="clear" w:color="auto" w:fill="auto"/>
            <w:noWrap/>
            <w:vAlign w:val="center"/>
            <w:hideMark/>
          </w:tcPr>
          <w:p w14:paraId="438C607F"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7B5ED0A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Nepal</w:t>
            </w:r>
          </w:p>
        </w:tc>
        <w:tc>
          <w:tcPr>
            <w:tcW w:w="1261" w:type="dxa"/>
            <w:tcBorders>
              <w:top w:val="nil"/>
              <w:left w:val="nil"/>
              <w:bottom w:val="nil"/>
              <w:right w:val="nil"/>
            </w:tcBorders>
            <w:shd w:val="clear" w:color="auto" w:fill="auto"/>
            <w:noWrap/>
            <w:vAlign w:val="center"/>
            <w:hideMark/>
          </w:tcPr>
          <w:p w14:paraId="7F77CC2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20.8</w:t>
            </w:r>
          </w:p>
        </w:tc>
        <w:tc>
          <w:tcPr>
            <w:tcW w:w="1118" w:type="dxa"/>
            <w:tcBorders>
              <w:top w:val="nil"/>
              <w:left w:val="nil"/>
              <w:bottom w:val="nil"/>
              <w:right w:val="nil"/>
            </w:tcBorders>
            <w:shd w:val="clear" w:color="auto" w:fill="auto"/>
            <w:noWrap/>
            <w:vAlign w:val="center"/>
            <w:hideMark/>
          </w:tcPr>
          <w:p w14:paraId="31DF7EE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40.8</w:t>
            </w:r>
          </w:p>
        </w:tc>
        <w:tc>
          <w:tcPr>
            <w:tcW w:w="1422" w:type="dxa"/>
            <w:tcBorders>
              <w:top w:val="nil"/>
              <w:left w:val="nil"/>
              <w:bottom w:val="nil"/>
              <w:right w:val="nil"/>
            </w:tcBorders>
            <w:shd w:val="clear" w:color="auto" w:fill="auto"/>
            <w:noWrap/>
            <w:vAlign w:val="center"/>
            <w:hideMark/>
          </w:tcPr>
          <w:p w14:paraId="66137D0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60.5</w:t>
            </w:r>
          </w:p>
        </w:tc>
        <w:tc>
          <w:tcPr>
            <w:tcW w:w="1092" w:type="dxa"/>
            <w:tcBorders>
              <w:top w:val="nil"/>
              <w:left w:val="nil"/>
              <w:bottom w:val="nil"/>
              <w:right w:val="nil"/>
            </w:tcBorders>
            <w:shd w:val="clear" w:color="auto" w:fill="auto"/>
            <w:noWrap/>
            <w:vAlign w:val="center"/>
            <w:hideMark/>
          </w:tcPr>
          <w:p w14:paraId="14B0D9C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28.5</w:t>
            </w:r>
          </w:p>
        </w:tc>
        <w:tc>
          <w:tcPr>
            <w:tcW w:w="787" w:type="dxa"/>
            <w:tcBorders>
              <w:top w:val="nil"/>
              <w:left w:val="nil"/>
              <w:bottom w:val="nil"/>
              <w:right w:val="nil"/>
            </w:tcBorders>
            <w:shd w:val="clear" w:color="auto" w:fill="auto"/>
            <w:noWrap/>
            <w:vAlign w:val="center"/>
            <w:hideMark/>
          </w:tcPr>
          <w:p w14:paraId="5F9F656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w:t>
            </w:r>
          </w:p>
        </w:tc>
      </w:tr>
      <w:tr w:rsidR="00CC4FE7" w:rsidRPr="00F36460" w14:paraId="7D13070F" w14:textId="77777777" w:rsidTr="009B2059">
        <w:trPr>
          <w:trHeight w:val="70"/>
        </w:trPr>
        <w:tc>
          <w:tcPr>
            <w:tcW w:w="834" w:type="dxa"/>
            <w:tcBorders>
              <w:top w:val="nil"/>
              <w:left w:val="nil"/>
              <w:bottom w:val="nil"/>
              <w:right w:val="nil"/>
            </w:tcBorders>
            <w:shd w:val="clear" w:color="auto" w:fill="auto"/>
            <w:noWrap/>
            <w:vAlign w:val="center"/>
            <w:hideMark/>
          </w:tcPr>
          <w:p w14:paraId="4CFFFF06"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3E7663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Thailand</w:t>
            </w:r>
          </w:p>
        </w:tc>
        <w:tc>
          <w:tcPr>
            <w:tcW w:w="1261" w:type="dxa"/>
            <w:tcBorders>
              <w:top w:val="nil"/>
              <w:left w:val="nil"/>
              <w:bottom w:val="nil"/>
              <w:right w:val="nil"/>
            </w:tcBorders>
            <w:shd w:val="clear" w:color="auto" w:fill="auto"/>
            <w:noWrap/>
            <w:vAlign w:val="center"/>
            <w:hideMark/>
          </w:tcPr>
          <w:p w14:paraId="2F4A2E6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18.6</w:t>
            </w:r>
          </w:p>
        </w:tc>
        <w:tc>
          <w:tcPr>
            <w:tcW w:w="1118" w:type="dxa"/>
            <w:tcBorders>
              <w:top w:val="nil"/>
              <w:left w:val="nil"/>
              <w:bottom w:val="nil"/>
              <w:right w:val="nil"/>
            </w:tcBorders>
            <w:shd w:val="clear" w:color="auto" w:fill="auto"/>
            <w:noWrap/>
            <w:vAlign w:val="center"/>
            <w:hideMark/>
          </w:tcPr>
          <w:p w14:paraId="4BE2925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35.0</w:t>
            </w:r>
          </w:p>
        </w:tc>
        <w:tc>
          <w:tcPr>
            <w:tcW w:w="1422" w:type="dxa"/>
            <w:tcBorders>
              <w:top w:val="nil"/>
              <w:left w:val="nil"/>
              <w:bottom w:val="nil"/>
              <w:right w:val="nil"/>
            </w:tcBorders>
            <w:shd w:val="clear" w:color="auto" w:fill="auto"/>
            <w:noWrap/>
            <w:vAlign w:val="center"/>
            <w:hideMark/>
          </w:tcPr>
          <w:p w14:paraId="4E13D4B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56.0</w:t>
            </w:r>
          </w:p>
        </w:tc>
        <w:tc>
          <w:tcPr>
            <w:tcW w:w="1092" w:type="dxa"/>
            <w:tcBorders>
              <w:top w:val="nil"/>
              <w:left w:val="nil"/>
              <w:bottom w:val="nil"/>
              <w:right w:val="nil"/>
            </w:tcBorders>
            <w:shd w:val="clear" w:color="auto" w:fill="auto"/>
            <w:noWrap/>
            <w:vAlign w:val="center"/>
            <w:hideMark/>
          </w:tcPr>
          <w:p w14:paraId="69D344A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50.1</w:t>
            </w:r>
          </w:p>
        </w:tc>
        <w:tc>
          <w:tcPr>
            <w:tcW w:w="787" w:type="dxa"/>
            <w:tcBorders>
              <w:top w:val="nil"/>
              <w:left w:val="nil"/>
              <w:bottom w:val="nil"/>
              <w:right w:val="nil"/>
            </w:tcBorders>
            <w:shd w:val="clear" w:color="auto" w:fill="auto"/>
            <w:noWrap/>
            <w:vAlign w:val="center"/>
            <w:hideMark/>
          </w:tcPr>
          <w:p w14:paraId="68FE411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w:t>
            </w:r>
          </w:p>
        </w:tc>
      </w:tr>
      <w:tr w:rsidR="00CC4FE7" w:rsidRPr="00F36460" w14:paraId="748FECB6" w14:textId="77777777" w:rsidTr="009B2059">
        <w:trPr>
          <w:trHeight w:val="70"/>
        </w:trPr>
        <w:tc>
          <w:tcPr>
            <w:tcW w:w="834" w:type="dxa"/>
            <w:tcBorders>
              <w:top w:val="nil"/>
              <w:left w:val="nil"/>
              <w:bottom w:val="nil"/>
              <w:right w:val="nil"/>
            </w:tcBorders>
            <w:shd w:val="clear" w:color="auto" w:fill="auto"/>
            <w:noWrap/>
            <w:vAlign w:val="center"/>
            <w:hideMark/>
          </w:tcPr>
          <w:p w14:paraId="5E02BB2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WPR</w:t>
            </w:r>
          </w:p>
        </w:tc>
        <w:tc>
          <w:tcPr>
            <w:tcW w:w="3286" w:type="dxa"/>
            <w:tcBorders>
              <w:top w:val="nil"/>
              <w:left w:val="nil"/>
              <w:bottom w:val="nil"/>
              <w:right w:val="nil"/>
            </w:tcBorders>
            <w:shd w:val="clear" w:color="auto" w:fill="auto"/>
            <w:noWrap/>
            <w:vAlign w:val="center"/>
            <w:hideMark/>
          </w:tcPr>
          <w:p w14:paraId="29D2351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Brunei Darussalam</w:t>
            </w:r>
          </w:p>
        </w:tc>
        <w:tc>
          <w:tcPr>
            <w:tcW w:w="1261" w:type="dxa"/>
            <w:tcBorders>
              <w:top w:val="nil"/>
              <w:left w:val="nil"/>
              <w:bottom w:val="nil"/>
              <w:right w:val="nil"/>
            </w:tcBorders>
            <w:shd w:val="clear" w:color="auto" w:fill="auto"/>
            <w:noWrap/>
            <w:vAlign w:val="center"/>
            <w:hideMark/>
          </w:tcPr>
          <w:p w14:paraId="004C55A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11.3</w:t>
            </w:r>
          </w:p>
        </w:tc>
        <w:tc>
          <w:tcPr>
            <w:tcW w:w="1118" w:type="dxa"/>
            <w:tcBorders>
              <w:top w:val="nil"/>
              <w:left w:val="nil"/>
              <w:bottom w:val="nil"/>
              <w:right w:val="nil"/>
            </w:tcBorders>
            <w:shd w:val="clear" w:color="auto" w:fill="auto"/>
            <w:noWrap/>
            <w:vAlign w:val="center"/>
            <w:hideMark/>
          </w:tcPr>
          <w:p w14:paraId="0B7DCEE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62.3</w:t>
            </w:r>
          </w:p>
        </w:tc>
        <w:tc>
          <w:tcPr>
            <w:tcW w:w="1422" w:type="dxa"/>
            <w:tcBorders>
              <w:top w:val="nil"/>
              <w:left w:val="nil"/>
              <w:bottom w:val="nil"/>
              <w:right w:val="nil"/>
            </w:tcBorders>
            <w:shd w:val="clear" w:color="auto" w:fill="auto"/>
            <w:noWrap/>
            <w:vAlign w:val="center"/>
            <w:hideMark/>
          </w:tcPr>
          <w:p w14:paraId="7476CCA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54.6</w:t>
            </w:r>
          </w:p>
        </w:tc>
        <w:tc>
          <w:tcPr>
            <w:tcW w:w="1092" w:type="dxa"/>
            <w:tcBorders>
              <w:top w:val="nil"/>
              <w:left w:val="nil"/>
              <w:bottom w:val="nil"/>
              <w:right w:val="nil"/>
            </w:tcBorders>
            <w:shd w:val="clear" w:color="auto" w:fill="auto"/>
            <w:noWrap/>
            <w:vAlign w:val="center"/>
            <w:hideMark/>
          </w:tcPr>
          <w:p w14:paraId="0C962A5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54.8</w:t>
            </w:r>
          </w:p>
        </w:tc>
        <w:tc>
          <w:tcPr>
            <w:tcW w:w="787" w:type="dxa"/>
            <w:tcBorders>
              <w:top w:val="nil"/>
              <w:left w:val="nil"/>
              <w:bottom w:val="nil"/>
              <w:right w:val="nil"/>
            </w:tcBorders>
            <w:shd w:val="clear" w:color="auto" w:fill="auto"/>
            <w:noWrap/>
            <w:vAlign w:val="center"/>
            <w:hideMark/>
          </w:tcPr>
          <w:p w14:paraId="77E3ADD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6.7</w:t>
            </w:r>
          </w:p>
        </w:tc>
      </w:tr>
      <w:tr w:rsidR="00CC4FE7" w:rsidRPr="00F36460" w14:paraId="2CCB68DE" w14:textId="77777777" w:rsidTr="009B2059">
        <w:trPr>
          <w:trHeight w:val="70"/>
        </w:trPr>
        <w:tc>
          <w:tcPr>
            <w:tcW w:w="834" w:type="dxa"/>
            <w:tcBorders>
              <w:top w:val="nil"/>
              <w:left w:val="nil"/>
              <w:bottom w:val="nil"/>
              <w:right w:val="nil"/>
            </w:tcBorders>
            <w:shd w:val="clear" w:color="auto" w:fill="auto"/>
            <w:noWrap/>
            <w:vAlign w:val="center"/>
            <w:hideMark/>
          </w:tcPr>
          <w:p w14:paraId="5078EE8A"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4A63F7A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Cambodia</w:t>
            </w:r>
          </w:p>
        </w:tc>
        <w:tc>
          <w:tcPr>
            <w:tcW w:w="1261" w:type="dxa"/>
            <w:tcBorders>
              <w:top w:val="nil"/>
              <w:left w:val="nil"/>
              <w:bottom w:val="nil"/>
              <w:right w:val="nil"/>
            </w:tcBorders>
            <w:shd w:val="clear" w:color="auto" w:fill="auto"/>
            <w:noWrap/>
            <w:vAlign w:val="center"/>
            <w:hideMark/>
          </w:tcPr>
          <w:p w14:paraId="782195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11.9</w:t>
            </w:r>
          </w:p>
        </w:tc>
        <w:tc>
          <w:tcPr>
            <w:tcW w:w="1118" w:type="dxa"/>
            <w:tcBorders>
              <w:top w:val="nil"/>
              <w:left w:val="nil"/>
              <w:bottom w:val="nil"/>
              <w:right w:val="nil"/>
            </w:tcBorders>
            <w:shd w:val="clear" w:color="auto" w:fill="auto"/>
            <w:noWrap/>
            <w:vAlign w:val="center"/>
            <w:hideMark/>
          </w:tcPr>
          <w:p w14:paraId="3B840B9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39.3</w:t>
            </w:r>
          </w:p>
        </w:tc>
        <w:tc>
          <w:tcPr>
            <w:tcW w:w="1422" w:type="dxa"/>
            <w:tcBorders>
              <w:top w:val="nil"/>
              <w:left w:val="nil"/>
              <w:bottom w:val="nil"/>
              <w:right w:val="nil"/>
            </w:tcBorders>
            <w:shd w:val="clear" w:color="auto" w:fill="auto"/>
            <w:noWrap/>
            <w:vAlign w:val="center"/>
            <w:hideMark/>
          </w:tcPr>
          <w:p w14:paraId="53BC688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46.9</w:t>
            </w:r>
          </w:p>
        </w:tc>
        <w:tc>
          <w:tcPr>
            <w:tcW w:w="1092" w:type="dxa"/>
            <w:tcBorders>
              <w:top w:val="nil"/>
              <w:left w:val="nil"/>
              <w:bottom w:val="nil"/>
              <w:right w:val="nil"/>
            </w:tcBorders>
            <w:shd w:val="clear" w:color="auto" w:fill="auto"/>
            <w:noWrap/>
            <w:vAlign w:val="center"/>
            <w:hideMark/>
          </w:tcPr>
          <w:p w14:paraId="7E020AD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48.7</w:t>
            </w:r>
          </w:p>
        </w:tc>
        <w:tc>
          <w:tcPr>
            <w:tcW w:w="787" w:type="dxa"/>
            <w:tcBorders>
              <w:top w:val="nil"/>
              <w:left w:val="nil"/>
              <w:bottom w:val="nil"/>
              <w:right w:val="nil"/>
            </w:tcBorders>
            <w:shd w:val="clear" w:color="auto" w:fill="auto"/>
            <w:noWrap/>
            <w:vAlign w:val="center"/>
            <w:hideMark/>
          </w:tcPr>
          <w:p w14:paraId="2F67664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w:t>
            </w:r>
          </w:p>
        </w:tc>
      </w:tr>
      <w:tr w:rsidR="00CC4FE7" w:rsidRPr="00F36460" w14:paraId="5C1C1364" w14:textId="77777777" w:rsidTr="009B2059">
        <w:trPr>
          <w:trHeight w:val="70"/>
        </w:trPr>
        <w:tc>
          <w:tcPr>
            <w:tcW w:w="834" w:type="dxa"/>
            <w:tcBorders>
              <w:top w:val="nil"/>
              <w:left w:val="nil"/>
              <w:bottom w:val="nil"/>
              <w:right w:val="nil"/>
            </w:tcBorders>
            <w:shd w:val="clear" w:color="auto" w:fill="auto"/>
            <w:noWrap/>
            <w:vAlign w:val="center"/>
            <w:hideMark/>
          </w:tcPr>
          <w:p w14:paraId="1282D389"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3FF9DBC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Fiji</w:t>
            </w:r>
          </w:p>
        </w:tc>
        <w:tc>
          <w:tcPr>
            <w:tcW w:w="1261" w:type="dxa"/>
            <w:tcBorders>
              <w:top w:val="nil"/>
              <w:left w:val="nil"/>
              <w:bottom w:val="nil"/>
              <w:right w:val="nil"/>
            </w:tcBorders>
            <w:shd w:val="clear" w:color="auto" w:fill="auto"/>
            <w:noWrap/>
            <w:vAlign w:val="center"/>
            <w:hideMark/>
          </w:tcPr>
          <w:p w14:paraId="6F7227A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20.7</w:t>
            </w:r>
          </w:p>
        </w:tc>
        <w:tc>
          <w:tcPr>
            <w:tcW w:w="1118" w:type="dxa"/>
            <w:tcBorders>
              <w:top w:val="nil"/>
              <w:left w:val="nil"/>
              <w:bottom w:val="nil"/>
              <w:right w:val="nil"/>
            </w:tcBorders>
            <w:shd w:val="clear" w:color="auto" w:fill="auto"/>
            <w:noWrap/>
            <w:vAlign w:val="center"/>
            <w:hideMark/>
          </w:tcPr>
          <w:p w14:paraId="096920B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52.6</w:t>
            </w:r>
          </w:p>
        </w:tc>
        <w:tc>
          <w:tcPr>
            <w:tcW w:w="1422" w:type="dxa"/>
            <w:tcBorders>
              <w:top w:val="nil"/>
              <w:left w:val="nil"/>
              <w:bottom w:val="nil"/>
              <w:right w:val="nil"/>
            </w:tcBorders>
            <w:shd w:val="clear" w:color="auto" w:fill="auto"/>
            <w:noWrap/>
            <w:vAlign w:val="center"/>
            <w:hideMark/>
          </w:tcPr>
          <w:p w14:paraId="2119ED7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59.3</w:t>
            </w:r>
          </w:p>
        </w:tc>
        <w:tc>
          <w:tcPr>
            <w:tcW w:w="1092" w:type="dxa"/>
            <w:tcBorders>
              <w:top w:val="nil"/>
              <w:left w:val="nil"/>
              <w:bottom w:val="nil"/>
              <w:right w:val="nil"/>
            </w:tcBorders>
            <w:shd w:val="clear" w:color="auto" w:fill="auto"/>
            <w:noWrap/>
            <w:vAlign w:val="center"/>
            <w:hideMark/>
          </w:tcPr>
          <w:p w14:paraId="7AB7E34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48.7</w:t>
            </w:r>
          </w:p>
        </w:tc>
        <w:tc>
          <w:tcPr>
            <w:tcW w:w="787" w:type="dxa"/>
            <w:tcBorders>
              <w:top w:val="nil"/>
              <w:left w:val="nil"/>
              <w:bottom w:val="nil"/>
              <w:right w:val="nil"/>
            </w:tcBorders>
            <w:shd w:val="clear" w:color="auto" w:fill="auto"/>
            <w:noWrap/>
            <w:vAlign w:val="center"/>
            <w:hideMark/>
          </w:tcPr>
          <w:p w14:paraId="7B969D4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11.4</w:t>
            </w:r>
          </w:p>
        </w:tc>
      </w:tr>
      <w:tr w:rsidR="00CC4FE7" w:rsidRPr="00F36460" w14:paraId="46D9382B" w14:textId="77777777" w:rsidTr="009B2059">
        <w:trPr>
          <w:trHeight w:val="70"/>
        </w:trPr>
        <w:tc>
          <w:tcPr>
            <w:tcW w:w="834" w:type="dxa"/>
            <w:tcBorders>
              <w:top w:val="nil"/>
              <w:left w:val="nil"/>
              <w:bottom w:val="nil"/>
              <w:right w:val="nil"/>
            </w:tcBorders>
            <w:shd w:val="clear" w:color="auto" w:fill="auto"/>
            <w:noWrap/>
            <w:vAlign w:val="center"/>
            <w:hideMark/>
          </w:tcPr>
          <w:p w14:paraId="3C20CD81"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5178901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French Polynesia</w:t>
            </w:r>
          </w:p>
        </w:tc>
        <w:tc>
          <w:tcPr>
            <w:tcW w:w="1261" w:type="dxa"/>
            <w:tcBorders>
              <w:top w:val="nil"/>
              <w:left w:val="nil"/>
              <w:bottom w:val="nil"/>
              <w:right w:val="nil"/>
            </w:tcBorders>
            <w:shd w:val="clear" w:color="auto" w:fill="auto"/>
            <w:noWrap/>
            <w:vAlign w:val="center"/>
            <w:hideMark/>
          </w:tcPr>
          <w:p w14:paraId="193CFE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40.9</w:t>
            </w:r>
          </w:p>
        </w:tc>
        <w:tc>
          <w:tcPr>
            <w:tcW w:w="1118" w:type="dxa"/>
            <w:tcBorders>
              <w:top w:val="nil"/>
              <w:left w:val="nil"/>
              <w:bottom w:val="nil"/>
              <w:right w:val="nil"/>
            </w:tcBorders>
            <w:shd w:val="clear" w:color="auto" w:fill="auto"/>
            <w:noWrap/>
            <w:vAlign w:val="center"/>
            <w:hideMark/>
          </w:tcPr>
          <w:p w14:paraId="5407D1A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53.0</w:t>
            </w:r>
          </w:p>
        </w:tc>
        <w:tc>
          <w:tcPr>
            <w:tcW w:w="1422" w:type="dxa"/>
            <w:tcBorders>
              <w:top w:val="nil"/>
              <w:left w:val="nil"/>
              <w:bottom w:val="nil"/>
              <w:right w:val="nil"/>
            </w:tcBorders>
            <w:shd w:val="clear" w:color="auto" w:fill="auto"/>
            <w:noWrap/>
            <w:vAlign w:val="center"/>
            <w:hideMark/>
          </w:tcPr>
          <w:p w14:paraId="4B02723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55.1</w:t>
            </w:r>
          </w:p>
        </w:tc>
        <w:tc>
          <w:tcPr>
            <w:tcW w:w="1092" w:type="dxa"/>
            <w:tcBorders>
              <w:top w:val="nil"/>
              <w:left w:val="nil"/>
              <w:bottom w:val="nil"/>
              <w:right w:val="nil"/>
            </w:tcBorders>
            <w:shd w:val="clear" w:color="auto" w:fill="auto"/>
            <w:noWrap/>
            <w:vAlign w:val="center"/>
            <w:hideMark/>
          </w:tcPr>
          <w:p w14:paraId="37E5A36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53.7</w:t>
            </w:r>
          </w:p>
        </w:tc>
        <w:tc>
          <w:tcPr>
            <w:tcW w:w="787" w:type="dxa"/>
            <w:tcBorders>
              <w:top w:val="nil"/>
              <w:left w:val="nil"/>
              <w:bottom w:val="nil"/>
              <w:right w:val="nil"/>
            </w:tcBorders>
            <w:shd w:val="clear" w:color="auto" w:fill="auto"/>
            <w:noWrap/>
            <w:vAlign w:val="center"/>
            <w:hideMark/>
          </w:tcPr>
          <w:p w14:paraId="7FBB131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11.1</w:t>
            </w:r>
          </w:p>
        </w:tc>
      </w:tr>
      <w:tr w:rsidR="00CC4FE7" w:rsidRPr="00F36460" w14:paraId="4FA1028D" w14:textId="77777777" w:rsidTr="009B2059">
        <w:trPr>
          <w:trHeight w:val="70"/>
        </w:trPr>
        <w:tc>
          <w:tcPr>
            <w:tcW w:w="834" w:type="dxa"/>
            <w:tcBorders>
              <w:top w:val="nil"/>
              <w:left w:val="nil"/>
              <w:bottom w:val="nil"/>
              <w:right w:val="nil"/>
            </w:tcBorders>
            <w:shd w:val="clear" w:color="auto" w:fill="auto"/>
            <w:noWrap/>
            <w:vAlign w:val="center"/>
            <w:hideMark/>
          </w:tcPr>
          <w:p w14:paraId="164CB48C"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7B71A0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Kiribati</w:t>
            </w:r>
          </w:p>
        </w:tc>
        <w:tc>
          <w:tcPr>
            <w:tcW w:w="1261" w:type="dxa"/>
            <w:tcBorders>
              <w:top w:val="nil"/>
              <w:left w:val="nil"/>
              <w:bottom w:val="nil"/>
              <w:right w:val="nil"/>
            </w:tcBorders>
            <w:shd w:val="clear" w:color="auto" w:fill="auto"/>
            <w:noWrap/>
            <w:vAlign w:val="center"/>
            <w:hideMark/>
          </w:tcPr>
          <w:p w14:paraId="666F519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24.2</w:t>
            </w:r>
          </w:p>
        </w:tc>
        <w:tc>
          <w:tcPr>
            <w:tcW w:w="1118" w:type="dxa"/>
            <w:tcBorders>
              <w:top w:val="nil"/>
              <w:left w:val="nil"/>
              <w:bottom w:val="nil"/>
              <w:right w:val="nil"/>
            </w:tcBorders>
            <w:shd w:val="clear" w:color="auto" w:fill="auto"/>
            <w:noWrap/>
            <w:vAlign w:val="center"/>
            <w:hideMark/>
          </w:tcPr>
          <w:p w14:paraId="579A0B2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74.0</w:t>
            </w:r>
          </w:p>
        </w:tc>
        <w:tc>
          <w:tcPr>
            <w:tcW w:w="1422" w:type="dxa"/>
            <w:tcBorders>
              <w:top w:val="nil"/>
              <w:left w:val="nil"/>
              <w:bottom w:val="nil"/>
              <w:right w:val="nil"/>
            </w:tcBorders>
            <w:shd w:val="clear" w:color="auto" w:fill="auto"/>
            <w:noWrap/>
            <w:vAlign w:val="center"/>
            <w:hideMark/>
          </w:tcPr>
          <w:p w14:paraId="4BAA0C2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53.0</w:t>
            </w:r>
          </w:p>
        </w:tc>
        <w:tc>
          <w:tcPr>
            <w:tcW w:w="1092" w:type="dxa"/>
            <w:tcBorders>
              <w:top w:val="nil"/>
              <w:left w:val="nil"/>
              <w:bottom w:val="nil"/>
              <w:right w:val="nil"/>
            </w:tcBorders>
            <w:shd w:val="clear" w:color="auto" w:fill="auto"/>
            <w:noWrap/>
            <w:vAlign w:val="center"/>
            <w:hideMark/>
          </w:tcPr>
          <w:p w14:paraId="55A187E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54.8</w:t>
            </w:r>
          </w:p>
        </w:tc>
        <w:tc>
          <w:tcPr>
            <w:tcW w:w="787" w:type="dxa"/>
            <w:tcBorders>
              <w:top w:val="nil"/>
              <w:left w:val="nil"/>
              <w:bottom w:val="nil"/>
              <w:right w:val="nil"/>
            </w:tcBorders>
            <w:shd w:val="clear" w:color="auto" w:fill="auto"/>
            <w:noWrap/>
            <w:vAlign w:val="center"/>
            <w:hideMark/>
          </w:tcPr>
          <w:p w14:paraId="30E801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12.8</w:t>
            </w:r>
          </w:p>
        </w:tc>
      </w:tr>
      <w:tr w:rsidR="00CC4FE7" w:rsidRPr="00F36460" w14:paraId="3D978C5A" w14:textId="77777777" w:rsidTr="009B2059">
        <w:trPr>
          <w:trHeight w:val="70"/>
        </w:trPr>
        <w:tc>
          <w:tcPr>
            <w:tcW w:w="834" w:type="dxa"/>
            <w:tcBorders>
              <w:top w:val="nil"/>
              <w:left w:val="nil"/>
              <w:bottom w:val="nil"/>
              <w:right w:val="nil"/>
            </w:tcBorders>
            <w:shd w:val="clear" w:color="auto" w:fill="auto"/>
            <w:noWrap/>
            <w:vAlign w:val="center"/>
            <w:hideMark/>
          </w:tcPr>
          <w:p w14:paraId="6EEBCB8A"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6EC51A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Laos</w:t>
            </w:r>
          </w:p>
        </w:tc>
        <w:tc>
          <w:tcPr>
            <w:tcW w:w="1261" w:type="dxa"/>
            <w:tcBorders>
              <w:top w:val="nil"/>
              <w:left w:val="nil"/>
              <w:bottom w:val="nil"/>
              <w:right w:val="nil"/>
            </w:tcBorders>
            <w:shd w:val="clear" w:color="auto" w:fill="auto"/>
            <w:noWrap/>
            <w:vAlign w:val="center"/>
            <w:hideMark/>
          </w:tcPr>
          <w:p w14:paraId="13069DC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15.2</w:t>
            </w:r>
          </w:p>
        </w:tc>
        <w:tc>
          <w:tcPr>
            <w:tcW w:w="1118" w:type="dxa"/>
            <w:tcBorders>
              <w:top w:val="nil"/>
              <w:left w:val="nil"/>
              <w:bottom w:val="nil"/>
              <w:right w:val="nil"/>
            </w:tcBorders>
            <w:shd w:val="clear" w:color="auto" w:fill="auto"/>
            <w:noWrap/>
            <w:vAlign w:val="center"/>
            <w:hideMark/>
          </w:tcPr>
          <w:p w14:paraId="7FE0017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37.1</w:t>
            </w:r>
          </w:p>
        </w:tc>
        <w:tc>
          <w:tcPr>
            <w:tcW w:w="1422" w:type="dxa"/>
            <w:tcBorders>
              <w:top w:val="nil"/>
              <w:left w:val="nil"/>
              <w:bottom w:val="nil"/>
              <w:right w:val="nil"/>
            </w:tcBorders>
            <w:shd w:val="clear" w:color="auto" w:fill="auto"/>
            <w:noWrap/>
            <w:vAlign w:val="center"/>
            <w:hideMark/>
          </w:tcPr>
          <w:p w14:paraId="4FA5C73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56.3</w:t>
            </w:r>
          </w:p>
        </w:tc>
        <w:tc>
          <w:tcPr>
            <w:tcW w:w="1092" w:type="dxa"/>
            <w:tcBorders>
              <w:top w:val="nil"/>
              <w:left w:val="nil"/>
              <w:bottom w:val="nil"/>
              <w:right w:val="nil"/>
            </w:tcBorders>
            <w:shd w:val="clear" w:color="auto" w:fill="auto"/>
            <w:noWrap/>
            <w:vAlign w:val="center"/>
            <w:hideMark/>
          </w:tcPr>
          <w:p w14:paraId="25D95D3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48.2</w:t>
            </w:r>
          </w:p>
        </w:tc>
        <w:tc>
          <w:tcPr>
            <w:tcW w:w="787" w:type="dxa"/>
            <w:tcBorders>
              <w:top w:val="nil"/>
              <w:left w:val="nil"/>
              <w:bottom w:val="nil"/>
              <w:right w:val="nil"/>
            </w:tcBorders>
            <w:shd w:val="clear" w:color="auto" w:fill="auto"/>
            <w:noWrap/>
            <w:vAlign w:val="center"/>
            <w:hideMark/>
          </w:tcPr>
          <w:p w14:paraId="1EDA73C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w:t>
            </w:r>
          </w:p>
        </w:tc>
      </w:tr>
      <w:tr w:rsidR="00CC4FE7" w:rsidRPr="00F36460" w14:paraId="1B9B5E67" w14:textId="77777777" w:rsidTr="009B2059">
        <w:trPr>
          <w:trHeight w:val="70"/>
        </w:trPr>
        <w:tc>
          <w:tcPr>
            <w:tcW w:w="834" w:type="dxa"/>
            <w:tcBorders>
              <w:top w:val="nil"/>
              <w:left w:val="nil"/>
              <w:bottom w:val="nil"/>
              <w:right w:val="nil"/>
            </w:tcBorders>
            <w:shd w:val="clear" w:color="auto" w:fill="auto"/>
            <w:noWrap/>
            <w:vAlign w:val="center"/>
            <w:hideMark/>
          </w:tcPr>
          <w:p w14:paraId="79F03F58"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10BB0D5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Malaysia</w:t>
            </w:r>
          </w:p>
        </w:tc>
        <w:tc>
          <w:tcPr>
            <w:tcW w:w="1261" w:type="dxa"/>
            <w:tcBorders>
              <w:top w:val="nil"/>
              <w:left w:val="nil"/>
              <w:bottom w:val="nil"/>
              <w:right w:val="nil"/>
            </w:tcBorders>
            <w:shd w:val="clear" w:color="auto" w:fill="auto"/>
            <w:noWrap/>
            <w:vAlign w:val="center"/>
            <w:hideMark/>
          </w:tcPr>
          <w:p w14:paraId="72FB1AD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8.3</w:t>
            </w:r>
          </w:p>
        </w:tc>
        <w:tc>
          <w:tcPr>
            <w:tcW w:w="1118" w:type="dxa"/>
            <w:tcBorders>
              <w:top w:val="nil"/>
              <w:left w:val="nil"/>
              <w:bottom w:val="nil"/>
              <w:right w:val="nil"/>
            </w:tcBorders>
            <w:shd w:val="clear" w:color="auto" w:fill="auto"/>
            <w:noWrap/>
            <w:vAlign w:val="center"/>
            <w:hideMark/>
          </w:tcPr>
          <w:p w14:paraId="2640B2D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70.2</w:t>
            </w:r>
          </w:p>
        </w:tc>
        <w:tc>
          <w:tcPr>
            <w:tcW w:w="1422" w:type="dxa"/>
            <w:tcBorders>
              <w:top w:val="nil"/>
              <w:left w:val="nil"/>
              <w:bottom w:val="nil"/>
              <w:right w:val="nil"/>
            </w:tcBorders>
            <w:shd w:val="clear" w:color="auto" w:fill="auto"/>
            <w:noWrap/>
            <w:vAlign w:val="center"/>
            <w:hideMark/>
          </w:tcPr>
          <w:p w14:paraId="1B18F58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52.2</w:t>
            </w:r>
          </w:p>
        </w:tc>
        <w:tc>
          <w:tcPr>
            <w:tcW w:w="1092" w:type="dxa"/>
            <w:tcBorders>
              <w:top w:val="nil"/>
              <w:left w:val="nil"/>
              <w:bottom w:val="nil"/>
              <w:right w:val="nil"/>
            </w:tcBorders>
            <w:shd w:val="clear" w:color="auto" w:fill="auto"/>
            <w:noWrap/>
            <w:vAlign w:val="center"/>
            <w:hideMark/>
          </w:tcPr>
          <w:p w14:paraId="27905B0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54.9</w:t>
            </w:r>
          </w:p>
        </w:tc>
        <w:tc>
          <w:tcPr>
            <w:tcW w:w="787" w:type="dxa"/>
            <w:tcBorders>
              <w:top w:val="nil"/>
              <w:left w:val="nil"/>
              <w:bottom w:val="nil"/>
              <w:right w:val="nil"/>
            </w:tcBorders>
            <w:shd w:val="clear" w:color="auto" w:fill="auto"/>
            <w:noWrap/>
            <w:vAlign w:val="center"/>
            <w:hideMark/>
          </w:tcPr>
          <w:p w14:paraId="6801796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4.9</w:t>
            </w:r>
          </w:p>
        </w:tc>
      </w:tr>
      <w:tr w:rsidR="00CC4FE7" w:rsidRPr="00F36460" w14:paraId="3DD3B333" w14:textId="77777777" w:rsidTr="009B2059">
        <w:trPr>
          <w:trHeight w:val="70"/>
        </w:trPr>
        <w:tc>
          <w:tcPr>
            <w:tcW w:w="834" w:type="dxa"/>
            <w:tcBorders>
              <w:top w:val="nil"/>
              <w:left w:val="nil"/>
              <w:bottom w:val="nil"/>
              <w:right w:val="nil"/>
            </w:tcBorders>
            <w:shd w:val="clear" w:color="auto" w:fill="auto"/>
            <w:noWrap/>
            <w:vAlign w:val="center"/>
            <w:hideMark/>
          </w:tcPr>
          <w:p w14:paraId="3281642B"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28EC9BC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Mongolia</w:t>
            </w:r>
          </w:p>
        </w:tc>
        <w:tc>
          <w:tcPr>
            <w:tcW w:w="1261" w:type="dxa"/>
            <w:tcBorders>
              <w:top w:val="nil"/>
              <w:left w:val="nil"/>
              <w:bottom w:val="nil"/>
              <w:right w:val="nil"/>
            </w:tcBorders>
            <w:shd w:val="clear" w:color="auto" w:fill="auto"/>
            <w:noWrap/>
            <w:vAlign w:val="center"/>
            <w:hideMark/>
          </w:tcPr>
          <w:p w14:paraId="182169E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15.3</w:t>
            </w:r>
          </w:p>
        </w:tc>
        <w:tc>
          <w:tcPr>
            <w:tcW w:w="1118" w:type="dxa"/>
            <w:tcBorders>
              <w:top w:val="nil"/>
              <w:left w:val="nil"/>
              <w:bottom w:val="nil"/>
              <w:right w:val="nil"/>
            </w:tcBorders>
            <w:shd w:val="clear" w:color="auto" w:fill="auto"/>
            <w:noWrap/>
            <w:vAlign w:val="center"/>
            <w:hideMark/>
          </w:tcPr>
          <w:p w14:paraId="54E799E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44.6</w:t>
            </w:r>
          </w:p>
        </w:tc>
        <w:tc>
          <w:tcPr>
            <w:tcW w:w="1422" w:type="dxa"/>
            <w:tcBorders>
              <w:top w:val="nil"/>
              <w:left w:val="nil"/>
              <w:bottom w:val="nil"/>
              <w:right w:val="nil"/>
            </w:tcBorders>
            <w:shd w:val="clear" w:color="auto" w:fill="auto"/>
            <w:noWrap/>
            <w:vAlign w:val="center"/>
            <w:hideMark/>
          </w:tcPr>
          <w:p w14:paraId="54072EF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51.6</w:t>
            </w:r>
          </w:p>
        </w:tc>
        <w:tc>
          <w:tcPr>
            <w:tcW w:w="1092" w:type="dxa"/>
            <w:tcBorders>
              <w:top w:val="nil"/>
              <w:left w:val="nil"/>
              <w:bottom w:val="nil"/>
              <w:right w:val="nil"/>
            </w:tcBorders>
            <w:shd w:val="clear" w:color="auto" w:fill="auto"/>
            <w:noWrap/>
            <w:vAlign w:val="center"/>
            <w:hideMark/>
          </w:tcPr>
          <w:p w14:paraId="32A1BEF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35.3</w:t>
            </w:r>
          </w:p>
        </w:tc>
        <w:tc>
          <w:tcPr>
            <w:tcW w:w="787" w:type="dxa"/>
            <w:tcBorders>
              <w:top w:val="nil"/>
              <w:left w:val="nil"/>
              <w:bottom w:val="nil"/>
              <w:right w:val="nil"/>
            </w:tcBorders>
            <w:shd w:val="clear" w:color="auto" w:fill="auto"/>
            <w:noWrap/>
            <w:vAlign w:val="center"/>
            <w:hideMark/>
          </w:tcPr>
          <w:p w14:paraId="02276ED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w:t>
            </w:r>
          </w:p>
        </w:tc>
      </w:tr>
      <w:tr w:rsidR="00CC4FE7" w:rsidRPr="00F36460" w14:paraId="0817689B" w14:textId="77777777" w:rsidTr="009B2059">
        <w:trPr>
          <w:trHeight w:val="70"/>
        </w:trPr>
        <w:tc>
          <w:tcPr>
            <w:tcW w:w="834" w:type="dxa"/>
            <w:tcBorders>
              <w:top w:val="nil"/>
              <w:left w:val="nil"/>
              <w:bottom w:val="nil"/>
              <w:right w:val="nil"/>
            </w:tcBorders>
            <w:shd w:val="clear" w:color="auto" w:fill="auto"/>
            <w:noWrap/>
            <w:vAlign w:val="center"/>
            <w:hideMark/>
          </w:tcPr>
          <w:p w14:paraId="7D8E92DA"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61A4B88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Samoa</w:t>
            </w:r>
          </w:p>
        </w:tc>
        <w:tc>
          <w:tcPr>
            <w:tcW w:w="1261" w:type="dxa"/>
            <w:tcBorders>
              <w:top w:val="nil"/>
              <w:left w:val="nil"/>
              <w:bottom w:val="nil"/>
              <w:right w:val="nil"/>
            </w:tcBorders>
            <w:shd w:val="clear" w:color="auto" w:fill="auto"/>
            <w:noWrap/>
            <w:vAlign w:val="center"/>
            <w:hideMark/>
          </w:tcPr>
          <w:p w14:paraId="0748966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57.5</w:t>
            </w:r>
          </w:p>
        </w:tc>
        <w:tc>
          <w:tcPr>
            <w:tcW w:w="1118" w:type="dxa"/>
            <w:tcBorders>
              <w:top w:val="nil"/>
              <w:left w:val="nil"/>
              <w:bottom w:val="nil"/>
              <w:right w:val="nil"/>
            </w:tcBorders>
            <w:shd w:val="clear" w:color="auto" w:fill="auto"/>
            <w:noWrap/>
            <w:vAlign w:val="center"/>
            <w:hideMark/>
          </w:tcPr>
          <w:p w14:paraId="06BD873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44.2</w:t>
            </w:r>
          </w:p>
        </w:tc>
        <w:tc>
          <w:tcPr>
            <w:tcW w:w="1422" w:type="dxa"/>
            <w:tcBorders>
              <w:top w:val="nil"/>
              <w:left w:val="nil"/>
              <w:bottom w:val="nil"/>
              <w:right w:val="nil"/>
            </w:tcBorders>
            <w:shd w:val="clear" w:color="auto" w:fill="auto"/>
            <w:noWrap/>
            <w:vAlign w:val="center"/>
            <w:hideMark/>
          </w:tcPr>
          <w:p w14:paraId="2FFA090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69.0</w:t>
            </w:r>
          </w:p>
        </w:tc>
        <w:tc>
          <w:tcPr>
            <w:tcW w:w="1092" w:type="dxa"/>
            <w:tcBorders>
              <w:top w:val="nil"/>
              <w:left w:val="nil"/>
              <w:bottom w:val="nil"/>
              <w:right w:val="nil"/>
            </w:tcBorders>
            <w:shd w:val="clear" w:color="auto" w:fill="auto"/>
            <w:noWrap/>
            <w:vAlign w:val="center"/>
            <w:hideMark/>
          </w:tcPr>
          <w:p w14:paraId="263816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44.9</w:t>
            </w:r>
          </w:p>
        </w:tc>
        <w:tc>
          <w:tcPr>
            <w:tcW w:w="787" w:type="dxa"/>
            <w:tcBorders>
              <w:top w:val="nil"/>
              <w:left w:val="nil"/>
              <w:bottom w:val="nil"/>
              <w:right w:val="nil"/>
            </w:tcBorders>
            <w:shd w:val="clear" w:color="auto" w:fill="auto"/>
            <w:noWrap/>
            <w:vAlign w:val="center"/>
            <w:hideMark/>
          </w:tcPr>
          <w:p w14:paraId="50CA9DE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36.2</w:t>
            </w:r>
          </w:p>
        </w:tc>
      </w:tr>
      <w:tr w:rsidR="00CC4FE7" w:rsidRPr="00F36460" w14:paraId="0CFF8A3F" w14:textId="77777777" w:rsidTr="009B2059">
        <w:trPr>
          <w:trHeight w:val="70"/>
        </w:trPr>
        <w:tc>
          <w:tcPr>
            <w:tcW w:w="834" w:type="dxa"/>
            <w:tcBorders>
              <w:top w:val="nil"/>
              <w:left w:val="nil"/>
              <w:bottom w:val="nil"/>
              <w:right w:val="nil"/>
            </w:tcBorders>
            <w:shd w:val="clear" w:color="auto" w:fill="auto"/>
            <w:noWrap/>
            <w:vAlign w:val="center"/>
            <w:hideMark/>
          </w:tcPr>
          <w:p w14:paraId="0514A7B4"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4724A0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Tuvalu</w:t>
            </w:r>
          </w:p>
        </w:tc>
        <w:tc>
          <w:tcPr>
            <w:tcW w:w="1261" w:type="dxa"/>
            <w:tcBorders>
              <w:top w:val="nil"/>
              <w:left w:val="nil"/>
              <w:bottom w:val="nil"/>
              <w:right w:val="nil"/>
            </w:tcBorders>
            <w:shd w:val="clear" w:color="auto" w:fill="auto"/>
            <w:noWrap/>
            <w:vAlign w:val="center"/>
            <w:hideMark/>
          </w:tcPr>
          <w:p w14:paraId="2F8DE93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19.0</w:t>
            </w:r>
          </w:p>
        </w:tc>
        <w:tc>
          <w:tcPr>
            <w:tcW w:w="1118" w:type="dxa"/>
            <w:tcBorders>
              <w:top w:val="nil"/>
              <w:left w:val="nil"/>
              <w:bottom w:val="nil"/>
              <w:right w:val="nil"/>
            </w:tcBorders>
            <w:shd w:val="clear" w:color="auto" w:fill="auto"/>
            <w:noWrap/>
            <w:vAlign w:val="center"/>
            <w:hideMark/>
          </w:tcPr>
          <w:p w14:paraId="7239EA6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55.3</w:t>
            </w:r>
          </w:p>
        </w:tc>
        <w:tc>
          <w:tcPr>
            <w:tcW w:w="1422" w:type="dxa"/>
            <w:tcBorders>
              <w:top w:val="nil"/>
              <w:left w:val="nil"/>
              <w:bottom w:val="nil"/>
              <w:right w:val="nil"/>
            </w:tcBorders>
            <w:shd w:val="clear" w:color="auto" w:fill="auto"/>
            <w:noWrap/>
            <w:vAlign w:val="center"/>
            <w:hideMark/>
          </w:tcPr>
          <w:p w14:paraId="32E26D6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62.2</w:t>
            </w:r>
          </w:p>
        </w:tc>
        <w:tc>
          <w:tcPr>
            <w:tcW w:w="1092" w:type="dxa"/>
            <w:tcBorders>
              <w:top w:val="nil"/>
              <w:left w:val="nil"/>
              <w:bottom w:val="nil"/>
              <w:right w:val="nil"/>
            </w:tcBorders>
            <w:shd w:val="clear" w:color="auto" w:fill="auto"/>
            <w:noWrap/>
            <w:vAlign w:val="center"/>
            <w:hideMark/>
          </w:tcPr>
          <w:p w14:paraId="338CB9C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45.8</w:t>
            </w:r>
          </w:p>
        </w:tc>
        <w:tc>
          <w:tcPr>
            <w:tcW w:w="787" w:type="dxa"/>
            <w:tcBorders>
              <w:top w:val="nil"/>
              <w:left w:val="nil"/>
              <w:bottom w:val="nil"/>
              <w:right w:val="nil"/>
            </w:tcBorders>
            <w:shd w:val="clear" w:color="auto" w:fill="auto"/>
            <w:noWrap/>
            <w:vAlign w:val="center"/>
            <w:hideMark/>
          </w:tcPr>
          <w:p w14:paraId="38BEDBB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7.0</w:t>
            </w:r>
          </w:p>
        </w:tc>
      </w:tr>
      <w:tr w:rsidR="00CC4FE7" w:rsidRPr="00F36460" w14:paraId="32D3AB92" w14:textId="77777777" w:rsidTr="009B2059">
        <w:trPr>
          <w:trHeight w:val="70"/>
        </w:trPr>
        <w:tc>
          <w:tcPr>
            <w:tcW w:w="834" w:type="dxa"/>
            <w:tcBorders>
              <w:top w:val="nil"/>
              <w:left w:val="nil"/>
              <w:bottom w:val="nil"/>
              <w:right w:val="nil"/>
            </w:tcBorders>
            <w:shd w:val="clear" w:color="auto" w:fill="auto"/>
            <w:noWrap/>
            <w:vAlign w:val="center"/>
            <w:hideMark/>
          </w:tcPr>
          <w:p w14:paraId="42673E0C" w14:textId="77777777" w:rsidR="00CC4FE7" w:rsidRPr="00F36460" w:rsidRDefault="00CC4FE7" w:rsidP="009B2059">
            <w:pPr>
              <w:rPr>
                <w:rFonts w:eastAsia="Times New Roman" w:cs="Times New Roman"/>
                <w:color w:val="000000"/>
                <w:sz w:val="22"/>
                <w:szCs w:val="22"/>
                <w:lang w:val="en-GB"/>
              </w:rPr>
            </w:pPr>
          </w:p>
        </w:tc>
        <w:tc>
          <w:tcPr>
            <w:tcW w:w="3286" w:type="dxa"/>
            <w:tcBorders>
              <w:top w:val="nil"/>
              <w:left w:val="nil"/>
              <w:bottom w:val="nil"/>
              <w:right w:val="nil"/>
            </w:tcBorders>
            <w:shd w:val="clear" w:color="auto" w:fill="auto"/>
            <w:noWrap/>
            <w:vAlign w:val="center"/>
            <w:hideMark/>
          </w:tcPr>
          <w:p w14:paraId="0DC41DD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Vanuatu</w:t>
            </w:r>
          </w:p>
        </w:tc>
        <w:tc>
          <w:tcPr>
            <w:tcW w:w="1261" w:type="dxa"/>
            <w:tcBorders>
              <w:top w:val="nil"/>
              <w:left w:val="nil"/>
              <w:bottom w:val="nil"/>
              <w:right w:val="nil"/>
            </w:tcBorders>
            <w:shd w:val="clear" w:color="auto" w:fill="auto"/>
            <w:noWrap/>
            <w:vAlign w:val="center"/>
            <w:hideMark/>
          </w:tcPr>
          <w:p w14:paraId="37B88B0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12.9</w:t>
            </w:r>
          </w:p>
        </w:tc>
        <w:tc>
          <w:tcPr>
            <w:tcW w:w="1118" w:type="dxa"/>
            <w:tcBorders>
              <w:top w:val="nil"/>
              <w:left w:val="nil"/>
              <w:bottom w:val="nil"/>
              <w:right w:val="nil"/>
            </w:tcBorders>
            <w:shd w:val="clear" w:color="auto" w:fill="auto"/>
            <w:noWrap/>
            <w:vAlign w:val="center"/>
            <w:hideMark/>
          </w:tcPr>
          <w:p w14:paraId="3DBA7CE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34.2</w:t>
            </w:r>
          </w:p>
        </w:tc>
        <w:tc>
          <w:tcPr>
            <w:tcW w:w="1422" w:type="dxa"/>
            <w:tcBorders>
              <w:top w:val="nil"/>
              <w:left w:val="nil"/>
              <w:bottom w:val="nil"/>
              <w:right w:val="nil"/>
            </w:tcBorders>
            <w:shd w:val="clear" w:color="auto" w:fill="auto"/>
            <w:noWrap/>
            <w:vAlign w:val="center"/>
            <w:hideMark/>
          </w:tcPr>
          <w:p w14:paraId="3656C9A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46.2</w:t>
            </w:r>
          </w:p>
        </w:tc>
        <w:tc>
          <w:tcPr>
            <w:tcW w:w="1092" w:type="dxa"/>
            <w:tcBorders>
              <w:top w:val="nil"/>
              <w:left w:val="nil"/>
              <w:bottom w:val="nil"/>
              <w:right w:val="nil"/>
            </w:tcBorders>
            <w:shd w:val="clear" w:color="auto" w:fill="auto"/>
            <w:noWrap/>
            <w:vAlign w:val="center"/>
            <w:hideMark/>
          </w:tcPr>
          <w:p w14:paraId="3A83627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46.0</w:t>
            </w:r>
          </w:p>
        </w:tc>
        <w:tc>
          <w:tcPr>
            <w:tcW w:w="787" w:type="dxa"/>
            <w:tcBorders>
              <w:top w:val="nil"/>
              <w:left w:val="nil"/>
              <w:bottom w:val="nil"/>
              <w:right w:val="nil"/>
            </w:tcBorders>
            <w:shd w:val="clear" w:color="auto" w:fill="auto"/>
            <w:noWrap/>
            <w:vAlign w:val="center"/>
            <w:hideMark/>
          </w:tcPr>
          <w:p w14:paraId="5D66262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5.9</w:t>
            </w:r>
          </w:p>
        </w:tc>
      </w:tr>
      <w:tr w:rsidR="00CC4FE7" w:rsidRPr="00F36460" w14:paraId="02540463" w14:textId="77777777" w:rsidTr="009B2059">
        <w:trPr>
          <w:trHeight w:val="70"/>
        </w:trPr>
        <w:tc>
          <w:tcPr>
            <w:tcW w:w="834" w:type="dxa"/>
            <w:tcBorders>
              <w:top w:val="nil"/>
              <w:left w:val="nil"/>
              <w:bottom w:val="single" w:sz="4" w:space="0" w:color="auto"/>
              <w:right w:val="nil"/>
            </w:tcBorders>
            <w:shd w:val="clear" w:color="auto" w:fill="auto"/>
            <w:noWrap/>
            <w:vAlign w:val="center"/>
            <w:hideMark/>
          </w:tcPr>
          <w:p w14:paraId="7D69D95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lastRenderedPageBreak/>
              <w:t> </w:t>
            </w:r>
          </w:p>
        </w:tc>
        <w:tc>
          <w:tcPr>
            <w:tcW w:w="3286" w:type="dxa"/>
            <w:tcBorders>
              <w:top w:val="nil"/>
              <w:left w:val="nil"/>
              <w:bottom w:val="single" w:sz="4" w:space="0" w:color="auto"/>
              <w:right w:val="nil"/>
            </w:tcBorders>
            <w:shd w:val="clear" w:color="auto" w:fill="auto"/>
            <w:noWrap/>
            <w:vAlign w:val="center"/>
            <w:hideMark/>
          </w:tcPr>
          <w:p w14:paraId="60C43F5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Vietnam</w:t>
            </w:r>
          </w:p>
        </w:tc>
        <w:tc>
          <w:tcPr>
            <w:tcW w:w="1261" w:type="dxa"/>
            <w:tcBorders>
              <w:top w:val="nil"/>
              <w:left w:val="nil"/>
              <w:bottom w:val="single" w:sz="4" w:space="0" w:color="auto"/>
              <w:right w:val="nil"/>
            </w:tcBorders>
            <w:shd w:val="clear" w:color="auto" w:fill="auto"/>
            <w:noWrap/>
            <w:vAlign w:val="center"/>
            <w:hideMark/>
          </w:tcPr>
          <w:p w14:paraId="63BDD65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6.5</w:t>
            </w:r>
          </w:p>
        </w:tc>
        <w:tc>
          <w:tcPr>
            <w:tcW w:w="1118" w:type="dxa"/>
            <w:tcBorders>
              <w:top w:val="nil"/>
              <w:left w:val="nil"/>
              <w:bottom w:val="single" w:sz="4" w:space="0" w:color="auto"/>
              <w:right w:val="nil"/>
            </w:tcBorders>
            <w:shd w:val="clear" w:color="auto" w:fill="auto"/>
            <w:noWrap/>
            <w:vAlign w:val="center"/>
            <w:hideMark/>
          </w:tcPr>
          <w:p w14:paraId="04D5F37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46.8</w:t>
            </w:r>
          </w:p>
        </w:tc>
        <w:tc>
          <w:tcPr>
            <w:tcW w:w="1422" w:type="dxa"/>
            <w:tcBorders>
              <w:top w:val="nil"/>
              <w:left w:val="nil"/>
              <w:bottom w:val="single" w:sz="4" w:space="0" w:color="auto"/>
              <w:right w:val="nil"/>
            </w:tcBorders>
            <w:shd w:val="clear" w:color="auto" w:fill="auto"/>
            <w:noWrap/>
            <w:vAlign w:val="center"/>
            <w:hideMark/>
          </w:tcPr>
          <w:p w14:paraId="1EE93CB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31.5</w:t>
            </w:r>
          </w:p>
        </w:tc>
        <w:tc>
          <w:tcPr>
            <w:tcW w:w="1092" w:type="dxa"/>
            <w:tcBorders>
              <w:top w:val="nil"/>
              <w:left w:val="nil"/>
              <w:bottom w:val="single" w:sz="4" w:space="0" w:color="auto"/>
              <w:right w:val="nil"/>
            </w:tcBorders>
            <w:shd w:val="clear" w:color="auto" w:fill="auto"/>
            <w:noWrap/>
            <w:vAlign w:val="center"/>
            <w:hideMark/>
          </w:tcPr>
          <w:p w14:paraId="74CA622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51.4</w:t>
            </w:r>
          </w:p>
        </w:tc>
        <w:tc>
          <w:tcPr>
            <w:tcW w:w="787" w:type="dxa"/>
            <w:tcBorders>
              <w:top w:val="nil"/>
              <w:left w:val="nil"/>
              <w:bottom w:val="single" w:sz="4" w:space="0" w:color="auto"/>
              <w:right w:val="nil"/>
            </w:tcBorders>
            <w:shd w:val="clear" w:color="auto" w:fill="auto"/>
            <w:noWrap/>
            <w:vAlign w:val="center"/>
            <w:hideMark/>
          </w:tcPr>
          <w:p w14:paraId="1324B58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w:t>
            </w:r>
          </w:p>
        </w:tc>
      </w:tr>
    </w:tbl>
    <w:p w14:paraId="6C38FA5E" w14:textId="77777777" w:rsidR="00CC4FE7" w:rsidRPr="00F36460" w:rsidRDefault="00CC4FE7" w:rsidP="00CC4FE7">
      <w:pPr>
        <w:rPr>
          <w:sz w:val="20"/>
          <w:szCs w:val="20"/>
        </w:rPr>
      </w:pPr>
      <w:r w:rsidRPr="00F36460">
        <w:rPr>
          <w:rFonts w:cs="Times New Roman"/>
          <w:sz w:val="20"/>
          <w:szCs w:val="20"/>
        </w:rPr>
        <w:t xml:space="preserve">Abbreviation: </w:t>
      </w:r>
      <w:r w:rsidRPr="00F36460">
        <w:rPr>
          <w:sz w:val="20"/>
          <w:szCs w:val="20"/>
        </w:rPr>
        <w:t>AFR African Region; AMR Region of the Americas; SEAR South-East Asia Region; WPR Western Pacific Region; % percentage</w:t>
      </w:r>
    </w:p>
    <w:p w14:paraId="60E9CF07" w14:textId="77777777" w:rsidR="00CC4FE7" w:rsidRPr="00F36460" w:rsidRDefault="00CC4FE7" w:rsidP="00CC4FE7">
      <w:pPr>
        <w:rPr>
          <w:rFonts w:cs="Times New Roman"/>
          <w:sz w:val="20"/>
          <w:szCs w:val="20"/>
        </w:rPr>
      </w:pPr>
      <w:r w:rsidRPr="00F36460">
        <w:rPr>
          <w:rFonts w:cs="Times New Roman"/>
          <w:sz w:val="20"/>
          <w:szCs w:val="20"/>
          <w:vertAlign w:val="superscript"/>
        </w:rPr>
        <w:t xml:space="preserve">a </w:t>
      </w:r>
      <w:r w:rsidRPr="00F36460">
        <w:rPr>
          <w:rFonts w:cs="Times New Roman"/>
          <w:sz w:val="20"/>
          <w:szCs w:val="20"/>
        </w:rPr>
        <w:t>Restricted to those who ever had sexual intercourse.</w:t>
      </w:r>
    </w:p>
    <w:p w14:paraId="04B81916" w14:textId="77777777" w:rsidR="00CC4FE7" w:rsidRPr="00F36460" w:rsidRDefault="00CC4FE7" w:rsidP="00CC4FE7">
      <w:pPr>
        <w:rPr>
          <w:rFonts w:cs="Times New Roman"/>
          <w:sz w:val="20"/>
          <w:szCs w:val="20"/>
        </w:rPr>
      </w:pPr>
      <w:r w:rsidRPr="00F36460">
        <w:rPr>
          <w:rFonts w:cs="Times New Roman"/>
          <w:sz w:val="20"/>
          <w:szCs w:val="20"/>
          <w:vertAlign w:val="superscript"/>
        </w:rPr>
        <w:t xml:space="preserve">b </w:t>
      </w:r>
      <w:proofErr w:type="gramStart"/>
      <w:r w:rsidRPr="00F36460">
        <w:rPr>
          <w:rFonts w:cs="Times New Roman"/>
          <w:sz w:val="20"/>
          <w:szCs w:val="20"/>
        </w:rPr>
        <w:t>At</w:t>
      </w:r>
      <w:proofErr w:type="gramEnd"/>
      <w:r w:rsidRPr="00F36460">
        <w:rPr>
          <w:rFonts w:cs="Times New Roman"/>
          <w:sz w:val="20"/>
          <w:szCs w:val="20"/>
        </w:rPr>
        <w:t xml:space="preserve"> last sexual intercourse.</w:t>
      </w:r>
    </w:p>
    <w:p w14:paraId="25A716CB" w14:textId="466B7562" w:rsidR="000963AA" w:rsidRDefault="00CC4FE7" w:rsidP="00CC4FE7">
      <w:pPr>
        <w:rPr>
          <w:rFonts w:cs="Times New Roman"/>
          <w:sz w:val="20"/>
          <w:szCs w:val="20"/>
        </w:rPr>
      </w:pPr>
      <w:r w:rsidRPr="00F36460">
        <w:rPr>
          <w:rFonts w:cs="Times New Roman"/>
          <w:sz w:val="20"/>
          <w:szCs w:val="20"/>
          <w:vertAlign w:val="superscript"/>
        </w:rPr>
        <w:t xml:space="preserve">c </w:t>
      </w:r>
      <w:r w:rsidRPr="00F36460">
        <w:rPr>
          <w:rFonts w:cs="Times New Roman"/>
          <w:sz w:val="20"/>
          <w:szCs w:val="20"/>
        </w:rPr>
        <w:t>Multiple sex partners referred to ≥2 partners.</w:t>
      </w:r>
    </w:p>
    <w:p w14:paraId="238311EF" w14:textId="77777777" w:rsidR="000963AA" w:rsidRDefault="000963AA">
      <w:pPr>
        <w:spacing w:after="160" w:line="259" w:lineRule="auto"/>
        <w:rPr>
          <w:rFonts w:cs="Times New Roman"/>
          <w:sz w:val="20"/>
          <w:szCs w:val="20"/>
        </w:rPr>
      </w:pPr>
      <w:r>
        <w:rPr>
          <w:rFonts w:cs="Times New Roman"/>
          <w:sz w:val="20"/>
          <w:szCs w:val="20"/>
        </w:rPr>
        <w:br w:type="page"/>
      </w:r>
    </w:p>
    <w:p w14:paraId="293A8E22" w14:textId="5E294B81" w:rsidR="00CC4FE7" w:rsidRPr="00F36460" w:rsidRDefault="000963AA" w:rsidP="000963AA">
      <w:pPr>
        <w:pStyle w:val="Heading1"/>
      </w:pPr>
      <w:r>
        <w:lastRenderedPageBreak/>
        <w:t>Table 3</w:t>
      </w:r>
    </w:p>
    <w:p w14:paraId="16222D42" w14:textId="77777777" w:rsidR="00CC4FE7" w:rsidRPr="00F36460" w:rsidRDefault="00CC4FE7" w:rsidP="00CC4FE7">
      <w:pPr>
        <w:spacing w:line="480" w:lineRule="auto"/>
      </w:pPr>
    </w:p>
    <w:p w14:paraId="382F09B4" w14:textId="77777777" w:rsidR="00CC4FE7" w:rsidRPr="00F36460" w:rsidRDefault="00CC4FE7" w:rsidP="00CC4FE7">
      <w:pPr>
        <w:spacing w:line="480" w:lineRule="auto"/>
      </w:pPr>
    </w:p>
    <w:p w14:paraId="7F94183A" w14:textId="77777777" w:rsidR="00CC4FE7" w:rsidRPr="00F36460" w:rsidRDefault="00CC4FE7" w:rsidP="00CC4FE7">
      <w:pPr>
        <w:spacing w:line="480" w:lineRule="auto"/>
        <w:sectPr w:rsidR="00CC4FE7" w:rsidRPr="00F36460" w:rsidSect="008825A2">
          <w:pgSz w:w="11900" w:h="16840"/>
          <w:pgMar w:top="720" w:right="1080" w:bottom="720" w:left="1080" w:header="720" w:footer="720" w:gutter="0"/>
          <w:cols w:space="720"/>
          <w:docGrid w:linePitch="360"/>
        </w:sectPr>
      </w:pPr>
    </w:p>
    <w:tbl>
      <w:tblPr>
        <w:tblW w:w="8385" w:type="dxa"/>
        <w:tblInd w:w="93" w:type="dxa"/>
        <w:tblLayout w:type="fixed"/>
        <w:tblLook w:val="04A0" w:firstRow="1" w:lastRow="0" w:firstColumn="1" w:lastColumn="0" w:noHBand="0" w:noVBand="1"/>
      </w:tblPr>
      <w:tblGrid>
        <w:gridCol w:w="1350"/>
        <w:gridCol w:w="1725"/>
        <w:gridCol w:w="601"/>
        <w:gridCol w:w="1734"/>
        <w:gridCol w:w="601"/>
        <w:gridCol w:w="1744"/>
        <w:gridCol w:w="630"/>
      </w:tblGrid>
      <w:tr w:rsidR="00CC4FE7" w:rsidRPr="00F36460" w14:paraId="1204225A" w14:textId="77777777" w:rsidTr="009B2059">
        <w:trPr>
          <w:trHeight w:val="620"/>
        </w:trPr>
        <w:tc>
          <w:tcPr>
            <w:tcW w:w="8385" w:type="dxa"/>
            <w:gridSpan w:val="7"/>
            <w:tcBorders>
              <w:top w:val="nil"/>
              <w:left w:val="nil"/>
              <w:bottom w:val="single" w:sz="4" w:space="0" w:color="auto"/>
              <w:right w:val="nil"/>
            </w:tcBorders>
            <w:shd w:val="clear" w:color="auto" w:fill="auto"/>
            <w:vAlign w:val="center"/>
            <w:hideMark/>
          </w:tcPr>
          <w:p w14:paraId="6F72611A" w14:textId="77777777" w:rsidR="00CC4FE7" w:rsidRPr="00F36460" w:rsidRDefault="00CC4FE7" w:rsidP="009B2059">
            <w:pPr>
              <w:rPr>
                <w:rFonts w:eastAsia="Times New Roman" w:cs="Times New Roman"/>
                <w:b/>
                <w:bCs/>
                <w:color w:val="000000"/>
                <w:lang w:val="en-GB"/>
              </w:rPr>
            </w:pPr>
            <w:r w:rsidRPr="00F36460">
              <w:rPr>
                <w:rFonts w:eastAsia="Times New Roman" w:cs="Times New Roman"/>
                <w:b/>
                <w:bCs/>
                <w:color w:val="000000"/>
                <w:lang w:val="en-GB"/>
              </w:rPr>
              <w:lastRenderedPageBreak/>
              <w:t>Table 3</w:t>
            </w:r>
            <w:r w:rsidRPr="00F36460">
              <w:rPr>
                <w:rFonts w:eastAsia="Times New Roman" w:cs="Times New Roman"/>
                <w:color w:val="000000"/>
                <w:lang w:val="en-GB"/>
              </w:rPr>
              <w:t xml:space="preserve"> Association of moderate and severe food insecurity with sexual intercourse estimated by meta-analysis based on country-wise estimates</w:t>
            </w:r>
          </w:p>
        </w:tc>
      </w:tr>
      <w:tr w:rsidR="00CC4FE7" w:rsidRPr="00F36460" w14:paraId="2C7DBC6E" w14:textId="77777777" w:rsidTr="009B2059">
        <w:trPr>
          <w:trHeight w:val="300"/>
        </w:trPr>
        <w:tc>
          <w:tcPr>
            <w:tcW w:w="1350" w:type="dxa"/>
            <w:tcBorders>
              <w:top w:val="nil"/>
              <w:left w:val="nil"/>
              <w:bottom w:val="nil"/>
              <w:right w:val="nil"/>
            </w:tcBorders>
            <w:shd w:val="clear" w:color="auto" w:fill="auto"/>
            <w:noWrap/>
            <w:vAlign w:val="center"/>
            <w:hideMark/>
          </w:tcPr>
          <w:p w14:paraId="43A68C9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w:t>
            </w:r>
          </w:p>
        </w:tc>
        <w:tc>
          <w:tcPr>
            <w:tcW w:w="2326" w:type="dxa"/>
            <w:gridSpan w:val="2"/>
            <w:tcBorders>
              <w:top w:val="single" w:sz="4" w:space="0" w:color="auto"/>
              <w:left w:val="nil"/>
              <w:bottom w:val="nil"/>
              <w:right w:val="nil"/>
            </w:tcBorders>
            <w:shd w:val="clear" w:color="auto" w:fill="auto"/>
            <w:noWrap/>
            <w:vAlign w:val="center"/>
            <w:hideMark/>
          </w:tcPr>
          <w:p w14:paraId="676B878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Overall</w:t>
            </w:r>
          </w:p>
        </w:tc>
        <w:tc>
          <w:tcPr>
            <w:tcW w:w="2335" w:type="dxa"/>
            <w:gridSpan w:val="2"/>
            <w:tcBorders>
              <w:top w:val="single" w:sz="4" w:space="0" w:color="auto"/>
              <w:left w:val="nil"/>
              <w:bottom w:val="nil"/>
              <w:right w:val="nil"/>
            </w:tcBorders>
            <w:shd w:val="clear" w:color="auto" w:fill="auto"/>
            <w:noWrap/>
            <w:vAlign w:val="center"/>
            <w:hideMark/>
          </w:tcPr>
          <w:p w14:paraId="233AC1E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Boys</w:t>
            </w:r>
          </w:p>
        </w:tc>
        <w:tc>
          <w:tcPr>
            <w:tcW w:w="2374" w:type="dxa"/>
            <w:gridSpan w:val="2"/>
            <w:tcBorders>
              <w:top w:val="single" w:sz="4" w:space="0" w:color="auto"/>
              <w:left w:val="nil"/>
              <w:bottom w:val="nil"/>
              <w:right w:val="nil"/>
            </w:tcBorders>
            <w:shd w:val="clear" w:color="auto" w:fill="auto"/>
            <w:noWrap/>
            <w:vAlign w:val="center"/>
            <w:hideMark/>
          </w:tcPr>
          <w:p w14:paraId="202E54F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Girls</w:t>
            </w:r>
          </w:p>
        </w:tc>
      </w:tr>
      <w:tr w:rsidR="00CC4FE7" w:rsidRPr="00F36460" w14:paraId="2E3729BD" w14:textId="77777777" w:rsidTr="009B2059">
        <w:trPr>
          <w:trHeight w:val="320"/>
        </w:trPr>
        <w:tc>
          <w:tcPr>
            <w:tcW w:w="1350" w:type="dxa"/>
            <w:tcBorders>
              <w:top w:val="nil"/>
              <w:left w:val="nil"/>
              <w:bottom w:val="double" w:sz="6" w:space="0" w:color="auto"/>
              <w:right w:val="nil"/>
            </w:tcBorders>
            <w:shd w:val="clear" w:color="auto" w:fill="auto"/>
            <w:noWrap/>
            <w:vAlign w:val="center"/>
            <w:hideMark/>
          </w:tcPr>
          <w:p w14:paraId="6EB28CB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w:t>
            </w:r>
          </w:p>
        </w:tc>
        <w:tc>
          <w:tcPr>
            <w:tcW w:w="1725" w:type="dxa"/>
            <w:tcBorders>
              <w:top w:val="nil"/>
              <w:left w:val="nil"/>
              <w:bottom w:val="double" w:sz="6" w:space="0" w:color="auto"/>
              <w:right w:val="nil"/>
            </w:tcBorders>
            <w:shd w:val="clear" w:color="auto" w:fill="auto"/>
            <w:noWrap/>
            <w:vAlign w:val="center"/>
            <w:hideMark/>
          </w:tcPr>
          <w:p w14:paraId="52CE4B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OR (95%CI)</w:t>
            </w:r>
          </w:p>
        </w:tc>
        <w:tc>
          <w:tcPr>
            <w:tcW w:w="601" w:type="dxa"/>
            <w:tcBorders>
              <w:top w:val="nil"/>
              <w:left w:val="nil"/>
              <w:bottom w:val="double" w:sz="6" w:space="0" w:color="auto"/>
              <w:right w:val="nil"/>
            </w:tcBorders>
            <w:shd w:val="clear" w:color="auto" w:fill="auto"/>
            <w:noWrap/>
            <w:vAlign w:val="center"/>
            <w:hideMark/>
          </w:tcPr>
          <w:p w14:paraId="4F32B4A1"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I</w:t>
            </w:r>
            <w:r w:rsidRPr="00F36460">
              <w:rPr>
                <w:rFonts w:eastAsia="Times New Roman" w:cs="Times New Roman"/>
                <w:i/>
                <w:iCs/>
                <w:color w:val="000000"/>
                <w:sz w:val="22"/>
                <w:szCs w:val="22"/>
                <w:vertAlign w:val="superscript"/>
                <w:lang w:val="en-GB"/>
              </w:rPr>
              <w:t>2</w:t>
            </w:r>
          </w:p>
        </w:tc>
        <w:tc>
          <w:tcPr>
            <w:tcW w:w="1734" w:type="dxa"/>
            <w:tcBorders>
              <w:top w:val="nil"/>
              <w:left w:val="nil"/>
              <w:bottom w:val="double" w:sz="6" w:space="0" w:color="auto"/>
              <w:right w:val="nil"/>
            </w:tcBorders>
            <w:shd w:val="clear" w:color="auto" w:fill="auto"/>
            <w:noWrap/>
            <w:vAlign w:val="center"/>
            <w:hideMark/>
          </w:tcPr>
          <w:p w14:paraId="6748637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OR (95%CI)</w:t>
            </w:r>
          </w:p>
        </w:tc>
        <w:tc>
          <w:tcPr>
            <w:tcW w:w="601" w:type="dxa"/>
            <w:tcBorders>
              <w:top w:val="nil"/>
              <w:left w:val="nil"/>
              <w:bottom w:val="double" w:sz="6" w:space="0" w:color="auto"/>
              <w:right w:val="nil"/>
            </w:tcBorders>
            <w:shd w:val="clear" w:color="auto" w:fill="auto"/>
            <w:noWrap/>
            <w:vAlign w:val="center"/>
            <w:hideMark/>
          </w:tcPr>
          <w:p w14:paraId="5F1DE543"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I</w:t>
            </w:r>
            <w:r w:rsidRPr="00F36460">
              <w:rPr>
                <w:rFonts w:eastAsia="Times New Roman" w:cs="Times New Roman"/>
                <w:i/>
                <w:iCs/>
                <w:color w:val="000000"/>
                <w:sz w:val="22"/>
                <w:szCs w:val="22"/>
                <w:vertAlign w:val="superscript"/>
                <w:lang w:val="en-GB"/>
              </w:rPr>
              <w:t>2</w:t>
            </w:r>
          </w:p>
        </w:tc>
        <w:tc>
          <w:tcPr>
            <w:tcW w:w="1744" w:type="dxa"/>
            <w:tcBorders>
              <w:top w:val="nil"/>
              <w:left w:val="nil"/>
              <w:bottom w:val="double" w:sz="6" w:space="0" w:color="auto"/>
              <w:right w:val="nil"/>
            </w:tcBorders>
            <w:shd w:val="clear" w:color="auto" w:fill="auto"/>
            <w:noWrap/>
            <w:vAlign w:val="center"/>
            <w:hideMark/>
          </w:tcPr>
          <w:p w14:paraId="18F12B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OR (95%CI)</w:t>
            </w:r>
          </w:p>
        </w:tc>
        <w:tc>
          <w:tcPr>
            <w:tcW w:w="630" w:type="dxa"/>
            <w:tcBorders>
              <w:top w:val="nil"/>
              <w:left w:val="nil"/>
              <w:bottom w:val="double" w:sz="6" w:space="0" w:color="auto"/>
              <w:right w:val="nil"/>
            </w:tcBorders>
            <w:shd w:val="clear" w:color="auto" w:fill="auto"/>
            <w:noWrap/>
            <w:vAlign w:val="center"/>
            <w:hideMark/>
          </w:tcPr>
          <w:p w14:paraId="7716513B"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I</w:t>
            </w:r>
            <w:r w:rsidRPr="00F36460">
              <w:rPr>
                <w:rFonts w:eastAsia="Times New Roman" w:cs="Times New Roman"/>
                <w:i/>
                <w:iCs/>
                <w:color w:val="000000"/>
                <w:sz w:val="22"/>
                <w:szCs w:val="22"/>
                <w:vertAlign w:val="superscript"/>
                <w:lang w:val="en-GB"/>
              </w:rPr>
              <w:t>2</w:t>
            </w:r>
          </w:p>
        </w:tc>
      </w:tr>
      <w:tr w:rsidR="00CC4FE7" w:rsidRPr="00F36460" w14:paraId="2CC4491C" w14:textId="77777777" w:rsidTr="009B2059">
        <w:trPr>
          <w:trHeight w:val="320"/>
        </w:trPr>
        <w:tc>
          <w:tcPr>
            <w:tcW w:w="8385" w:type="dxa"/>
            <w:gridSpan w:val="7"/>
            <w:tcBorders>
              <w:top w:val="double" w:sz="6" w:space="0" w:color="auto"/>
              <w:left w:val="nil"/>
              <w:bottom w:val="nil"/>
              <w:right w:val="nil"/>
            </w:tcBorders>
            <w:shd w:val="clear" w:color="auto" w:fill="auto"/>
            <w:noWrap/>
            <w:vAlign w:val="center"/>
            <w:hideMark/>
          </w:tcPr>
          <w:p w14:paraId="15490151"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Moderate food insecurity vs. no food insecurity</w:t>
            </w:r>
          </w:p>
        </w:tc>
      </w:tr>
      <w:tr w:rsidR="00CC4FE7" w:rsidRPr="00F36460" w14:paraId="179DBFAF" w14:textId="77777777" w:rsidTr="009B2059">
        <w:trPr>
          <w:trHeight w:val="300"/>
        </w:trPr>
        <w:tc>
          <w:tcPr>
            <w:tcW w:w="1350" w:type="dxa"/>
            <w:tcBorders>
              <w:top w:val="nil"/>
              <w:left w:val="nil"/>
              <w:bottom w:val="nil"/>
              <w:right w:val="nil"/>
            </w:tcBorders>
            <w:shd w:val="clear" w:color="auto" w:fill="auto"/>
            <w:noWrap/>
            <w:vAlign w:val="center"/>
            <w:hideMark/>
          </w:tcPr>
          <w:p w14:paraId="013571F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Overall</w:t>
            </w:r>
          </w:p>
        </w:tc>
        <w:tc>
          <w:tcPr>
            <w:tcW w:w="1725" w:type="dxa"/>
            <w:tcBorders>
              <w:top w:val="nil"/>
              <w:left w:val="nil"/>
              <w:bottom w:val="nil"/>
              <w:right w:val="nil"/>
            </w:tcBorders>
            <w:shd w:val="clear" w:color="auto" w:fill="auto"/>
            <w:noWrap/>
            <w:vAlign w:val="center"/>
            <w:hideMark/>
          </w:tcPr>
          <w:p w14:paraId="7A62E74D"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1.14 (1.08-1.20)</w:t>
            </w:r>
          </w:p>
        </w:tc>
        <w:tc>
          <w:tcPr>
            <w:tcW w:w="601" w:type="dxa"/>
            <w:tcBorders>
              <w:top w:val="nil"/>
              <w:left w:val="nil"/>
              <w:bottom w:val="nil"/>
              <w:right w:val="nil"/>
            </w:tcBorders>
            <w:shd w:val="clear" w:color="auto" w:fill="auto"/>
            <w:noWrap/>
            <w:vAlign w:val="center"/>
            <w:hideMark/>
          </w:tcPr>
          <w:p w14:paraId="3F50607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37.6</w:t>
            </w:r>
          </w:p>
        </w:tc>
        <w:tc>
          <w:tcPr>
            <w:tcW w:w="1734" w:type="dxa"/>
            <w:tcBorders>
              <w:top w:val="nil"/>
              <w:left w:val="nil"/>
              <w:bottom w:val="nil"/>
              <w:right w:val="nil"/>
            </w:tcBorders>
            <w:shd w:val="clear" w:color="auto" w:fill="auto"/>
            <w:noWrap/>
            <w:vAlign w:val="center"/>
          </w:tcPr>
          <w:p w14:paraId="0992C055" w14:textId="77777777" w:rsidR="00CC4FE7" w:rsidRPr="00F36460" w:rsidRDefault="00CC4FE7" w:rsidP="009B2059">
            <w:pPr>
              <w:rPr>
                <w:rFonts w:eastAsia="Times New Roman" w:cs="Times New Roman"/>
                <w:b/>
                <w:bCs/>
                <w:color w:val="000000"/>
                <w:sz w:val="22"/>
                <w:szCs w:val="22"/>
                <w:lang w:eastAsia="ja-JP"/>
              </w:rPr>
            </w:pPr>
            <w:r w:rsidRPr="00F36460">
              <w:rPr>
                <w:rFonts w:eastAsia="Times New Roman" w:cs="Times New Roman"/>
                <w:b/>
                <w:bCs/>
                <w:color w:val="000000"/>
                <w:sz w:val="22"/>
                <w:szCs w:val="22"/>
                <w:lang w:eastAsia="ja-JP"/>
              </w:rPr>
              <w:t>1.09 (1.02-1.16)</w:t>
            </w:r>
          </w:p>
        </w:tc>
        <w:tc>
          <w:tcPr>
            <w:tcW w:w="601" w:type="dxa"/>
            <w:tcBorders>
              <w:top w:val="nil"/>
              <w:left w:val="nil"/>
              <w:bottom w:val="nil"/>
              <w:right w:val="nil"/>
            </w:tcBorders>
            <w:shd w:val="clear" w:color="auto" w:fill="auto"/>
            <w:noWrap/>
            <w:vAlign w:val="center"/>
          </w:tcPr>
          <w:p w14:paraId="5DE9285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36.1</w:t>
            </w:r>
          </w:p>
        </w:tc>
        <w:tc>
          <w:tcPr>
            <w:tcW w:w="1744" w:type="dxa"/>
            <w:tcBorders>
              <w:top w:val="nil"/>
              <w:left w:val="nil"/>
              <w:bottom w:val="nil"/>
              <w:right w:val="nil"/>
            </w:tcBorders>
            <w:shd w:val="clear" w:color="auto" w:fill="auto"/>
            <w:noWrap/>
            <w:vAlign w:val="center"/>
            <w:hideMark/>
          </w:tcPr>
          <w:p w14:paraId="54BD5291"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1.20 (1.13-1.29)</w:t>
            </w:r>
          </w:p>
        </w:tc>
        <w:tc>
          <w:tcPr>
            <w:tcW w:w="630" w:type="dxa"/>
            <w:tcBorders>
              <w:top w:val="nil"/>
              <w:left w:val="nil"/>
              <w:bottom w:val="nil"/>
              <w:right w:val="nil"/>
            </w:tcBorders>
            <w:shd w:val="clear" w:color="auto" w:fill="auto"/>
            <w:noWrap/>
            <w:vAlign w:val="center"/>
            <w:hideMark/>
          </w:tcPr>
          <w:p w14:paraId="7E1571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29.9</w:t>
            </w:r>
          </w:p>
        </w:tc>
      </w:tr>
      <w:tr w:rsidR="00CC4FE7" w:rsidRPr="00F36460" w14:paraId="301831A0" w14:textId="77777777" w:rsidTr="009B2059">
        <w:trPr>
          <w:trHeight w:val="300"/>
        </w:trPr>
        <w:tc>
          <w:tcPr>
            <w:tcW w:w="1350" w:type="dxa"/>
            <w:tcBorders>
              <w:top w:val="nil"/>
              <w:left w:val="nil"/>
              <w:bottom w:val="nil"/>
              <w:right w:val="nil"/>
            </w:tcBorders>
            <w:shd w:val="clear" w:color="auto" w:fill="auto"/>
            <w:noWrap/>
            <w:vAlign w:val="center"/>
            <w:hideMark/>
          </w:tcPr>
          <w:p w14:paraId="19CF619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AFR</w:t>
            </w:r>
          </w:p>
        </w:tc>
        <w:tc>
          <w:tcPr>
            <w:tcW w:w="1725" w:type="dxa"/>
            <w:tcBorders>
              <w:top w:val="nil"/>
              <w:left w:val="nil"/>
              <w:bottom w:val="nil"/>
              <w:right w:val="nil"/>
            </w:tcBorders>
            <w:shd w:val="clear" w:color="auto" w:fill="auto"/>
            <w:noWrap/>
            <w:vAlign w:val="center"/>
            <w:hideMark/>
          </w:tcPr>
          <w:p w14:paraId="43DF7622"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1.16 (1.02-1.32)</w:t>
            </w:r>
          </w:p>
        </w:tc>
        <w:tc>
          <w:tcPr>
            <w:tcW w:w="601" w:type="dxa"/>
            <w:tcBorders>
              <w:top w:val="nil"/>
              <w:left w:val="nil"/>
              <w:bottom w:val="nil"/>
              <w:right w:val="nil"/>
            </w:tcBorders>
            <w:shd w:val="clear" w:color="auto" w:fill="auto"/>
            <w:noWrap/>
            <w:vAlign w:val="center"/>
            <w:hideMark/>
          </w:tcPr>
          <w:p w14:paraId="6EC3CA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57.4</w:t>
            </w:r>
          </w:p>
        </w:tc>
        <w:tc>
          <w:tcPr>
            <w:tcW w:w="1734" w:type="dxa"/>
            <w:tcBorders>
              <w:top w:val="nil"/>
              <w:left w:val="nil"/>
              <w:bottom w:val="nil"/>
              <w:right w:val="nil"/>
            </w:tcBorders>
            <w:shd w:val="clear" w:color="auto" w:fill="auto"/>
            <w:noWrap/>
            <w:vAlign w:val="center"/>
          </w:tcPr>
          <w:p w14:paraId="683C434D"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1.19 (1.03-1.37)</w:t>
            </w:r>
          </w:p>
        </w:tc>
        <w:tc>
          <w:tcPr>
            <w:tcW w:w="601" w:type="dxa"/>
            <w:tcBorders>
              <w:top w:val="nil"/>
              <w:left w:val="nil"/>
              <w:bottom w:val="nil"/>
              <w:right w:val="nil"/>
            </w:tcBorders>
            <w:shd w:val="clear" w:color="auto" w:fill="auto"/>
            <w:noWrap/>
            <w:vAlign w:val="center"/>
          </w:tcPr>
          <w:p w14:paraId="6AEEC0C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47.1</w:t>
            </w:r>
          </w:p>
        </w:tc>
        <w:tc>
          <w:tcPr>
            <w:tcW w:w="1744" w:type="dxa"/>
            <w:tcBorders>
              <w:top w:val="nil"/>
              <w:left w:val="nil"/>
              <w:bottom w:val="nil"/>
              <w:right w:val="nil"/>
            </w:tcBorders>
            <w:shd w:val="clear" w:color="auto" w:fill="auto"/>
            <w:noWrap/>
            <w:vAlign w:val="center"/>
            <w:hideMark/>
          </w:tcPr>
          <w:p w14:paraId="646784E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1.12 (0.95-1.32)</w:t>
            </w:r>
          </w:p>
        </w:tc>
        <w:tc>
          <w:tcPr>
            <w:tcW w:w="630" w:type="dxa"/>
            <w:tcBorders>
              <w:top w:val="nil"/>
              <w:left w:val="nil"/>
              <w:bottom w:val="nil"/>
              <w:right w:val="nil"/>
            </w:tcBorders>
            <w:shd w:val="clear" w:color="auto" w:fill="auto"/>
            <w:noWrap/>
            <w:vAlign w:val="center"/>
            <w:hideMark/>
          </w:tcPr>
          <w:p w14:paraId="7261E19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37.3</w:t>
            </w:r>
          </w:p>
        </w:tc>
      </w:tr>
      <w:tr w:rsidR="00CC4FE7" w:rsidRPr="00F36460" w14:paraId="67E09FAA" w14:textId="77777777" w:rsidTr="009B2059">
        <w:trPr>
          <w:trHeight w:val="300"/>
        </w:trPr>
        <w:tc>
          <w:tcPr>
            <w:tcW w:w="1350" w:type="dxa"/>
            <w:tcBorders>
              <w:top w:val="nil"/>
              <w:left w:val="nil"/>
              <w:bottom w:val="nil"/>
              <w:right w:val="nil"/>
            </w:tcBorders>
            <w:shd w:val="clear" w:color="auto" w:fill="auto"/>
            <w:noWrap/>
            <w:vAlign w:val="center"/>
            <w:hideMark/>
          </w:tcPr>
          <w:p w14:paraId="2B34A3F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AMR</w:t>
            </w:r>
          </w:p>
        </w:tc>
        <w:tc>
          <w:tcPr>
            <w:tcW w:w="1725" w:type="dxa"/>
            <w:tcBorders>
              <w:top w:val="nil"/>
              <w:left w:val="nil"/>
              <w:bottom w:val="nil"/>
              <w:right w:val="nil"/>
            </w:tcBorders>
            <w:shd w:val="clear" w:color="auto" w:fill="auto"/>
            <w:noWrap/>
            <w:vAlign w:val="center"/>
            <w:hideMark/>
          </w:tcPr>
          <w:p w14:paraId="1D82F03B"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1.10 (1.03-1.18)</w:t>
            </w:r>
          </w:p>
        </w:tc>
        <w:tc>
          <w:tcPr>
            <w:tcW w:w="601" w:type="dxa"/>
            <w:tcBorders>
              <w:top w:val="nil"/>
              <w:left w:val="nil"/>
              <w:bottom w:val="nil"/>
              <w:right w:val="nil"/>
            </w:tcBorders>
            <w:shd w:val="clear" w:color="auto" w:fill="auto"/>
            <w:noWrap/>
            <w:vAlign w:val="center"/>
            <w:hideMark/>
          </w:tcPr>
          <w:p w14:paraId="4346D56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30.0</w:t>
            </w:r>
          </w:p>
        </w:tc>
        <w:tc>
          <w:tcPr>
            <w:tcW w:w="1734" w:type="dxa"/>
            <w:tcBorders>
              <w:top w:val="nil"/>
              <w:left w:val="nil"/>
              <w:bottom w:val="nil"/>
              <w:right w:val="nil"/>
            </w:tcBorders>
            <w:shd w:val="clear" w:color="auto" w:fill="auto"/>
            <w:noWrap/>
            <w:vAlign w:val="center"/>
          </w:tcPr>
          <w:p w14:paraId="0F76E08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1.01 (0.92-1.10)</w:t>
            </w:r>
          </w:p>
        </w:tc>
        <w:tc>
          <w:tcPr>
            <w:tcW w:w="601" w:type="dxa"/>
            <w:tcBorders>
              <w:top w:val="nil"/>
              <w:left w:val="nil"/>
              <w:bottom w:val="nil"/>
              <w:right w:val="nil"/>
            </w:tcBorders>
            <w:shd w:val="clear" w:color="auto" w:fill="auto"/>
            <w:noWrap/>
            <w:vAlign w:val="center"/>
          </w:tcPr>
          <w:p w14:paraId="5E90C01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24.3</w:t>
            </w:r>
          </w:p>
        </w:tc>
        <w:tc>
          <w:tcPr>
            <w:tcW w:w="1744" w:type="dxa"/>
            <w:tcBorders>
              <w:top w:val="nil"/>
              <w:left w:val="nil"/>
              <w:bottom w:val="nil"/>
              <w:right w:val="nil"/>
            </w:tcBorders>
            <w:shd w:val="clear" w:color="auto" w:fill="auto"/>
            <w:noWrap/>
            <w:vAlign w:val="center"/>
            <w:hideMark/>
          </w:tcPr>
          <w:p w14:paraId="7226D1ED"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1.21 (1.09-1.35)</w:t>
            </w:r>
          </w:p>
        </w:tc>
        <w:tc>
          <w:tcPr>
            <w:tcW w:w="630" w:type="dxa"/>
            <w:tcBorders>
              <w:top w:val="nil"/>
              <w:left w:val="nil"/>
              <w:bottom w:val="nil"/>
              <w:right w:val="nil"/>
            </w:tcBorders>
            <w:shd w:val="clear" w:color="auto" w:fill="auto"/>
            <w:noWrap/>
            <w:vAlign w:val="center"/>
            <w:hideMark/>
          </w:tcPr>
          <w:p w14:paraId="5650768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40.4</w:t>
            </w:r>
          </w:p>
        </w:tc>
      </w:tr>
      <w:tr w:rsidR="00CC4FE7" w:rsidRPr="00F36460" w14:paraId="7A312E59" w14:textId="77777777" w:rsidTr="009B2059">
        <w:trPr>
          <w:trHeight w:val="300"/>
        </w:trPr>
        <w:tc>
          <w:tcPr>
            <w:tcW w:w="1350" w:type="dxa"/>
            <w:tcBorders>
              <w:top w:val="nil"/>
              <w:left w:val="nil"/>
              <w:bottom w:val="nil"/>
              <w:right w:val="nil"/>
            </w:tcBorders>
            <w:shd w:val="clear" w:color="auto" w:fill="auto"/>
            <w:noWrap/>
            <w:vAlign w:val="center"/>
            <w:hideMark/>
          </w:tcPr>
          <w:p w14:paraId="2F5A2F8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SEAR</w:t>
            </w:r>
          </w:p>
        </w:tc>
        <w:tc>
          <w:tcPr>
            <w:tcW w:w="1725" w:type="dxa"/>
            <w:tcBorders>
              <w:top w:val="nil"/>
              <w:left w:val="nil"/>
              <w:bottom w:val="nil"/>
              <w:right w:val="nil"/>
            </w:tcBorders>
            <w:shd w:val="clear" w:color="auto" w:fill="auto"/>
            <w:noWrap/>
            <w:vAlign w:val="center"/>
            <w:hideMark/>
          </w:tcPr>
          <w:p w14:paraId="31DEF231"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1.22 (1.02-1.46)</w:t>
            </w:r>
          </w:p>
        </w:tc>
        <w:tc>
          <w:tcPr>
            <w:tcW w:w="601" w:type="dxa"/>
            <w:tcBorders>
              <w:top w:val="nil"/>
              <w:left w:val="nil"/>
              <w:bottom w:val="nil"/>
              <w:right w:val="nil"/>
            </w:tcBorders>
            <w:shd w:val="clear" w:color="auto" w:fill="auto"/>
            <w:noWrap/>
            <w:vAlign w:val="center"/>
            <w:hideMark/>
          </w:tcPr>
          <w:p w14:paraId="50FDFD9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56.5</w:t>
            </w:r>
          </w:p>
        </w:tc>
        <w:tc>
          <w:tcPr>
            <w:tcW w:w="1734" w:type="dxa"/>
            <w:tcBorders>
              <w:top w:val="nil"/>
              <w:left w:val="nil"/>
              <w:bottom w:val="nil"/>
              <w:right w:val="nil"/>
            </w:tcBorders>
            <w:shd w:val="clear" w:color="auto" w:fill="auto"/>
            <w:noWrap/>
            <w:vAlign w:val="center"/>
          </w:tcPr>
          <w:p w14:paraId="3AF6881C"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1.15 (0.98-1.35)</w:t>
            </w:r>
          </w:p>
        </w:tc>
        <w:tc>
          <w:tcPr>
            <w:tcW w:w="601" w:type="dxa"/>
            <w:tcBorders>
              <w:top w:val="nil"/>
              <w:left w:val="nil"/>
              <w:bottom w:val="nil"/>
              <w:right w:val="nil"/>
            </w:tcBorders>
            <w:shd w:val="clear" w:color="auto" w:fill="auto"/>
            <w:noWrap/>
            <w:vAlign w:val="center"/>
          </w:tcPr>
          <w:p w14:paraId="1ED076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10.8</w:t>
            </w:r>
          </w:p>
        </w:tc>
        <w:tc>
          <w:tcPr>
            <w:tcW w:w="1744" w:type="dxa"/>
            <w:tcBorders>
              <w:top w:val="nil"/>
              <w:left w:val="nil"/>
              <w:bottom w:val="nil"/>
              <w:right w:val="nil"/>
            </w:tcBorders>
            <w:shd w:val="clear" w:color="auto" w:fill="auto"/>
            <w:noWrap/>
            <w:vAlign w:val="center"/>
            <w:hideMark/>
          </w:tcPr>
          <w:p w14:paraId="3E5E447F"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1.33 (0.97-1.83)</w:t>
            </w:r>
          </w:p>
        </w:tc>
        <w:tc>
          <w:tcPr>
            <w:tcW w:w="630" w:type="dxa"/>
            <w:tcBorders>
              <w:top w:val="nil"/>
              <w:left w:val="nil"/>
              <w:bottom w:val="nil"/>
              <w:right w:val="nil"/>
            </w:tcBorders>
            <w:shd w:val="clear" w:color="auto" w:fill="auto"/>
            <w:noWrap/>
            <w:vAlign w:val="center"/>
            <w:hideMark/>
          </w:tcPr>
          <w:p w14:paraId="4176809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63.9</w:t>
            </w:r>
          </w:p>
        </w:tc>
      </w:tr>
      <w:tr w:rsidR="00CC4FE7" w:rsidRPr="00F36460" w14:paraId="46DF0AFE" w14:textId="77777777" w:rsidTr="009B2059">
        <w:trPr>
          <w:trHeight w:val="70"/>
        </w:trPr>
        <w:tc>
          <w:tcPr>
            <w:tcW w:w="1350" w:type="dxa"/>
            <w:tcBorders>
              <w:top w:val="nil"/>
              <w:left w:val="nil"/>
              <w:bottom w:val="nil"/>
              <w:right w:val="nil"/>
            </w:tcBorders>
            <w:shd w:val="clear" w:color="auto" w:fill="auto"/>
            <w:noWrap/>
            <w:vAlign w:val="center"/>
            <w:hideMark/>
          </w:tcPr>
          <w:p w14:paraId="4BCBFD5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WPR</w:t>
            </w:r>
          </w:p>
        </w:tc>
        <w:tc>
          <w:tcPr>
            <w:tcW w:w="1725" w:type="dxa"/>
            <w:tcBorders>
              <w:top w:val="nil"/>
              <w:left w:val="nil"/>
              <w:bottom w:val="nil"/>
              <w:right w:val="nil"/>
            </w:tcBorders>
            <w:shd w:val="clear" w:color="auto" w:fill="auto"/>
            <w:noWrap/>
            <w:vAlign w:val="center"/>
            <w:hideMark/>
          </w:tcPr>
          <w:p w14:paraId="6BC22FB1"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1.15 (1.06-1.24)</w:t>
            </w:r>
          </w:p>
        </w:tc>
        <w:tc>
          <w:tcPr>
            <w:tcW w:w="601" w:type="dxa"/>
            <w:tcBorders>
              <w:top w:val="nil"/>
              <w:left w:val="nil"/>
              <w:bottom w:val="nil"/>
              <w:right w:val="nil"/>
            </w:tcBorders>
            <w:shd w:val="clear" w:color="auto" w:fill="auto"/>
            <w:noWrap/>
            <w:vAlign w:val="center"/>
            <w:hideMark/>
          </w:tcPr>
          <w:p w14:paraId="13AC91A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1734" w:type="dxa"/>
            <w:tcBorders>
              <w:top w:val="nil"/>
              <w:left w:val="nil"/>
              <w:bottom w:val="nil"/>
              <w:right w:val="nil"/>
            </w:tcBorders>
            <w:shd w:val="clear" w:color="auto" w:fill="auto"/>
            <w:noWrap/>
            <w:vAlign w:val="center"/>
          </w:tcPr>
          <w:p w14:paraId="5E5BE943"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1.09 (0.97-1.22)</w:t>
            </w:r>
          </w:p>
        </w:tc>
        <w:tc>
          <w:tcPr>
            <w:tcW w:w="601" w:type="dxa"/>
            <w:tcBorders>
              <w:top w:val="nil"/>
              <w:left w:val="nil"/>
              <w:bottom w:val="nil"/>
              <w:right w:val="nil"/>
            </w:tcBorders>
            <w:shd w:val="clear" w:color="auto" w:fill="auto"/>
            <w:noWrap/>
            <w:vAlign w:val="center"/>
          </w:tcPr>
          <w:p w14:paraId="0710A16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19.7</w:t>
            </w:r>
          </w:p>
        </w:tc>
        <w:tc>
          <w:tcPr>
            <w:tcW w:w="1744" w:type="dxa"/>
            <w:tcBorders>
              <w:top w:val="nil"/>
              <w:left w:val="nil"/>
              <w:bottom w:val="nil"/>
              <w:right w:val="nil"/>
            </w:tcBorders>
            <w:shd w:val="clear" w:color="auto" w:fill="auto"/>
            <w:noWrap/>
            <w:vAlign w:val="center"/>
            <w:hideMark/>
          </w:tcPr>
          <w:p w14:paraId="240BF19D"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1.23 (1.10-1.37)</w:t>
            </w:r>
          </w:p>
        </w:tc>
        <w:tc>
          <w:tcPr>
            <w:tcW w:w="630" w:type="dxa"/>
            <w:tcBorders>
              <w:top w:val="nil"/>
              <w:left w:val="nil"/>
              <w:bottom w:val="nil"/>
              <w:right w:val="nil"/>
            </w:tcBorders>
            <w:shd w:val="clear" w:color="auto" w:fill="auto"/>
            <w:noWrap/>
            <w:vAlign w:val="center"/>
            <w:hideMark/>
          </w:tcPr>
          <w:p w14:paraId="7940D2A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r>
      <w:tr w:rsidR="00CC4FE7" w:rsidRPr="00F36460" w14:paraId="50B6073E" w14:textId="77777777" w:rsidTr="009B2059">
        <w:trPr>
          <w:trHeight w:val="300"/>
        </w:trPr>
        <w:tc>
          <w:tcPr>
            <w:tcW w:w="8385" w:type="dxa"/>
            <w:gridSpan w:val="7"/>
            <w:tcBorders>
              <w:top w:val="nil"/>
              <w:left w:val="nil"/>
              <w:bottom w:val="nil"/>
              <w:right w:val="nil"/>
            </w:tcBorders>
            <w:shd w:val="clear" w:color="auto" w:fill="auto"/>
            <w:noWrap/>
            <w:vAlign w:val="center"/>
            <w:hideMark/>
          </w:tcPr>
          <w:p w14:paraId="75B58B83"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 xml:space="preserve">Severe food insecurity vs. no food </w:t>
            </w:r>
            <w:proofErr w:type="spellStart"/>
            <w:r w:rsidRPr="00F36460">
              <w:rPr>
                <w:rFonts w:eastAsia="Times New Roman" w:cs="Times New Roman"/>
                <w:i/>
                <w:iCs/>
                <w:color w:val="000000"/>
                <w:sz w:val="22"/>
                <w:szCs w:val="22"/>
                <w:lang w:val="en-GB"/>
              </w:rPr>
              <w:t>insecurity</w:t>
            </w:r>
            <w:r w:rsidRPr="00F36460">
              <w:rPr>
                <w:rFonts w:eastAsia="Times New Roman" w:cs="Times New Roman"/>
                <w:i/>
                <w:iCs/>
                <w:color w:val="000000"/>
                <w:sz w:val="22"/>
                <w:szCs w:val="22"/>
                <w:vertAlign w:val="superscript"/>
                <w:lang w:val="en-GB"/>
              </w:rPr>
              <w:t>a</w:t>
            </w:r>
            <w:proofErr w:type="spellEnd"/>
          </w:p>
        </w:tc>
      </w:tr>
      <w:tr w:rsidR="00CC4FE7" w:rsidRPr="00F36460" w14:paraId="0B0172C5" w14:textId="77777777" w:rsidTr="009B2059">
        <w:trPr>
          <w:trHeight w:val="300"/>
        </w:trPr>
        <w:tc>
          <w:tcPr>
            <w:tcW w:w="1350" w:type="dxa"/>
            <w:tcBorders>
              <w:top w:val="nil"/>
              <w:left w:val="nil"/>
              <w:bottom w:val="nil"/>
              <w:right w:val="nil"/>
            </w:tcBorders>
            <w:shd w:val="clear" w:color="auto" w:fill="auto"/>
            <w:noWrap/>
            <w:vAlign w:val="center"/>
            <w:hideMark/>
          </w:tcPr>
          <w:p w14:paraId="7240A9A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Overall</w:t>
            </w:r>
          </w:p>
        </w:tc>
        <w:tc>
          <w:tcPr>
            <w:tcW w:w="1725" w:type="dxa"/>
            <w:tcBorders>
              <w:top w:val="nil"/>
              <w:left w:val="nil"/>
              <w:bottom w:val="nil"/>
              <w:right w:val="nil"/>
            </w:tcBorders>
            <w:shd w:val="clear" w:color="auto" w:fill="auto"/>
            <w:noWrap/>
            <w:vAlign w:val="center"/>
            <w:hideMark/>
          </w:tcPr>
          <w:p w14:paraId="35B9DE49"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1.51 (1.36-1.67)</w:t>
            </w:r>
          </w:p>
        </w:tc>
        <w:tc>
          <w:tcPr>
            <w:tcW w:w="601" w:type="dxa"/>
            <w:tcBorders>
              <w:top w:val="nil"/>
              <w:left w:val="nil"/>
              <w:bottom w:val="nil"/>
              <w:right w:val="nil"/>
            </w:tcBorders>
            <w:shd w:val="clear" w:color="auto" w:fill="auto"/>
            <w:noWrap/>
            <w:vAlign w:val="center"/>
            <w:hideMark/>
          </w:tcPr>
          <w:p w14:paraId="3691765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48.8</w:t>
            </w:r>
          </w:p>
        </w:tc>
        <w:tc>
          <w:tcPr>
            <w:tcW w:w="1734" w:type="dxa"/>
            <w:tcBorders>
              <w:top w:val="nil"/>
              <w:left w:val="nil"/>
              <w:bottom w:val="nil"/>
              <w:right w:val="nil"/>
            </w:tcBorders>
            <w:shd w:val="clear" w:color="auto" w:fill="auto"/>
            <w:noWrap/>
            <w:vAlign w:val="center"/>
          </w:tcPr>
          <w:p w14:paraId="057640C0"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1.42 (1.26-1.59)</w:t>
            </w:r>
          </w:p>
        </w:tc>
        <w:tc>
          <w:tcPr>
            <w:tcW w:w="601" w:type="dxa"/>
            <w:tcBorders>
              <w:top w:val="nil"/>
              <w:left w:val="nil"/>
              <w:bottom w:val="nil"/>
              <w:right w:val="nil"/>
            </w:tcBorders>
            <w:shd w:val="clear" w:color="auto" w:fill="auto"/>
            <w:noWrap/>
            <w:vAlign w:val="center"/>
          </w:tcPr>
          <w:p w14:paraId="249EC85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33.1</w:t>
            </w:r>
          </w:p>
        </w:tc>
        <w:tc>
          <w:tcPr>
            <w:tcW w:w="1744" w:type="dxa"/>
            <w:tcBorders>
              <w:top w:val="nil"/>
              <w:left w:val="nil"/>
              <w:bottom w:val="nil"/>
              <w:right w:val="nil"/>
            </w:tcBorders>
            <w:shd w:val="clear" w:color="auto" w:fill="auto"/>
            <w:noWrap/>
            <w:vAlign w:val="center"/>
            <w:hideMark/>
          </w:tcPr>
          <w:p w14:paraId="7A795D9D"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1.63 (1.46-1.83)</w:t>
            </w:r>
          </w:p>
        </w:tc>
        <w:tc>
          <w:tcPr>
            <w:tcW w:w="630" w:type="dxa"/>
            <w:tcBorders>
              <w:top w:val="nil"/>
              <w:left w:val="nil"/>
              <w:bottom w:val="nil"/>
              <w:right w:val="nil"/>
            </w:tcBorders>
            <w:shd w:val="clear" w:color="auto" w:fill="auto"/>
            <w:noWrap/>
            <w:vAlign w:val="center"/>
            <w:hideMark/>
          </w:tcPr>
          <w:p w14:paraId="1D095B5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19.6</w:t>
            </w:r>
          </w:p>
        </w:tc>
      </w:tr>
      <w:tr w:rsidR="00CC4FE7" w:rsidRPr="00F36460" w14:paraId="4EE76EC2" w14:textId="77777777" w:rsidTr="009B2059">
        <w:trPr>
          <w:trHeight w:val="300"/>
        </w:trPr>
        <w:tc>
          <w:tcPr>
            <w:tcW w:w="1350" w:type="dxa"/>
            <w:tcBorders>
              <w:top w:val="nil"/>
              <w:left w:val="nil"/>
              <w:bottom w:val="nil"/>
              <w:right w:val="nil"/>
            </w:tcBorders>
            <w:shd w:val="clear" w:color="auto" w:fill="auto"/>
            <w:noWrap/>
            <w:vAlign w:val="center"/>
            <w:hideMark/>
          </w:tcPr>
          <w:p w14:paraId="519CAD7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AFR</w:t>
            </w:r>
          </w:p>
        </w:tc>
        <w:tc>
          <w:tcPr>
            <w:tcW w:w="1725" w:type="dxa"/>
            <w:tcBorders>
              <w:top w:val="nil"/>
              <w:left w:val="nil"/>
              <w:bottom w:val="nil"/>
              <w:right w:val="nil"/>
            </w:tcBorders>
            <w:shd w:val="clear" w:color="auto" w:fill="auto"/>
            <w:noWrap/>
            <w:vAlign w:val="center"/>
            <w:hideMark/>
          </w:tcPr>
          <w:p w14:paraId="02B73CB2"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1.37 (1.18-1.59)</w:t>
            </w:r>
          </w:p>
        </w:tc>
        <w:tc>
          <w:tcPr>
            <w:tcW w:w="601" w:type="dxa"/>
            <w:tcBorders>
              <w:top w:val="nil"/>
              <w:left w:val="nil"/>
              <w:bottom w:val="nil"/>
              <w:right w:val="nil"/>
            </w:tcBorders>
            <w:shd w:val="clear" w:color="auto" w:fill="auto"/>
            <w:noWrap/>
            <w:vAlign w:val="center"/>
            <w:hideMark/>
          </w:tcPr>
          <w:p w14:paraId="4AA02E5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33.3</w:t>
            </w:r>
          </w:p>
        </w:tc>
        <w:tc>
          <w:tcPr>
            <w:tcW w:w="1734" w:type="dxa"/>
            <w:tcBorders>
              <w:top w:val="nil"/>
              <w:left w:val="nil"/>
              <w:bottom w:val="nil"/>
              <w:right w:val="nil"/>
            </w:tcBorders>
            <w:shd w:val="clear" w:color="auto" w:fill="auto"/>
            <w:noWrap/>
            <w:vAlign w:val="center"/>
          </w:tcPr>
          <w:p w14:paraId="7E1D8F00"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1.30 (1.09-1.55)</w:t>
            </w:r>
          </w:p>
        </w:tc>
        <w:tc>
          <w:tcPr>
            <w:tcW w:w="601" w:type="dxa"/>
            <w:tcBorders>
              <w:top w:val="nil"/>
              <w:left w:val="nil"/>
              <w:bottom w:val="nil"/>
              <w:right w:val="nil"/>
            </w:tcBorders>
            <w:shd w:val="clear" w:color="auto" w:fill="auto"/>
            <w:noWrap/>
            <w:vAlign w:val="center"/>
          </w:tcPr>
          <w:p w14:paraId="4F03DEF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21.5</w:t>
            </w:r>
          </w:p>
        </w:tc>
        <w:tc>
          <w:tcPr>
            <w:tcW w:w="1744" w:type="dxa"/>
            <w:tcBorders>
              <w:top w:val="nil"/>
              <w:left w:val="nil"/>
              <w:bottom w:val="nil"/>
              <w:right w:val="nil"/>
            </w:tcBorders>
            <w:shd w:val="clear" w:color="auto" w:fill="auto"/>
            <w:noWrap/>
            <w:vAlign w:val="center"/>
            <w:hideMark/>
          </w:tcPr>
          <w:p w14:paraId="628DC68E"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1.52 (1.26-1.83)</w:t>
            </w:r>
          </w:p>
        </w:tc>
        <w:tc>
          <w:tcPr>
            <w:tcW w:w="630" w:type="dxa"/>
            <w:tcBorders>
              <w:top w:val="nil"/>
              <w:left w:val="nil"/>
              <w:bottom w:val="nil"/>
              <w:right w:val="nil"/>
            </w:tcBorders>
            <w:shd w:val="clear" w:color="auto" w:fill="auto"/>
            <w:noWrap/>
            <w:vAlign w:val="center"/>
            <w:hideMark/>
          </w:tcPr>
          <w:p w14:paraId="7407161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19.3</w:t>
            </w:r>
          </w:p>
        </w:tc>
      </w:tr>
      <w:tr w:rsidR="00CC4FE7" w:rsidRPr="00F36460" w14:paraId="49A817E0" w14:textId="77777777" w:rsidTr="009B2059">
        <w:trPr>
          <w:trHeight w:val="300"/>
        </w:trPr>
        <w:tc>
          <w:tcPr>
            <w:tcW w:w="1350" w:type="dxa"/>
            <w:tcBorders>
              <w:top w:val="nil"/>
              <w:left w:val="nil"/>
              <w:bottom w:val="nil"/>
              <w:right w:val="nil"/>
            </w:tcBorders>
            <w:shd w:val="clear" w:color="auto" w:fill="auto"/>
            <w:noWrap/>
            <w:vAlign w:val="center"/>
            <w:hideMark/>
          </w:tcPr>
          <w:p w14:paraId="1F90F2C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AMR</w:t>
            </w:r>
          </w:p>
        </w:tc>
        <w:tc>
          <w:tcPr>
            <w:tcW w:w="1725" w:type="dxa"/>
            <w:tcBorders>
              <w:top w:val="nil"/>
              <w:left w:val="nil"/>
              <w:bottom w:val="nil"/>
              <w:right w:val="nil"/>
            </w:tcBorders>
            <w:shd w:val="clear" w:color="auto" w:fill="auto"/>
            <w:noWrap/>
            <w:vAlign w:val="center"/>
            <w:hideMark/>
          </w:tcPr>
          <w:p w14:paraId="16BF72A6"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1.38 (1.19-1.61)</w:t>
            </w:r>
          </w:p>
        </w:tc>
        <w:tc>
          <w:tcPr>
            <w:tcW w:w="601" w:type="dxa"/>
            <w:tcBorders>
              <w:top w:val="nil"/>
              <w:left w:val="nil"/>
              <w:bottom w:val="nil"/>
              <w:right w:val="nil"/>
            </w:tcBorders>
            <w:shd w:val="clear" w:color="auto" w:fill="auto"/>
            <w:noWrap/>
            <w:vAlign w:val="center"/>
            <w:hideMark/>
          </w:tcPr>
          <w:p w14:paraId="499E0B6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31.8</w:t>
            </w:r>
          </w:p>
        </w:tc>
        <w:tc>
          <w:tcPr>
            <w:tcW w:w="1734" w:type="dxa"/>
            <w:tcBorders>
              <w:top w:val="nil"/>
              <w:left w:val="nil"/>
              <w:bottom w:val="nil"/>
              <w:right w:val="nil"/>
            </w:tcBorders>
            <w:shd w:val="clear" w:color="auto" w:fill="auto"/>
            <w:noWrap/>
            <w:vAlign w:val="center"/>
          </w:tcPr>
          <w:p w14:paraId="4F28DBCA"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1.30 (1.08-1.57)</w:t>
            </w:r>
          </w:p>
        </w:tc>
        <w:tc>
          <w:tcPr>
            <w:tcW w:w="601" w:type="dxa"/>
            <w:tcBorders>
              <w:top w:val="nil"/>
              <w:left w:val="nil"/>
              <w:bottom w:val="nil"/>
              <w:right w:val="nil"/>
            </w:tcBorders>
            <w:shd w:val="clear" w:color="auto" w:fill="auto"/>
            <w:noWrap/>
            <w:vAlign w:val="center"/>
          </w:tcPr>
          <w:p w14:paraId="6D84BF0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20.1</w:t>
            </w:r>
          </w:p>
        </w:tc>
        <w:tc>
          <w:tcPr>
            <w:tcW w:w="1744" w:type="dxa"/>
            <w:tcBorders>
              <w:top w:val="nil"/>
              <w:left w:val="nil"/>
              <w:bottom w:val="nil"/>
              <w:right w:val="nil"/>
            </w:tcBorders>
            <w:shd w:val="clear" w:color="auto" w:fill="auto"/>
            <w:noWrap/>
            <w:vAlign w:val="center"/>
            <w:hideMark/>
          </w:tcPr>
          <w:p w14:paraId="18A0756A"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1.52 (1.26-1.84)</w:t>
            </w:r>
          </w:p>
        </w:tc>
        <w:tc>
          <w:tcPr>
            <w:tcW w:w="630" w:type="dxa"/>
            <w:tcBorders>
              <w:top w:val="nil"/>
              <w:left w:val="nil"/>
              <w:bottom w:val="nil"/>
              <w:right w:val="nil"/>
            </w:tcBorders>
            <w:shd w:val="clear" w:color="auto" w:fill="auto"/>
            <w:noWrap/>
            <w:vAlign w:val="center"/>
            <w:hideMark/>
          </w:tcPr>
          <w:p w14:paraId="5EC5144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15.1</w:t>
            </w:r>
          </w:p>
        </w:tc>
      </w:tr>
      <w:tr w:rsidR="00CC4FE7" w:rsidRPr="00F36460" w14:paraId="4B8C5AFB" w14:textId="77777777" w:rsidTr="009B2059">
        <w:trPr>
          <w:trHeight w:val="300"/>
        </w:trPr>
        <w:tc>
          <w:tcPr>
            <w:tcW w:w="1350" w:type="dxa"/>
            <w:tcBorders>
              <w:top w:val="nil"/>
              <w:left w:val="nil"/>
              <w:bottom w:val="nil"/>
              <w:right w:val="nil"/>
            </w:tcBorders>
            <w:shd w:val="clear" w:color="auto" w:fill="auto"/>
            <w:noWrap/>
            <w:vAlign w:val="center"/>
            <w:hideMark/>
          </w:tcPr>
          <w:p w14:paraId="50A8C0A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SEAR</w:t>
            </w:r>
          </w:p>
        </w:tc>
        <w:tc>
          <w:tcPr>
            <w:tcW w:w="1725" w:type="dxa"/>
            <w:tcBorders>
              <w:top w:val="nil"/>
              <w:left w:val="nil"/>
              <w:bottom w:val="nil"/>
              <w:right w:val="nil"/>
            </w:tcBorders>
            <w:shd w:val="clear" w:color="auto" w:fill="auto"/>
            <w:noWrap/>
            <w:vAlign w:val="center"/>
            <w:hideMark/>
          </w:tcPr>
          <w:p w14:paraId="74F44738"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1.92 (1.41-2.61)</w:t>
            </w:r>
          </w:p>
        </w:tc>
        <w:tc>
          <w:tcPr>
            <w:tcW w:w="601" w:type="dxa"/>
            <w:tcBorders>
              <w:top w:val="nil"/>
              <w:left w:val="nil"/>
              <w:bottom w:val="nil"/>
              <w:right w:val="nil"/>
            </w:tcBorders>
            <w:shd w:val="clear" w:color="auto" w:fill="auto"/>
            <w:noWrap/>
            <w:vAlign w:val="center"/>
            <w:hideMark/>
          </w:tcPr>
          <w:p w14:paraId="5A5D2D2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43.6</w:t>
            </w:r>
          </w:p>
        </w:tc>
        <w:tc>
          <w:tcPr>
            <w:tcW w:w="1734" w:type="dxa"/>
            <w:tcBorders>
              <w:top w:val="nil"/>
              <w:left w:val="nil"/>
              <w:bottom w:val="nil"/>
              <w:right w:val="nil"/>
            </w:tcBorders>
            <w:shd w:val="clear" w:color="auto" w:fill="auto"/>
            <w:noWrap/>
            <w:vAlign w:val="center"/>
          </w:tcPr>
          <w:p w14:paraId="4399E3BF"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1.51 (1.16-1.95)</w:t>
            </w:r>
          </w:p>
        </w:tc>
        <w:tc>
          <w:tcPr>
            <w:tcW w:w="601" w:type="dxa"/>
            <w:tcBorders>
              <w:top w:val="nil"/>
              <w:left w:val="nil"/>
              <w:bottom w:val="nil"/>
              <w:right w:val="nil"/>
            </w:tcBorders>
            <w:shd w:val="clear" w:color="auto" w:fill="auto"/>
            <w:noWrap/>
            <w:vAlign w:val="center"/>
          </w:tcPr>
          <w:p w14:paraId="01C2E12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w:t>
            </w:r>
          </w:p>
        </w:tc>
        <w:tc>
          <w:tcPr>
            <w:tcW w:w="1744" w:type="dxa"/>
            <w:tcBorders>
              <w:top w:val="nil"/>
              <w:left w:val="nil"/>
              <w:bottom w:val="nil"/>
              <w:right w:val="nil"/>
            </w:tcBorders>
            <w:shd w:val="clear" w:color="auto" w:fill="auto"/>
            <w:noWrap/>
            <w:vAlign w:val="center"/>
            <w:hideMark/>
          </w:tcPr>
          <w:p w14:paraId="2C44ECBD"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2.41 (1.51-3.86)</w:t>
            </w:r>
          </w:p>
        </w:tc>
        <w:tc>
          <w:tcPr>
            <w:tcW w:w="630" w:type="dxa"/>
            <w:tcBorders>
              <w:top w:val="nil"/>
              <w:left w:val="nil"/>
              <w:bottom w:val="nil"/>
              <w:right w:val="nil"/>
            </w:tcBorders>
            <w:shd w:val="clear" w:color="auto" w:fill="auto"/>
            <w:noWrap/>
            <w:vAlign w:val="center"/>
            <w:hideMark/>
          </w:tcPr>
          <w:p w14:paraId="6B3AD86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35.8</w:t>
            </w:r>
          </w:p>
        </w:tc>
      </w:tr>
      <w:tr w:rsidR="00CC4FE7" w:rsidRPr="00F36460" w14:paraId="115C0EBF" w14:textId="77777777" w:rsidTr="009B2059">
        <w:trPr>
          <w:trHeight w:val="300"/>
        </w:trPr>
        <w:tc>
          <w:tcPr>
            <w:tcW w:w="1350" w:type="dxa"/>
            <w:tcBorders>
              <w:top w:val="nil"/>
              <w:left w:val="nil"/>
              <w:bottom w:val="single" w:sz="4" w:space="0" w:color="auto"/>
              <w:right w:val="nil"/>
            </w:tcBorders>
            <w:shd w:val="clear" w:color="auto" w:fill="auto"/>
            <w:noWrap/>
            <w:vAlign w:val="center"/>
            <w:hideMark/>
          </w:tcPr>
          <w:p w14:paraId="628B235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WPR</w:t>
            </w:r>
          </w:p>
        </w:tc>
        <w:tc>
          <w:tcPr>
            <w:tcW w:w="1725" w:type="dxa"/>
            <w:tcBorders>
              <w:top w:val="nil"/>
              <w:left w:val="nil"/>
              <w:bottom w:val="single" w:sz="4" w:space="0" w:color="auto"/>
              <w:right w:val="nil"/>
            </w:tcBorders>
            <w:shd w:val="clear" w:color="auto" w:fill="auto"/>
            <w:noWrap/>
            <w:vAlign w:val="center"/>
            <w:hideMark/>
          </w:tcPr>
          <w:p w14:paraId="0ED726AF"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1.76 (1.37-2.27)</w:t>
            </w:r>
          </w:p>
        </w:tc>
        <w:tc>
          <w:tcPr>
            <w:tcW w:w="601" w:type="dxa"/>
            <w:tcBorders>
              <w:top w:val="nil"/>
              <w:left w:val="nil"/>
              <w:bottom w:val="single" w:sz="4" w:space="0" w:color="auto"/>
              <w:right w:val="nil"/>
            </w:tcBorders>
            <w:shd w:val="clear" w:color="auto" w:fill="auto"/>
            <w:noWrap/>
            <w:vAlign w:val="center"/>
            <w:hideMark/>
          </w:tcPr>
          <w:p w14:paraId="6EF3C0E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63.9</w:t>
            </w:r>
          </w:p>
        </w:tc>
        <w:tc>
          <w:tcPr>
            <w:tcW w:w="1734" w:type="dxa"/>
            <w:tcBorders>
              <w:top w:val="nil"/>
              <w:left w:val="nil"/>
              <w:bottom w:val="single" w:sz="4" w:space="0" w:color="auto"/>
              <w:right w:val="nil"/>
            </w:tcBorders>
            <w:shd w:val="clear" w:color="auto" w:fill="auto"/>
            <w:noWrap/>
            <w:vAlign w:val="center"/>
          </w:tcPr>
          <w:p w14:paraId="183BE94F"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1.82 (1.34-2.48)</w:t>
            </w:r>
          </w:p>
        </w:tc>
        <w:tc>
          <w:tcPr>
            <w:tcW w:w="601" w:type="dxa"/>
            <w:tcBorders>
              <w:top w:val="nil"/>
              <w:left w:val="nil"/>
              <w:bottom w:val="single" w:sz="4" w:space="0" w:color="auto"/>
              <w:right w:val="nil"/>
            </w:tcBorders>
            <w:shd w:val="clear" w:color="auto" w:fill="auto"/>
            <w:noWrap/>
            <w:vAlign w:val="center"/>
          </w:tcPr>
          <w:p w14:paraId="4D72468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50.7</w:t>
            </w:r>
          </w:p>
        </w:tc>
        <w:tc>
          <w:tcPr>
            <w:tcW w:w="1744" w:type="dxa"/>
            <w:tcBorders>
              <w:top w:val="nil"/>
              <w:left w:val="nil"/>
              <w:bottom w:val="single" w:sz="4" w:space="0" w:color="auto"/>
              <w:right w:val="nil"/>
            </w:tcBorders>
            <w:shd w:val="clear" w:color="auto" w:fill="auto"/>
            <w:noWrap/>
            <w:vAlign w:val="center"/>
            <w:hideMark/>
          </w:tcPr>
          <w:p w14:paraId="34097AAC"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1.77 (1.44-2.17)</w:t>
            </w:r>
          </w:p>
        </w:tc>
        <w:tc>
          <w:tcPr>
            <w:tcW w:w="630" w:type="dxa"/>
            <w:tcBorders>
              <w:top w:val="nil"/>
              <w:left w:val="nil"/>
              <w:bottom w:val="single" w:sz="4" w:space="0" w:color="auto"/>
              <w:right w:val="nil"/>
            </w:tcBorders>
            <w:shd w:val="clear" w:color="auto" w:fill="auto"/>
            <w:noWrap/>
            <w:vAlign w:val="center"/>
            <w:hideMark/>
          </w:tcPr>
          <w:p w14:paraId="6AB3DE1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r>
    </w:tbl>
    <w:p w14:paraId="13AE6891" w14:textId="77777777" w:rsidR="00CC4FE7" w:rsidRPr="00F36460" w:rsidRDefault="00CC4FE7" w:rsidP="00CC4FE7">
      <w:pPr>
        <w:rPr>
          <w:rFonts w:cs="Times New Roman"/>
          <w:sz w:val="20"/>
          <w:szCs w:val="20"/>
        </w:rPr>
      </w:pPr>
      <w:r w:rsidRPr="00F36460">
        <w:rPr>
          <w:rFonts w:cs="Times New Roman"/>
          <w:sz w:val="20"/>
          <w:szCs w:val="20"/>
        </w:rPr>
        <w:t xml:space="preserve">Abbreviation: OR Odds ratio; CI Confidence interval; </w:t>
      </w:r>
      <w:r w:rsidRPr="00F36460">
        <w:rPr>
          <w:sz w:val="20"/>
          <w:szCs w:val="20"/>
        </w:rPr>
        <w:t>AFR African Region; AMR Region of the Americas; SEAR South-East Asia Region; WPR Western Pacific Region</w:t>
      </w:r>
    </w:p>
    <w:p w14:paraId="24EE387A" w14:textId="77777777" w:rsidR="00CC4FE7" w:rsidRPr="00F36460" w:rsidRDefault="00CC4FE7" w:rsidP="00CC4FE7">
      <w:pPr>
        <w:rPr>
          <w:rFonts w:cs="Times New Roman"/>
          <w:sz w:val="20"/>
          <w:szCs w:val="20"/>
        </w:rPr>
      </w:pPr>
      <w:r w:rsidRPr="00F36460">
        <w:rPr>
          <w:rFonts w:cs="Times New Roman"/>
          <w:sz w:val="20"/>
          <w:szCs w:val="20"/>
        </w:rPr>
        <w:t>Statistically significant associations (P&lt;0.05) are highlighted in bold font.</w:t>
      </w:r>
    </w:p>
    <w:p w14:paraId="61F963D4" w14:textId="77777777" w:rsidR="00CC4FE7" w:rsidRPr="00F36460" w:rsidRDefault="00CC4FE7" w:rsidP="00CC4FE7">
      <w:pPr>
        <w:rPr>
          <w:rFonts w:cs="Times New Roman"/>
          <w:sz w:val="20"/>
          <w:szCs w:val="20"/>
        </w:rPr>
      </w:pPr>
      <w:r w:rsidRPr="00F36460">
        <w:rPr>
          <w:rFonts w:cs="Times New Roman"/>
          <w:sz w:val="20"/>
          <w:szCs w:val="20"/>
        </w:rPr>
        <w:t>Estimates were obtained by combining country-wise estimates adjusted for age, sex (only overall sample), and alcohol use into a meta-analysis with random effects.</w:t>
      </w:r>
    </w:p>
    <w:p w14:paraId="3777AF1B" w14:textId="6C1AE833" w:rsidR="000963AA" w:rsidRDefault="00CC4FE7" w:rsidP="00CC4FE7">
      <w:pPr>
        <w:rPr>
          <w:sz w:val="20"/>
          <w:szCs w:val="20"/>
        </w:rPr>
      </w:pPr>
      <w:proofErr w:type="spellStart"/>
      <w:proofErr w:type="gramStart"/>
      <w:r w:rsidRPr="00F36460">
        <w:rPr>
          <w:sz w:val="20"/>
          <w:szCs w:val="20"/>
          <w:vertAlign w:val="superscript"/>
        </w:rPr>
        <w:t>a</w:t>
      </w:r>
      <w:proofErr w:type="spellEnd"/>
      <w:proofErr w:type="gramEnd"/>
      <w:r w:rsidRPr="00F36460">
        <w:rPr>
          <w:sz w:val="20"/>
          <w:szCs w:val="20"/>
          <w:vertAlign w:val="superscript"/>
        </w:rPr>
        <w:t xml:space="preserve"> </w:t>
      </w:r>
      <w:r w:rsidRPr="00F36460">
        <w:rPr>
          <w:sz w:val="20"/>
          <w:szCs w:val="20"/>
        </w:rPr>
        <w:t>Estimates for Vietnam could not be obtained due to small numbers. This was also the case only for girls in Tuvalu.</w:t>
      </w:r>
    </w:p>
    <w:p w14:paraId="5F4AE0D1" w14:textId="77777777" w:rsidR="000963AA" w:rsidRDefault="000963AA">
      <w:pPr>
        <w:spacing w:after="160" w:line="259" w:lineRule="auto"/>
        <w:rPr>
          <w:sz w:val="20"/>
          <w:szCs w:val="20"/>
        </w:rPr>
      </w:pPr>
      <w:r>
        <w:rPr>
          <w:sz w:val="20"/>
          <w:szCs w:val="20"/>
        </w:rPr>
        <w:br w:type="page"/>
      </w:r>
    </w:p>
    <w:p w14:paraId="1D65F955" w14:textId="7BE9C6D7" w:rsidR="00CC4FE7" w:rsidRPr="00F36460" w:rsidRDefault="000963AA" w:rsidP="000963AA">
      <w:pPr>
        <w:pStyle w:val="Heading1"/>
      </w:pPr>
      <w:r>
        <w:lastRenderedPageBreak/>
        <w:t>Table 4</w:t>
      </w:r>
    </w:p>
    <w:p w14:paraId="058578A7" w14:textId="77777777" w:rsidR="00CC4FE7" w:rsidRPr="00F36460" w:rsidRDefault="00CC4FE7" w:rsidP="00CC4FE7"/>
    <w:p w14:paraId="6C7249F9" w14:textId="77777777" w:rsidR="00CC4FE7" w:rsidRPr="00F36460" w:rsidRDefault="00CC4FE7" w:rsidP="00CC4FE7">
      <w:pPr>
        <w:spacing w:line="480" w:lineRule="auto"/>
        <w:sectPr w:rsidR="00CC4FE7" w:rsidRPr="00F36460" w:rsidSect="008825A2">
          <w:pgSz w:w="11900" w:h="16840"/>
          <w:pgMar w:top="1440" w:right="1440" w:bottom="1440" w:left="1440" w:header="720" w:footer="720" w:gutter="0"/>
          <w:cols w:space="720"/>
          <w:docGrid w:linePitch="360"/>
        </w:sectPr>
      </w:pPr>
    </w:p>
    <w:tbl>
      <w:tblPr>
        <w:tblW w:w="5000" w:type="pct"/>
        <w:tblLook w:val="04A0" w:firstRow="1" w:lastRow="0" w:firstColumn="1" w:lastColumn="0" w:noHBand="0" w:noVBand="1"/>
      </w:tblPr>
      <w:tblGrid>
        <w:gridCol w:w="2279"/>
        <w:gridCol w:w="1646"/>
        <w:gridCol w:w="601"/>
        <w:gridCol w:w="1646"/>
        <w:gridCol w:w="601"/>
        <w:gridCol w:w="1646"/>
        <w:gridCol w:w="601"/>
      </w:tblGrid>
      <w:tr w:rsidR="00CC4FE7" w:rsidRPr="00F36460" w14:paraId="70DC46EA" w14:textId="77777777" w:rsidTr="009B2059">
        <w:trPr>
          <w:trHeight w:val="620"/>
        </w:trPr>
        <w:tc>
          <w:tcPr>
            <w:tcW w:w="5000" w:type="pct"/>
            <w:gridSpan w:val="7"/>
            <w:tcBorders>
              <w:top w:val="nil"/>
              <w:left w:val="nil"/>
              <w:bottom w:val="single" w:sz="4" w:space="0" w:color="auto"/>
              <w:right w:val="nil"/>
            </w:tcBorders>
            <w:shd w:val="clear" w:color="auto" w:fill="auto"/>
            <w:vAlign w:val="center"/>
            <w:hideMark/>
          </w:tcPr>
          <w:p w14:paraId="778CD535" w14:textId="77777777" w:rsidR="00CC4FE7" w:rsidRPr="00F36460" w:rsidRDefault="00CC4FE7" w:rsidP="009B2059">
            <w:pPr>
              <w:rPr>
                <w:rFonts w:eastAsia="Times New Roman" w:cs="Times New Roman"/>
                <w:b/>
                <w:bCs/>
                <w:color w:val="000000"/>
                <w:lang w:val="en-GB"/>
              </w:rPr>
            </w:pPr>
            <w:r w:rsidRPr="00F36460">
              <w:rPr>
                <w:rFonts w:eastAsia="Times New Roman" w:cs="Times New Roman"/>
                <w:b/>
                <w:bCs/>
                <w:color w:val="000000"/>
                <w:lang w:val="en-GB"/>
              </w:rPr>
              <w:lastRenderedPageBreak/>
              <w:t>Table 4</w:t>
            </w:r>
            <w:r w:rsidRPr="00F36460">
              <w:rPr>
                <w:rFonts w:eastAsia="Times New Roman" w:cs="Times New Roman"/>
                <w:color w:val="000000"/>
                <w:lang w:val="en-GB"/>
              </w:rPr>
              <w:t xml:space="preserve"> Association between any food insecurity and condom non-use or multiple sex partners estimated by meta-analysis based on country-wise estimates</w:t>
            </w:r>
          </w:p>
        </w:tc>
      </w:tr>
      <w:tr w:rsidR="00CC4FE7" w:rsidRPr="00F36460" w14:paraId="62D11F4D" w14:textId="77777777" w:rsidTr="009B2059">
        <w:trPr>
          <w:trHeight w:val="300"/>
        </w:trPr>
        <w:tc>
          <w:tcPr>
            <w:tcW w:w="1461" w:type="pct"/>
            <w:tcBorders>
              <w:top w:val="nil"/>
              <w:left w:val="nil"/>
              <w:bottom w:val="nil"/>
              <w:right w:val="nil"/>
            </w:tcBorders>
            <w:shd w:val="clear" w:color="auto" w:fill="auto"/>
            <w:noWrap/>
            <w:vAlign w:val="center"/>
            <w:hideMark/>
          </w:tcPr>
          <w:p w14:paraId="4D99782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w:t>
            </w:r>
          </w:p>
        </w:tc>
        <w:tc>
          <w:tcPr>
            <w:tcW w:w="1180" w:type="pct"/>
            <w:gridSpan w:val="2"/>
            <w:tcBorders>
              <w:top w:val="single" w:sz="4" w:space="0" w:color="auto"/>
              <w:left w:val="nil"/>
              <w:bottom w:val="nil"/>
              <w:right w:val="nil"/>
            </w:tcBorders>
            <w:shd w:val="clear" w:color="auto" w:fill="auto"/>
            <w:noWrap/>
            <w:vAlign w:val="center"/>
            <w:hideMark/>
          </w:tcPr>
          <w:p w14:paraId="13A3D88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Overall</w:t>
            </w:r>
          </w:p>
        </w:tc>
        <w:tc>
          <w:tcPr>
            <w:tcW w:w="1180" w:type="pct"/>
            <w:gridSpan w:val="2"/>
            <w:tcBorders>
              <w:top w:val="single" w:sz="4" w:space="0" w:color="auto"/>
              <w:left w:val="nil"/>
              <w:bottom w:val="nil"/>
              <w:right w:val="nil"/>
            </w:tcBorders>
            <w:shd w:val="clear" w:color="auto" w:fill="auto"/>
            <w:noWrap/>
            <w:vAlign w:val="center"/>
            <w:hideMark/>
          </w:tcPr>
          <w:p w14:paraId="0FB64A6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Boys</w:t>
            </w:r>
          </w:p>
        </w:tc>
        <w:tc>
          <w:tcPr>
            <w:tcW w:w="1180" w:type="pct"/>
            <w:gridSpan w:val="2"/>
            <w:tcBorders>
              <w:top w:val="single" w:sz="4" w:space="0" w:color="auto"/>
              <w:left w:val="nil"/>
              <w:bottom w:val="nil"/>
              <w:right w:val="nil"/>
            </w:tcBorders>
            <w:shd w:val="clear" w:color="auto" w:fill="auto"/>
            <w:noWrap/>
            <w:vAlign w:val="center"/>
            <w:hideMark/>
          </w:tcPr>
          <w:p w14:paraId="5F51DE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Girls</w:t>
            </w:r>
          </w:p>
        </w:tc>
      </w:tr>
      <w:tr w:rsidR="00CC4FE7" w:rsidRPr="00F36460" w14:paraId="77843515" w14:textId="77777777" w:rsidTr="009B2059">
        <w:trPr>
          <w:trHeight w:val="320"/>
        </w:trPr>
        <w:tc>
          <w:tcPr>
            <w:tcW w:w="1461" w:type="pct"/>
            <w:tcBorders>
              <w:top w:val="nil"/>
              <w:left w:val="nil"/>
              <w:bottom w:val="double" w:sz="6" w:space="0" w:color="auto"/>
              <w:right w:val="nil"/>
            </w:tcBorders>
            <w:shd w:val="clear" w:color="auto" w:fill="auto"/>
            <w:noWrap/>
            <w:vAlign w:val="center"/>
            <w:hideMark/>
          </w:tcPr>
          <w:p w14:paraId="0BAAA82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 </w:t>
            </w:r>
          </w:p>
        </w:tc>
        <w:tc>
          <w:tcPr>
            <w:tcW w:w="884" w:type="pct"/>
            <w:tcBorders>
              <w:top w:val="nil"/>
              <w:left w:val="nil"/>
              <w:bottom w:val="double" w:sz="6" w:space="0" w:color="auto"/>
              <w:right w:val="nil"/>
            </w:tcBorders>
            <w:shd w:val="clear" w:color="auto" w:fill="auto"/>
            <w:noWrap/>
            <w:vAlign w:val="center"/>
            <w:hideMark/>
          </w:tcPr>
          <w:p w14:paraId="2D0208E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OR (95%CI)</w:t>
            </w:r>
          </w:p>
        </w:tc>
        <w:tc>
          <w:tcPr>
            <w:tcW w:w="295" w:type="pct"/>
            <w:tcBorders>
              <w:top w:val="nil"/>
              <w:left w:val="nil"/>
              <w:bottom w:val="double" w:sz="6" w:space="0" w:color="auto"/>
              <w:right w:val="nil"/>
            </w:tcBorders>
            <w:shd w:val="clear" w:color="auto" w:fill="auto"/>
            <w:noWrap/>
            <w:vAlign w:val="center"/>
            <w:hideMark/>
          </w:tcPr>
          <w:p w14:paraId="421C8838"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I</w:t>
            </w:r>
            <w:r w:rsidRPr="00F36460">
              <w:rPr>
                <w:rFonts w:eastAsia="Times New Roman" w:cs="Times New Roman"/>
                <w:i/>
                <w:iCs/>
                <w:color w:val="000000"/>
                <w:sz w:val="22"/>
                <w:szCs w:val="22"/>
                <w:vertAlign w:val="superscript"/>
                <w:lang w:val="en-GB"/>
              </w:rPr>
              <w:t>2</w:t>
            </w:r>
          </w:p>
        </w:tc>
        <w:tc>
          <w:tcPr>
            <w:tcW w:w="884" w:type="pct"/>
            <w:tcBorders>
              <w:top w:val="nil"/>
              <w:left w:val="nil"/>
              <w:bottom w:val="double" w:sz="6" w:space="0" w:color="auto"/>
              <w:right w:val="nil"/>
            </w:tcBorders>
            <w:shd w:val="clear" w:color="auto" w:fill="auto"/>
            <w:noWrap/>
            <w:vAlign w:val="center"/>
            <w:hideMark/>
          </w:tcPr>
          <w:p w14:paraId="5BA2A15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OR (95%CI)</w:t>
            </w:r>
          </w:p>
        </w:tc>
        <w:tc>
          <w:tcPr>
            <w:tcW w:w="295" w:type="pct"/>
            <w:tcBorders>
              <w:top w:val="nil"/>
              <w:left w:val="nil"/>
              <w:bottom w:val="double" w:sz="6" w:space="0" w:color="auto"/>
              <w:right w:val="nil"/>
            </w:tcBorders>
            <w:shd w:val="clear" w:color="auto" w:fill="auto"/>
            <w:noWrap/>
            <w:vAlign w:val="center"/>
            <w:hideMark/>
          </w:tcPr>
          <w:p w14:paraId="09135328"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I</w:t>
            </w:r>
            <w:r w:rsidRPr="00F36460">
              <w:rPr>
                <w:rFonts w:eastAsia="Times New Roman" w:cs="Times New Roman"/>
                <w:i/>
                <w:iCs/>
                <w:color w:val="000000"/>
                <w:sz w:val="22"/>
                <w:szCs w:val="22"/>
                <w:vertAlign w:val="superscript"/>
                <w:lang w:val="en-GB"/>
              </w:rPr>
              <w:t>2</w:t>
            </w:r>
          </w:p>
        </w:tc>
        <w:tc>
          <w:tcPr>
            <w:tcW w:w="884" w:type="pct"/>
            <w:tcBorders>
              <w:top w:val="nil"/>
              <w:left w:val="nil"/>
              <w:bottom w:val="double" w:sz="6" w:space="0" w:color="auto"/>
              <w:right w:val="nil"/>
            </w:tcBorders>
            <w:shd w:val="clear" w:color="auto" w:fill="auto"/>
            <w:noWrap/>
            <w:vAlign w:val="center"/>
            <w:hideMark/>
          </w:tcPr>
          <w:p w14:paraId="4569D7E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OR (95%CI)</w:t>
            </w:r>
          </w:p>
        </w:tc>
        <w:tc>
          <w:tcPr>
            <w:tcW w:w="295" w:type="pct"/>
            <w:tcBorders>
              <w:top w:val="nil"/>
              <w:left w:val="nil"/>
              <w:bottom w:val="double" w:sz="6" w:space="0" w:color="auto"/>
              <w:right w:val="nil"/>
            </w:tcBorders>
            <w:shd w:val="clear" w:color="auto" w:fill="auto"/>
            <w:noWrap/>
            <w:vAlign w:val="center"/>
            <w:hideMark/>
          </w:tcPr>
          <w:p w14:paraId="088BD558" w14:textId="77777777" w:rsidR="00CC4FE7" w:rsidRPr="00F36460" w:rsidRDefault="00CC4FE7" w:rsidP="009B2059">
            <w:pPr>
              <w:rPr>
                <w:rFonts w:eastAsia="Times New Roman" w:cs="Times New Roman"/>
                <w:i/>
                <w:iCs/>
                <w:color w:val="000000"/>
                <w:sz w:val="22"/>
                <w:szCs w:val="22"/>
                <w:lang w:val="en-GB"/>
              </w:rPr>
            </w:pPr>
            <w:r w:rsidRPr="00F36460">
              <w:rPr>
                <w:rFonts w:eastAsia="Times New Roman" w:cs="Times New Roman"/>
                <w:i/>
                <w:iCs/>
                <w:color w:val="000000"/>
                <w:sz w:val="22"/>
                <w:szCs w:val="22"/>
                <w:lang w:val="en-GB"/>
              </w:rPr>
              <w:t>I</w:t>
            </w:r>
            <w:r w:rsidRPr="00F36460">
              <w:rPr>
                <w:rFonts w:eastAsia="Times New Roman" w:cs="Times New Roman"/>
                <w:i/>
                <w:iCs/>
                <w:color w:val="000000"/>
                <w:sz w:val="22"/>
                <w:szCs w:val="22"/>
                <w:vertAlign w:val="superscript"/>
                <w:lang w:val="en-GB"/>
              </w:rPr>
              <w:t>2</w:t>
            </w:r>
          </w:p>
        </w:tc>
      </w:tr>
      <w:tr w:rsidR="00CC4FE7" w:rsidRPr="00F36460" w14:paraId="4605F7DE" w14:textId="77777777" w:rsidTr="009B2059">
        <w:trPr>
          <w:trHeight w:val="320"/>
        </w:trPr>
        <w:tc>
          <w:tcPr>
            <w:tcW w:w="1461" w:type="pct"/>
            <w:tcBorders>
              <w:top w:val="nil"/>
              <w:left w:val="nil"/>
              <w:bottom w:val="nil"/>
              <w:right w:val="nil"/>
            </w:tcBorders>
            <w:shd w:val="clear" w:color="auto" w:fill="auto"/>
            <w:noWrap/>
            <w:vAlign w:val="center"/>
            <w:hideMark/>
          </w:tcPr>
          <w:p w14:paraId="25F5559A" w14:textId="77777777" w:rsidR="00CC4FE7" w:rsidRPr="00F36460" w:rsidRDefault="00CC4FE7" w:rsidP="009B2059">
            <w:pPr>
              <w:rPr>
                <w:rFonts w:eastAsia="Times New Roman" w:cs="Times New Roman"/>
                <w:i/>
                <w:color w:val="000000"/>
                <w:sz w:val="22"/>
                <w:szCs w:val="22"/>
                <w:lang w:val="en-GB"/>
              </w:rPr>
            </w:pPr>
            <w:r w:rsidRPr="00F36460">
              <w:rPr>
                <w:rFonts w:eastAsia="Times New Roman" w:cs="Times New Roman"/>
                <w:i/>
                <w:color w:val="000000"/>
                <w:sz w:val="22"/>
                <w:szCs w:val="22"/>
                <w:lang w:val="en-GB"/>
              </w:rPr>
              <w:t>Condom non-</w:t>
            </w:r>
            <w:proofErr w:type="spellStart"/>
            <w:r w:rsidRPr="00F36460">
              <w:rPr>
                <w:rFonts w:eastAsia="Times New Roman" w:cs="Times New Roman"/>
                <w:i/>
                <w:color w:val="000000"/>
                <w:sz w:val="22"/>
                <w:szCs w:val="22"/>
                <w:lang w:val="en-GB"/>
              </w:rPr>
              <w:t>use</w:t>
            </w:r>
            <w:r w:rsidRPr="00F36460">
              <w:rPr>
                <w:rFonts w:eastAsia="Times New Roman" w:cs="Times New Roman"/>
                <w:i/>
                <w:color w:val="000000"/>
                <w:sz w:val="22"/>
                <w:szCs w:val="22"/>
                <w:vertAlign w:val="superscript"/>
                <w:lang w:val="en-GB"/>
              </w:rPr>
              <w:t>a</w:t>
            </w:r>
            <w:proofErr w:type="spellEnd"/>
          </w:p>
        </w:tc>
        <w:tc>
          <w:tcPr>
            <w:tcW w:w="884" w:type="pct"/>
            <w:tcBorders>
              <w:top w:val="nil"/>
              <w:left w:val="nil"/>
              <w:bottom w:val="nil"/>
              <w:right w:val="nil"/>
            </w:tcBorders>
            <w:shd w:val="clear" w:color="auto" w:fill="auto"/>
            <w:noWrap/>
            <w:vAlign w:val="center"/>
            <w:hideMark/>
          </w:tcPr>
          <w:p w14:paraId="4FE1A8DF" w14:textId="77777777" w:rsidR="00CC4FE7" w:rsidRPr="00F36460" w:rsidRDefault="00CC4FE7" w:rsidP="009B2059">
            <w:pPr>
              <w:rPr>
                <w:rFonts w:eastAsia="Times New Roman" w:cs="Times New Roman"/>
                <w:color w:val="000000"/>
                <w:sz w:val="22"/>
                <w:szCs w:val="22"/>
                <w:lang w:val="en-GB"/>
              </w:rPr>
            </w:pPr>
          </w:p>
        </w:tc>
        <w:tc>
          <w:tcPr>
            <w:tcW w:w="295" w:type="pct"/>
            <w:tcBorders>
              <w:top w:val="nil"/>
              <w:left w:val="nil"/>
              <w:bottom w:val="nil"/>
              <w:right w:val="nil"/>
            </w:tcBorders>
            <w:shd w:val="clear" w:color="auto" w:fill="auto"/>
            <w:noWrap/>
            <w:vAlign w:val="center"/>
            <w:hideMark/>
          </w:tcPr>
          <w:p w14:paraId="1F184822" w14:textId="77777777" w:rsidR="00CC4FE7" w:rsidRPr="00F36460" w:rsidRDefault="00CC4FE7" w:rsidP="009B2059">
            <w:pPr>
              <w:rPr>
                <w:rFonts w:eastAsia="Times New Roman" w:cs="Times New Roman"/>
                <w:i/>
                <w:iCs/>
                <w:color w:val="000000"/>
                <w:sz w:val="22"/>
                <w:szCs w:val="22"/>
                <w:lang w:val="en-GB"/>
              </w:rPr>
            </w:pPr>
          </w:p>
        </w:tc>
        <w:tc>
          <w:tcPr>
            <w:tcW w:w="884" w:type="pct"/>
            <w:tcBorders>
              <w:top w:val="nil"/>
              <w:left w:val="nil"/>
              <w:bottom w:val="nil"/>
              <w:right w:val="nil"/>
            </w:tcBorders>
            <w:shd w:val="clear" w:color="auto" w:fill="auto"/>
            <w:noWrap/>
            <w:vAlign w:val="center"/>
            <w:hideMark/>
          </w:tcPr>
          <w:p w14:paraId="01940105" w14:textId="77777777" w:rsidR="00CC4FE7" w:rsidRPr="00F36460" w:rsidRDefault="00CC4FE7" w:rsidP="009B2059">
            <w:pPr>
              <w:rPr>
                <w:rFonts w:eastAsia="Times New Roman" w:cs="Times New Roman"/>
                <w:color w:val="000000"/>
                <w:sz w:val="22"/>
                <w:szCs w:val="22"/>
                <w:lang w:val="en-GB"/>
              </w:rPr>
            </w:pPr>
          </w:p>
        </w:tc>
        <w:tc>
          <w:tcPr>
            <w:tcW w:w="295" w:type="pct"/>
            <w:tcBorders>
              <w:top w:val="nil"/>
              <w:left w:val="nil"/>
              <w:bottom w:val="nil"/>
              <w:right w:val="nil"/>
            </w:tcBorders>
            <w:shd w:val="clear" w:color="auto" w:fill="auto"/>
            <w:noWrap/>
            <w:vAlign w:val="center"/>
            <w:hideMark/>
          </w:tcPr>
          <w:p w14:paraId="25F7C6EE" w14:textId="77777777" w:rsidR="00CC4FE7" w:rsidRPr="00F36460" w:rsidRDefault="00CC4FE7" w:rsidP="009B2059">
            <w:pPr>
              <w:rPr>
                <w:rFonts w:eastAsia="Times New Roman" w:cs="Times New Roman"/>
                <w:i/>
                <w:iCs/>
                <w:color w:val="000000"/>
                <w:sz w:val="22"/>
                <w:szCs w:val="22"/>
                <w:lang w:val="en-GB"/>
              </w:rPr>
            </w:pPr>
          </w:p>
        </w:tc>
        <w:tc>
          <w:tcPr>
            <w:tcW w:w="884" w:type="pct"/>
            <w:tcBorders>
              <w:top w:val="nil"/>
              <w:left w:val="nil"/>
              <w:bottom w:val="nil"/>
              <w:right w:val="nil"/>
            </w:tcBorders>
            <w:shd w:val="clear" w:color="auto" w:fill="auto"/>
            <w:noWrap/>
            <w:vAlign w:val="center"/>
            <w:hideMark/>
          </w:tcPr>
          <w:p w14:paraId="2D974F16" w14:textId="77777777" w:rsidR="00CC4FE7" w:rsidRPr="00F36460" w:rsidRDefault="00CC4FE7" w:rsidP="009B2059">
            <w:pPr>
              <w:rPr>
                <w:rFonts w:eastAsia="Times New Roman" w:cs="Times New Roman"/>
                <w:color w:val="000000"/>
                <w:sz w:val="22"/>
                <w:szCs w:val="22"/>
                <w:lang w:val="en-GB"/>
              </w:rPr>
            </w:pPr>
          </w:p>
        </w:tc>
        <w:tc>
          <w:tcPr>
            <w:tcW w:w="295" w:type="pct"/>
            <w:tcBorders>
              <w:top w:val="nil"/>
              <w:left w:val="nil"/>
              <w:bottom w:val="nil"/>
              <w:right w:val="nil"/>
            </w:tcBorders>
            <w:shd w:val="clear" w:color="auto" w:fill="auto"/>
            <w:noWrap/>
            <w:vAlign w:val="center"/>
            <w:hideMark/>
          </w:tcPr>
          <w:p w14:paraId="20C1CDEE" w14:textId="77777777" w:rsidR="00CC4FE7" w:rsidRPr="00F36460" w:rsidRDefault="00CC4FE7" w:rsidP="009B2059">
            <w:pPr>
              <w:rPr>
                <w:rFonts w:eastAsia="Times New Roman" w:cs="Times New Roman"/>
                <w:i/>
                <w:iCs/>
                <w:color w:val="000000"/>
                <w:sz w:val="22"/>
                <w:szCs w:val="22"/>
                <w:lang w:val="en-GB"/>
              </w:rPr>
            </w:pPr>
          </w:p>
        </w:tc>
      </w:tr>
      <w:tr w:rsidR="00CC4FE7" w:rsidRPr="00F36460" w14:paraId="4B146CCD" w14:textId="77777777" w:rsidTr="009B2059">
        <w:trPr>
          <w:trHeight w:val="300"/>
        </w:trPr>
        <w:tc>
          <w:tcPr>
            <w:tcW w:w="1461" w:type="pct"/>
            <w:tcBorders>
              <w:top w:val="nil"/>
              <w:left w:val="nil"/>
              <w:bottom w:val="nil"/>
              <w:right w:val="nil"/>
            </w:tcBorders>
            <w:shd w:val="clear" w:color="auto" w:fill="auto"/>
            <w:noWrap/>
            <w:vAlign w:val="center"/>
            <w:hideMark/>
          </w:tcPr>
          <w:p w14:paraId="6E02DE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Overall</w:t>
            </w:r>
          </w:p>
        </w:tc>
        <w:tc>
          <w:tcPr>
            <w:tcW w:w="884" w:type="pct"/>
            <w:tcBorders>
              <w:top w:val="nil"/>
              <w:left w:val="nil"/>
              <w:bottom w:val="nil"/>
              <w:right w:val="nil"/>
            </w:tcBorders>
            <w:shd w:val="clear" w:color="auto" w:fill="auto"/>
            <w:noWrap/>
            <w:vAlign w:val="center"/>
            <w:hideMark/>
          </w:tcPr>
          <w:p w14:paraId="7F0C4A37"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1.19 (1.09-1.30)</w:t>
            </w:r>
          </w:p>
        </w:tc>
        <w:tc>
          <w:tcPr>
            <w:tcW w:w="295" w:type="pct"/>
            <w:tcBorders>
              <w:top w:val="nil"/>
              <w:left w:val="nil"/>
              <w:bottom w:val="nil"/>
              <w:right w:val="nil"/>
            </w:tcBorders>
            <w:shd w:val="clear" w:color="auto" w:fill="auto"/>
            <w:noWrap/>
            <w:vAlign w:val="center"/>
            <w:hideMark/>
          </w:tcPr>
          <w:p w14:paraId="15882F7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39.1</w:t>
            </w:r>
          </w:p>
        </w:tc>
        <w:tc>
          <w:tcPr>
            <w:tcW w:w="884" w:type="pct"/>
            <w:tcBorders>
              <w:top w:val="nil"/>
              <w:left w:val="nil"/>
              <w:bottom w:val="nil"/>
              <w:right w:val="nil"/>
            </w:tcBorders>
            <w:shd w:val="clear" w:color="auto" w:fill="auto"/>
            <w:noWrap/>
            <w:vAlign w:val="center"/>
            <w:hideMark/>
          </w:tcPr>
          <w:p w14:paraId="2491E271"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1.22 (1.11-1.35)</w:t>
            </w:r>
          </w:p>
        </w:tc>
        <w:tc>
          <w:tcPr>
            <w:tcW w:w="295" w:type="pct"/>
            <w:tcBorders>
              <w:top w:val="nil"/>
              <w:left w:val="nil"/>
              <w:bottom w:val="nil"/>
              <w:right w:val="nil"/>
            </w:tcBorders>
            <w:shd w:val="clear" w:color="auto" w:fill="auto"/>
            <w:noWrap/>
            <w:vAlign w:val="center"/>
            <w:hideMark/>
          </w:tcPr>
          <w:p w14:paraId="0BA8C65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28.8</w:t>
            </w:r>
          </w:p>
        </w:tc>
        <w:tc>
          <w:tcPr>
            <w:tcW w:w="884" w:type="pct"/>
            <w:tcBorders>
              <w:top w:val="nil"/>
              <w:left w:val="nil"/>
              <w:bottom w:val="nil"/>
              <w:right w:val="nil"/>
            </w:tcBorders>
            <w:shd w:val="clear" w:color="auto" w:fill="auto"/>
            <w:noWrap/>
            <w:vAlign w:val="center"/>
            <w:hideMark/>
          </w:tcPr>
          <w:p w14:paraId="64CDE7C5"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1.14 (1.00-1.30)</w:t>
            </w:r>
          </w:p>
        </w:tc>
        <w:tc>
          <w:tcPr>
            <w:tcW w:w="295" w:type="pct"/>
            <w:tcBorders>
              <w:top w:val="nil"/>
              <w:left w:val="nil"/>
              <w:bottom w:val="nil"/>
              <w:right w:val="nil"/>
            </w:tcBorders>
            <w:shd w:val="clear" w:color="auto" w:fill="auto"/>
            <w:noWrap/>
            <w:vAlign w:val="center"/>
            <w:hideMark/>
          </w:tcPr>
          <w:p w14:paraId="4A416D8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27.3</w:t>
            </w:r>
          </w:p>
        </w:tc>
      </w:tr>
      <w:tr w:rsidR="00CC4FE7" w:rsidRPr="00F36460" w14:paraId="0E55E460" w14:textId="77777777" w:rsidTr="009B2059">
        <w:trPr>
          <w:trHeight w:val="300"/>
        </w:trPr>
        <w:tc>
          <w:tcPr>
            <w:tcW w:w="1461" w:type="pct"/>
            <w:tcBorders>
              <w:top w:val="nil"/>
              <w:left w:val="nil"/>
              <w:bottom w:val="nil"/>
              <w:right w:val="nil"/>
            </w:tcBorders>
            <w:shd w:val="clear" w:color="auto" w:fill="auto"/>
            <w:noWrap/>
            <w:vAlign w:val="center"/>
            <w:hideMark/>
          </w:tcPr>
          <w:p w14:paraId="699EBF4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AFR</w:t>
            </w:r>
          </w:p>
        </w:tc>
        <w:tc>
          <w:tcPr>
            <w:tcW w:w="884" w:type="pct"/>
            <w:tcBorders>
              <w:top w:val="nil"/>
              <w:left w:val="nil"/>
              <w:bottom w:val="nil"/>
              <w:right w:val="nil"/>
            </w:tcBorders>
            <w:shd w:val="clear" w:color="auto" w:fill="auto"/>
            <w:noWrap/>
            <w:vAlign w:val="center"/>
            <w:hideMark/>
          </w:tcPr>
          <w:p w14:paraId="0A1BDEB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1.02 (0.87-1.19)</w:t>
            </w:r>
          </w:p>
        </w:tc>
        <w:tc>
          <w:tcPr>
            <w:tcW w:w="295" w:type="pct"/>
            <w:tcBorders>
              <w:top w:val="nil"/>
              <w:left w:val="nil"/>
              <w:bottom w:val="nil"/>
              <w:right w:val="nil"/>
            </w:tcBorders>
            <w:shd w:val="clear" w:color="auto" w:fill="auto"/>
            <w:noWrap/>
            <w:vAlign w:val="center"/>
            <w:hideMark/>
          </w:tcPr>
          <w:p w14:paraId="6A3C75A9"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36.3</w:t>
            </w:r>
          </w:p>
        </w:tc>
        <w:tc>
          <w:tcPr>
            <w:tcW w:w="884" w:type="pct"/>
            <w:tcBorders>
              <w:top w:val="nil"/>
              <w:left w:val="nil"/>
              <w:bottom w:val="nil"/>
              <w:right w:val="nil"/>
            </w:tcBorders>
            <w:shd w:val="clear" w:color="auto" w:fill="auto"/>
            <w:noWrap/>
            <w:vAlign w:val="center"/>
            <w:hideMark/>
          </w:tcPr>
          <w:p w14:paraId="2C7ACA6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1.00 (0.85-1.18)</w:t>
            </w:r>
          </w:p>
        </w:tc>
        <w:tc>
          <w:tcPr>
            <w:tcW w:w="295" w:type="pct"/>
            <w:tcBorders>
              <w:top w:val="nil"/>
              <w:left w:val="nil"/>
              <w:bottom w:val="nil"/>
              <w:right w:val="nil"/>
            </w:tcBorders>
            <w:shd w:val="clear" w:color="auto" w:fill="auto"/>
            <w:noWrap/>
            <w:vAlign w:val="center"/>
            <w:hideMark/>
          </w:tcPr>
          <w:p w14:paraId="7DB3D4D7"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24.3</w:t>
            </w:r>
          </w:p>
        </w:tc>
        <w:tc>
          <w:tcPr>
            <w:tcW w:w="884" w:type="pct"/>
            <w:tcBorders>
              <w:top w:val="nil"/>
              <w:left w:val="nil"/>
              <w:bottom w:val="nil"/>
              <w:right w:val="nil"/>
            </w:tcBorders>
            <w:shd w:val="clear" w:color="auto" w:fill="auto"/>
            <w:noWrap/>
            <w:vAlign w:val="center"/>
            <w:hideMark/>
          </w:tcPr>
          <w:p w14:paraId="76F92CD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1.04 (0.84-1.29)</w:t>
            </w:r>
          </w:p>
        </w:tc>
        <w:tc>
          <w:tcPr>
            <w:tcW w:w="295" w:type="pct"/>
            <w:tcBorders>
              <w:top w:val="nil"/>
              <w:left w:val="nil"/>
              <w:bottom w:val="nil"/>
              <w:right w:val="nil"/>
            </w:tcBorders>
            <w:shd w:val="clear" w:color="auto" w:fill="auto"/>
            <w:noWrap/>
            <w:vAlign w:val="center"/>
            <w:hideMark/>
          </w:tcPr>
          <w:p w14:paraId="503B4F1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4.0</w:t>
            </w:r>
          </w:p>
        </w:tc>
      </w:tr>
      <w:tr w:rsidR="00CC4FE7" w:rsidRPr="00F36460" w14:paraId="35EB173F" w14:textId="77777777" w:rsidTr="009B2059">
        <w:trPr>
          <w:trHeight w:val="300"/>
        </w:trPr>
        <w:tc>
          <w:tcPr>
            <w:tcW w:w="1461" w:type="pct"/>
            <w:tcBorders>
              <w:top w:val="nil"/>
              <w:left w:val="nil"/>
              <w:bottom w:val="nil"/>
              <w:right w:val="nil"/>
            </w:tcBorders>
            <w:shd w:val="clear" w:color="auto" w:fill="auto"/>
            <w:noWrap/>
            <w:vAlign w:val="center"/>
            <w:hideMark/>
          </w:tcPr>
          <w:p w14:paraId="1026E12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AMR</w:t>
            </w:r>
          </w:p>
        </w:tc>
        <w:tc>
          <w:tcPr>
            <w:tcW w:w="884" w:type="pct"/>
            <w:tcBorders>
              <w:top w:val="nil"/>
              <w:left w:val="nil"/>
              <w:bottom w:val="nil"/>
              <w:right w:val="nil"/>
            </w:tcBorders>
            <w:shd w:val="clear" w:color="auto" w:fill="auto"/>
            <w:noWrap/>
            <w:vAlign w:val="center"/>
            <w:hideMark/>
          </w:tcPr>
          <w:p w14:paraId="3E97C046"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1.31 (1.19-1.45)</w:t>
            </w:r>
          </w:p>
        </w:tc>
        <w:tc>
          <w:tcPr>
            <w:tcW w:w="295" w:type="pct"/>
            <w:tcBorders>
              <w:top w:val="nil"/>
              <w:left w:val="nil"/>
              <w:bottom w:val="nil"/>
              <w:right w:val="nil"/>
            </w:tcBorders>
            <w:shd w:val="clear" w:color="auto" w:fill="auto"/>
            <w:noWrap/>
            <w:vAlign w:val="center"/>
            <w:hideMark/>
          </w:tcPr>
          <w:p w14:paraId="5EB81EF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19.6</w:t>
            </w:r>
          </w:p>
        </w:tc>
        <w:tc>
          <w:tcPr>
            <w:tcW w:w="884" w:type="pct"/>
            <w:tcBorders>
              <w:top w:val="nil"/>
              <w:left w:val="nil"/>
              <w:bottom w:val="nil"/>
              <w:right w:val="nil"/>
            </w:tcBorders>
            <w:shd w:val="clear" w:color="auto" w:fill="auto"/>
            <w:noWrap/>
            <w:vAlign w:val="center"/>
            <w:hideMark/>
          </w:tcPr>
          <w:p w14:paraId="5889966B" w14:textId="77777777" w:rsidR="00CC4FE7" w:rsidRPr="00F36460" w:rsidRDefault="00CC4FE7" w:rsidP="009B2059">
            <w:pPr>
              <w:rPr>
                <w:rFonts w:eastAsia="Times New Roman" w:cs="Times New Roman"/>
                <w:b/>
                <w:color w:val="000000"/>
                <w:sz w:val="22"/>
                <w:szCs w:val="22"/>
                <w:lang w:val="en-GB"/>
              </w:rPr>
            </w:pPr>
            <w:r w:rsidRPr="00F36460">
              <w:rPr>
                <w:rFonts w:eastAsia="Times New Roman" w:cs="Times New Roman"/>
                <w:b/>
                <w:color w:val="000000"/>
                <w:sz w:val="22"/>
                <w:szCs w:val="22"/>
                <w:lang w:val="en-GB"/>
              </w:rPr>
              <w:t>1.39 (1.24-1.55)</w:t>
            </w:r>
          </w:p>
        </w:tc>
        <w:tc>
          <w:tcPr>
            <w:tcW w:w="295" w:type="pct"/>
            <w:tcBorders>
              <w:top w:val="nil"/>
              <w:left w:val="nil"/>
              <w:bottom w:val="nil"/>
              <w:right w:val="nil"/>
            </w:tcBorders>
            <w:shd w:val="clear" w:color="auto" w:fill="auto"/>
            <w:noWrap/>
            <w:vAlign w:val="center"/>
            <w:hideMark/>
          </w:tcPr>
          <w:p w14:paraId="315C5DC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nil"/>
              <w:right w:val="nil"/>
            </w:tcBorders>
            <w:shd w:val="clear" w:color="auto" w:fill="auto"/>
            <w:noWrap/>
            <w:vAlign w:val="center"/>
          </w:tcPr>
          <w:p w14:paraId="3F86DCD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1.20 (0.97-1.49)</w:t>
            </w:r>
          </w:p>
        </w:tc>
        <w:tc>
          <w:tcPr>
            <w:tcW w:w="295" w:type="pct"/>
            <w:tcBorders>
              <w:top w:val="nil"/>
              <w:left w:val="nil"/>
              <w:bottom w:val="nil"/>
              <w:right w:val="nil"/>
            </w:tcBorders>
            <w:shd w:val="clear" w:color="auto" w:fill="auto"/>
            <w:noWrap/>
            <w:vAlign w:val="center"/>
          </w:tcPr>
          <w:p w14:paraId="33D2B80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53.3</w:t>
            </w:r>
          </w:p>
        </w:tc>
      </w:tr>
      <w:tr w:rsidR="00CC4FE7" w:rsidRPr="00F36460" w14:paraId="53C1CC48" w14:textId="77777777" w:rsidTr="009B2059">
        <w:trPr>
          <w:trHeight w:val="300"/>
        </w:trPr>
        <w:tc>
          <w:tcPr>
            <w:tcW w:w="1461" w:type="pct"/>
            <w:tcBorders>
              <w:top w:val="nil"/>
              <w:left w:val="nil"/>
              <w:bottom w:val="nil"/>
              <w:right w:val="nil"/>
            </w:tcBorders>
            <w:shd w:val="clear" w:color="auto" w:fill="auto"/>
            <w:noWrap/>
            <w:vAlign w:val="center"/>
            <w:hideMark/>
          </w:tcPr>
          <w:p w14:paraId="16E7ADE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SEAR</w:t>
            </w:r>
          </w:p>
        </w:tc>
        <w:tc>
          <w:tcPr>
            <w:tcW w:w="884" w:type="pct"/>
            <w:tcBorders>
              <w:top w:val="nil"/>
              <w:left w:val="nil"/>
              <w:bottom w:val="nil"/>
              <w:right w:val="nil"/>
            </w:tcBorders>
            <w:shd w:val="clear" w:color="auto" w:fill="auto"/>
            <w:noWrap/>
            <w:vAlign w:val="center"/>
            <w:hideMark/>
          </w:tcPr>
          <w:p w14:paraId="5106F425"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0.80 (0.47-1.37)</w:t>
            </w:r>
          </w:p>
        </w:tc>
        <w:tc>
          <w:tcPr>
            <w:tcW w:w="295" w:type="pct"/>
            <w:tcBorders>
              <w:top w:val="nil"/>
              <w:left w:val="nil"/>
              <w:bottom w:val="nil"/>
              <w:right w:val="nil"/>
            </w:tcBorders>
            <w:shd w:val="clear" w:color="auto" w:fill="auto"/>
            <w:noWrap/>
            <w:vAlign w:val="center"/>
            <w:hideMark/>
          </w:tcPr>
          <w:p w14:paraId="12D1140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48.5</w:t>
            </w:r>
          </w:p>
        </w:tc>
        <w:tc>
          <w:tcPr>
            <w:tcW w:w="884" w:type="pct"/>
            <w:tcBorders>
              <w:top w:val="nil"/>
              <w:left w:val="nil"/>
              <w:bottom w:val="nil"/>
              <w:right w:val="nil"/>
            </w:tcBorders>
            <w:shd w:val="clear" w:color="auto" w:fill="auto"/>
            <w:noWrap/>
            <w:vAlign w:val="center"/>
            <w:hideMark/>
          </w:tcPr>
          <w:p w14:paraId="79F8EE55"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0.89 (0.51-1.58)</w:t>
            </w:r>
          </w:p>
        </w:tc>
        <w:tc>
          <w:tcPr>
            <w:tcW w:w="295" w:type="pct"/>
            <w:tcBorders>
              <w:top w:val="nil"/>
              <w:left w:val="nil"/>
              <w:bottom w:val="nil"/>
              <w:right w:val="nil"/>
            </w:tcBorders>
            <w:shd w:val="clear" w:color="auto" w:fill="auto"/>
            <w:noWrap/>
            <w:vAlign w:val="center"/>
            <w:hideMark/>
          </w:tcPr>
          <w:p w14:paraId="5DDC24C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42.3</w:t>
            </w:r>
          </w:p>
        </w:tc>
        <w:tc>
          <w:tcPr>
            <w:tcW w:w="884" w:type="pct"/>
            <w:tcBorders>
              <w:top w:val="nil"/>
              <w:left w:val="nil"/>
              <w:bottom w:val="nil"/>
              <w:right w:val="nil"/>
            </w:tcBorders>
            <w:shd w:val="clear" w:color="auto" w:fill="auto"/>
            <w:noWrap/>
            <w:vAlign w:val="center"/>
            <w:hideMark/>
          </w:tcPr>
          <w:p w14:paraId="617B7700"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color w:val="000000"/>
                <w:sz w:val="22"/>
                <w:szCs w:val="22"/>
                <w:lang w:val="en-GB"/>
              </w:rPr>
              <w:t>0.75 (0.42-1.35)</w:t>
            </w:r>
          </w:p>
        </w:tc>
        <w:tc>
          <w:tcPr>
            <w:tcW w:w="295" w:type="pct"/>
            <w:tcBorders>
              <w:top w:val="nil"/>
              <w:left w:val="nil"/>
              <w:bottom w:val="nil"/>
              <w:right w:val="nil"/>
            </w:tcBorders>
            <w:shd w:val="clear" w:color="auto" w:fill="auto"/>
            <w:noWrap/>
            <w:vAlign w:val="center"/>
            <w:hideMark/>
          </w:tcPr>
          <w:p w14:paraId="5891283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r>
      <w:tr w:rsidR="00CC4FE7" w:rsidRPr="00F36460" w14:paraId="4150EAF8" w14:textId="77777777" w:rsidTr="009B2059">
        <w:trPr>
          <w:trHeight w:val="300"/>
        </w:trPr>
        <w:tc>
          <w:tcPr>
            <w:tcW w:w="1461" w:type="pct"/>
            <w:tcBorders>
              <w:top w:val="nil"/>
              <w:left w:val="nil"/>
              <w:bottom w:val="nil"/>
              <w:right w:val="nil"/>
            </w:tcBorders>
            <w:shd w:val="clear" w:color="auto" w:fill="auto"/>
            <w:noWrap/>
            <w:vAlign w:val="center"/>
            <w:hideMark/>
          </w:tcPr>
          <w:p w14:paraId="4CC6C65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WPR</w:t>
            </w:r>
          </w:p>
        </w:tc>
        <w:tc>
          <w:tcPr>
            <w:tcW w:w="884" w:type="pct"/>
            <w:tcBorders>
              <w:top w:val="nil"/>
              <w:left w:val="nil"/>
              <w:bottom w:val="nil"/>
              <w:right w:val="nil"/>
            </w:tcBorders>
            <w:shd w:val="clear" w:color="auto" w:fill="auto"/>
            <w:noWrap/>
            <w:vAlign w:val="center"/>
            <w:hideMark/>
          </w:tcPr>
          <w:p w14:paraId="00B4C052"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1.31 (1.08-1.59)</w:t>
            </w:r>
          </w:p>
        </w:tc>
        <w:tc>
          <w:tcPr>
            <w:tcW w:w="295" w:type="pct"/>
            <w:tcBorders>
              <w:top w:val="nil"/>
              <w:left w:val="nil"/>
              <w:bottom w:val="nil"/>
              <w:right w:val="nil"/>
            </w:tcBorders>
            <w:shd w:val="clear" w:color="auto" w:fill="auto"/>
            <w:noWrap/>
            <w:vAlign w:val="center"/>
            <w:hideMark/>
          </w:tcPr>
          <w:p w14:paraId="3142B7C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23.3</w:t>
            </w:r>
          </w:p>
        </w:tc>
        <w:tc>
          <w:tcPr>
            <w:tcW w:w="884" w:type="pct"/>
            <w:tcBorders>
              <w:top w:val="nil"/>
              <w:left w:val="nil"/>
              <w:bottom w:val="nil"/>
              <w:right w:val="nil"/>
            </w:tcBorders>
            <w:shd w:val="clear" w:color="auto" w:fill="auto"/>
            <w:noWrap/>
            <w:vAlign w:val="center"/>
            <w:hideMark/>
          </w:tcPr>
          <w:p w14:paraId="6791D4D1"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1.35 (1.05-1.73)</w:t>
            </w:r>
          </w:p>
        </w:tc>
        <w:tc>
          <w:tcPr>
            <w:tcW w:w="295" w:type="pct"/>
            <w:tcBorders>
              <w:top w:val="nil"/>
              <w:left w:val="nil"/>
              <w:bottom w:val="nil"/>
              <w:right w:val="nil"/>
            </w:tcBorders>
            <w:shd w:val="clear" w:color="auto" w:fill="auto"/>
            <w:noWrap/>
            <w:vAlign w:val="center"/>
            <w:hideMark/>
          </w:tcPr>
          <w:p w14:paraId="609E34B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28.3</w:t>
            </w:r>
          </w:p>
        </w:tc>
        <w:tc>
          <w:tcPr>
            <w:tcW w:w="884" w:type="pct"/>
            <w:tcBorders>
              <w:top w:val="nil"/>
              <w:left w:val="nil"/>
              <w:bottom w:val="nil"/>
              <w:right w:val="nil"/>
            </w:tcBorders>
            <w:shd w:val="clear" w:color="auto" w:fill="auto"/>
            <w:noWrap/>
            <w:vAlign w:val="center"/>
            <w:hideMark/>
          </w:tcPr>
          <w:p w14:paraId="305A6B3D"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1.25 (0.96-1.63)</w:t>
            </w:r>
          </w:p>
        </w:tc>
        <w:tc>
          <w:tcPr>
            <w:tcW w:w="295" w:type="pct"/>
            <w:tcBorders>
              <w:top w:val="nil"/>
              <w:left w:val="nil"/>
              <w:bottom w:val="nil"/>
              <w:right w:val="nil"/>
            </w:tcBorders>
            <w:shd w:val="clear" w:color="auto" w:fill="auto"/>
            <w:noWrap/>
            <w:vAlign w:val="center"/>
            <w:hideMark/>
          </w:tcPr>
          <w:p w14:paraId="17D0D39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r>
      <w:tr w:rsidR="00CC4FE7" w:rsidRPr="00F36460" w14:paraId="670BD900" w14:textId="77777777" w:rsidTr="009B2059">
        <w:trPr>
          <w:trHeight w:val="300"/>
        </w:trPr>
        <w:tc>
          <w:tcPr>
            <w:tcW w:w="1461" w:type="pct"/>
            <w:tcBorders>
              <w:top w:val="nil"/>
              <w:left w:val="nil"/>
              <w:bottom w:val="nil"/>
              <w:right w:val="nil"/>
            </w:tcBorders>
            <w:shd w:val="clear" w:color="auto" w:fill="auto"/>
            <w:noWrap/>
            <w:vAlign w:val="center"/>
            <w:hideMark/>
          </w:tcPr>
          <w:p w14:paraId="5852F3A6" w14:textId="77777777" w:rsidR="00CC4FE7" w:rsidRPr="00F36460" w:rsidRDefault="00CC4FE7" w:rsidP="009B2059">
            <w:pPr>
              <w:rPr>
                <w:rFonts w:eastAsia="Times New Roman" w:cs="Times New Roman"/>
                <w:i/>
                <w:color w:val="000000"/>
                <w:sz w:val="22"/>
                <w:szCs w:val="22"/>
                <w:lang w:val="en-GB"/>
              </w:rPr>
            </w:pPr>
            <w:r w:rsidRPr="00F36460">
              <w:rPr>
                <w:rFonts w:eastAsia="Times New Roman" w:cs="Times New Roman"/>
                <w:i/>
                <w:color w:val="000000"/>
                <w:sz w:val="22"/>
                <w:szCs w:val="22"/>
                <w:lang w:val="en-GB"/>
              </w:rPr>
              <w:t xml:space="preserve">Multiple sex </w:t>
            </w:r>
            <w:proofErr w:type="spellStart"/>
            <w:r w:rsidRPr="00F36460">
              <w:rPr>
                <w:rFonts w:eastAsia="Times New Roman" w:cs="Times New Roman"/>
                <w:i/>
                <w:color w:val="000000"/>
                <w:sz w:val="22"/>
                <w:szCs w:val="22"/>
                <w:lang w:val="en-GB"/>
              </w:rPr>
              <w:t>partners</w:t>
            </w:r>
            <w:r w:rsidRPr="00F36460">
              <w:rPr>
                <w:rFonts w:eastAsia="Times New Roman" w:cs="Times New Roman"/>
                <w:i/>
                <w:color w:val="000000"/>
                <w:sz w:val="22"/>
                <w:szCs w:val="22"/>
                <w:vertAlign w:val="superscript"/>
                <w:lang w:val="en-GB"/>
              </w:rPr>
              <w:t>b</w:t>
            </w:r>
            <w:proofErr w:type="spellEnd"/>
          </w:p>
        </w:tc>
        <w:tc>
          <w:tcPr>
            <w:tcW w:w="884" w:type="pct"/>
            <w:tcBorders>
              <w:top w:val="nil"/>
              <w:left w:val="nil"/>
              <w:bottom w:val="nil"/>
              <w:right w:val="nil"/>
            </w:tcBorders>
            <w:shd w:val="clear" w:color="auto" w:fill="auto"/>
            <w:noWrap/>
            <w:vAlign w:val="center"/>
            <w:hideMark/>
          </w:tcPr>
          <w:p w14:paraId="015A130E" w14:textId="77777777" w:rsidR="00CC4FE7" w:rsidRPr="00F36460" w:rsidRDefault="00CC4FE7" w:rsidP="009B2059">
            <w:pPr>
              <w:rPr>
                <w:rFonts w:eastAsia="Times New Roman" w:cs="Times New Roman"/>
                <w:color w:val="000000"/>
                <w:sz w:val="22"/>
                <w:szCs w:val="22"/>
                <w:lang w:val="en-GB"/>
              </w:rPr>
            </w:pPr>
          </w:p>
        </w:tc>
        <w:tc>
          <w:tcPr>
            <w:tcW w:w="295" w:type="pct"/>
            <w:tcBorders>
              <w:top w:val="nil"/>
              <w:left w:val="nil"/>
              <w:bottom w:val="nil"/>
              <w:right w:val="nil"/>
            </w:tcBorders>
            <w:shd w:val="clear" w:color="auto" w:fill="auto"/>
            <w:noWrap/>
            <w:vAlign w:val="center"/>
            <w:hideMark/>
          </w:tcPr>
          <w:p w14:paraId="7799BB34" w14:textId="77777777" w:rsidR="00CC4FE7" w:rsidRPr="00F36460" w:rsidRDefault="00CC4FE7" w:rsidP="009B2059">
            <w:pPr>
              <w:rPr>
                <w:rFonts w:eastAsia="Times New Roman" w:cs="Times New Roman"/>
                <w:i/>
                <w:iCs/>
                <w:color w:val="000000"/>
                <w:sz w:val="22"/>
                <w:szCs w:val="22"/>
                <w:lang w:val="en-GB"/>
              </w:rPr>
            </w:pPr>
          </w:p>
        </w:tc>
        <w:tc>
          <w:tcPr>
            <w:tcW w:w="884" w:type="pct"/>
            <w:tcBorders>
              <w:top w:val="nil"/>
              <w:left w:val="nil"/>
              <w:bottom w:val="nil"/>
              <w:right w:val="nil"/>
            </w:tcBorders>
            <w:shd w:val="clear" w:color="auto" w:fill="auto"/>
            <w:noWrap/>
            <w:vAlign w:val="center"/>
            <w:hideMark/>
          </w:tcPr>
          <w:p w14:paraId="5FAF9FCB" w14:textId="77777777" w:rsidR="00CC4FE7" w:rsidRPr="00F36460" w:rsidRDefault="00CC4FE7" w:rsidP="009B2059">
            <w:pPr>
              <w:rPr>
                <w:rFonts w:eastAsia="Times New Roman" w:cs="Times New Roman"/>
                <w:color w:val="000000"/>
                <w:sz w:val="22"/>
                <w:szCs w:val="22"/>
                <w:lang w:val="en-GB"/>
              </w:rPr>
            </w:pPr>
          </w:p>
        </w:tc>
        <w:tc>
          <w:tcPr>
            <w:tcW w:w="295" w:type="pct"/>
            <w:tcBorders>
              <w:top w:val="nil"/>
              <w:left w:val="nil"/>
              <w:bottom w:val="nil"/>
              <w:right w:val="nil"/>
            </w:tcBorders>
            <w:shd w:val="clear" w:color="auto" w:fill="auto"/>
            <w:noWrap/>
            <w:vAlign w:val="center"/>
            <w:hideMark/>
          </w:tcPr>
          <w:p w14:paraId="6F921552" w14:textId="77777777" w:rsidR="00CC4FE7" w:rsidRPr="00F36460" w:rsidRDefault="00CC4FE7" w:rsidP="009B2059">
            <w:pPr>
              <w:rPr>
                <w:rFonts w:eastAsia="Times New Roman" w:cs="Times New Roman"/>
                <w:i/>
                <w:iCs/>
                <w:color w:val="000000"/>
                <w:sz w:val="22"/>
                <w:szCs w:val="22"/>
                <w:lang w:val="en-GB"/>
              </w:rPr>
            </w:pPr>
          </w:p>
        </w:tc>
        <w:tc>
          <w:tcPr>
            <w:tcW w:w="884" w:type="pct"/>
            <w:tcBorders>
              <w:top w:val="nil"/>
              <w:left w:val="nil"/>
              <w:bottom w:val="nil"/>
              <w:right w:val="nil"/>
            </w:tcBorders>
            <w:shd w:val="clear" w:color="auto" w:fill="auto"/>
            <w:noWrap/>
            <w:vAlign w:val="center"/>
            <w:hideMark/>
          </w:tcPr>
          <w:p w14:paraId="5248DE2E" w14:textId="77777777" w:rsidR="00CC4FE7" w:rsidRPr="00F36460" w:rsidRDefault="00CC4FE7" w:rsidP="009B2059">
            <w:pPr>
              <w:rPr>
                <w:rFonts w:eastAsia="Times New Roman" w:cs="Times New Roman"/>
                <w:color w:val="000000"/>
                <w:sz w:val="22"/>
                <w:szCs w:val="22"/>
                <w:lang w:val="en-GB"/>
              </w:rPr>
            </w:pPr>
          </w:p>
        </w:tc>
        <w:tc>
          <w:tcPr>
            <w:tcW w:w="295" w:type="pct"/>
            <w:tcBorders>
              <w:top w:val="nil"/>
              <w:left w:val="nil"/>
              <w:bottom w:val="nil"/>
              <w:right w:val="nil"/>
            </w:tcBorders>
            <w:shd w:val="clear" w:color="auto" w:fill="auto"/>
            <w:noWrap/>
            <w:vAlign w:val="center"/>
            <w:hideMark/>
          </w:tcPr>
          <w:p w14:paraId="50805A0F" w14:textId="77777777" w:rsidR="00CC4FE7" w:rsidRPr="00F36460" w:rsidRDefault="00CC4FE7" w:rsidP="009B2059">
            <w:pPr>
              <w:rPr>
                <w:rFonts w:eastAsia="Times New Roman" w:cs="Times New Roman"/>
                <w:i/>
                <w:iCs/>
                <w:color w:val="000000"/>
                <w:sz w:val="22"/>
                <w:szCs w:val="22"/>
                <w:lang w:val="en-GB"/>
              </w:rPr>
            </w:pPr>
          </w:p>
        </w:tc>
      </w:tr>
      <w:tr w:rsidR="00CC4FE7" w:rsidRPr="00F36460" w14:paraId="43B6F35F" w14:textId="77777777" w:rsidTr="009B2059">
        <w:trPr>
          <w:trHeight w:val="300"/>
        </w:trPr>
        <w:tc>
          <w:tcPr>
            <w:tcW w:w="1461" w:type="pct"/>
            <w:tcBorders>
              <w:top w:val="nil"/>
              <w:left w:val="nil"/>
              <w:bottom w:val="nil"/>
              <w:right w:val="nil"/>
            </w:tcBorders>
            <w:shd w:val="clear" w:color="auto" w:fill="auto"/>
            <w:noWrap/>
            <w:vAlign w:val="center"/>
            <w:hideMark/>
          </w:tcPr>
          <w:p w14:paraId="4C90AFE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Overall</w:t>
            </w:r>
          </w:p>
        </w:tc>
        <w:tc>
          <w:tcPr>
            <w:tcW w:w="884" w:type="pct"/>
            <w:tcBorders>
              <w:top w:val="nil"/>
              <w:left w:val="nil"/>
              <w:bottom w:val="nil"/>
              <w:right w:val="nil"/>
            </w:tcBorders>
            <w:shd w:val="clear" w:color="auto" w:fill="auto"/>
            <w:noWrap/>
            <w:vAlign w:val="center"/>
            <w:hideMark/>
          </w:tcPr>
          <w:p w14:paraId="65B87DF7"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1.02 (0.96-1.08)</w:t>
            </w:r>
          </w:p>
        </w:tc>
        <w:tc>
          <w:tcPr>
            <w:tcW w:w="295" w:type="pct"/>
            <w:tcBorders>
              <w:top w:val="nil"/>
              <w:left w:val="nil"/>
              <w:bottom w:val="nil"/>
              <w:right w:val="nil"/>
            </w:tcBorders>
            <w:shd w:val="clear" w:color="auto" w:fill="auto"/>
            <w:noWrap/>
            <w:vAlign w:val="center"/>
            <w:hideMark/>
          </w:tcPr>
          <w:p w14:paraId="71C5592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nil"/>
              <w:right w:val="nil"/>
            </w:tcBorders>
            <w:shd w:val="clear" w:color="auto" w:fill="auto"/>
            <w:noWrap/>
            <w:vAlign w:val="center"/>
            <w:hideMark/>
          </w:tcPr>
          <w:p w14:paraId="3AFA00A4"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0.94 (0.86-1.03)</w:t>
            </w:r>
          </w:p>
        </w:tc>
        <w:tc>
          <w:tcPr>
            <w:tcW w:w="295" w:type="pct"/>
            <w:tcBorders>
              <w:top w:val="nil"/>
              <w:left w:val="nil"/>
              <w:bottom w:val="nil"/>
              <w:right w:val="nil"/>
            </w:tcBorders>
            <w:shd w:val="clear" w:color="auto" w:fill="auto"/>
            <w:noWrap/>
            <w:vAlign w:val="center"/>
            <w:hideMark/>
          </w:tcPr>
          <w:p w14:paraId="23F7548B"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4.1</w:t>
            </w:r>
          </w:p>
        </w:tc>
        <w:tc>
          <w:tcPr>
            <w:tcW w:w="884" w:type="pct"/>
            <w:tcBorders>
              <w:top w:val="nil"/>
              <w:left w:val="nil"/>
              <w:bottom w:val="nil"/>
              <w:right w:val="nil"/>
            </w:tcBorders>
            <w:shd w:val="clear" w:color="auto" w:fill="auto"/>
            <w:noWrap/>
            <w:vAlign w:val="center"/>
            <w:hideMark/>
          </w:tcPr>
          <w:p w14:paraId="62731E7A"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1.10 (0.99-1.23)</w:t>
            </w:r>
          </w:p>
        </w:tc>
        <w:tc>
          <w:tcPr>
            <w:tcW w:w="295" w:type="pct"/>
            <w:tcBorders>
              <w:top w:val="nil"/>
              <w:left w:val="nil"/>
              <w:bottom w:val="nil"/>
              <w:right w:val="nil"/>
            </w:tcBorders>
            <w:shd w:val="clear" w:color="auto" w:fill="auto"/>
            <w:noWrap/>
            <w:vAlign w:val="center"/>
            <w:hideMark/>
          </w:tcPr>
          <w:p w14:paraId="7565212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11.9</w:t>
            </w:r>
          </w:p>
        </w:tc>
      </w:tr>
      <w:tr w:rsidR="00CC4FE7" w:rsidRPr="00F36460" w14:paraId="54179DBB" w14:textId="77777777" w:rsidTr="009B2059">
        <w:trPr>
          <w:trHeight w:val="300"/>
        </w:trPr>
        <w:tc>
          <w:tcPr>
            <w:tcW w:w="1461" w:type="pct"/>
            <w:tcBorders>
              <w:top w:val="nil"/>
              <w:left w:val="nil"/>
              <w:bottom w:val="nil"/>
              <w:right w:val="nil"/>
            </w:tcBorders>
            <w:shd w:val="clear" w:color="auto" w:fill="auto"/>
            <w:noWrap/>
            <w:vAlign w:val="center"/>
            <w:hideMark/>
          </w:tcPr>
          <w:p w14:paraId="5CA3618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AFR</w:t>
            </w:r>
          </w:p>
        </w:tc>
        <w:tc>
          <w:tcPr>
            <w:tcW w:w="884" w:type="pct"/>
            <w:tcBorders>
              <w:top w:val="nil"/>
              <w:left w:val="nil"/>
              <w:bottom w:val="nil"/>
              <w:right w:val="nil"/>
            </w:tcBorders>
            <w:shd w:val="clear" w:color="auto" w:fill="auto"/>
            <w:noWrap/>
            <w:vAlign w:val="center"/>
            <w:hideMark/>
          </w:tcPr>
          <w:p w14:paraId="02E21021"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1.05 (0.92-1.20)</w:t>
            </w:r>
          </w:p>
        </w:tc>
        <w:tc>
          <w:tcPr>
            <w:tcW w:w="295" w:type="pct"/>
            <w:tcBorders>
              <w:top w:val="nil"/>
              <w:left w:val="nil"/>
              <w:bottom w:val="nil"/>
              <w:right w:val="nil"/>
            </w:tcBorders>
            <w:shd w:val="clear" w:color="auto" w:fill="auto"/>
            <w:noWrap/>
            <w:vAlign w:val="center"/>
            <w:hideMark/>
          </w:tcPr>
          <w:p w14:paraId="3591746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13.1</w:t>
            </w:r>
          </w:p>
        </w:tc>
        <w:tc>
          <w:tcPr>
            <w:tcW w:w="884" w:type="pct"/>
            <w:tcBorders>
              <w:top w:val="nil"/>
              <w:left w:val="nil"/>
              <w:bottom w:val="nil"/>
              <w:right w:val="nil"/>
            </w:tcBorders>
            <w:shd w:val="clear" w:color="auto" w:fill="auto"/>
            <w:noWrap/>
            <w:vAlign w:val="center"/>
            <w:hideMark/>
          </w:tcPr>
          <w:p w14:paraId="282BE9B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0.94 (0.78-1.14)</w:t>
            </w:r>
          </w:p>
        </w:tc>
        <w:tc>
          <w:tcPr>
            <w:tcW w:w="295" w:type="pct"/>
            <w:tcBorders>
              <w:top w:val="nil"/>
              <w:left w:val="nil"/>
              <w:bottom w:val="nil"/>
              <w:right w:val="nil"/>
            </w:tcBorders>
            <w:shd w:val="clear" w:color="auto" w:fill="auto"/>
            <w:noWrap/>
            <w:vAlign w:val="center"/>
            <w:hideMark/>
          </w:tcPr>
          <w:p w14:paraId="37B1EED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24.3</w:t>
            </w:r>
          </w:p>
        </w:tc>
        <w:tc>
          <w:tcPr>
            <w:tcW w:w="884" w:type="pct"/>
            <w:tcBorders>
              <w:top w:val="nil"/>
              <w:left w:val="nil"/>
              <w:bottom w:val="nil"/>
              <w:right w:val="nil"/>
            </w:tcBorders>
            <w:shd w:val="clear" w:color="auto" w:fill="auto"/>
            <w:noWrap/>
            <w:vAlign w:val="center"/>
            <w:hideMark/>
          </w:tcPr>
          <w:p w14:paraId="4024946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1.20 (1.00-1.45)</w:t>
            </w:r>
          </w:p>
        </w:tc>
        <w:tc>
          <w:tcPr>
            <w:tcW w:w="295" w:type="pct"/>
            <w:tcBorders>
              <w:top w:val="nil"/>
              <w:left w:val="nil"/>
              <w:bottom w:val="nil"/>
              <w:right w:val="nil"/>
            </w:tcBorders>
            <w:shd w:val="clear" w:color="auto" w:fill="auto"/>
            <w:noWrap/>
            <w:vAlign w:val="center"/>
            <w:hideMark/>
          </w:tcPr>
          <w:p w14:paraId="565D4B1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r>
      <w:tr w:rsidR="00CC4FE7" w:rsidRPr="00F36460" w14:paraId="79A57A1C" w14:textId="77777777" w:rsidTr="009B2059">
        <w:trPr>
          <w:trHeight w:val="300"/>
        </w:trPr>
        <w:tc>
          <w:tcPr>
            <w:tcW w:w="1461" w:type="pct"/>
            <w:tcBorders>
              <w:top w:val="nil"/>
              <w:left w:val="nil"/>
              <w:bottom w:val="nil"/>
              <w:right w:val="nil"/>
            </w:tcBorders>
            <w:shd w:val="clear" w:color="auto" w:fill="auto"/>
            <w:noWrap/>
            <w:vAlign w:val="center"/>
            <w:hideMark/>
          </w:tcPr>
          <w:p w14:paraId="290AF4FD"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AMR</w:t>
            </w:r>
          </w:p>
        </w:tc>
        <w:tc>
          <w:tcPr>
            <w:tcW w:w="884" w:type="pct"/>
            <w:tcBorders>
              <w:top w:val="nil"/>
              <w:left w:val="nil"/>
              <w:bottom w:val="nil"/>
              <w:right w:val="nil"/>
            </w:tcBorders>
            <w:shd w:val="clear" w:color="auto" w:fill="auto"/>
            <w:noWrap/>
            <w:vAlign w:val="center"/>
            <w:hideMark/>
          </w:tcPr>
          <w:p w14:paraId="24655086"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1.00 (0.92-1.09)</w:t>
            </w:r>
          </w:p>
        </w:tc>
        <w:tc>
          <w:tcPr>
            <w:tcW w:w="295" w:type="pct"/>
            <w:tcBorders>
              <w:top w:val="nil"/>
              <w:left w:val="nil"/>
              <w:bottom w:val="nil"/>
              <w:right w:val="nil"/>
            </w:tcBorders>
            <w:shd w:val="clear" w:color="auto" w:fill="auto"/>
            <w:noWrap/>
            <w:vAlign w:val="center"/>
            <w:hideMark/>
          </w:tcPr>
          <w:p w14:paraId="5DCEEA8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nil"/>
              <w:right w:val="nil"/>
            </w:tcBorders>
            <w:shd w:val="clear" w:color="auto" w:fill="auto"/>
            <w:noWrap/>
            <w:vAlign w:val="center"/>
            <w:hideMark/>
          </w:tcPr>
          <w:p w14:paraId="66078884"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0.94 (0.84-1.06)</w:t>
            </w:r>
          </w:p>
        </w:tc>
        <w:tc>
          <w:tcPr>
            <w:tcW w:w="295" w:type="pct"/>
            <w:tcBorders>
              <w:top w:val="nil"/>
              <w:left w:val="nil"/>
              <w:bottom w:val="nil"/>
              <w:right w:val="nil"/>
            </w:tcBorders>
            <w:shd w:val="clear" w:color="auto" w:fill="auto"/>
            <w:noWrap/>
            <w:vAlign w:val="center"/>
            <w:hideMark/>
          </w:tcPr>
          <w:p w14:paraId="4A0D237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nil"/>
              <w:right w:val="nil"/>
            </w:tcBorders>
            <w:shd w:val="clear" w:color="auto" w:fill="auto"/>
            <w:noWrap/>
            <w:vAlign w:val="center"/>
            <w:hideMark/>
          </w:tcPr>
          <w:p w14:paraId="7517760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1.04 (0.88-1.23)</w:t>
            </w:r>
          </w:p>
        </w:tc>
        <w:tc>
          <w:tcPr>
            <w:tcW w:w="295" w:type="pct"/>
            <w:tcBorders>
              <w:top w:val="nil"/>
              <w:left w:val="nil"/>
              <w:bottom w:val="nil"/>
              <w:right w:val="nil"/>
            </w:tcBorders>
            <w:shd w:val="clear" w:color="auto" w:fill="auto"/>
            <w:noWrap/>
            <w:vAlign w:val="center"/>
            <w:hideMark/>
          </w:tcPr>
          <w:p w14:paraId="2018FCC3"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24.8</w:t>
            </w:r>
          </w:p>
        </w:tc>
      </w:tr>
      <w:tr w:rsidR="00CC4FE7" w:rsidRPr="00F36460" w14:paraId="6EA7D2D2" w14:textId="77777777" w:rsidTr="009B2059">
        <w:trPr>
          <w:trHeight w:val="300"/>
        </w:trPr>
        <w:tc>
          <w:tcPr>
            <w:tcW w:w="1461" w:type="pct"/>
            <w:tcBorders>
              <w:top w:val="nil"/>
              <w:left w:val="nil"/>
              <w:bottom w:val="nil"/>
              <w:right w:val="nil"/>
            </w:tcBorders>
            <w:shd w:val="clear" w:color="auto" w:fill="auto"/>
            <w:noWrap/>
            <w:vAlign w:val="center"/>
            <w:hideMark/>
          </w:tcPr>
          <w:p w14:paraId="5C4A89FE"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SEAR</w:t>
            </w:r>
          </w:p>
        </w:tc>
        <w:tc>
          <w:tcPr>
            <w:tcW w:w="884" w:type="pct"/>
            <w:tcBorders>
              <w:top w:val="nil"/>
              <w:left w:val="nil"/>
              <w:bottom w:val="nil"/>
              <w:right w:val="nil"/>
            </w:tcBorders>
            <w:shd w:val="clear" w:color="auto" w:fill="auto"/>
            <w:noWrap/>
            <w:vAlign w:val="center"/>
            <w:hideMark/>
          </w:tcPr>
          <w:p w14:paraId="329CBF00"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1.11 (0.85-1.45)</w:t>
            </w:r>
          </w:p>
        </w:tc>
        <w:tc>
          <w:tcPr>
            <w:tcW w:w="295" w:type="pct"/>
            <w:tcBorders>
              <w:top w:val="nil"/>
              <w:left w:val="nil"/>
              <w:bottom w:val="nil"/>
              <w:right w:val="nil"/>
            </w:tcBorders>
            <w:shd w:val="clear" w:color="auto" w:fill="auto"/>
            <w:noWrap/>
            <w:vAlign w:val="center"/>
            <w:hideMark/>
          </w:tcPr>
          <w:p w14:paraId="425821CA"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nil"/>
              <w:right w:val="nil"/>
            </w:tcBorders>
            <w:shd w:val="clear" w:color="auto" w:fill="auto"/>
            <w:noWrap/>
            <w:vAlign w:val="center"/>
            <w:hideMark/>
          </w:tcPr>
          <w:p w14:paraId="4A152477" w14:textId="77777777" w:rsidR="00CC4FE7" w:rsidRPr="00F36460" w:rsidRDefault="00CC4FE7" w:rsidP="009B2059">
            <w:pPr>
              <w:rPr>
                <w:rFonts w:eastAsia="Times New Roman" w:cs="Times New Roman"/>
                <w:b/>
                <w:bCs/>
                <w:color w:val="000000"/>
                <w:sz w:val="22"/>
                <w:szCs w:val="22"/>
                <w:lang w:val="en-GB"/>
              </w:rPr>
            </w:pPr>
            <w:r w:rsidRPr="00F36460">
              <w:rPr>
                <w:rFonts w:eastAsia="Times New Roman" w:cs="Times New Roman"/>
                <w:b/>
                <w:bCs/>
                <w:color w:val="000000"/>
                <w:sz w:val="22"/>
                <w:szCs w:val="22"/>
                <w:lang w:val="en-GB"/>
              </w:rPr>
              <w:t>1.48 (1.01-2.16)</w:t>
            </w:r>
          </w:p>
        </w:tc>
        <w:tc>
          <w:tcPr>
            <w:tcW w:w="295" w:type="pct"/>
            <w:tcBorders>
              <w:top w:val="nil"/>
              <w:left w:val="nil"/>
              <w:bottom w:val="nil"/>
              <w:right w:val="nil"/>
            </w:tcBorders>
            <w:shd w:val="clear" w:color="auto" w:fill="auto"/>
            <w:noWrap/>
            <w:vAlign w:val="center"/>
            <w:hideMark/>
          </w:tcPr>
          <w:p w14:paraId="2824BA28"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nil"/>
              <w:right w:val="nil"/>
            </w:tcBorders>
            <w:shd w:val="clear" w:color="auto" w:fill="auto"/>
            <w:noWrap/>
            <w:vAlign w:val="center"/>
            <w:hideMark/>
          </w:tcPr>
          <w:p w14:paraId="24064A9A"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0.66 (0.35-1.25)</w:t>
            </w:r>
          </w:p>
        </w:tc>
        <w:tc>
          <w:tcPr>
            <w:tcW w:w="295" w:type="pct"/>
            <w:tcBorders>
              <w:top w:val="nil"/>
              <w:left w:val="nil"/>
              <w:bottom w:val="nil"/>
              <w:right w:val="nil"/>
            </w:tcBorders>
            <w:shd w:val="clear" w:color="auto" w:fill="auto"/>
            <w:noWrap/>
            <w:vAlign w:val="center"/>
            <w:hideMark/>
          </w:tcPr>
          <w:p w14:paraId="2068C705"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21.6</w:t>
            </w:r>
          </w:p>
        </w:tc>
      </w:tr>
      <w:tr w:rsidR="00CC4FE7" w:rsidRPr="00F36460" w14:paraId="61E5FE66" w14:textId="77777777" w:rsidTr="009B2059">
        <w:trPr>
          <w:trHeight w:val="300"/>
        </w:trPr>
        <w:tc>
          <w:tcPr>
            <w:tcW w:w="1461" w:type="pct"/>
            <w:tcBorders>
              <w:top w:val="nil"/>
              <w:left w:val="nil"/>
              <w:bottom w:val="single" w:sz="4" w:space="0" w:color="auto"/>
              <w:right w:val="nil"/>
            </w:tcBorders>
            <w:shd w:val="clear" w:color="auto" w:fill="auto"/>
            <w:noWrap/>
            <w:vAlign w:val="center"/>
            <w:hideMark/>
          </w:tcPr>
          <w:p w14:paraId="374FB17C"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WPR</w:t>
            </w:r>
          </w:p>
        </w:tc>
        <w:tc>
          <w:tcPr>
            <w:tcW w:w="884" w:type="pct"/>
            <w:tcBorders>
              <w:top w:val="nil"/>
              <w:left w:val="nil"/>
              <w:bottom w:val="single" w:sz="4" w:space="0" w:color="auto"/>
              <w:right w:val="nil"/>
            </w:tcBorders>
            <w:shd w:val="clear" w:color="auto" w:fill="auto"/>
            <w:noWrap/>
            <w:vAlign w:val="center"/>
            <w:hideMark/>
          </w:tcPr>
          <w:p w14:paraId="0758AACE"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0.96 (0.82-1.11)</w:t>
            </w:r>
          </w:p>
        </w:tc>
        <w:tc>
          <w:tcPr>
            <w:tcW w:w="295" w:type="pct"/>
            <w:tcBorders>
              <w:top w:val="nil"/>
              <w:left w:val="nil"/>
              <w:bottom w:val="single" w:sz="4" w:space="0" w:color="auto"/>
              <w:right w:val="nil"/>
            </w:tcBorders>
            <w:shd w:val="clear" w:color="auto" w:fill="auto"/>
            <w:noWrap/>
            <w:vAlign w:val="center"/>
            <w:hideMark/>
          </w:tcPr>
          <w:p w14:paraId="6F9D629F"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0.0</w:t>
            </w:r>
          </w:p>
        </w:tc>
        <w:tc>
          <w:tcPr>
            <w:tcW w:w="884" w:type="pct"/>
            <w:tcBorders>
              <w:top w:val="nil"/>
              <w:left w:val="nil"/>
              <w:bottom w:val="single" w:sz="4" w:space="0" w:color="auto"/>
              <w:right w:val="nil"/>
            </w:tcBorders>
            <w:shd w:val="clear" w:color="auto" w:fill="auto"/>
            <w:noWrap/>
            <w:vAlign w:val="center"/>
            <w:hideMark/>
          </w:tcPr>
          <w:p w14:paraId="03DD5A09"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0.83 (0.69-1.01)</w:t>
            </w:r>
          </w:p>
        </w:tc>
        <w:tc>
          <w:tcPr>
            <w:tcW w:w="295" w:type="pct"/>
            <w:tcBorders>
              <w:top w:val="nil"/>
              <w:left w:val="nil"/>
              <w:bottom w:val="single" w:sz="4" w:space="0" w:color="auto"/>
              <w:right w:val="nil"/>
            </w:tcBorders>
            <w:shd w:val="clear" w:color="auto" w:fill="auto"/>
            <w:noWrap/>
            <w:vAlign w:val="center"/>
            <w:hideMark/>
          </w:tcPr>
          <w:p w14:paraId="5DD3D0E0"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0.4</w:t>
            </w:r>
          </w:p>
        </w:tc>
        <w:tc>
          <w:tcPr>
            <w:tcW w:w="884" w:type="pct"/>
            <w:tcBorders>
              <w:top w:val="nil"/>
              <w:left w:val="nil"/>
              <w:bottom w:val="single" w:sz="4" w:space="0" w:color="auto"/>
              <w:right w:val="nil"/>
            </w:tcBorders>
            <w:shd w:val="clear" w:color="auto" w:fill="auto"/>
            <w:noWrap/>
            <w:vAlign w:val="center"/>
            <w:hideMark/>
          </w:tcPr>
          <w:p w14:paraId="220117C4" w14:textId="77777777" w:rsidR="00CC4FE7" w:rsidRPr="00F36460" w:rsidRDefault="00CC4FE7" w:rsidP="009B2059">
            <w:pPr>
              <w:rPr>
                <w:rFonts w:eastAsia="Times New Roman" w:cs="Times New Roman"/>
                <w:bCs/>
                <w:color w:val="000000"/>
                <w:sz w:val="22"/>
                <w:szCs w:val="22"/>
                <w:lang w:val="en-GB"/>
              </w:rPr>
            </w:pPr>
            <w:r w:rsidRPr="00F36460">
              <w:rPr>
                <w:rFonts w:eastAsia="Times New Roman" w:cs="Times New Roman"/>
                <w:bCs/>
                <w:color w:val="000000"/>
                <w:sz w:val="22"/>
                <w:szCs w:val="22"/>
                <w:lang w:val="en-GB"/>
              </w:rPr>
              <w:t>1.35 (0.96-1.89)</w:t>
            </w:r>
          </w:p>
        </w:tc>
        <w:tc>
          <w:tcPr>
            <w:tcW w:w="295" w:type="pct"/>
            <w:tcBorders>
              <w:top w:val="nil"/>
              <w:left w:val="nil"/>
              <w:bottom w:val="single" w:sz="4" w:space="0" w:color="auto"/>
              <w:right w:val="nil"/>
            </w:tcBorders>
            <w:shd w:val="clear" w:color="auto" w:fill="auto"/>
            <w:noWrap/>
            <w:vAlign w:val="center"/>
            <w:hideMark/>
          </w:tcPr>
          <w:p w14:paraId="1EF96D62" w14:textId="77777777" w:rsidR="00CC4FE7" w:rsidRPr="00F36460" w:rsidRDefault="00CC4FE7" w:rsidP="009B2059">
            <w:pPr>
              <w:rPr>
                <w:rFonts w:eastAsia="Times New Roman" w:cs="Times New Roman"/>
                <w:color w:val="000000"/>
                <w:sz w:val="22"/>
                <w:szCs w:val="22"/>
                <w:lang w:val="en-GB"/>
              </w:rPr>
            </w:pPr>
            <w:r w:rsidRPr="00F36460">
              <w:rPr>
                <w:rFonts w:eastAsia="Times New Roman" w:cs="Times New Roman"/>
                <w:color w:val="000000"/>
                <w:sz w:val="22"/>
                <w:szCs w:val="22"/>
                <w:lang w:val="en-GB"/>
              </w:rPr>
              <w:t>18.6</w:t>
            </w:r>
          </w:p>
        </w:tc>
      </w:tr>
    </w:tbl>
    <w:p w14:paraId="4F5D78EE" w14:textId="77777777" w:rsidR="00CC4FE7" w:rsidRPr="00F36460" w:rsidRDefault="00CC4FE7" w:rsidP="00CC4FE7">
      <w:pPr>
        <w:rPr>
          <w:rFonts w:cs="Times New Roman"/>
          <w:sz w:val="20"/>
          <w:szCs w:val="20"/>
        </w:rPr>
      </w:pPr>
      <w:r w:rsidRPr="00F36460">
        <w:rPr>
          <w:rFonts w:cs="Times New Roman"/>
          <w:sz w:val="20"/>
          <w:szCs w:val="20"/>
        </w:rPr>
        <w:t xml:space="preserve">Abbreviation: OR Odds ratio; CI Confidence interval; </w:t>
      </w:r>
      <w:r w:rsidRPr="00F36460">
        <w:rPr>
          <w:sz w:val="20"/>
          <w:szCs w:val="20"/>
        </w:rPr>
        <w:t>AFR African Region; AMR Region of the Americas; SEAR South-East Asia Region; WPR Western Pacific Region</w:t>
      </w:r>
    </w:p>
    <w:p w14:paraId="4FF50F30" w14:textId="77777777" w:rsidR="00CC4FE7" w:rsidRPr="00F36460" w:rsidRDefault="00CC4FE7" w:rsidP="00CC4FE7">
      <w:pPr>
        <w:rPr>
          <w:rFonts w:cs="Times New Roman"/>
          <w:sz w:val="20"/>
          <w:szCs w:val="20"/>
        </w:rPr>
      </w:pPr>
      <w:r w:rsidRPr="00F36460">
        <w:rPr>
          <w:rFonts w:cs="Times New Roman"/>
          <w:sz w:val="20"/>
          <w:szCs w:val="20"/>
        </w:rPr>
        <w:t>Analysis is restricted to those who ever had sexual intercourse.</w:t>
      </w:r>
    </w:p>
    <w:p w14:paraId="07547E48" w14:textId="77777777" w:rsidR="00CC4FE7" w:rsidRPr="00F36460" w:rsidRDefault="00CC4FE7" w:rsidP="00CC4FE7">
      <w:pPr>
        <w:rPr>
          <w:rFonts w:cs="Times New Roman"/>
          <w:sz w:val="20"/>
          <w:szCs w:val="20"/>
        </w:rPr>
      </w:pPr>
      <w:r w:rsidRPr="00F36460">
        <w:rPr>
          <w:rFonts w:cs="Times New Roman"/>
          <w:sz w:val="20"/>
          <w:szCs w:val="20"/>
        </w:rPr>
        <w:t>Statistically significant associations (P&lt;0.05) are highlighted in bold font.</w:t>
      </w:r>
    </w:p>
    <w:p w14:paraId="4F7D3B77" w14:textId="77777777" w:rsidR="00CC4FE7" w:rsidRPr="00F36460" w:rsidRDefault="00CC4FE7" w:rsidP="00CC4FE7">
      <w:pPr>
        <w:rPr>
          <w:rFonts w:cs="Times New Roman"/>
          <w:sz w:val="20"/>
          <w:szCs w:val="20"/>
        </w:rPr>
      </w:pPr>
      <w:r w:rsidRPr="00F36460">
        <w:rPr>
          <w:rFonts w:cs="Times New Roman"/>
          <w:sz w:val="20"/>
          <w:szCs w:val="20"/>
        </w:rPr>
        <w:t>Estimates were obtained by combining country-wise estimates adjusted for age, sex (only overall sample), and alcohol use into a meta-analysis with random effects.</w:t>
      </w:r>
    </w:p>
    <w:p w14:paraId="125F1D9F" w14:textId="77777777" w:rsidR="00CC4FE7" w:rsidRPr="00F36460" w:rsidRDefault="00CC4FE7" w:rsidP="00CC4FE7">
      <w:pPr>
        <w:rPr>
          <w:rFonts w:cs="Times New Roman"/>
          <w:sz w:val="20"/>
          <w:szCs w:val="20"/>
        </w:rPr>
      </w:pPr>
      <w:proofErr w:type="spellStart"/>
      <w:r w:rsidRPr="00F36460">
        <w:rPr>
          <w:rFonts w:cs="Times New Roman"/>
          <w:sz w:val="20"/>
          <w:szCs w:val="20"/>
          <w:vertAlign w:val="superscript"/>
        </w:rPr>
        <w:t>a</w:t>
      </w:r>
      <w:proofErr w:type="spellEnd"/>
      <w:r w:rsidRPr="00F36460">
        <w:rPr>
          <w:rFonts w:cs="Times New Roman"/>
          <w:sz w:val="20"/>
          <w:szCs w:val="20"/>
          <w:vertAlign w:val="superscript"/>
        </w:rPr>
        <w:t xml:space="preserve"> </w:t>
      </w:r>
      <w:proofErr w:type="gramStart"/>
      <w:r w:rsidRPr="00F36460">
        <w:rPr>
          <w:rFonts w:cs="Times New Roman"/>
          <w:sz w:val="20"/>
          <w:szCs w:val="20"/>
        </w:rPr>
        <w:t>At</w:t>
      </w:r>
      <w:proofErr w:type="gramEnd"/>
      <w:r w:rsidRPr="00F36460">
        <w:rPr>
          <w:rFonts w:cs="Times New Roman"/>
          <w:sz w:val="20"/>
          <w:szCs w:val="20"/>
        </w:rPr>
        <w:t xml:space="preserve"> last sexual intercourse. Estimates for Tuvalu were not available only for girls due to small numbers.</w:t>
      </w:r>
    </w:p>
    <w:p w14:paraId="66002AFC" w14:textId="77777777" w:rsidR="00CC4FE7" w:rsidRPr="00F36460" w:rsidRDefault="00CC4FE7" w:rsidP="00CC4FE7">
      <w:pPr>
        <w:rPr>
          <w:rFonts w:cs="Times New Roman"/>
          <w:sz w:val="20"/>
          <w:szCs w:val="20"/>
        </w:rPr>
      </w:pPr>
      <w:r w:rsidRPr="00F36460">
        <w:rPr>
          <w:rFonts w:cs="Times New Roman"/>
          <w:sz w:val="20"/>
          <w:szCs w:val="20"/>
          <w:vertAlign w:val="superscript"/>
        </w:rPr>
        <w:t xml:space="preserve">b </w:t>
      </w:r>
      <w:r w:rsidRPr="00F36460">
        <w:rPr>
          <w:rFonts w:cs="Times New Roman"/>
          <w:sz w:val="20"/>
          <w:szCs w:val="20"/>
        </w:rPr>
        <w:t xml:space="preserve">Multiple sexual partners referred to ≥2 partners. Bangladesh and Kenya are not included due to lack of data. </w:t>
      </w:r>
    </w:p>
    <w:p w14:paraId="2F7DF7AA" w14:textId="77777777" w:rsidR="00CC4FE7" w:rsidRPr="00F36460" w:rsidRDefault="00CC4FE7" w:rsidP="00CC4FE7"/>
    <w:p w14:paraId="0E9300BD" w14:textId="77777777" w:rsidR="00CC4FE7" w:rsidRPr="00F36460" w:rsidRDefault="00CC4FE7" w:rsidP="00CC4FE7"/>
    <w:p w14:paraId="38900D2E" w14:textId="77777777" w:rsidR="00CC4FE7" w:rsidRPr="00F36460" w:rsidRDefault="00CC4FE7" w:rsidP="00CC4FE7"/>
    <w:p w14:paraId="0956723C" w14:textId="77777777" w:rsidR="00CC4FE7" w:rsidRPr="00F36460" w:rsidRDefault="00CC4FE7" w:rsidP="00CC4FE7">
      <w:pPr>
        <w:spacing w:line="480" w:lineRule="auto"/>
        <w:sectPr w:rsidR="00CC4FE7" w:rsidRPr="00F36460" w:rsidSect="008825A2">
          <w:pgSz w:w="11900" w:h="16840"/>
          <w:pgMar w:top="1440" w:right="1440" w:bottom="1440" w:left="1440" w:header="720" w:footer="720" w:gutter="0"/>
          <w:cols w:space="720"/>
          <w:docGrid w:linePitch="360"/>
        </w:sectPr>
      </w:pPr>
    </w:p>
    <w:p w14:paraId="54691713" w14:textId="77777777" w:rsidR="00CC4FE7" w:rsidRPr="00F36460" w:rsidRDefault="00CC4FE7" w:rsidP="004B30D0">
      <w:pPr>
        <w:pStyle w:val="Heading1"/>
        <w:jc w:val="center"/>
      </w:pPr>
      <w:r w:rsidRPr="00F36460">
        <w:lastRenderedPageBreak/>
        <w:t>Supplementary material</w:t>
      </w:r>
    </w:p>
    <w:p w14:paraId="5EA72558" w14:textId="77777777" w:rsidR="00CC4FE7" w:rsidRPr="00F36460" w:rsidRDefault="00CC4FE7" w:rsidP="00CC4FE7">
      <w:pPr>
        <w:rPr>
          <w:b/>
        </w:rPr>
      </w:pPr>
      <w:r w:rsidRPr="00F36460">
        <w:rPr>
          <w:b/>
          <w:noProof/>
          <w:lang w:val="en-GB" w:eastAsia="en-GB"/>
        </w:rPr>
        <w:drawing>
          <wp:inline distT="0" distB="0" distL="0" distR="0" wp14:anchorId="6F54AFF6" wp14:editId="1E4A1ED9">
            <wp:extent cx="5727700" cy="7629281"/>
            <wp:effectExtent l="25400" t="25400" r="12700" b="16510"/>
            <wp:docPr id="2" name="Picture 2" descr="Figure 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S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0" cy="7629281"/>
                    </a:xfrm>
                    <a:prstGeom prst="rect">
                      <a:avLst/>
                    </a:prstGeom>
                    <a:noFill/>
                    <a:ln>
                      <a:solidFill>
                        <a:schemeClr val="tx1"/>
                      </a:solidFill>
                    </a:ln>
                  </pic:spPr>
                </pic:pic>
              </a:graphicData>
            </a:graphic>
          </wp:inline>
        </w:drawing>
      </w:r>
    </w:p>
    <w:p w14:paraId="69BCCE74" w14:textId="77777777" w:rsidR="004B30D0" w:rsidRDefault="00CC4FE7" w:rsidP="00EA5F75">
      <w:pPr>
        <w:pStyle w:val="Heading1"/>
      </w:pPr>
      <w:r w:rsidRPr="00F36460">
        <w:lastRenderedPageBreak/>
        <w:t xml:space="preserve">Figure S1 </w:t>
      </w:r>
    </w:p>
    <w:p w14:paraId="4D507AF5" w14:textId="4EB3FB4E" w:rsidR="00CC4FE7" w:rsidRPr="00F36460" w:rsidRDefault="00CC4FE7" w:rsidP="00CC4FE7">
      <w:r w:rsidRPr="00F36460">
        <w:t>Association between moderate food insecurity (vs. no food insecurity) and sexual intercourse estimated by multivariable logistic regression</w:t>
      </w:r>
    </w:p>
    <w:p w14:paraId="2389E89D"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7CADA02E" w14:textId="77777777" w:rsidR="00CC4FE7" w:rsidRPr="00F36460" w:rsidRDefault="00CC4FE7" w:rsidP="00CC4FE7">
      <w:pPr>
        <w:rPr>
          <w:sz w:val="20"/>
          <w:szCs w:val="20"/>
        </w:rPr>
      </w:pPr>
      <w:r w:rsidRPr="00F36460">
        <w:rPr>
          <w:sz w:val="20"/>
          <w:szCs w:val="20"/>
        </w:rPr>
        <w:t>Models are adjusted for sex, age, and alcohol consumption.</w:t>
      </w:r>
    </w:p>
    <w:p w14:paraId="2BE6FA0D" w14:textId="77777777" w:rsidR="00CC4FE7" w:rsidRPr="00F36460" w:rsidRDefault="00CC4FE7" w:rsidP="00CC4FE7">
      <w:pPr>
        <w:rPr>
          <w:sz w:val="20"/>
          <w:szCs w:val="20"/>
        </w:rPr>
      </w:pPr>
      <w:r w:rsidRPr="00F36460">
        <w:rPr>
          <w:sz w:val="20"/>
          <w:szCs w:val="20"/>
        </w:rPr>
        <w:t>Overall estimate was obtained by meta-analysis with random effects.</w:t>
      </w:r>
    </w:p>
    <w:p w14:paraId="57138995" w14:textId="77777777" w:rsidR="00CC4FE7" w:rsidRPr="00F36460" w:rsidRDefault="00CC4FE7" w:rsidP="00CC4FE7">
      <w:pPr>
        <w:spacing w:line="480" w:lineRule="auto"/>
        <w:rPr>
          <w:b/>
        </w:rPr>
        <w:sectPr w:rsidR="00CC4FE7" w:rsidRPr="00F36460" w:rsidSect="008825A2">
          <w:pgSz w:w="11900" w:h="16840"/>
          <w:pgMar w:top="1440" w:right="1440" w:bottom="1440" w:left="1440" w:header="720" w:footer="720" w:gutter="0"/>
          <w:cols w:space="720"/>
          <w:docGrid w:linePitch="360"/>
        </w:sectPr>
      </w:pPr>
    </w:p>
    <w:p w14:paraId="2391F033" w14:textId="77777777" w:rsidR="00CC4FE7" w:rsidRPr="00F36460" w:rsidRDefault="00CC4FE7" w:rsidP="00CC4FE7">
      <w:pPr>
        <w:rPr>
          <w:b/>
        </w:rPr>
      </w:pPr>
      <w:r w:rsidRPr="00F36460">
        <w:rPr>
          <w:b/>
          <w:noProof/>
          <w:lang w:val="en-GB" w:eastAsia="en-GB"/>
        </w:rPr>
        <w:lastRenderedPageBreak/>
        <w:drawing>
          <wp:inline distT="0" distB="0" distL="0" distR="0" wp14:anchorId="5E3DB6B8" wp14:editId="42A1FDCD">
            <wp:extent cx="5727700" cy="7563978"/>
            <wp:effectExtent l="25400" t="25400" r="12700" b="31115"/>
            <wp:docPr id="3" name="Picture 3" descr="Figure 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S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27700" cy="7563978"/>
                    </a:xfrm>
                    <a:prstGeom prst="rect">
                      <a:avLst/>
                    </a:prstGeom>
                    <a:noFill/>
                    <a:ln>
                      <a:solidFill>
                        <a:schemeClr val="tx1"/>
                      </a:solidFill>
                    </a:ln>
                  </pic:spPr>
                </pic:pic>
              </a:graphicData>
            </a:graphic>
          </wp:inline>
        </w:drawing>
      </w:r>
    </w:p>
    <w:p w14:paraId="0F68A328" w14:textId="77777777" w:rsidR="004B30D0" w:rsidRDefault="00CC4FE7" w:rsidP="004B30D0">
      <w:pPr>
        <w:pStyle w:val="Heading1"/>
      </w:pPr>
      <w:r w:rsidRPr="00F36460">
        <w:t xml:space="preserve">Figure S2 </w:t>
      </w:r>
    </w:p>
    <w:p w14:paraId="30B88A8D" w14:textId="0B49204B" w:rsidR="00CC4FE7" w:rsidRPr="00F36460" w:rsidRDefault="00CC4FE7" w:rsidP="00CC4FE7">
      <w:r w:rsidRPr="00F36460">
        <w:t>Association between severe food insecurity (vs. no food insecurity) and sexual intercourse estimated by multivariable logistic regression</w:t>
      </w:r>
    </w:p>
    <w:p w14:paraId="32A81BA4"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763922F0" w14:textId="77777777" w:rsidR="00CC4FE7" w:rsidRPr="00F36460" w:rsidRDefault="00CC4FE7" w:rsidP="00CC4FE7">
      <w:pPr>
        <w:rPr>
          <w:sz w:val="20"/>
          <w:szCs w:val="20"/>
        </w:rPr>
      </w:pPr>
      <w:r w:rsidRPr="00F36460">
        <w:rPr>
          <w:sz w:val="20"/>
          <w:szCs w:val="20"/>
        </w:rPr>
        <w:lastRenderedPageBreak/>
        <w:t>Models are adjusted for sex, age, and alcohol consumption.</w:t>
      </w:r>
    </w:p>
    <w:p w14:paraId="08FE5284" w14:textId="77777777" w:rsidR="00CC4FE7" w:rsidRPr="00F36460" w:rsidRDefault="00CC4FE7" w:rsidP="00CC4FE7">
      <w:pPr>
        <w:rPr>
          <w:sz w:val="20"/>
          <w:szCs w:val="20"/>
        </w:rPr>
      </w:pPr>
      <w:r w:rsidRPr="00F36460">
        <w:rPr>
          <w:sz w:val="20"/>
          <w:szCs w:val="20"/>
        </w:rPr>
        <w:t>Overall estimate was obtained by meta-analysis with random effects.</w:t>
      </w:r>
    </w:p>
    <w:p w14:paraId="1FB05936" w14:textId="77777777" w:rsidR="00CC4FE7" w:rsidRPr="00F36460" w:rsidRDefault="00CC4FE7" w:rsidP="00CC4FE7">
      <w:pPr>
        <w:rPr>
          <w:b/>
        </w:rPr>
      </w:pPr>
    </w:p>
    <w:p w14:paraId="4B5B3C7E"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062C7961" w14:textId="77777777" w:rsidR="00CC4FE7" w:rsidRPr="00F36460" w:rsidRDefault="00CC4FE7" w:rsidP="00CC4FE7">
      <w:pPr>
        <w:rPr>
          <w:b/>
        </w:rPr>
      </w:pPr>
      <w:r w:rsidRPr="00F36460">
        <w:rPr>
          <w:b/>
          <w:noProof/>
          <w:lang w:val="en-GB" w:eastAsia="en-GB"/>
        </w:rPr>
        <w:lastRenderedPageBreak/>
        <w:drawing>
          <wp:inline distT="0" distB="0" distL="0" distR="0" wp14:anchorId="5325B0EC" wp14:editId="09BE1C59">
            <wp:extent cx="5727700" cy="7629281"/>
            <wp:effectExtent l="25400" t="25400" r="12700" b="16510"/>
            <wp:docPr id="5" name="Picture 5" descr="Figure 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S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7700" cy="7629281"/>
                    </a:xfrm>
                    <a:prstGeom prst="rect">
                      <a:avLst/>
                    </a:prstGeom>
                    <a:noFill/>
                    <a:ln>
                      <a:solidFill>
                        <a:schemeClr val="tx1"/>
                      </a:solidFill>
                    </a:ln>
                  </pic:spPr>
                </pic:pic>
              </a:graphicData>
            </a:graphic>
          </wp:inline>
        </w:drawing>
      </w:r>
    </w:p>
    <w:p w14:paraId="3077843B" w14:textId="77777777" w:rsidR="004B30D0" w:rsidRDefault="00CC4FE7" w:rsidP="004B30D0">
      <w:pPr>
        <w:pStyle w:val="Heading1"/>
      </w:pPr>
      <w:r w:rsidRPr="00F36460">
        <w:t xml:space="preserve">Figure S3 </w:t>
      </w:r>
    </w:p>
    <w:p w14:paraId="73393C47" w14:textId="3C47FB11" w:rsidR="00CC4FE7" w:rsidRPr="00F36460" w:rsidRDefault="00CC4FE7" w:rsidP="00CC4FE7">
      <w:pPr>
        <w:rPr>
          <w:b/>
        </w:rPr>
      </w:pPr>
      <w:r w:rsidRPr="00F36460">
        <w:t>Association between moderate food insecurity (vs. no food insecurity) and sexual intercourse among boys estimated by multivariable logistic regression</w:t>
      </w:r>
    </w:p>
    <w:p w14:paraId="75CA58EA"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6EC20337" w14:textId="77777777" w:rsidR="00CC4FE7" w:rsidRPr="00F36460" w:rsidRDefault="00CC4FE7" w:rsidP="00CC4FE7">
      <w:pPr>
        <w:rPr>
          <w:sz w:val="20"/>
          <w:szCs w:val="20"/>
        </w:rPr>
      </w:pPr>
      <w:r w:rsidRPr="00F36460">
        <w:rPr>
          <w:sz w:val="20"/>
          <w:szCs w:val="20"/>
        </w:rPr>
        <w:lastRenderedPageBreak/>
        <w:t>Models are adjusted for age and alcohol consumption.</w:t>
      </w:r>
    </w:p>
    <w:p w14:paraId="240238B6" w14:textId="77777777" w:rsidR="00CC4FE7" w:rsidRPr="00F36460" w:rsidRDefault="00CC4FE7" w:rsidP="00CC4FE7">
      <w:pPr>
        <w:rPr>
          <w:sz w:val="20"/>
          <w:szCs w:val="20"/>
        </w:rPr>
      </w:pPr>
      <w:r w:rsidRPr="00F36460">
        <w:rPr>
          <w:sz w:val="20"/>
          <w:szCs w:val="20"/>
        </w:rPr>
        <w:t>Overall estimate was obtained by meta-analysis with random effects.</w:t>
      </w:r>
    </w:p>
    <w:p w14:paraId="04466EF8" w14:textId="77777777" w:rsidR="00CC4FE7" w:rsidRPr="00F36460" w:rsidRDefault="00CC4FE7" w:rsidP="00CC4FE7">
      <w:pPr>
        <w:rPr>
          <w:b/>
        </w:rPr>
      </w:pPr>
    </w:p>
    <w:p w14:paraId="1D1BD333"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4F81FA5B" w14:textId="77777777" w:rsidR="00CC4FE7" w:rsidRPr="00F36460" w:rsidRDefault="00CC4FE7" w:rsidP="00CC4FE7">
      <w:pPr>
        <w:rPr>
          <w:b/>
        </w:rPr>
      </w:pPr>
      <w:r w:rsidRPr="00F36460">
        <w:rPr>
          <w:b/>
          <w:noProof/>
          <w:lang w:val="en-GB" w:eastAsia="en-GB"/>
        </w:rPr>
        <w:lastRenderedPageBreak/>
        <w:drawing>
          <wp:inline distT="0" distB="0" distL="0" distR="0" wp14:anchorId="120150E4" wp14:editId="1F2F8CF4">
            <wp:extent cx="5727700" cy="7485038"/>
            <wp:effectExtent l="25400" t="25400" r="12700" b="33655"/>
            <wp:docPr id="6" name="Picture 6" descr="Figure 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S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7700" cy="7485038"/>
                    </a:xfrm>
                    <a:prstGeom prst="rect">
                      <a:avLst/>
                    </a:prstGeom>
                    <a:noFill/>
                    <a:ln>
                      <a:solidFill>
                        <a:schemeClr val="tx1"/>
                      </a:solidFill>
                    </a:ln>
                  </pic:spPr>
                </pic:pic>
              </a:graphicData>
            </a:graphic>
          </wp:inline>
        </w:drawing>
      </w:r>
    </w:p>
    <w:p w14:paraId="04B00042" w14:textId="77777777" w:rsidR="004B30D0" w:rsidRDefault="00CC4FE7" w:rsidP="004B30D0">
      <w:pPr>
        <w:pStyle w:val="Heading1"/>
      </w:pPr>
      <w:r w:rsidRPr="00F36460">
        <w:t xml:space="preserve">Figure S4 </w:t>
      </w:r>
    </w:p>
    <w:p w14:paraId="486E630E" w14:textId="54741755" w:rsidR="00CC4FE7" w:rsidRPr="00F36460" w:rsidRDefault="00CC4FE7" w:rsidP="00CC4FE7">
      <w:pPr>
        <w:rPr>
          <w:b/>
        </w:rPr>
      </w:pPr>
      <w:r w:rsidRPr="00F36460">
        <w:t>Association between severe food insecurity (vs. no food insecurity) and sexual intercourse among boys estimated by multivariable logistic regression</w:t>
      </w:r>
    </w:p>
    <w:p w14:paraId="4DDADC70"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6047920C" w14:textId="77777777" w:rsidR="00CC4FE7" w:rsidRPr="00F36460" w:rsidRDefault="00CC4FE7" w:rsidP="00CC4FE7">
      <w:pPr>
        <w:rPr>
          <w:sz w:val="20"/>
          <w:szCs w:val="20"/>
        </w:rPr>
      </w:pPr>
      <w:r w:rsidRPr="00F36460">
        <w:rPr>
          <w:sz w:val="20"/>
          <w:szCs w:val="20"/>
        </w:rPr>
        <w:t>Models are adjusted for age and alcohol consumption.</w:t>
      </w:r>
    </w:p>
    <w:p w14:paraId="34BABCA3"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7AE390BA" w14:textId="77777777" w:rsidR="00CC4FE7" w:rsidRPr="00F36460" w:rsidRDefault="00CC4FE7" w:rsidP="00CC4FE7">
      <w:pPr>
        <w:rPr>
          <w:b/>
        </w:rPr>
      </w:pPr>
    </w:p>
    <w:p w14:paraId="073435C5" w14:textId="77777777" w:rsidR="00CC4FE7" w:rsidRPr="00F36460" w:rsidRDefault="00CC4FE7" w:rsidP="00CC4FE7">
      <w:pPr>
        <w:rPr>
          <w:b/>
        </w:rPr>
      </w:pPr>
    </w:p>
    <w:p w14:paraId="78FF8654"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7DD13474" w14:textId="77777777" w:rsidR="00CC4FE7" w:rsidRPr="00F36460" w:rsidRDefault="00CC4FE7" w:rsidP="00CC4FE7">
      <w:pPr>
        <w:rPr>
          <w:b/>
        </w:rPr>
      </w:pPr>
      <w:r w:rsidRPr="00F36460">
        <w:rPr>
          <w:b/>
          <w:noProof/>
          <w:lang w:val="en-GB" w:eastAsia="en-GB"/>
        </w:rPr>
        <w:lastRenderedPageBreak/>
        <w:drawing>
          <wp:inline distT="0" distB="0" distL="0" distR="0" wp14:anchorId="3D0262CD" wp14:editId="0A126D22">
            <wp:extent cx="5727700" cy="7629281"/>
            <wp:effectExtent l="25400" t="25400" r="12700" b="16510"/>
            <wp:docPr id="7" name="Picture 7" descr="Figure 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S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27700" cy="7629281"/>
                    </a:xfrm>
                    <a:prstGeom prst="rect">
                      <a:avLst/>
                    </a:prstGeom>
                    <a:noFill/>
                    <a:ln>
                      <a:solidFill>
                        <a:schemeClr val="tx1"/>
                      </a:solidFill>
                    </a:ln>
                  </pic:spPr>
                </pic:pic>
              </a:graphicData>
            </a:graphic>
          </wp:inline>
        </w:drawing>
      </w:r>
    </w:p>
    <w:p w14:paraId="6B126D21" w14:textId="77777777" w:rsidR="004B30D0" w:rsidRDefault="00CC4FE7" w:rsidP="004B30D0">
      <w:pPr>
        <w:pStyle w:val="Heading1"/>
      </w:pPr>
      <w:r w:rsidRPr="00F36460">
        <w:t xml:space="preserve">Figure S5 </w:t>
      </w:r>
    </w:p>
    <w:p w14:paraId="5DD654BA" w14:textId="6F06986C" w:rsidR="00CC4FE7" w:rsidRPr="00F36460" w:rsidRDefault="00CC4FE7" w:rsidP="00CC4FE7">
      <w:pPr>
        <w:rPr>
          <w:b/>
        </w:rPr>
      </w:pPr>
      <w:r w:rsidRPr="00F36460">
        <w:t>Association between moderate food insecurity (vs. no food insecurity) and sexual intercourse among girls estimated by multivariable logistic regression</w:t>
      </w:r>
    </w:p>
    <w:p w14:paraId="027D56E4"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1D7B0AD9" w14:textId="77777777" w:rsidR="00CC4FE7" w:rsidRPr="00F36460" w:rsidRDefault="00CC4FE7" w:rsidP="00CC4FE7">
      <w:pPr>
        <w:rPr>
          <w:sz w:val="20"/>
          <w:szCs w:val="20"/>
        </w:rPr>
      </w:pPr>
      <w:r w:rsidRPr="00F36460">
        <w:rPr>
          <w:sz w:val="20"/>
          <w:szCs w:val="20"/>
        </w:rPr>
        <w:lastRenderedPageBreak/>
        <w:t>Models are adjusted for age and alcohol consumption.</w:t>
      </w:r>
    </w:p>
    <w:p w14:paraId="145BEC25" w14:textId="77777777" w:rsidR="00CC4FE7" w:rsidRPr="00F36460" w:rsidRDefault="00CC4FE7" w:rsidP="00CC4FE7">
      <w:pPr>
        <w:rPr>
          <w:sz w:val="20"/>
          <w:szCs w:val="20"/>
        </w:rPr>
      </w:pPr>
      <w:r w:rsidRPr="00F36460">
        <w:rPr>
          <w:sz w:val="20"/>
          <w:szCs w:val="20"/>
        </w:rPr>
        <w:t>Overall estimate was obtained by meta-analysis with random effects.</w:t>
      </w:r>
    </w:p>
    <w:p w14:paraId="257F1299" w14:textId="77777777" w:rsidR="00CC4FE7" w:rsidRPr="00F36460" w:rsidRDefault="00CC4FE7" w:rsidP="00CC4FE7">
      <w:pPr>
        <w:rPr>
          <w:b/>
        </w:rPr>
      </w:pPr>
    </w:p>
    <w:p w14:paraId="16F9322E"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7106C3D5" w14:textId="77777777" w:rsidR="00CC4FE7" w:rsidRPr="00F36460" w:rsidRDefault="00CC4FE7" w:rsidP="00CC4FE7">
      <w:pPr>
        <w:rPr>
          <w:b/>
        </w:rPr>
      </w:pPr>
      <w:r w:rsidRPr="00F36460">
        <w:rPr>
          <w:b/>
          <w:noProof/>
          <w:lang w:val="en-GB" w:eastAsia="en-GB"/>
        </w:rPr>
        <w:lastRenderedPageBreak/>
        <w:drawing>
          <wp:inline distT="0" distB="0" distL="0" distR="0" wp14:anchorId="35343461" wp14:editId="0882ECC2">
            <wp:extent cx="5727700" cy="7428857"/>
            <wp:effectExtent l="25400" t="25400" r="12700" b="13970"/>
            <wp:docPr id="8" name="Picture 8" descr="Figure 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S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27700" cy="7428857"/>
                    </a:xfrm>
                    <a:prstGeom prst="rect">
                      <a:avLst/>
                    </a:prstGeom>
                    <a:noFill/>
                    <a:ln>
                      <a:solidFill>
                        <a:schemeClr val="tx1"/>
                      </a:solidFill>
                    </a:ln>
                  </pic:spPr>
                </pic:pic>
              </a:graphicData>
            </a:graphic>
          </wp:inline>
        </w:drawing>
      </w:r>
    </w:p>
    <w:p w14:paraId="171FC373" w14:textId="77777777" w:rsidR="004B30D0" w:rsidRDefault="00CC4FE7" w:rsidP="004B30D0">
      <w:pPr>
        <w:pStyle w:val="Heading1"/>
      </w:pPr>
      <w:r w:rsidRPr="00F36460">
        <w:t xml:space="preserve">Figure S6 </w:t>
      </w:r>
    </w:p>
    <w:p w14:paraId="2B93BA44" w14:textId="3CF17B9B" w:rsidR="00CC4FE7" w:rsidRPr="00F36460" w:rsidRDefault="00CC4FE7" w:rsidP="00CC4FE7">
      <w:pPr>
        <w:rPr>
          <w:b/>
        </w:rPr>
      </w:pPr>
      <w:r w:rsidRPr="00F36460">
        <w:t>Association between severe food insecurity (vs. no food insecurity) and sexual intercourse among girls estimated by multivariable logistic regression</w:t>
      </w:r>
    </w:p>
    <w:p w14:paraId="5D5D8E28"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69236AFF" w14:textId="77777777" w:rsidR="00CC4FE7" w:rsidRPr="00F36460" w:rsidRDefault="00CC4FE7" w:rsidP="00CC4FE7">
      <w:pPr>
        <w:rPr>
          <w:sz w:val="20"/>
          <w:szCs w:val="20"/>
        </w:rPr>
      </w:pPr>
      <w:r w:rsidRPr="00F36460">
        <w:rPr>
          <w:sz w:val="20"/>
          <w:szCs w:val="20"/>
        </w:rPr>
        <w:t>Models are adjusted for age and alcohol consumption.</w:t>
      </w:r>
    </w:p>
    <w:p w14:paraId="0ECCAA02"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5CA2BB62" w14:textId="77777777" w:rsidR="00CC4FE7" w:rsidRPr="00F36460" w:rsidRDefault="00CC4FE7" w:rsidP="00CC4FE7">
      <w:pPr>
        <w:rPr>
          <w:b/>
        </w:rPr>
      </w:pPr>
    </w:p>
    <w:p w14:paraId="69FB8254" w14:textId="77777777" w:rsidR="00CC4FE7" w:rsidRPr="00F36460" w:rsidRDefault="00CC4FE7" w:rsidP="00CC4FE7">
      <w:pPr>
        <w:rPr>
          <w:b/>
        </w:rPr>
      </w:pPr>
    </w:p>
    <w:p w14:paraId="70C3C7A6"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21CF242B" w14:textId="77777777" w:rsidR="00CC4FE7" w:rsidRPr="00F36460" w:rsidRDefault="00CC4FE7" w:rsidP="00CC4FE7">
      <w:pPr>
        <w:rPr>
          <w:b/>
        </w:rPr>
      </w:pPr>
      <w:r w:rsidRPr="00F36460">
        <w:rPr>
          <w:b/>
          <w:noProof/>
          <w:lang w:val="en-GB" w:eastAsia="en-GB"/>
        </w:rPr>
        <w:lastRenderedPageBreak/>
        <w:drawing>
          <wp:inline distT="0" distB="0" distL="0" distR="0" wp14:anchorId="1EA8B7E0" wp14:editId="79EC5BD5">
            <wp:extent cx="5727700" cy="7549554"/>
            <wp:effectExtent l="25400" t="25400" r="12700" b="19685"/>
            <wp:docPr id="9" name="Picture 9" descr="Figure 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S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27700" cy="7549554"/>
                    </a:xfrm>
                    <a:prstGeom prst="rect">
                      <a:avLst/>
                    </a:prstGeom>
                    <a:noFill/>
                    <a:ln>
                      <a:solidFill>
                        <a:schemeClr val="tx1"/>
                      </a:solidFill>
                    </a:ln>
                  </pic:spPr>
                </pic:pic>
              </a:graphicData>
            </a:graphic>
          </wp:inline>
        </w:drawing>
      </w:r>
    </w:p>
    <w:p w14:paraId="6B0A4832" w14:textId="77777777" w:rsidR="004B30D0" w:rsidRDefault="00CC4FE7" w:rsidP="004B30D0">
      <w:pPr>
        <w:pStyle w:val="Heading1"/>
      </w:pPr>
      <w:r w:rsidRPr="00F36460">
        <w:t xml:space="preserve">Figure S7 </w:t>
      </w:r>
    </w:p>
    <w:p w14:paraId="22AB38A6" w14:textId="47C4FC27" w:rsidR="00CC4FE7" w:rsidRPr="00F36460" w:rsidRDefault="00CC4FE7" w:rsidP="00CC4FE7">
      <w:pPr>
        <w:rPr>
          <w:b/>
        </w:rPr>
      </w:pPr>
      <w:r w:rsidRPr="00F36460">
        <w:t>Association between any food insecurity (vs. no food insecurity) and condom non-use estimated by multivariable logistic regression</w:t>
      </w:r>
    </w:p>
    <w:p w14:paraId="1DA90688"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786C5B28" w14:textId="77777777" w:rsidR="00CC4FE7" w:rsidRPr="00F36460" w:rsidRDefault="00CC4FE7" w:rsidP="00CC4FE7">
      <w:pPr>
        <w:rPr>
          <w:sz w:val="20"/>
          <w:szCs w:val="20"/>
        </w:rPr>
      </w:pPr>
      <w:r w:rsidRPr="00F36460">
        <w:rPr>
          <w:sz w:val="20"/>
          <w:szCs w:val="20"/>
        </w:rPr>
        <w:lastRenderedPageBreak/>
        <w:t>Models are adjusted for sex, age, and alcohol consumption.</w:t>
      </w:r>
    </w:p>
    <w:p w14:paraId="6FF1FFDF" w14:textId="77777777" w:rsidR="00CC4FE7" w:rsidRPr="00F36460" w:rsidRDefault="00CC4FE7" w:rsidP="00CC4FE7">
      <w:pPr>
        <w:rPr>
          <w:sz w:val="20"/>
          <w:szCs w:val="20"/>
        </w:rPr>
      </w:pPr>
      <w:r w:rsidRPr="00F36460">
        <w:rPr>
          <w:sz w:val="20"/>
          <w:szCs w:val="20"/>
        </w:rPr>
        <w:t>Overall estimate was obtained by meta-analysis with random effects.</w:t>
      </w:r>
    </w:p>
    <w:p w14:paraId="31F1EF0C" w14:textId="77777777" w:rsidR="00CC4FE7" w:rsidRPr="00F36460" w:rsidRDefault="00CC4FE7" w:rsidP="00CC4FE7">
      <w:pPr>
        <w:rPr>
          <w:rFonts w:cs="Times New Roman"/>
          <w:sz w:val="20"/>
          <w:szCs w:val="20"/>
        </w:rPr>
      </w:pPr>
      <w:r w:rsidRPr="00F36460">
        <w:rPr>
          <w:rFonts w:cs="Times New Roman"/>
          <w:sz w:val="20"/>
          <w:szCs w:val="20"/>
        </w:rPr>
        <w:t>Analysis is restricted to those who ever had sexual intercourse.</w:t>
      </w:r>
    </w:p>
    <w:p w14:paraId="296C5B87" w14:textId="77777777" w:rsidR="00CC4FE7" w:rsidRPr="00F36460" w:rsidRDefault="00CC4FE7" w:rsidP="00CC4FE7">
      <w:pPr>
        <w:rPr>
          <w:b/>
        </w:rPr>
      </w:pPr>
    </w:p>
    <w:p w14:paraId="3D001E6A"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489B9037" w14:textId="77777777" w:rsidR="00CC4FE7" w:rsidRPr="00F36460" w:rsidRDefault="00CC4FE7" w:rsidP="00CC4FE7">
      <w:pPr>
        <w:rPr>
          <w:b/>
        </w:rPr>
      </w:pPr>
      <w:r w:rsidRPr="00F36460">
        <w:rPr>
          <w:b/>
          <w:noProof/>
          <w:lang w:val="en-GB" w:eastAsia="en-GB"/>
        </w:rPr>
        <w:lastRenderedPageBreak/>
        <w:drawing>
          <wp:inline distT="0" distB="0" distL="0" distR="0" wp14:anchorId="04C09332" wp14:editId="1F52C9D5">
            <wp:extent cx="5727700" cy="7478251"/>
            <wp:effectExtent l="25400" t="25400" r="12700" b="15240"/>
            <wp:docPr id="10" name="Picture 10" descr="Figure 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S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27700" cy="7478251"/>
                    </a:xfrm>
                    <a:prstGeom prst="rect">
                      <a:avLst/>
                    </a:prstGeom>
                    <a:noFill/>
                    <a:ln>
                      <a:solidFill>
                        <a:schemeClr val="tx1"/>
                      </a:solidFill>
                    </a:ln>
                  </pic:spPr>
                </pic:pic>
              </a:graphicData>
            </a:graphic>
          </wp:inline>
        </w:drawing>
      </w:r>
    </w:p>
    <w:p w14:paraId="5544C3DD" w14:textId="77777777" w:rsidR="004B30D0" w:rsidRDefault="00CC4FE7" w:rsidP="004B30D0">
      <w:pPr>
        <w:pStyle w:val="Heading1"/>
      </w:pPr>
      <w:r w:rsidRPr="00F36460">
        <w:t xml:space="preserve">Figure S8 </w:t>
      </w:r>
    </w:p>
    <w:p w14:paraId="12F8614E" w14:textId="04809E47" w:rsidR="00CC4FE7" w:rsidRPr="00F36460" w:rsidRDefault="00CC4FE7" w:rsidP="00CC4FE7">
      <w:pPr>
        <w:rPr>
          <w:b/>
        </w:rPr>
      </w:pPr>
      <w:r w:rsidRPr="00F36460">
        <w:t>Association between any food insecurity (vs. no food insecurity) and condom non-use among boys estimated by multivariable logistic regression</w:t>
      </w:r>
    </w:p>
    <w:p w14:paraId="5DB9A036"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35441E45" w14:textId="77777777" w:rsidR="00CC4FE7" w:rsidRPr="00F36460" w:rsidRDefault="00CC4FE7" w:rsidP="00CC4FE7">
      <w:pPr>
        <w:rPr>
          <w:sz w:val="20"/>
          <w:szCs w:val="20"/>
        </w:rPr>
      </w:pPr>
      <w:r w:rsidRPr="00F36460">
        <w:rPr>
          <w:sz w:val="20"/>
          <w:szCs w:val="20"/>
        </w:rPr>
        <w:t>Models are adjusted for age and alcohol consumption.</w:t>
      </w:r>
    </w:p>
    <w:p w14:paraId="114A1110"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617D5E0A" w14:textId="77777777" w:rsidR="00CC4FE7" w:rsidRPr="00F36460" w:rsidRDefault="00CC4FE7" w:rsidP="00CC4FE7">
      <w:pPr>
        <w:rPr>
          <w:rFonts w:cs="Times New Roman"/>
          <w:sz w:val="20"/>
          <w:szCs w:val="20"/>
        </w:rPr>
      </w:pPr>
      <w:r w:rsidRPr="00F36460">
        <w:rPr>
          <w:rFonts w:cs="Times New Roman"/>
          <w:sz w:val="20"/>
          <w:szCs w:val="20"/>
        </w:rPr>
        <w:t>Analysis is restricted to those who ever had sexual intercourse.</w:t>
      </w:r>
    </w:p>
    <w:p w14:paraId="218D8D8F" w14:textId="77777777" w:rsidR="00CC4FE7" w:rsidRPr="00F36460" w:rsidRDefault="00CC4FE7" w:rsidP="00CC4FE7">
      <w:pPr>
        <w:rPr>
          <w:b/>
        </w:rPr>
      </w:pPr>
    </w:p>
    <w:p w14:paraId="4E7C7E51"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1906BB53" w14:textId="77777777" w:rsidR="00CC4FE7" w:rsidRPr="00F36460" w:rsidRDefault="00CC4FE7" w:rsidP="00CC4FE7">
      <w:pPr>
        <w:rPr>
          <w:b/>
        </w:rPr>
      </w:pPr>
      <w:r w:rsidRPr="00F36460">
        <w:rPr>
          <w:b/>
          <w:noProof/>
          <w:lang w:val="en-GB" w:eastAsia="en-GB"/>
        </w:rPr>
        <w:lastRenderedPageBreak/>
        <w:drawing>
          <wp:inline distT="0" distB="0" distL="0" distR="0" wp14:anchorId="0821FEBC" wp14:editId="610E405F">
            <wp:extent cx="5727700" cy="7485038"/>
            <wp:effectExtent l="25400" t="25400" r="12700" b="33655"/>
            <wp:docPr id="11" name="Picture 11" descr="Figure 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S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7700" cy="7485038"/>
                    </a:xfrm>
                    <a:prstGeom prst="rect">
                      <a:avLst/>
                    </a:prstGeom>
                    <a:noFill/>
                    <a:ln>
                      <a:solidFill>
                        <a:schemeClr val="tx1"/>
                      </a:solidFill>
                    </a:ln>
                  </pic:spPr>
                </pic:pic>
              </a:graphicData>
            </a:graphic>
          </wp:inline>
        </w:drawing>
      </w:r>
    </w:p>
    <w:p w14:paraId="70039F80" w14:textId="77777777" w:rsidR="004B30D0" w:rsidRDefault="00CC4FE7" w:rsidP="004B30D0">
      <w:pPr>
        <w:pStyle w:val="Heading1"/>
      </w:pPr>
      <w:r w:rsidRPr="00F36460">
        <w:t xml:space="preserve">Figure S9 </w:t>
      </w:r>
    </w:p>
    <w:p w14:paraId="324D2716" w14:textId="127D67CB" w:rsidR="00CC4FE7" w:rsidRPr="00F36460" w:rsidRDefault="00CC4FE7" w:rsidP="00CC4FE7">
      <w:pPr>
        <w:rPr>
          <w:b/>
        </w:rPr>
      </w:pPr>
      <w:r w:rsidRPr="00F36460">
        <w:t>Association between any food insecurity (vs. no food insecurity) and condom non-use among girls estimated by multivariable logistic regression</w:t>
      </w:r>
    </w:p>
    <w:p w14:paraId="54E138DA"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5F4EF66F" w14:textId="77777777" w:rsidR="00CC4FE7" w:rsidRPr="00F36460" w:rsidRDefault="00CC4FE7" w:rsidP="00CC4FE7">
      <w:pPr>
        <w:rPr>
          <w:sz w:val="20"/>
          <w:szCs w:val="20"/>
        </w:rPr>
      </w:pPr>
      <w:r w:rsidRPr="00F36460">
        <w:rPr>
          <w:sz w:val="20"/>
          <w:szCs w:val="20"/>
        </w:rPr>
        <w:t>Models are adjusted for age and alcohol consumption.</w:t>
      </w:r>
    </w:p>
    <w:p w14:paraId="7350E819"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01E4F6E1" w14:textId="77777777" w:rsidR="00CC4FE7" w:rsidRPr="00F36460" w:rsidRDefault="00CC4FE7" w:rsidP="00CC4FE7">
      <w:pPr>
        <w:rPr>
          <w:rFonts w:cs="Times New Roman"/>
          <w:sz w:val="20"/>
          <w:szCs w:val="20"/>
        </w:rPr>
      </w:pPr>
      <w:r w:rsidRPr="00F36460">
        <w:rPr>
          <w:rFonts w:cs="Times New Roman"/>
          <w:sz w:val="20"/>
          <w:szCs w:val="20"/>
        </w:rPr>
        <w:t>Analysis is restricted to those who ever had sexual intercourse.</w:t>
      </w:r>
    </w:p>
    <w:p w14:paraId="47DFC983" w14:textId="77777777" w:rsidR="00CC4FE7" w:rsidRPr="00F36460" w:rsidRDefault="00CC4FE7" w:rsidP="00CC4FE7">
      <w:pPr>
        <w:rPr>
          <w:b/>
        </w:rPr>
      </w:pPr>
    </w:p>
    <w:p w14:paraId="6F429423"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6839E29F" w14:textId="77777777" w:rsidR="00CC4FE7" w:rsidRPr="00F36460" w:rsidRDefault="00CC4FE7" w:rsidP="00CC4FE7">
      <w:pPr>
        <w:rPr>
          <w:b/>
        </w:rPr>
      </w:pPr>
      <w:r w:rsidRPr="00F36460">
        <w:rPr>
          <w:b/>
          <w:noProof/>
          <w:lang w:val="en-GB" w:eastAsia="en-GB"/>
        </w:rPr>
        <w:lastRenderedPageBreak/>
        <w:drawing>
          <wp:inline distT="0" distB="0" distL="0" distR="0" wp14:anchorId="05430667" wp14:editId="21D0B5D5">
            <wp:extent cx="5727700" cy="7506610"/>
            <wp:effectExtent l="25400" t="25400" r="12700" b="37465"/>
            <wp:docPr id="12" name="Picture 12" descr="Figure 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S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27700" cy="7506610"/>
                    </a:xfrm>
                    <a:prstGeom prst="rect">
                      <a:avLst/>
                    </a:prstGeom>
                    <a:noFill/>
                    <a:ln>
                      <a:solidFill>
                        <a:schemeClr val="tx1"/>
                      </a:solidFill>
                    </a:ln>
                  </pic:spPr>
                </pic:pic>
              </a:graphicData>
            </a:graphic>
          </wp:inline>
        </w:drawing>
      </w:r>
    </w:p>
    <w:p w14:paraId="7B73D0DE" w14:textId="77777777" w:rsidR="004B30D0" w:rsidRDefault="00CC4FE7" w:rsidP="004B30D0">
      <w:pPr>
        <w:pStyle w:val="Heading1"/>
      </w:pPr>
      <w:r w:rsidRPr="00F36460">
        <w:t xml:space="preserve">Figure S10 </w:t>
      </w:r>
    </w:p>
    <w:p w14:paraId="0FB7DAC9" w14:textId="560AE804" w:rsidR="00CC4FE7" w:rsidRPr="00F36460" w:rsidRDefault="00CC4FE7" w:rsidP="00CC4FE7">
      <w:r w:rsidRPr="00F36460">
        <w:t>Association between any food insecurity (vs. no food insecurity) and multiple sex partners estimated by multivariable logistic regression</w:t>
      </w:r>
    </w:p>
    <w:p w14:paraId="1B510F83"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0FCCDACD" w14:textId="77777777" w:rsidR="00CC4FE7" w:rsidRPr="00F36460" w:rsidRDefault="00CC4FE7" w:rsidP="00CC4FE7">
      <w:pPr>
        <w:rPr>
          <w:sz w:val="20"/>
          <w:szCs w:val="20"/>
        </w:rPr>
      </w:pPr>
      <w:r w:rsidRPr="00F36460">
        <w:rPr>
          <w:sz w:val="20"/>
          <w:szCs w:val="20"/>
        </w:rPr>
        <w:t>Models are adjusted for sex, age, and alcohol consumption.</w:t>
      </w:r>
    </w:p>
    <w:p w14:paraId="40F2A584"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37C497E3" w14:textId="77777777" w:rsidR="00CC4FE7" w:rsidRPr="00F36460" w:rsidRDefault="00CC4FE7" w:rsidP="00CC4FE7">
      <w:pPr>
        <w:rPr>
          <w:rFonts w:cs="Times New Roman"/>
          <w:sz w:val="20"/>
          <w:szCs w:val="20"/>
        </w:rPr>
      </w:pPr>
      <w:r w:rsidRPr="00F36460">
        <w:rPr>
          <w:rFonts w:cs="Times New Roman"/>
          <w:sz w:val="20"/>
          <w:szCs w:val="20"/>
        </w:rPr>
        <w:t>Analysis is restricted to those who ever had sexual intercourse.</w:t>
      </w:r>
    </w:p>
    <w:p w14:paraId="0C03BEA1" w14:textId="77777777" w:rsidR="00CC4FE7" w:rsidRPr="00F36460" w:rsidRDefault="00CC4FE7" w:rsidP="00CC4FE7">
      <w:pPr>
        <w:rPr>
          <w:b/>
        </w:rPr>
      </w:pPr>
    </w:p>
    <w:p w14:paraId="06B4CDD4"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6148FF5A" w14:textId="77777777" w:rsidR="00CC4FE7" w:rsidRPr="00F36460" w:rsidRDefault="00CC4FE7" w:rsidP="00CC4FE7">
      <w:pPr>
        <w:rPr>
          <w:b/>
        </w:rPr>
      </w:pPr>
      <w:r w:rsidRPr="00F36460">
        <w:rPr>
          <w:b/>
          <w:noProof/>
          <w:lang w:val="en-GB" w:eastAsia="en-GB"/>
        </w:rPr>
        <w:lastRenderedPageBreak/>
        <w:drawing>
          <wp:inline distT="0" distB="0" distL="0" distR="0" wp14:anchorId="37170329" wp14:editId="254E1100">
            <wp:extent cx="5727700" cy="7506610"/>
            <wp:effectExtent l="25400" t="25400" r="12700" b="37465"/>
            <wp:docPr id="13" name="Picture 13" descr="Figure 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ure S1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27700" cy="7506610"/>
                    </a:xfrm>
                    <a:prstGeom prst="rect">
                      <a:avLst/>
                    </a:prstGeom>
                    <a:noFill/>
                    <a:ln>
                      <a:solidFill>
                        <a:schemeClr val="tx1"/>
                      </a:solidFill>
                    </a:ln>
                  </pic:spPr>
                </pic:pic>
              </a:graphicData>
            </a:graphic>
          </wp:inline>
        </w:drawing>
      </w:r>
    </w:p>
    <w:p w14:paraId="78251A6B" w14:textId="77777777" w:rsidR="004B30D0" w:rsidRDefault="00CC4FE7" w:rsidP="004B30D0">
      <w:pPr>
        <w:pStyle w:val="Heading1"/>
      </w:pPr>
      <w:r w:rsidRPr="00F36460">
        <w:t xml:space="preserve">Figure S11 </w:t>
      </w:r>
    </w:p>
    <w:p w14:paraId="48790885" w14:textId="2520D8AD" w:rsidR="00CC4FE7" w:rsidRPr="00F36460" w:rsidRDefault="00CC4FE7" w:rsidP="00CC4FE7">
      <w:pPr>
        <w:rPr>
          <w:b/>
        </w:rPr>
      </w:pPr>
      <w:r w:rsidRPr="00F36460">
        <w:t>Association between any food insecurity (vs. no food insecurity) and multiple sex partners among boys estimated by multivariable logistic regression</w:t>
      </w:r>
    </w:p>
    <w:p w14:paraId="6648B493"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0E445894" w14:textId="77777777" w:rsidR="00CC4FE7" w:rsidRPr="00F36460" w:rsidRDefault="00CC4FE7" w:rsidP="00CC4FE7">
      <w:pPr>
        <w:rPr>
          <w:sz w:val="20"/>
          <w:szCs w:val="20"/>
        </w:rPr>
      </w:pPr>
      <w:r w:rsidRPr="00F36460">
        <w:rPr>
          <w:sz w:val="20"/>
          <w:szCs w:val="20"/>
        </w:rPr>
        <w:t>Models are adjusted for age and alcohol consumption.</w:t>
      </w:r>
    </w:p>
    <w:p w14:paraId="6F06CBD4"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72C66858" w14:textId="77777777" w:rsidR="00CC4FE7" w:rsidRPr="00F36460" w:rsidRDefault="00CC4FE7" w:rsidP="00CC4FE7">
      <w:pPr>
        <w:rPr>
          <w:rFonts w:cs="Times New Roman"/>
          <w:sz w:val="20"/>
          <w:szCs w:val="20"/>
        </w:rPr>
      </w:pPr>
      <w:r w:rsidRPr="00F36460">
        <w:rPr>
          <w:rFonts w:cs="Times New Roman"/>
          <w:sz w:val="20"/>
          <w:szCs w:val="20"/>
        </w:rPr>
        <w:t>Analysis is restricted to those who ever had sexual intercourse.</w:t>
      </w:r>
    </w:p>
    <w:p w14:paraId="409DDA33" w14:textId="77777777" w:rsidR="00CC4FE7" w:rsidRPr="00F36460" w:rsidRDefault="00CC4FE7" w:rsidP="00CC4FE7">
      <w:pPr>
        <w:rPr>
          <w:b/>
        </w:rPr>
      </w:pPr>
    </w:p>
    <w:p w14:paraId="02C8B577" w14:textId="77777777" w:rsidR="00CC4FE7" w:rsidRPr="00F36460" w:rsidRDefault="00CC4FE7" w:rsidP="00CC4FE7">
      <w:pPr>
        <w:rPr>
          <w:b/>
        </w:rPr>
        <w:sectPr w:rsidR="00CC4FE7" w:rsidRPr="00F36460" w:rsidSect="008825A2">
          <w:pgSz w:w="11900" w:h="16840"/>
          <w:pgMar w:top="1440" w:right="1440" w:bottom="1440" w:left="1440" w:header="720" w:footer="720" w:gutter="0"/>
          <w:cols w:space="720"/>
          <w:docGrid w:linePitch="360"/>
        </w:sectPr>
      </w:pPr>
    </w:p>
    <w:p w14:paraId="68E64F06" w14:textId="77777777" w:rsidR="00CC4FE7" w:rsidRPr="00F36460" w:rsidRDefault="00CC4FE7" w:rsidP="00CC4FE7">
      <w:pPr>
        <w:rPr>
          <w:b/>
        </w:rPr>
      </w:pPr>
      <w:r w:rsidRPr="00F36460">
        <w:rPr>
          <w:b/>
          <w:noProof/>
          <w:lang w:val="en-GB" w:eastAsia="en-GB"/>
        </w:rPr>
        <w:lastRenderedPageBreak/>
        <w:drawing>
          <wp:inline distT="0" distB="0" distL="0" distR="0" wp14:anchorId="3B4E3E86" wp14:editId="05CD72F6">
            <wp:extent cx="5727700" cy="7428857"/>
            <wp:effectExtent l="25400" t="25400" r="12700" b="13970"/>
            <wp:docPr id="14" name="Picture 14" descr="Figure 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ure S1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27700" cy="7428857"/>
                    </a:xfrm>
                    <a:prstGeom prst="rect">
                      <a:avLst/>
                    </a:prstGeom>
                    <a:noFill/>
                    <a:ln>
                      <a:solidFill>
                        <a:schemeClr val="tx1"/>
                      </a:solidFill>
                    </a:ln>
                  </pic:spPr>
                </pic:pic>
              </a:graphicData>
            </a:graphic>
          </wp:inline>
        </w:drawing>
      </w:r>
    </w:p>
    <w:p w14:paraId="3E64CB72" w14:textId="77777777" w:rsidR="00EA5F75" w:rsidRDefault="00CC4FE7" w:rsidP="00EA5F75">
      <w:pPr>
        <w:pStyle w:val="Heading1"/>
      </w:pPr>
      <w:r w:rsidRPr="00F36460">
        <w:t xml:space="preserve">Figure S12 </w:t>
      </w:r>
    </w:p>
    <w:p w14:paraId="66728D3E" w14:textId="5CF1AC1D" w:rsidR="00CC4FE7" w:rsidRPr="00F36460" w:rsidRDefault="00CC4FE7" w:rsidP="00CC4FE7">
      <w:pPr>
        <w:rPr>
          <w:b/>
        </w:rPr>
      </w:pPr>
      <w:r w:rsidRPr="00F36460">
        <w:t>Association between any food insecurity (vs. no food insecurity) and multiple sex partners among girls estimated by multivariable logistic regression</w:t>
      </w:r>
    </w:p>
    <w:p w14:paraId="53A1823A" w14:textId="77777777" w:rsidR="00CC4FE7" w:rsidRPr="00F36460" w:rsidRDefault="00CC4FE7" w:rsidP="00CC4FE7">
      <w:pPr>
        <w:rPr>
          <w:sz w:val="20"/>
          <w:szCs w:val="20"/>
        </w:rPr>
      </w:pPr>
      <w:r w:rsidRPr="00F36460">
        <w:rPr>
          <w:sz w:val="20"/>
          <w:szCs w:val="20"/>
        </w:rPr>
        <w:t>Abbreviation: OR Odds ratio; CI Confidence interval; AFR African Region; AMR Region of the Americas; SEAR South-East Asia Region; WPR Western Pacific Region</w:t>
      </w:r>
    </w:p>
    <w:p w14:paraId="760DCAD3" w14:textId="77777777" w:rsidR="00CC4FE7" w:rsidRPr="00F36460" w:rsidRDefault="00CC4FE7" w:rsidP="00CC4FE7">
      <w:pPr>
        <w:rPr>
          <w:sz w:val="20"/>
          <w:szCs w:val="20"/>
        </w:rPr>
      </w:pPr>
      <w:r w:rsidRPr="00F36460">
        <w:rPr>
          <w:sz w:val="20"/>
          <w:szCs w:val="20"/>
        </w:rPr>
        <w:t>Models are adjusted for age and alcohol consumption.</w:t>
      </w:r>
    </w:p>
    <w:p w14:paraId="0A2B061A" w14:textId="77777777" w:rsidR="00CC4FE7" w:rsidRPr="00F36460" w:rsidRDefault="00CC4FE7" w:rsidP="00CC4FE7">
      <w:pPr>
        <w:rPr>
          <w:sz w:val="20"/>
          <w:szCs w:val="20"/>
        </w:rPr>
      </w:pPr>
      <w:r w:rsidRPr="00F36460">
        <w:rPr>
          <w:sz w:val="20"/>
          <w:szCs w:val="20"/>
        </w:rPr>
        <w:lastRenderedPageBreak/>
        <w:t>Overall estimate was obtained by meta-analysis with random effects.</w:t>
      </w:r>
    </w:p>
    <w:p w14:paraId="151F2789" w14:textId="741377EF" w:rsidR="002F011C" w:rsidRDefault="00CC4FE7" w:rsidP="00CC4FE7">
      <w:r w:rsidRPr="00F36460">
        <w:rPr>
          <w:rFonts w:cs="Times New Roman"/>
          <w:sz w:val="20"/>
          <w:szCs w:val="20"/>
        </w:rPr>
        <w:t>Analysis is restricted to those who ever had sexual intercourse.</w:t>
      </w:r>
    </w:p>
    <w:p w14:paraId="2104D5FC" w14:textId="77777777" w:rsidR="00C3275F" w:rsidRDefault="00C3275F" w:rsidP="002F011C"/>
    <w:sectPr w:rsidR="00C3275F" w:rsidSect="008825A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49A72" w14:textId="77777777" w:rsidR="006F5EF8" w:rsidRDefault="006F5EF8">
      <w:r>
        <w:separator/>
      </w:r>
    </w:p>
  </w:endnote>
  <w:endnote w:type="continuationSeparator" w:id="0">
    <w:p w14:paraId="0E9ADC53" w14:textId="77777777" w:rsidR="006F5EF8" w:rsidRDefault="006F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21824120"/>
      <w:docPartObj>
        <w:docPartGallery w:val="Page Numbers (Bottom of Page)"/>
        <w:docPartUnique/>
      </w:docPartObj>
    </w:sdtPr>
    <w:sdtEndPr>
      <w:rPr>
        <w:rStyle w:val="PageNumber"/>
      </w:rPr>
    </w:sdtEndPr>
    <w:sdtContent>
      <w:p w14:paraId="3506B6F9" w14:textId="4CE5F7AA" w:rsidR="005E4774" w:rsidRDefault="005E4774" w:rsidP="008713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5892DB" w14:textId="77777777" w:rsidR="005E4774" w:rsidRDefault="005E4774" w:rsidP="008713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01683325"/>
      <w:docPartObj>
        <w:docPartGallery w:val="Page Numbers (Bottom of Page)"/>
        <w:docPartUnique/>
      </w:docPartObj>
    </w:sdtPr>
    <w:sdtEndPr>
      <w:rPr>
        <w:rStyle w:val="PageNumber"/>
      </w:rPr>
    </w:sdtEndPr>
    <w:sdtContent>
      <w:p w14:paraId="76C0B828" w14:textId="7572C87C" w:rsidR="005E4774" w:rsidRDefault="005E4774" w:rsidP="008713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65B70">
          <w:rPr>
            <w:rStyle w:val="PageNumber"/>
            <w:noProof/>
          </w:rPr>
          <w:t>1</w:t>
        </w:r>
        <w:r>
          <w:rPr>
            <w:rStyle w:val="PageNumber"/>
          </w:rPr>
          <w:fldChar w:fldCharType="end"/>
        </w:r>
      </w:p>
    </w:sdtContent>
  </w:sdt>
  <w:p w14:paraId="6B8F6273" w14:textId="77777777" w:rsidR="005E4774" w:rsidRDefault="005E4774" w:rsidP="008713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1D3BC" w14:textId="77777777" w:rsidR="006F5EF8" w:rsidRDefault="006F5EF8">
      <w:r>
        <w:separator/>
      </w:r>
    </w:p>
  </w:footnote>
  <w:footnote w:type="continuationSeparator" w:id="0">
    <w:p w14:paraId="165B2354" w14:textId="77777777" w:rsidR="006F5EF8" w:rsidRDefault="006F5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9C9C" w14:textId="77777777" w:rsidR="005E4774" w:rsidRDefault="005E4774" w:rsidP="008825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A1B834" w14:textId="77777777" w:rsidR="005E4774" w:rsidRDefault="005E4774" w:rsidP="008825A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2A04C" w14:textId="40D117E9" w:rsidR="005E4774" w:rsidRDefault="005E4774" w:rsidP="008825A2">
    <w:pPr>
      <w:pStyle w:val="Header"/>
      <w:framePr w:wrap="around" w:vAnchor="text" w:hAnchor="margin" w:xAlign="right" w:y="1"/>
      <w:rPr>
        <w:rStyle w:val="PageNumber"/>
      </w:rPr>
    </w:pPr>
  </w:p>
  <w:p w14:paraId="702C76D9" w14:textId="77777777" w:rsidR="005E4774" w:rsidRDefault="005E4774" w:rsidP="008825A2">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516CB" w14:textId="77777777" w:rsidR="005E4774" w:rsidRDefault="005E4774" w:rsidP="008825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086B25" w14:textId="77777777" w:rsidR="005E4774" w:rsidRDefault="005E4774" w:rsidP="008825A2">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A1CA" w14:textId="77777777" w:rsidR="005E4774" w:rsidRDefault="005E4774" w:rsidP="008825A2">
    <w:pPr>
      <w:pStyle w:val="Header"/>
      <w:framePr w:wrap="around" w:vAnchor="text" w:hAnchor="margin" w:xAlign="right" w:y="1"/>
      <w:rPr>
        <w:rStyle w:val="PageNumber"/>
      </w:rPr>
    </w:pPr>
  </w:p>
  <w:p w14:paraId="6771927B" w14:textId="77777777" w:rsidR="005E4774" w:rsidRDefault="005E4774" w:rsidP="008825A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3783A"/>
    <w:multiLevelType w:val="hybridMultilevel"/>
    <w:tmpl w:val="6EAAE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007412"/>
    <w:multiLevelType w:val="hybridMultilevel"/>
    <w:tmpl w:val="E12AB4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0NTYzNzc1NzMxM7NU0lEKTi0uzszPAykwrAUALpHusCwAAAA="/>
  </w:docVars>
  <w:rsids>
    <w:rsidRoot w:val="003F0A85"/>
    <w:rsid w:val="00002EED"/>
    <w:rsid w:val="0000782A"/>
    <w:rsid w:val="00014DF1"/>
    <w:rsid w:val="00015087"/>
    <w:rsid w:val="00016797"/>
    <w:rsid w:val="00017DFE"/>
    <w:rsid w:val="00023B4E"/>
    <w:rsid w:val="00025A14"/>
    <w:rsid w:val="00040559"/>
    <w:rsid w:val="0004514F"/>
    <w:rsid w:val="00045B7F"/>
    <w:rsid w:val="00051C01"/>
    <w:rsid w:val="00066B9A"/>
    <w:rsid w:val="00067F5F"/>
    <w:rsid w:val="00074CFA"/>
    <w:rsid w:val="00076CD6"/>
    <w:rsid w:val="00081842"/>
    <w:rsid w:val="000820DF"/>
    <w:rsid w:val="00087EFD"/>
    <w:rsid w:val="0009470E"/>
    <w:rsid w:val="000963AA"/>
    <w:rsid w:val="000B27A8"/>
    <w:rsid w:val="000B340F"/>
    <w:rsid w:val="000B4D66"/>
    <w:rsid w:val="000D58E4"/>
    <w:rsid w:val="000D63C1"/>
    <w:rsid w:val="000E23AC"/>
    <w:rsid w:val="000E7D2B"/>
    <w:rsid w:val="0010401B"/>
    <w:rsid w:val="001278B9"/>
    <w:rsid w:val="00137653"/>
    <w:rsid w:val="00140048"/>
    <w:rsid w:val="00144B34"/>
    <w:rsid w:val="00162535"/>
    <w:rsid w:val="001634AD"/>
    <w:rsid w:val="001647EA"/>
    <w:rsid w:val="0019508D"/>
    <w:rsid w:val="001A2054"/>
    <w:rsid w:val="001B680F"/>
    <w:rsid w:val="001B72F0"/>
    <w:rsid w:val="001D661F"/>
    <w:rsid w:val="001F13CE"/>
    <w:rsid w:val="00202F55"/>
    <w:rsid w:val="0021573E"/>
    <w:rsid w:val="00215914"/>
    <w:rsid w:val="00233C7C"/>
    <w:rsid w:val="00234BD3"/>
    <w:rsid w:val="00235A5F"/>
    <w:rsid w:val="002378E2"/>
    <w:rsid w:val="002421CB"/>
    <w:rsid w:val="00262973"/>
    <w:rsid w:val="002654E3"/>
    <w:rsid w:val="002709FF"/>
    <w:rsid w:val="002841DA"/>
    <w:rsid w:val="002950E1"/>
    <w:rsid w:val="002A1B84"/>
    <w:rsid w:val="002A52C0"/>
    <w:rsid w:val="002D2953"/>
    <w:rsid w:val="002D30C8"/>
    <w:rsid w:val="002D5295"/>
    <w:rsid w:val="002F011C"/>
    <w:rsid w:val="002F0B7E"/>
    <w:rsid w:val="002F1E11"/>
    <w:rsid w:val="002F32F4"/>
    <w:rsid w:val="003038A0"/>
    <w:rsid w:val="0031129A"/>
    <w:rsid w:val="0032051C"/>
    <w:rsid w:val="0032345B"/>
    <w:rsid w:val="003251B4"/>
    <w:rsid w:val="00325B12"/>
    <w:rsid w:val="00327BBB"/>
    <w:rsid w:val="00330B72"/>
    <w:rsid w:val="00331608"/>
    <w:rsid w:val="0034040D"/>
    <w:rsid w:val="003414AA"/>
    <w:rsid w:val="00344170"/>
    <w:rsid w:val="003533D5"/>
    <w:rsid w:val="003559B4"/>
    <w:rsid w:val="00356A14"/>
    <w:rsid w:val="00365B70"/>
    <w:rsid w:val="00380F0F"/>
    <w:rsid w:val="00382CFC"/>
    <w:rsid w:val="0038598C"/>
    <w:rsid w:val="003A68C9"/>
    <w:rsid w:val="003B38C1"/>
    <w:rsid w:val="003C48F5"/>
    <w:rsid w:val="003D1FAF"/>
    <w:rsid w:val="003D2BA8"/>
    <w:rsid w:val="003D371A"/>
    <w:rsid w:val="003E1FF7"/>
    <w:rsid w:val="003F0A85"/>
    <w:rsid w:val="003F5505"/>
    <w:rsid w:val="00407599"/>
    <w:rsid w:val="0041586B"/>
    <w:rsid w:val="004267D2"/>
    <w:rsid w:val="00436CE0"/>
    <w:rsid w:val="00442763"/>
    <w:rsid w:val="0044330D"/>
    <w:rsid w:val="00455CB9"/>
    <w:rsid w:val="00466D5A"/>
    <w:rsid w:val="00471BB5"/>
    <w:rsid w:val="00474653"/>
    <w:rsid w:val="00475404"/>
    <w:rsid w:val="00477680"/>
    <w:rsid w:val="00477ECA"/>
    <w:rsid w:val="00487AB6"/>
    <w:rsid w:val="00492180"/>
    <w:rsid w:val="00495F4F"/>
    <w:rsid w:val="004B30D0"/>
    <w:rsid w:val="004C40B4"/>
    <w:rsid w:val="004C6CA5"/>
    <w:rsid w:val="004E0428"/>
    <w:rsid w:val="004E06F2"/>
    <w:rsid w:val="005140C4"/>
    <w:rsid w:val="005176EC"/>
    <w:rsid w:val="00517DF8"/>
    <w:rsid w:val="00532CA4"/>
    <w:rsid w:val="00552FC8"/>
    <w:rsid w:val="00553C5D"/>
    <w:rsid w:val="0056532E"/>
    <w:rsid w:val="0056624B"/>
    <w:rsid w:val="005678CE"/>
    <w:rsid w:val="0057619F"/>
    <w:rsid w:val="0058343B"/>
    <w:rsid w:val="00584E18"/>
    <w:rsid w:val="00586965"/>
    <w:rsid w:val="0058742D"/>
    <w:rsid w:val="00590341"/>
    <w:rsid w:val="0059222F"/>
    <w:rsid w:val="00594790"/>
    <w:rsid w:val="00594C71"/>
    <w:rsid w:val="005970EE"/>
    <w:rsid w:val="005A7BED"/>
    <w:rsid w:val="005B52B2"/>
    <w:rsid w:val="005B5EC6"/>
    <w:rsid w:val="005B675B"/>
    <w:rsid w:val="005E17DD"/>
    <w:rsid w:val="005E4774"/>
    <w:rsid w:val="005E5C07"/>
    <w:rsid w:val="005F11D9"/>
    <w:rsid w:val="005F3E3F"/>
    <w:rsid w:val="00603584"/>
    <w:rsid w:val="00611485"/>
    <w:rsid w:val="006240A0"/>
    <w:rsid w:val="00626A47"/>
    <w:rsid w:val="0063041E"/>
    <w:rsid w:val="00630BF8"/>
    <w:rsid w:val="006530A4"/>
    <w:rsid w:val="006679A9"/>
    <w:rsid w:val="00670EDC"/>
    <w:rsid w:val="006735D5"/>
    <w:rsid w:val="006A1908"/>
    <w:rsid w:val="006B3B11"/>
    <w:rsid w:val="006B4FF0"/>
    <w:rsid w:val="006C13F4"/>
    <w:rsid w:val="006D570A"/>
    <w:rsid w:val="006F5EF8"/>
    <w:rsid w:val="007068E9"/>
    <w:rsid w:val="00731DA3"/>
    <w:rsid w:val="00735226"/>
    <w:rsid w:val="00745C9B"/>
    <w:rsid w:val="00765217"/>
    <w:rsid w:val="007674B3"/>
    <w:rsid w:val="00773F43"/>
    <w:rsid w:val="00787E0F"/>
    <w:rsid w:val="00791130"/>
    <w:rsid w:val="00792ED7"/>
    <w:rsid w:val="00793993"/>
    <w:rsid w:val="007A0792"/>
    <w:rsid w:val="007A0B91"/>
    <w:rsid w:val="007A7AE7"/>
    <w:rsid w:val="007B279D"/>
    <w:rsid w:val="007C008F"/>
    <w:rsid w:val="007C057C"/>
    <w:rsid w:val="007D02F0"/>
    <w:rsid w:val="007E0288"/>
    <w:rsid w:val="007E1806"/>
    <w:rsid w:val="007E2255"/>
    <w:rsid w:val="007E4B6A"/>
    <w:rsid w:val="007F37BF"/>
    <w:rsid w:val="007F3A7E"/>
    <w:rsid w:val="00800244"/>
    <w:rsid w:val="00801CB1"/>
    <w:rsid w:val="00802C06"/>
    <w:rsid w:val="00815F77"/>
    <w:rsid w:val="008266F8"/>
    <w:rsid w:val="00836657"/>
    <w:rsid w:val="008437E3"/>
    <w:rsid w:val="008468A6"/>
    <w:rsid w:val="00850D40"/>
    <w:rsid w:val="00851C6F"/>
    <w:rsid w:val="00856AAF"/>
    <w:rsid w:val="00862E1B"/>
    <w:rsid w:val="008713C2"/>
    <w:rsid w:val="008825A2"/>
    <w:rsid w:val="00886D3A"/>
    <w:rsid w:val="008969D1"/>
    <w:rsid w:val="008A60EF"/>
    <w:rsid w:val="008B2930"/>
    <w:rsid w:val="008B2AB0"/>
    <w:rsid w:val="008E4A87"/>
    <w:rsid w:val="008E564F"/>
    <w:rsid w:val="008E5F9B"/>
    <w:rsid w:val="008F198B"/>
    <w:rsid w:val="00904A07"/>
    <w:rsid w:val="009116A9"/>
    <w:rsid w:val="009226B7"/>
    <w:rsid w:val="00924532"/>
    <w:rsid w:val="00924F0D"/>
    <w:rsid w:val="00953479"/>
    <w:rsid w:val="009562F0"/>
    <w:rsid w:val="009622B2"/>
    <w:rsid w:val="00997051"/>
    <w:rsid w:val="009A64C0"/>
    <w:rsid w:val="009B2059"/>
    <w:rsid w:val="009E0D99"/>
    <w:rsid w:val="009F149D"/>
    <w:rsid w:val="009F166C"/>
    <w:rsid w:val="00A05CC8"/>
    <w:rsid w:val="00A05E40"/>
    <w:rsid w:val="00A2357C"/>
    <w:rsid w:val="00A254C3"/>
    <w:rsid w:val="00A33DDC"/>
    <w:rsid w:val="00A44508"/>
    <w:rsid w:val="00A52584"/>
    <w:rsid w:val="00A60AD3"/>
    <w:rsid w:val="00A7337D"/>
    <w:rsid w:val="00A82034"/>
    <w:rsid w:val="00AA2660"/>
    <w:rsid w:val="00AA5817"/>
    <w:rsid w:val="00AA6B9C"/>
    <w:rsid w:val="00AA6D94"/>
    <w:rsid w:val="00AB3ECF"/>
    <w:rsid w:val="00AC113A"/>
    <w:rsid w:val="00AD4592"/>
    <w:rsid w:val="00AE2124"/>
    <w:rsid w:val="00B220F8"/>
    <w:rsid w:val="00B24F35"/>
    <w:rsid w:val="00B3161F"/>
    <w:rsid w:val="00B35723"/>
    <w:rsid w:val="00B36CB7"/>
    <w:rsid w:val="00B45C36"/>
    <w:rsid w:val="00B71661"/>
    <w:rsid w:val="00B800BB"/>
    <w:rsid w:val="00BA27E4"/>
    <w:rsid w:val="00BB0D61"/>
    <w:rsid w:val="00BB48D0"/>
    <w:rsid w:val="00BB6AB6"/>
    <w:rsid w:val="00BD7E31"/>
    <w:rsid w:val="00BE1613"/>
    <w:rsid w:val="00BF3F35"/>
    <w:rsid w:val="00BF4086"/>
    <w:rsid w:val="00BF71ED"/>
    <w:rsid w:val="00C134B9"/>
    <w:rsid w:val="00C16036"/>
    <w:rsid w:val="00C3275F"/>
    <w:rsid w:val="00C350F8"/>
    <w:rsid w:val="00C442C1"/>
    <w:rsid w:val="00C444C6"/>
    <w:rsid w:val="00C46D0C"/>
    <w:rsid w:val="00C56E2F"/>
    <w:rsid w:val="00C761A2"/>
    <w:rsid w:val="00C85CE2"/>
    <w:rsid w:val="00C8690D"/>
    <w:rsid w:val="00C86DFB"/>
    <w:rsid w:val="00C942FC"/>
    <w:rsid w:val="00CB48D0"/>
    <w:rsid w:val="00CC4753"/>
    <w:rsid w:val="00CC4FE7"/>
    <w:rsid w:val="00CE407A"/>
    <w:rsid w:val="00CE666D"/>
    <w:rsid w:val="00CF3B1A"/>
    <w:rsid w:val="00D06903"/>
    <w:rsid w:val="00D103E1"/>
    <w:rsid w:val="00D4456D"/>
    <w:rsid w:val="00D90097"/>
    <w:rsid w:val="00D9634D"/>
    <w:rsid w:val="00DB7D36"/>
    <w:rsid w:val="00DC63A2"/>
    <w:rsid w:val="00DD496C"/>
    <w:rsid w:val="00DE484A"/>
    <w:rsid w:val="00DE6EF9"/>
    <w:rsid w:val="00DF13DB"/>
    <w:rsid w:val="00E01161"/>
    <w:rsid w:val="00E043E1"/>
    <w:rsid w:val="00E07751"/>
    <w:rsid w:val="00E4364B"/>
    <w:rsid w:val="00E52FB5"/>
    <w:rsid w:val="00E56A06"/>
    <w:rsid w:val="00E70A80"/>
    <w:rsid w:val="00E72C00"/>
    <w:rsid w:val="00E73D54"/>
    <w:rsid w:val="00E938A3"/>
    <w:rsid w:val="00EA5F75"/>
    <w:rsid w:val="00EB48A2"/>
    <w:rsid w:val="00EB600E"/>
    <w:rsid w:val="00EB6022"/>
    <w:rsid w:val="00ED0CC1"/>
    <w:rsid w:val="00ED606D"/>
    <w:rsid w:val="00EF1F51"/>
    <w:rsid w:val="00EF3EF7"/>
    <w:rsid w:val="00EF5B08"/>
    <w:rsid w:val="00F14FA5"/>
    <w:rsid w:val="00F27825"/>
    <w:rsid w:val="00F32B57"/>
    <w:rsid w:val="00F33BE5"/>
    <w:rsid w:val="00F36460"/>
    <w:rsid w:val="00F651FA"/>
    <w:rsid w:val="00F75B73"/>
    <w:rsid w:val="00F82066"/>
    <w:rsid w:val="00F8539F"/>
    <w:rsid w:val="00F93CE5"/>
    <w:rsid w:val="00FA4592"/>
    <w:rsid w:val="00FA4ED4"/>
    <w:rsid w:val="00FA73DA"/>
    <w:rsid w:val="00FB7BB3"/>
    <w:rsid w:val="00FC5FBD"/>
    <w:rsid w:val="00FD1268"/>
    <w:rsid w:val="00FD19E4"/>
    <w:rsid w:val="00FD7F53"/>
    <w:rsid w:val="00FF268B"/>
    <w:rsid w:val="00FF2C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4FAD6"/>
  <w15:docId w15:val="{FDFCEA3C-9219-4872-99AA-39ABBE79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A85"/>
    <w:pPr>
      <w:spacing w:after="0" w:line="240" w:lineRule="auto"/>
    </w:pPr>
    <w:rPr>
      <w:rFonts w:ascii="Times New Roman" w:eastAsiaTheme="minorEastAsia" w:hAnsi="Times New Roman"/>
      <w:sz w:val="24"/>
      <w:szCs w:val="24"/>
      <w:lang w:val="en-US"/>
    </w:rPr>
  </w:style>
  <w:style w:type="paragraph" w:styleId="Heading1">
    <w:name w:val="heading 1"/>
    <w:basedOn w:val="Normal"/>
    <w:next w:val="Normal"/>
    <w:link w:val="Heading1Char"/>
    <w:uiPriority w:val="9"/>
    <w:qFormat/>
    <w:rsid w:val="00495F4F"/>
    <w:pPr>
      <w:keepNext/>
      <w:keepLines/>
      <w:spacing w:before="240" w:line="48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553C5D"/>
    <w:pPr>
      <w:keepNext/>
      <w:keepLines/>
      <w:spacing w:before="40" w:line="480" w:lineRule="auto"/>
      <w:outlineLvl w:val="1"/>
    </w:pPr>
    <w:rPr>
      <w:rFonts w:eastAsiaTheme="majorEastAsia"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A85"/>
    <w:pPr>
      <w:tabs>
        <w:tab w:val="center" w:pos="4320"/>
        <w:tab w:val="right" w:pos="8640"/>
      </w:tabs>
    </w:pPr>
  </w:style>
  <w:style w:type="character" w:customStyle="1" w:styleId="HeaderChar">
    <w:name w:val="Header Char"/>
    <w:basedOn w:val="DefaultParagraphFont"/>
    <w:link w:val="Header"/>
    <w:uiPriority w:val="99"/>
    <w:rsid w:val="003F0A85"/>
    <w:rPr>
      <w:rFonts w:ascii="Times New Roman" w:eastAsiaTheme="minorEastAsia" w:hAnsi="Times New Roman"/>
      <w:sz w:val="24"/>
      <w:szCs w:val="24"/>
      <w:lang w:val="en-US"/>
    </w:rPr>
  </w:style>
  <w:style w:type="character" w:styleId="PageNumber">
    <w:name w:val="page number"/>
    <w:basedOn w:val="DefaultParagraphFont"/>
    <w:uiPriority w:val="99"/>
    <w:semiHidden/>
    <w:unhideWhenUsed/>
    <w:rsid w:val="003F0A85"/>
  </w:style>
  <w:style w:type="character" w:styleId="CommentReference">
    <w:name w:val="annotation reference"/>
    <w:basedOn w:val="DefaultParagraphFont"/>
    <w:uiPriority w:val="99"/>
    <w:semiHidden/>
    <w:unhideWhenUsed/>
    <w:rsid w:val="003F0A85"/>
    <w:rPr>
      <w:sz w:val="18"/>
      <w:szCs w:val="18"/>
    </w:rPr>
  </w:style>
  <w:style w:type="paragraph" w:styleId="CommentText">
    <w:name w:val="annotation text"/>
    <w:basedOn w:val="Normal"/>
    <w:link w:val="CommentTextChar"/>
    <w:uiPriority w:val="99"/>
    <w:unhideWhenUsed/>
    <w:rsid w:val="003F0A85"/>
  </w:style>
  <w:style w:type="character" w:customStyle="1" w:styleId="CommentTextChar">
    <w:name w:val="Comment Text Char"/>
    <w:basedOn w:val="DefaultParagraphFont"/>
    <w:link w:val="CommentText"/>
    <w:uiPriority w:val="99"/>
    <w:rsid w:val="003F0A85"/>
    <w:rPr>
      <w:rFonts w:ascii="Times New Roman" w:eastAsiaTheme="minorEastAsia" w:hAnsi="Times New Roman"/>
      <w:sz w:val="24"/>
      <w:szCs w:val="24"/>
      <w:lang w:val="en-US"/>
    </w:rPr>
  </w:style>
  <w:style w:type="paragraph" w:styleId="CommentSubject">
    <w:name w:val="annotation subject"/>
    <w:basedOn w:val="CommentText"/>
    <w:next w:val="CommentText"/>
    <w:link w:val="CommentSubjectChar"/>
    <w:uiPriority w:val="99"/>
    <w:semiHidden/>
    <w:unhideWhenUsed/>
    <w:rsid w:val="003F0A85"/>
    <w:rPr>
      <w:b/>
      <w:bCs/>
      <w:sz w:val="20"/>
      <w:szCs w:val="20"/>
    </w:rPr>
  </w:style>
  <w:style w:type="character" w:customStyle="1" w:styleId="CommentSubjectChar">
    <w:name w:val="Comment Subject Char"/>
    <w:basedOn w:val="CommentTextChar"/>
    <w:link w:val="CommentSubject"/>
    <w:uiPriority w:val="99"/>
    <w:semiHidden/>
    <w:rsid w:val="003F0A85"/>
    <w:rPr>
      <w:rFonts w:ascii="Times New Roman" w:eastAsiaTheme="minorEastAsia" w:hAnsi="Times New Roman"/>
      <w:b/>
      <w:bCs/>
      <w:sz w:val="20"/>
      <w:szCs w:val="20"/>
      <w:lang w:val="en-US"/>
    </w:rPr>
  </w:style>
  <w:style w:type="paragraph" w:styleId="BalloonText">
    <w:name w:val="Balloon Text"/>
    <w:basedOn w:val="Normal"/>
    <w:link w:val="BalloonTextChar"/>
    <w:uiPriority w:val="99"/>
    <w:semiHidden/>
    <w:unhideWhenUsed/>
    <w:rsid w:val="003F0A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A85"/>
    <w:rPr>
      <w:rFonts w:ascii="Lucida Grande" w:eastAsiaTheme="minorEastAsia" w:hAnsi="Lucida Grande" w:cs="Lucida Grande"/>
      <w:sz w:val="18"/>
      <w:szCs w:val="18"/>
      <w:lang w:val="en-US"/>
    </w:rPr>
  </w:style>
  <w:style w:type="paragraph" w:customStyle="1" w:styleId="EndNoteBibliographyTitle">
    <w:name w:val="EndNote Bibliography Title"/>
    <w:basedOn w:val="Normal"/>
    <w:rsid w:val="003F0A85"/>
    <w:pPr>
      <w:jc w:val="center"/>
    </w:pPr>
    <w:rPr>
      <w:rFonts w:cs="Times New Roman"/>
    </w:rPr>
  </w:style>
  <w:style w:type="paragraph" w:customStyle="1" w:styleId="EndNoteBibliography">
    <w:name w:val="EndNote Bibliography"/>
    <w:basedOn w:val="Normal"/>
    <w:rsid w:val="003F0A85"/>
    <w:rPr>
      <w:rFonts w:cs="Times New Roman"/>
    </w:rPr>
  </w:style>
  <w:style w:type="character" w:styleId="Hyperlink">
    <w:name w:val="Hyperlink"/>
    <w:basedOn w:val="DefaultParagraphFont"/>
    <w:uiPriority w:val="99"/>
    <w:unhideWhenUsed/>
    <w:rsid w:val="003F0A85"/>
    <w:rPr>
      <w:color w:val="0563C1" w:themeColor="hyperlink"/>
      <w:u w:val="single"/>
    </w:rPr>
  </w:style>
  <w:style w:type="character" w:customStyle="1" w:styleId="UnresolvedMention1">
    <w:name w:val="Unresolved Mention1"/>
    <w:basedOn w:val="DefaultParagraphFont"/>
    <w:uiPriority w:val="99"/>
    <w:semiHidden/>
    <w:unhideWhenUsed/>
    <w:rsid w:val="003F0A85"/>
    <w:rPr>
      <w:color w:val="605E5C"/>
      <w:shd w:val="clear" w:color="auto" w:fill="E1DFDD"/>
    </w:rPr>
  </w:style>
  <w:style w:type="character" w:styleId="FollowedHyperlink">
    <w:name w:val="FollowedHyperlink"/>
    <w:basedOn w:val="DefaultParagraphFont"/>
    <w:uiPriority w:val="99"/>
    <w:semiHidden/>
    <w:unhideWhenUsed/>
    <w:rsid w:val="003F0A85"/>
    <w:rPr>
      <w:color w:val="954F72" w:themeColor="followedHyperlink"/>
      <w:u w:val="single"/>
    </w:rPr>
  </w:style>
  <w:style w:type="character" w:customStyle="1" w:styleId="UnresolvedMention2">
    <w:name w:val="Unresolved Mention2"/>
    <w:basedOn w:val="DefaultParagraphFont"/>
    <w:uiPriority w:val="99"/>
    <w:semiHidden/>
    <w:unhideWhenUsed/>
    <w:rsid w:val="003F0A85"/>
    <w:rPr>
      <w:color w:val="605E5C"/>
      <w:shd w:val="clear" w:color="auto" w:fill="E1DFDD"/>
    </w:rPr>
  </w:style>
  <w:style w:type="character" w:customStyle="1" w:styleId="highlight">
    <w:name w:val="highlight"/>
    <w:basedOn w:val="DefaultParagraphFont"/>
    <w:rsid w:val="003F0A85"/>
  </w:style>
  <w:style w:type="character" w:customStyle="1" w:styleId="UnresolvedMention3">
    <w:name w:val="Unresolved Mention3"/>
    <w:basedOn w:val="DefaultParagraphFont"/>
    <w:uiPriority w:val="99"/>
    <w:semiHidden/>
    <w:unhideWhenUsed/>
    <w:rsid w:val="003F0A85"/>
    <w:rPr>
      <w:color w:val="605E5C"/>
      <w:shd w:val="clear" w:color="auto" w:fill="E1DFDD"/>
    </w:rPr>
  </w:style>
  <w:style w:type="paragraph" w:styleId="ListParagraph">
    <w:name w:val="List Paragraph"/>
    <w:basedOn w:val="Normal"/>
    <w:uiPriority w:val="34"/>
    <w:qFormat/>
    <w:rsid w:val="003F0A85"/>
    <w:pPr>
      <w:ind w:left="720"/>
      <w:contextualSpacing/>
    </w:pPr>
  </w:style>
  <w:style w:type="paragraph" w:styleId="NormalWeb">
    <w:name w:val="Normal (Web)"/>
    <w:basedOn w:val="Normal"/>
    <w:uiPriority w:val="99"/>
    <w:unhideWhenUsed/>
    <w:rsid w:val="003F0A85"/>
    <w:pPr>
      <w:spacing w:before="100" w:beforeAutospacing="1" w:after="100" w:afterAutospacing="1"/>
    </w:pPr>
    <w:rPr>
      <w:rFonts w:cs="Times New Roman"/>
      <w:lang w:val="en-GB" w:eastAsia="en-GB"/>
    </w:rPr>
  </w:style>
  <w:style w:type="paragraph" w:styleId="Footer">
    <w:name w:val="footer"/>
    <w:basedOn w:val="Normal"/>
    <w:link w:val="FooterChar"/>
    <w:uiPriority w:val="99"/>
    <w:unhideWhenUsed/>
    <w:rsid w:val="007674B3"/>
    <w:pPr>
      <w:tabs>
        <w:tab w:val="center" w:pos="4252"/>
        <w:tab w:val="right" w:pos="8504"/>
      </w:tabs>
    </w:pPr>
  </w:style>
  <w:style w:type="character" w:customStyle="1" w:styleId="FooterChar">
    <w:name w:val="Footer Char"/>
    <w:basedOn w:val="DefaultParagraphFont"/>
    <w:link w:val="Footer"/>
    <w:uiPriority w:val="99"/>
    <w:rsid w:val="007674B3"/>
    <w:rPr>
      <w:rFonts w:ascii="Times New Roman" w:eastAsiaTheme="minorEastAsia" w:hAnsi="Times New Roman"/>
      <w:sz w:val="24"/>
      <w:szCs w:val="24"/>
      <w:lang w:val="en-US"/>
    </w:rPr>
  </w:style>
  <w:style w:type="character" w:customStyle="1" w:styleId="UnresolvedMention4">
    <w:name w:val="Unresolved Mention4"/>
    <w:basedOn w:val="DefaultParagraphFont"/>
    <w:uiPriority w:val="99"/>
    <w:semiHidden/>
    <w:unhideWhenUsed/>
    <w:rsid w:val="00594790"/>
    <w:rPr>
      <w:color w:val="605E5C"/>
      <w:shd w:val="clear" w:color="auto" w:fill="E1DFDD"/>
    </w:rPr>
  </w:style>
  <w:style w:type="character" w:customStyle="1" w:styleId="UnresolvedMention5">
    <w:name w:val="Unresolved Mention5"/>
    <w:basedOn w:val="DefaultParagraphFont"/>
    <w:uiPriority w:val="99"/>
    <w:semiHidden/>
    <w:unhideWhenUsed/>
    <w:rsid w:val="00344170"/>
    <w:rPr>
      <w:color w:val="605E5C"/>
      <w:shd w:val="clear" w:color="auto" w:fill="E1DFDD"/>
    </w:rPr>
  </w:style>
  <w:style w:type="character" w:customStyle="1" w:styleId="Heading1Char">
    <w:name w:val="Heading 1 Char"/>
    <w:basedOn w:val="DefaultParagraphFont"/>
    <w:link w:val="Heading1"/>
    <w:uiPriority w:val="9"/>
    <w:rsid w:val="00495F4F"/>
    <w:rPr>
      <w:rFonts w:ascii="Times New Roman" w:eastAsiaTheme="majorEastAsia" w:hAnsi="Times New Roman" w:cstheme="majorBidi"/>
      <w:b/>
      <w:sz w:val="24"/>
      <w:szCs w:val="32"/>
      <w:lang w:val="en-US"/>
    </w:rPr>
  </w:style>
  <w:style w:type="character" w:customStyle="1" w:styleId="Heading2Char">
    <w:name w:val="Heading 2 Char"/>
    <w:basedOn w:val="DefaultParagraphFont"/>
    <w:link w:val="Heading2"/>
    <w:uiPriority w:val="9"/>
    <w:rsid w:val="00553C5D"/>
    <w:rPr>
      <w:rFonts w:ascii="Times New Roman" w:eastAsiaTheme="majorEastAsia" w:hAnsi="Times New Roman" w:cstheme="majorBidi"/>
      <w:b/>
      <w:i/>
      <w:sz w:val="24"/>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08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dc.gov/gshs" TargetMode="External"/><Relationship Id="rId18" Type="http://schemas.openxmlformats.org/officeDocument/2006/relationships/hyperlink" Target="https://www.cdc.gov/std/stats17/2017-STD-Surveillance-Report_CDC-clearance-9.10.18.pdf" TargetMode="External"/><Relationship Id="rId26" Type="http://schemas.openxmlformats.org/officeDocument/2006/relationships/hyperlink" Target="https://www.who.int/docs/default-source/coronaviruse/situation-reports/20200318-sitrep-58-covid-19.pdf?sfvrsn=20876712_2Ji" TargetMode="External"/><Relationship Id="rId39" Type="http://schemas.openxmlformats.org/officeDocument/2006/relationships/image" Target="media/image11.emf"/><Relationship Id="rId21" Type="http://schemas.openxmlformats.org/officeDocument/2006/relationships/hyperlink" Target="https://fns-prod.azureedge.net/sites/default/files/FSGuide.pdf" TargetMode="External"/><Relationship Id="rId34" Type="http://schemas.openxmlformats.org/officeDocument/2006/relationships/image" Target="media/image6.emf"/><Relationship Id="rId42" Type="http://schemas.openxmlformats.org/officeDocument/2006/relationships/theme" Target="theme/theme1.xml"/><Relationship Id="rId7" Type="http://schemas.openxmlformats.org/officeDocument/2006/relationships/hyperlink" Target="mailto:Lee.Smith@anglia.ac.uk" TargetMode="External"/><Relationship Id="rId2" Type="http://schemas.openxmlformats.org/officeDocument/2006/relationships/styles" Target="styles.xml"/><Relationship Id="rId16" Type="http://schemas.openxmlformats.org/officeDocument/2006/relationships/hyperlink" Target="https://www.who.int/news-room/fact-sheets/detail/adolescent-mental-health" TargetMode="External"/><Relationship Id="rId20" Type="http://schemas.openxmlformats.org/officeDocument/2006/relationships/hyperlink" Target="http://www.fao.org/3/CA1447EN/ca1447en.pdf" TargetMode="External"/><Relationship Id="rId29" Type="http://schemas.openxmlformats.org/officeDocument/2006/relationships/image" Target="media/image1.e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who.int/news-room/fact-sheets/detail/adolescent-pregnancy" TargetMode="External"/><Relationship Id="rId32" Type="http://schemas.openxmlformats.org/officeDocument/2006/relationships/image" Target="media/image4.emf"/><Relationship Id="rId37" Type="http://schemas.openxmlformats.org/officeDocument/2006/relationships/image" Target="media/image9.emf"/><Relationship Id="rId40" Type="http://schemas.openxmlformats.org/officeDocument/2006/relationships/image" Target="media/image12.emf"/><Relationship Id="rId5" Type="http://schemas.openxmlformats.org/officeDocument/2006/relationships/footnotes" Target="footnotes.xml"/><Relationship Id="rId15" Type="http://schemas.openxmlformats.org/officeDocument/2006/relationships/hyperlink" Target="https://www.ncbi.nlm.nih.gov/pmc/articles/PMC27440/" TargetMode="External"/><Relationship Id="rId23" Type="http://schemas.openxmlformats.org/officeDocument/2006/relationships/hyperlink" Target="https://www.worldbank.org/en/news/feature/2020/06/08/the-global-economic-outlook-during-the-covid-19-pandemic-a-changed-world" TargetMode="External"/><Relationship Id="rId28" Type="http://schemas.openxmlformats.org/officeDocument/2006/relationships/header" Target="header4.xml"/><Relationship Id="rId36" Type="http://schemas.openxmlformats.org/officeDocument/2006/relationships/image" Target="media/image8.emf"/><Relationship Id="rId10" Type="http://schemas.openxmlformats.org/officeDocument/2006/relationships/footer" Target="footer1.xml"/><Relationship Id="rId19" Type="http://schemas.openxmlformats.org/officeDocument/2006/relationships/hyperlink" Target="http://www.fao.org/3/ca5162en/ca5162en.pdf" TargetMode="External"/><Relationship Id="rId31"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ncbi.nlm.nih.gov/pmc/articles/PMC1118255/" TargetMode="External"/><Relationship Id="rId22" Type="http://schemas.openxmlformats.org/officeDocument/2006/relationships/hyperlink" Target="https://www.ers.usda.gov/amber-waves/2019/june/who-are-the-world-s-food-insecure-identifying-the-risk-factors-of-food-insecurity-around-the-world/" TargetMode="External"/><Relationship Id="rId27" Type="http://schemas.openxmlformats.org/officeDocument/2006/relationships/header" Target="header3.xml"/><Relationship Id="rId30" Type="http://schemas.openxmlformats.org/officeDocument/2006/relationships/image" Target="media/image2.emf"/><Relationship Id="rId35" Type="http://schemas.openxmlformats.org/officeDocument/2006/relationships/image" Target="media/image7.emf"/><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www.who.int/chp/gshs" TargetMode="External"/><Relationship Id="rId17" Type="http://schemas.openxmlformats.org/officeDocument/2006/relationships/hyperlink" Target="https://www.cdc.gov/gshs/" TargetMode="External"/><Relationship Id="rId25" Type="http://schemas.openxmlformats.org/officeDocument/2006/relationships/hyperlink" Target="https://www.who.int/ncds/surveillance/gshs/en/" TargetMode="External"/><Relationship Id="rId33" Type="http://schemas.openxmlformats.org/officeDocument/2006/relationships/image" Target="media/image5.emf"/><Relationship Id="rId38"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7540</Words>
  <Characters>42982</Characters>
  <Application>Microsoft Office Word</Application>
  <DocSecurity>0</DocSecurity>
  <Lines>358</Lines>
  <Paragraphs>100</Paragraphs>
  <ScaleCrop>false</ScaleCrop>
  <HeadingPairs>
    <vt:vector size="6" baseType="variant">
      <vt:variant>
        <vt:lpstr>Title</vt:lpstr>
      </vt:variant>
      <vt:variant>
        <vt:i4>1</vt:i4>
      </vt:variant>
      <vt:variant>
        <vt:lpstr>Titel</vt:lpstr>
      </vt:variant>
      <vt:variant>
        <vt:i4>1</vt:i4>
      </vt:variant>
      <vt:variant>
        <vt:lpstr>제목</vt:lpstr>
      </vt:variant>
      <vt:variant>
        <vt:i4>1</vt:i4>
      </vt:variant>
    </vt:vector>
  </HeadingPairs>
  <TitlesOfParts>
    <vt:vector size="3" baseType="lpstr">
      <vt:lpstr/>
      <vt:lpstr/>
      <vt:lpstr/>
    </vt:vector>
  </TitlesOfParts>
  <Company>Anglia Ruskin University</Company>
  <LinksUpToDate>false</LinksUpToDate>
  <CharactersWithSpaces>50422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Stringer, Charlotte</dc:creator>
  <cp:keywords/>
  <dc:description/>
  <cp:lastModifiedBy>Blanshard, Lisa</cp:lastModifiedBy>
  <cp:revision>9</cp:revision>
  <cp:lastPrinted>2020-08-05T09:10:00Z</cp:lastPrinted>
  <dcterms:created xsi:type="dcterms:W3CDTF">2020-11-07T09:28:00Z</dcterms:created>
  <dcterms:modified xsi:type="dcterms:W3CDTF">2020-11-23T10:17:00Z</dcterms:modified>
</cp:coreProperties>
</file>