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3AC55C" w14:textId="4F794CBF" w:rsidR="005B1555" w:rsidRPr="001F374D" w:rsidRDefault="006A743D" w:rsidP="001F374D">
      <w:pPr>
        <w:pStyle w:val="Heading1"/>
        <w:jc w:val="center"/>
        <w:rPr>
          <w:b w:val="0"/>
          <w:bCs w:val="0"/>
          <w:sz w:val="32"/>
          <w:szCs w:val="32"/>
        </w:rPr>
      </w:pPr>
      <w:r w:rsidRPr="001F374D">
        <w:rPr>
          <w:b w:val="0"/>
          <w:bCs w:val="0"/>
          <w:sz w:val="32"/>
          <w:szCs w:val="32"/>
        </w:rPr>
        <w:t xml:space="preserve">Associations between sedentary behavior and happiness: </w:t>
      </w:r>
      <w:r w:rsidR="005B1555" w:rsidRPr="001F374D">
        <w:rPr>
          <w:b w:val="0"/>
          <w:bCs w:val="0"/>
          <w:sz w:val="32"/>
          <w:szCs w:val="32"/>
        </w:rPr>
        <w:t>An analysis of influential factors among middle-aged and older adults from six low- and middle-income countries</w:t>
      </w:r>
    </w:p>
    <w:p w14:paraId="1AB23BFB" w14:textId="77777777" w:rsidR="005B1555" w:rsidRDefault="005B1555" w:rsidP="005B1555">
      <w:pPr>
        <w:pStyle w:val="CommentText"/>
        <w:suppressLineNumbers/>
        <w:spacing w:line="480" w:lineRule="auto"/>
        <w:jc w:val="center"/>
        <w:rPr>
          <w:sz w:val="32"/>
          <w:szCs w:val="32"/>
        </w:rPr>
      </w:pPr>
    </w:p>
    <w:p w14:paraId="42B3D2B1" w14:textId="58FBD0B2" w:rsidR="005B1555" w:rsidRDefault="005B1555" w:rsidP="005B1555">
      <w:pPr>
        <w:pStyle w:val="CommentText"/>
        <w:suppressLineNumbers/>
        <w:spacing w:line="480" w:lineRule="auto"/>
        <w:rPr>
          <w:rFonts w:cs="Times New Roman"/>
          <w:vertAlign w:val="superscript"/>
        </w:rPr>
      </w:pPr>
      <w:r w:rsidRPr="00C1249E">
        <w:rPr>
          <w:rFonts w:cs="Times New Roman"/>
          <w:sz w:val="24"/>
          <w:szCs w:val="24"/>
        </w:rPr>
        <w:t>Mireia Felez-Nobrega</w:t>
      </w:r>
      <w:r w:rsidRPr="005D6CD5">
        <w:rPr>
          <w:rFonts w:cs="Times New Roman"/>
          <w:vertAlign w:val="superscript"/>
        </w:rPr>
        <w:t>1</w:t>
      </w:r>
      <w:r>
        <w:rPr>
          <w:rFonts w:cs="Times New Roman"/>
          <w:sz w:val="24"/>
          <w:szCs w:val="24"/>
        </w:rPr>
        <w:t>, Beatriz Olaya</w:t>
      </w:r>
      <w:r w:rsidRPr="005D6CD5">
        <w:rPr>
          <w:rFonts w:cs="Times New Roman"/>
          <w:vertAlign w:val="superscript"/>
        </w:rPr>
        <w:t>1,2</w:t>
      </w:r>
      <w:r>
        <w:rPr>
          <w:rFonts w:cs="Times New Roman"/>
          <w:sz w:val="24"/>
          <w:szCs w:val="24"/>
        </w:rPr>
        <w:t xml:space="preserve">, </w:t>
      </w:r>
      <w:proofErr w:type="spellStart"/>
      <w:r w:rsidR="00073D10" w:rsidRPr="00C1249E">
        <w:rPr>
          <w:rFonts w:cs="Times New Roman"/>
          <w:sz w:val="24"/>
          <w:szCs w:val="24"/>
        </w:rPr>
        <w:t>Josep</w:t>
      </w:r>
      <w:proofErr w:type="spellEnd"/>
      <w:r w:rsidR="00073D10" w:rsidRPr="00C1249E">
        <w:rPr>
          <w:rFonts w:cs="Times New Roman"/>
          <w:sz w:val="24"/>
          <w:szCs w:val="24"/>
        </w:rPr>
        <w:t xml:space="preserve"> Maria Haro</w:t>
      </w:r>
      <w:r w:rsidR="00073D10" w:rsidRPr="005D6CD5">
        <w:rPr>
          <w:rFonts w:cs="Times New Roman"/>
          <w:vertAlign w:val="superscript"/>
        </w:rPr>
        <w:t>1,2</w:t>
      </w:r>
      <w:r w:rsidR="00073D10">
        <w:rPr>
          <w:rFonts w:cs="Times New Roman"/>
          <w:sz w:val="24"/>
          <w:szCs w:val="24"/>
        </w:rPr>
        <w:t>,</w:t>
      </w:r>
      <w:r w:rsidRPr="00C1249E">
        <w:rPr>
          <w:rFonts w:cs="Times New Roman"/>
          <w:sz w:val="24"/>
          <w:szCs w:val="24"/>
        </w:rPr>
        <w:t>Brendon Stubbs</w:t>
      </w:r>
      <w:r w:rsidRPr="005D6CD5">
        <w:rPr>
          <w:rFonts w:cs="Times New Roman"/>
          <w:vertAlign w:val="superscript"/>
        </w:rPr>
        <w:t>3</w:t>
      </w:r>
      <w:r>
        <w:rPr>
          <w:rFonts w:cs="Times New Roman"/>
          <w:vertAlign w:val="superscript"/>
        </w:rPr>
        <w:t>,4,</w:t>
      </w:r>
      <w:r>
        <w:rPr>
          <w:rFonts w:cs="Times New Roman"/>
          <w:sz w:val="24"/>
          <w:szCs w:val="24"/>
        </w:rPr>
        <w:t>, Lee Smith</w:t>
      </w:r>
      <w:r>
        <w:rPr>
          <w:rFonts w:cs="Times New Roman"/>
          <w:vertAlign w:val="superscript"/>
        </w:rPr>
        <w:t>5</w:t>
      </w:r>
      <w:r>
        <w:rPr>
          <w:rFonts w:cs="Times New Roman"/>
          <w:sz w:val="24"/>
          <w:szCs w:val="24"/>
        </w:rPr>
        <w:t xml:space="preserve">,  </w:t>
      </w:r>
      <w:r w:rsidRPr="00C1249E">
        <w:rPr>
          <w:rFonts w:cs="Times New Roman"/>
          <w:sz w:val="24"/>
          <w:szCs w:val="24"/>
        </w:rPr>
        <w:t>Ai Koyanagi</w:t>
      </w:r>
      <w:r w:rsidRPr="005D6CD5">
        <w:rPr>
          <w:rFonts w:cs="Times New Roman"/>
          <w:vertAlign w:val="superscript"/>
        </w:rPr>
        <w:t>1,2,</w:t>
      </w:r>
      <w:r>
        <w:rPr>
          <w:rFonts w:cs="Times New Roman"/>
          <w:vertAlign w:val="superscript"/>
        </w:rPr>
        <w:t>6</w:t>
      </w:r>
    </w:p>
    <w:p w14:paraId="07A6A739" w14:textId="77777777" w:rsidR="005B1555" w:rsidRPr="00C1249E" w:rsidRDefault="005B1555" w:rsidP="005B1555">
      <w:pPr>
        <w:pStyle w:val="CommentText"/>
        <w:suppressLineNumbers/>
        <w:spacing w:line="480" w:lineRule="auto"/>
        <w:rPr>
          <w:rFonts w:cs="Times New Roman"/>
        </w:rPr>
      </w:pPr>
    </w:p>
    <w:p w14:paraId="1F69DDCC" w14:textId="77777777" w:rsidR="005B1555" w:rsidRPr="0027363B" w:rsidRDefault="005B1555" w:rsidP="005B1555">
      <w:pPr>
        <w:suppressLineNumbers/>
        <w:spacing w:line="480" w:lineRule="auto"/>
        <w:rPr>
          <w:rFonts w:cs="Times New Roman"/>
        </w:rPr>
      </w:pPr>
      <w:r w:rsidRPr="0027363B">
        <w:rPr>
          <w:rFonts w:cs="Times New Roman"/>
          <w:vertAlign w:val="superscript"/>
        </w:rPr>
        <w:t xml:space="preserve">1 </w:t>
      </w:r>
      <w:r w:rsidRPr="0027363B">
        <w:rPr>
          <w:rFonts w:cs="Times New Roman"/>
        </w:rPr>
        <w:t xml:space="preserve">Research and Development Unit, Parc </w:t>
      </w:r>
      <w:proofErr w:type="spellStart"/>
      <w:r w:rsidRPr="0027363B">
        <w:rPr>
          <w:rFonts w:cs="Times New Roman"/>
        </w:rPr>
        <w:t>Sanitari</w:t>
      </w:r>
      <w:proofErr w:type="spellEnd"/>
      <w:r w:rsidRPr="0027363B">
        <w:rPr>
          <w:rFonts w:cs="Times New Roman"/>
        </w:rPr>
        <w:t xml:space="preserve"> Sant Joan de </w:t>
      </w:r>
      <w:proofErr w:type="spellStart"/>
      <w:r w:rsidRPr="0027363B">
        <w:rPr>
          <w:rFonts w:cs="Times New Roman"/>
        </w:rPr>
        <w:t>Déu</w:t>
      </w:r>
      <w:proofErr w:type="spellEnd"/>
      <w:r w:rsidRPr="0027363B">
        <w:rPr>
          <w:rFonts w:cs="Times New Roman"/>
        </w:rPr>
        <w:t>, Barcelona, Spain</w:t>
      </w:r>
      <w:r>
        <w:rPr>
          <w:rFonts w:cs="Times New Roman"/>
        </w:rPr>
        <w:t>.</w:t>
      </w:r>
    </w:p>
    <w:p w14:paraId="3B6E9567" w14:textId="77777777" w:rsidR="005B1555" w:rsidRDefault="005B1555" w:rsidP="005B1555">
      <w:pPr>
        <w:spacing w:line="480" w:lineRule="auto"/>
        <w:rPr>
          <w:rFonts w:cs="Times New Roman"/>
        </w:rPr>
      </w:pPr>
      <w:r w:rsidRPr="0027363B">
        <w:rPr>
          <w:rFonts w:cs="Times New Roman"/>
          <w:vertAlign w:val="superscript"/>
        </w:rPr>
        <w:t xml:space="preserve">2 </w:t>
      </w:r>
      <w:r w:rsidRPr="00D60218">
        <w:rPr>
          <w:rFonts w:cs="Times New Roman"/>
        </w:rPr>
        <w:t>Centre for Biomedical Research on Mental Health (CIBERSAM), Spain</w:t>
      </w:r>
      <w:r>
        <w:rPr>
          <w:rFonts w:cs="Times New Roman"/>
        </w:rPr>
        <w:t>.</w:t>
      </w:r>
    </w:p>
    <w:p w14:paraId="1C667666" w14:textId="77777777" w:rsidR="005B1555" w:rsidRDefault="005B1555" w:rsidP="005B1555">
      <w:pPr>
        <w:spacing w:line="480" w:lineRule="auto"/>
        <w:rPr>
          <w:szCs w:val="20"/>
          <w:lang w:eastAsia="ko-KR"/>
        </w:rPr>
      </w:pPr>
      <w:r w:rsidRPr="001F3B7F">
        <w:rPr>
          <w:rFonts w:cs="Times New Roman"/>
          <w:vertAlign w:val="superscript"/>
        </w:rPr>
        <w:t>3</w:t>
      </w:r>
      <w:r w:rsidRPr="001F3B7F">
        <w:rPr>
          <w:szCs w:val="20"/>
          <w:lang w:eastAsia="ko-KR"/>
        </w:rPr>
        <w:t xml:space="preserve"> </w:t>
      </w:r>
      <w:r w:rsidRPr="00BC26AE">
        <w:rPr>
          <w:szCs w:val="20"/>
          <w:lang w:eastAsia="ko-KR"/>
        </w:rPr>
        <w:t xml:space="preserve">Institute of Psychiatry, Psychology and Neuroscience, King’s College London, De </w:t>
      </w:r>
      <w:proofErr w:type="spellStart"/>
      <w:r w:rsidRPr="00BC26AE">
        <w:rPr>
          <w:szCs w:val="20"/>
          <w:lang w:eastAsia="ko-KR"/>
        </w:rPr>
        <w:t>Crespigny</w:t>
      </w:r>
      <w:proofErr w:type="spellEnd"/>
      <w:r w:rsidRPr="00BC26AE">
        <w:rPr>
          <w:szCs w:val="20"/>
          <w:lang w:eastAsia="ko-KR"/>
        </w:rPr>
        <w:t xml:space="preserve"> Park, London SE5 8AF, UK</w:t>
      </w:r>
      <w:r>
        <w:rPr>
          <w:szCs w:val="20"/>
          <w:lang w:eastAsia="ko-KR"/>
        </w:rPr>
        <w:t>.</w:t>
      </w:r>
    </w:p>
    <w:p w14:paraId="21D8E2B3" w14:textId="77777777" w:rsidR="005B1555" w:rsidRDefault="005B1555" w:rsidP="005B1555">
      <w:pPr>
        <w:spacing w:line="480" w:lineRule="auto"/>
        <w:rPr>
          <w:szCs w:val="20"/>
          <w:lang w:eastAsia="ko-KR"/>
        </w:rPr>
      </w:pPr>
      <w:r w:rsidRPr="001F3B7F">
        <w:rPr>
          <w:szCs w:val="20"/>
          <w:vertAlign w:val="superscript"/>
          <w:lang w:eastAsia="ko-KR"/>
        </w:rPr>
        <w:t>4</w:t>
      </w:r>
      <w:r>
        <w:rPr>
          <w:szCs w:val="20"/>
          <w:vertAlign w:val="superscript"/>
          <w:lang w:eastAsia="ko-KR"/>
        </w:rPr>
        <w:t xml:space="preserve"> </w:t>
      </w:r>
      <w:r w:rsidRPr="00BC26AE">
        <w:rPr>
          <w:szCs w:val="20"/>
          <w:lang w:eastAsia="ko-KR"/>
        </w:rPr>
        <w:t>South London and Maudsley NHS Foundation Trust, Denmark Hill, London SE5 8AZ, UK</w:t>
      </w:r>
      <w:r>
        <w:rPr>
          <w:szCs w:val="20"/>
          <w:lang w:eastAsia="ko-KR"/>
        </w:rPr>
        <w:t>.</w:t>
      </w:r>
    </w:p>
    <w:p w14:paraId="187DB6FC" w14:textId="77777777" w:rsidR="005B1555" w:rsidRDefault="005B1555" w:rsidP="005B1555">
      <w:pPr>
        <w:spacing w:line="480" w:lineRule="auto"/>
        <w:rPr>
          <w:szCs w:val="20"/>
          <w:lang w:eastAsia="ko-KR"/>
        </w:rPr>
      </w:pPr>
      <w:r>
        <w:rPr>
          <w:szCs w:val="20"/>
          <w:vertAlign w:val="superscript"/>
          <w:lang w:eastAsia="ko-KR"/>
        </w:rPr>
        <w:t xml:space="preserve">5 </w:t>
      </w:r>
      <w:r w:rsidRPr="001C018C">
        <w:rPr>
          <w:rFonts w:cs="Times New Roman"/>
          <w:bCs/>
        </w:rPr>
        <w:t>The Cambridge Centre for Sport and Exercise Sciences, Anglia Ruskin University, Cambridge, UK.</w:t>
      </w:r>
    </w:p>
    <w:p w14:paraId="29E19FBD" w14:textId="77777777" w:rsidR="005B1555" w:rsidRPr="0027310E" w:rsidRDefault="005B1555" w:rsidP="005B1555">
      <w:pPr>
        <w:suppressLineNumbers/>
        <w:spacing w:line="480" w:lineRule="auto"/>
        <w:rPr>
          <w:rFonts w:cs="Times New Roman"/>
          <w:lang w:val="es-ES"/>
        </w:rPr>
      </w:pPr>
      <w:r>
        <w:rPr>
          <w:rFonts w:cs="Times New Roman"/>
          <w:vertAlign w:val="superscript"/>
          <w:lang w:val="es-ES"/>
        </w:rPr>
        <w:t>6</w:t>
      </w:r>
      <w:r w:rsidRPr="00E51BEC">
        <w:rPr>
          <w:rFonts w:cs="Times New Roman"/>
          <w:bCs/>
          <w:lang w:val="es-ES"/>
        </w:rPr>
        <w:t xml:space="preserve"> </w:t>
      </w:r>
      <w:r w:rsidRPr="0027310E">
        <w:rPr>
          <w:rFonts w:cs="Times New Roman"/>
          <w:lang w:val="es-ES"/>
        </w:rPr>
        <w:t xml:space="preserve">ICREA, Pg. </w:t>
      </w:r>
      <w:proofErr w:type="spellStart"/>
      <w:r w:rsidRPr="0027310E">
        <w:rPr>
          <w:rFonts w:cs="Times New Roman"/>
          <w:lang w:val="es-ES"/>
        </w:rPr>
        <w:t>Lluis</w:t>
      </w:r>
      <w:proofErr w:type="spellEnd"/>
      <w:r w:rsidRPr="0027310E">
        <w:rPr>
          <w:rFonts w:cs="Times New Roman"/>
          <w:lang w:val="es-ES"/>
        </w:rPr>
        <w:t xml:space="preserve"> Companys 23, Barcelona, </w:t>
      </w:r>
      <w:proofErr w:type="spellStart"/>
      <w:r w:rsidRPr="0027310E">
        <w:rPr>
          <w:rFonts w:cs="Times New Roman"/>
          <w:lang w:val="es-ES"/>
        </w:rPr>
        <w:t>Spain</w:t>
      </w:r>
      <w:proofErr w:type="spellEnd"/>
      <w:r w:rsidRPr="0027310E">
        <w:rPr>
          <w:rFonts w:cs="Times New Roman"/>
          <w:lang w:val="es-ES"/>
        </w:rPr>
        <w:t>.</w:t>
      </w:r>
    </w:p>
    <w:p w14:paraId="4FB9E65B" w14:textId="77777777" w:rsidR="005B1555" w:rsidRPr="00E51BEC" w:rsidRDefault="005B1555" w:rsidP="005B1555">
      <w:pPr>
        <w:spacing w:line="480" w:lineRule="auto"/>
        <w:rPr>
          <w:szCs w:val="20"/>
          <w:lang w:val="es-ES" w:eastAsia="ko-KR"/>
        </w:rPr>
      </w:pPr>
    </w:p>
    <w:p w14:paraId="29C722F4" w14:textId="579F09AB" w:rsidR="005B1555" w:rsidRPr="00C62ED7" w:rsidRDefault="005B1555" w:rsidP="005B1555">
      <w:pPr>
        <w:spacing w:line="480" w:lineRule="auto"/>
        <w:rPr>
          <w:rFonts w:cs="Times New Roman"/>
          <w:lang w:val="es-ES"/>
        </w:rPr>
      </w:pPr>
      <w:proofErr w:type="spellStart"/>
      <w:r w:rsidRPr="00E44B9B">
        <w:rPr>
          <w:rFonts w:cs="Times New Roman"/>
          <w:b/>
          <w:lang w:val="es-ES"/>
        </w:rPr>
        <w:t>Corresponding</w:t>
      </w:r>
      <w:proofErr w:type="spellEnd"/>
      <w:r w:rsidRPr="00E44B9B">
        <w:rPr>
          <w:rFonts w:cs="Times New Roman"/>
          <w:b/>
          <w:lang w:val="es-ES"/>
        </w:rPr>
        <w:t xml:space="preserve"> </w:t>
      </w:r>
      <w:proofErr w:type="spellStart"/>
      <w:r w:rsidRPr="00E44B9B">
        <w:rPr>
          <w:rFonts w:cs="Times New Roman"/>
          <w:b/>
          <w:lang w:val="es-ES"/>
        </w:rPr>
        <w:t>author</w:t>
      </w:r>
      <w:proofErr w:type="spellEnd"/>
      <w:r w:rsidRPr="00E44B9B">
        <w:rPr>
          <w:rFonts w:cs="Times New Roman"/>
          <w:b/>
          <w:lang w:val="es-ES"/>
        </w:rPr>
        <w:t>:</w:t>
      </w:r>
      <w:r w:rsidRPr="00E44B9B">
        <w:rPr>
          <w:rFonts w:cs="Times New Roman"/>
          <w:lang w:val="es-ES"/>
        </w:rPr>
        <w:t xml:space="preserve"> Mireia </w:t>
      </w:r>
      <w:proofErr w:type="spellStart"/>
      <w:r w:rsidRPr="00E44B9B">
        <w:rPr>
          <w:rFonts w:cs="Times New Roman"/>
          <w:lang w:val="es-ES"/>
        </w:rPr>
        <w:t>Felez-Nobrega</w:t>
      </w:r>
      <w:proofErr w:type="spellEnd"/>
      <w:r w:rsidRPr="00E44B9B">
        <w:rPr>
          <w:rFonts w:cs="Times New Roman"/>
          <w:lang w:val="es-ES"/>
        </w:rPr>
        <w:t xml:space="preserve">. C/ Dr. Antoni Pujadas 42, 08830 Sant Boi de Llobregat, Barcelona, </w:t>
      </w:r>
      <w:proofErr w:type="spellStart"/>
      <w:r w:rsidRPr="00E44B9B">
        <w:rPr>
          <w:rFonts w:cs="Times New Roman"/>
          <w:lang w:val="es-ES"/>
        </w:rPr>
        <w:t>Spain</w:t>
      </w:r>
      <w:proofErr w:type="spellEnd"/>
      <w:r w:rsidRPr="00E44B9B">
        <w:rPr>
          <w:rFonts w:cs="Times New Roman"/>
          <w:lang w:val="es-ES"/>
        </w:rPr>
        <w:t xml:space="preserve">, </w:t>
      </w:r>
      <w:r w:rsidR="00E51BEC" w:rsidRPr="00E44B9B">
        <w:rPr>
          <w:lang w:val="es-ES"/>
        </w:rPr>
        <w:t>m.felez@pssjd.org</w:t>
      </w:r>
      <w:r w:rsidRPr="00E44B9B">
        <w:rPr>
          <w:rFonts w:cs="Times New Roman"/>
          <w:lang w:val="es-ES"/>
        </w:rPr>
        <w:t xml:space="preserve">. </w:t>
      </w:r>
      <w:proofErr w:type="spellStart"/>
      <w:r w:rsidRPr="00C62ED7">
        <w:rPr>
          <w:rFonts w:cs="Times New Roman"/>
          <w:lang w:val="es-ES"/>
        </w:rPr>
        <w:t>Telephone</w:t>
      </w:r>
      <w:proofErr w:type="spellEnd"/>
      <w:r w:rsidRPr="00C62ED7">
        <w:rPr>
          <w:rFonts w:cs="Times New Roman"/>
          <w:lang w:val="es-ES"/>
        </w:rPr>
        <w:t xml:space="preserve">:  +34 93 640 63 50. </w:t>
      </w:r>
    </w:p>
    <w:p w14:paraId="5794A1B6" w14:textId="77777777" w:rsidR="005B1555" w:rsidRPr="00C62ED7" w:rsidRDefault="005B1555" w:rsidP="005B1555">
      <w:pPr>
        <w:pStyle w:val="CommentText"/>
        <w:suppressLineNumbers/>
        <w:spacing w:line="480" w:lineRule="auto"/>
        <w:rPr>
          <w:sz w:val="24"/>
          <w:szCs w:val="24"/>
          <w:lang w:val="es-ES"/>
        </w:rPr>
      </w:pPr>
    </w:p>
    <w:p w14:paraId="7C0CB05C" w14:textId="77777777" w:rsidR="005B1555" w:rsidRDefault="005B1555" w:rsidP="005B1555">
      <w:r w:rsidRPr="00E31D6B">
        <w:rPr>
          <w:b/>
          <w:bCs/>
        </w:rPr>
        <w:t>Declaration</w:t>
      </w:r>
      <w:r>
        <w:rPr>
          <w:b/>
          <w:bCs/>
        </w:rPr>
        <w:t>s</w:t>
      </w:r>
      <w:r w:rsidRPr="00E31D6B">
        <w:rPr>
          <w:b/>
          <w:bCs/>
        </w:rPr>
        <w:t xml:space="preserve"> of interest:</w:t>
      </w:r>
      <w:r>
        <w:t xml:space="preserve"> none</w:t>
      </w:r>
    </w:p>
    <w:p w14:paraId="53347F8B" w14:textId="6F1872B5" w:rsidR="00AA235B" w:rsidRDefault="00AA235B" w:rsidP="005D3987">
      <w:pPr>
        <w:pStyle w:val="CommentText"/>
        <w:suppressLineNumbers/>
        <w:spacing w:line="480" w:lineRule="auto"/>
        <w:rPr>
          <w:sz w:val="24"/>
          <w:szCs w:val="24"/>
        </w:rPr>
      </w:pPr>
    </w:p>
    <w:p w14:paraId="17F57AAC" w14:textId="3F6FE822" w:rsidR="005B1555" w:rsidRDefault="005B1555" w:rsidP="005D3987">
      <w:pPr>
        <w:pStyle w:val="CommentText"/>
        <w:suppressLineNumbers/>
        <w:spacing w:line="480" w:lineRule="auto"/>
        <w:rPr>
          <w:sz w:val="24"/>
          <w:szCs w:val="24"/>
        </w:rPr>
      </w:pPr>
    </w:p>
    <w:p w14:paraId="6AC244B2" w14:textId="77777777" w:rsidR="00045ED4" w:rsidRDefault="00045ED4" w:rsidP="005D3987">
      <w:pPr>
        <w:pStyle w:val="CommentText"/>
        <w:suppressLineNumbers/>
        <w:spacing w:line="480" w:lineRule="auto"/>
        <w:rPr>
          <w:sz w:val="24"/>
          <w:szCs w:val="24"/>
        </w:rPr>
        <w:sectPr w:rsidR="00045ED4" w:rsidSect="00BE0DF3">
          <w:footerReference w:type="even" r:id="rId8"/>
          <w:footerReference w:type="default" r:id="rId9"/>
          <w:pgSz w:w="11906" w:h="16838"/>
          <w:pgMar w:top="1440" w:right="1440" w:bottom="1440" w:left="1440" w:header="708" w:footer="708" w:gutter="0"/>
          <w:cols w:space="708"/>
          <w:docGrid w:linePitch="360"/>
        </w:sectPr>
      </w:pPr>
    </w:p>
    <w:p w14:paraId="5777B824" w14:textId="08D902B2" w:rsidR="00F02A5F" w:rsidRPr="00F02A5F" w:rsidRDefault="00F02A5F" w:rsidP="001F374D">
      <w:pPr>
        <w:pStyle w:val="Heading1"/>
      </w:pPr>
      <w:r w:rsidRPr="00F02A5F">
        <w:lastRenderedPageBreak/>
        <w:t>ABSTRACT</w:t>
      </w:r>
    </w:p>
    <w:p w14:paraId="2B8D01E1" w14:textId="1FB57F29" w:rsidR="00CB29D8" w:rsidRDefault="005D3987" w:rsidP="005D3987">
      <w:pPr>
        <w:pStyle w:val="CommentText"/>
        <w:suppressLineNumbers/>
        <w:spacing w:line="480" w:lineRule="auto"/>
        <w:rPr>
          <w:sz w:val="24"/>
          <w:szCs w:val="24"/>
        </w:rPr>
      </w:pPr>
      <w:r w:rsidRPr="005D3987">
        <w:rPr>
          <w:b/>
          <w:bCs/>
          <w:sz w:val="24"/>
          <w:szCs w:val="24"/>
        </w:rPr>
        <w:t>Objectives:</w:t>
      </w:r>
      <w:r>
        <w:rPr>
          <w:sz w:val="24"/>
          <w:szCs w:val="24"/>
        </w:rPr>
        <w:t xml:space="preserve"> </w:t>
      </w:r>
      <w:r w:rsidR="00A32D11">
        <w:rPr>
          <w:sz w:val="24"/>
          <w:szCs w:val="24"/>
        </w:rPr>
        <w:t>Higher levels of s</w:t>
      </w:r>
      <w:r w:rsidR="00F466BF" w:rsidRPr="00F466BF">
        <w:rPr>
          <w:sz w:val="24"/>
          <w:szCs w:val="24"/>
        </w:rPr>
        <w:t>e</w:t>
      </w:r>
      <w:r w:rsidR="00F466BF">
        <w:rPr>
          <w:sz w:val="24"/>
          <w:szCs w:val="24"/>
        </w:rPr>
        <w:t xml:space="preserve">dentary behavior (SB) may be associated with </w:t>
      </w:r>
      <w:r w:rsidR="00A32D11">
        <w:rPr>
          <w:sz w:val="24"/>
          <w:szCs w:val="24"/>
        </w:rPr>
        <w:t xml:space="preserve">decreased </w:t>
      </w:r>
      <w:r w:rsidR="00F466BF">
        <w:rPr>
          <w:sz w:val="24"/>
          <w:szCs w:val="24"/>
        </w:rPr>
        <w:t xml:space="preserve">happiness but there are no studies on this topic. Thus, we investigated </w:t>
      </w:r>
      <w:r w:rsidR="00F02A5F">
        <w:rPr>
          <w:sz w:val="24"/>
          <w:szCs w:val="24"/>
        </w:rPr>
        <w:t>th</w:t>
      </w:r>
      <w:r w:rsidR="00F466BF">
        <w:rPr>
          <w:sz w:val="24"/>
          <w:szCs w:val="24"/>
        </w:rPr>
        <w:t>is association</w:t>
      </w:r>
      <w:r w:rsidR="00F02A5F">
        <w:rPr>
          <w:sz w:val="24"/>
          <w:szCs w:val="24"/>
        </w:rPr>
        <w:t xml:space="preserve">, and </w:t>
      </w:r>
      <w:r w:rsidR="00F466BF">
        <w:rPr>
          <w:sz w:val="24"/>
          <w:szCs w:val="24"/>
        </w:rPr>
        <w:t xml:space="preserve">its influential factors </w:t>
      </w:r>
      <w:r w:rsidR="00F02A5F">
        <w:rPr>
          <w:sz w:val="24"/>
          <w:szCs w:val="24"/>
        </w:rPr>
        <w:t>among middle-aged and older adults using nationally representative datasets from six low-and</w:t>
      </w:r>
      <w:r w:rsidR="00F466BF">
        <w:rPr>
          <w:sz w:val="24"/>
          <w:szCs w:val="24"/>
        </w:rPr>
        <w:t xml:space="preserve"> </w:t>
      </w:r>
      <w:r w:rsidR="00F02A5F">
        <w:rPr>
          <w:sz w:val="24"/>
          <w:szCs w:val="24"/>
        </w:rPr>
        <w:t>middle-income countries (LMIC</w:t>
      </w:r>
      <w:r w:rsidR="00F466BF">
        <w:rPr>
          <w:sz w:val="24"/>
          <w:szCs w:val="24"/>
        </w:rPr>
        <w:t>s</w:t>
      </w:r>
      <w:r w:rsidR="00F02A5F">
        <w:rPr>
          <w:sz w:val="24"/>
          <w:szCs w:val="24"/>
        </w:rPr>
        <w:t xml:space="preserve">). </w:t>
      </w:r>
      <w:r w:rsidRPr="005D3987">
        <w:rPr>
          <w:b/>
          <w:bCs/>
          <w:sz w:val="24"/>
          <w:szCs w:val="24"/>
        </w:rPr>
        <w:t>Study design:</w:t>
      </w:r>
      <w:r>
        <w:rPr>
          <w:sz w:val="24"/>
          <w:szCs w:val="24"/>
        </w:rPr>
        <w:t xml:space="preserve"> </w:t>
      </w:r>
      <w:r w:rsidR="00F02A5F" w:rsidRPr="00F02A5F">
        <w:rPr>
          <w:sz w:val="24"/>
          <w:szCs w:val="24"/>
        </w:rPr>
        <w:t xml:space="preserve">Community-based cross-sectional data from the Global Ageing and Adult Health study were analyzed. </w:t>
      </w:r>
      <w:r>
        <w:rPr>
          <w:sz w:val="24"/>
          <w:szCs w:val="24"/>
        </w:rPr>
        <w:t xml:space="preserve">SB </w:t>
      </w:r>
      <w:r w:rsidRPr="00F02A5F">
        <w:rPr>
          <w:sz w:val="24"/>
          <w:szCs w:val="24"/>
        </w:rPr>
        <w:t xml:space="preserve">was assessed with the Global </w:t>
      </w:r>
      <w:r>
        <w:rPr>
          <w:sz w:val="24"/>
          <w:szCs w:val="24"/>
        </w:rPr>
        <w:t xml:space="preserve">Physical Activity Questionnaire. </w:t>
      </w:r>
      <w:r w:rsidRPr="00F02A5F">
        <w:rPr>
          <w:sz w:val="24"/>
          <w:szCs w:val="24"/>
        </w:rPr>
        <w:t>Multivariable ordinal logistic regression and mediation analyses were performed.</w:t>
      </w:r>
      <w:r>
        <w:rPr>
          <w:sz w:val="24"/>
          <w:szCs w:val="24"/>
        </w:rPr>
        <w:t xml:space="preserve"> </w:t>
      </w:r>
      <w:r w:rsidRPr="005D3987">
        <w:rPr>
          <w:b/>
          <w:bCs/>
          <w:sz w:val="24"/>
          <w:szCs w:val="24"/>
        </w:rPr>
        <w:t>Main outcome measures:</w:t>
      </w:r>
      <w:r>
        <w:rPr>
          <w:sz w:val="24"/>
          <w:szCs w:val="24"/>
        </w:rPr>
        <w:t xml:space="preserve"> </w:t>
      </w:r>
      <w:r w:rsidR="00F02A5F" w:rsidRPr="00F02A5F">
        <w:rPr>
          <w:sz w:val="24"/>
          <w:szCs w:val="24"/>
        </w:rPr>
        <w:t xml:space="preserve">Happiness was assessed with a cross-culturally validated single-item question </w:t>
      </w:r>
      <w:r w:rsidR="002C5E17">
        <w:rPr>
          <w:sz w:val="24"/>
          <w:szCs w:val="24"/>
        </w:rPr>
        <w:t xml:space="preserve">(5-point scale) </w:t>
      </w:r>
      <w:r w:rsidR="00F02A5F" w:rsidRPr="00F02A5F">
        <w:rPr>
          <w:sz w:val="24"/>
          <w:szCs w:val="24"/>
        </w:rPr>
        <w:t xml:space="preserve">with higher scores indicating higher levels of happiness. </w:t>
      </w:r>
      <w:r w:rsidRPr="005D3987">
        <w:rPr>
          <w:b/>
          <w:bCs/>
          <w:sz w:val="24"/>
          <w:szCs w:val="24"/>
        </w:rPr>
        <w:t>Results:</w:t>
      </w:r>
      <w:r>
        <w:rPr>
          <w:sz w:val="24"/>
          <w:szCs w:val="24"/>
        </w:rPr>
        <w:t xml:space="preserve"> </w:t>
      </w:r>
      <w:r w:rsidR="00F02A5F" w:rsidRPr="00E73C91">
        <w:rPr>
          <w:sz w:val="24"/>
          <w:szCs w:val="24"/>
        </w:rPr>
        <w:t xml:space="preserve">The </w:t>
      </w:r>
      <w:r w:rsidR="00AE1FDF">
        <w:rPr>
          <w:sz w:val="24"/>
          <w:szCs w:val="24"/>
        </w:rPr>
        <w:t xml:space="preserve">final </w:t>
      </w:r>
      <w:r w:rsidR="00F02A5F" w:rsidRPr="00E73C91">
        <w:rPr>
          <w:sz w:val="24"/>
          <w:szCs w:val="24"/>
        </w:rPr>
        <w:t>sample included 34,129 adults aged ≥50 years (mean age</w:t>
      </w:r>
      <w:r w:rsidR="00C33B7B">
        <w:rPr>
          <w:sz w:val="24"/>
          <w:szCs w:val="24"/>
        </w:rPr>
        <w:t xml:space="preserve"> </w:t>
      </w:r>
      <w:r w:rsidR="00F02A5F" w:rsidRPr="00E73C91">
        <w:rPr>
          <w:sz w:val="24"/>
          <w:szCs w:val="24"/>
        </w:rPr>
        <w:t xml:space="preserve">= 62.4 ± SD 16 years; 51.9% female). After adjusting for multiple confounders, </w:t>
      </w:r>
      <w:r w:rsidR="00045ED4">
        <w:rPr>
          <w:sz w:val="24"/>
          <w:szCs w:val="24"/>
        </w:rPr>
        <w:t xml:space="preserve">increased time spent in SB </w:t>
      </w:r>
      <w:r w:rsidR="00F466BF">
        <w:rPr>
          <w:sz w:val="24"/>
          <w:szCs w:val="24"/>
        </w:rPr>
        <w:t>(</w:t>
      </w:r>
      <w:r w:rsidR="00045ED4">
        <w:rPr>
          <w:sz w:val="24"/>
          <w:szCs w:val="24"/>
        </w:rPr>
        <w:t>hours/day</w:t>
      </w:r>
      <w:r w:rsidR="00F466BF">
        <w:rPr>
          <w:sz w:val="24"/>
          <w:szCs w:val="24"/>
        </w:rPr>
        <w:t xml:space="preserve">) </w:t>
      </w:r>
      <w:r w:rsidR="00F02A5F" w:rsidRPr="00E73C91">
        <w:rPr>
          <w:sz w:val="24"/>
          <w:szCs w:val="24"/>
        </w:rPr>
        <w:t xml:space="preserve">was associated with lower happiness levels </w:t>
      </w:r>
      <w:r w:rsidR="00E73C91" w:rsidRPr="00E73C91">
        <w:rPr>
          <w:sz w:val="24"/>
          <w:szCs w:val="24"/>
        </w:rPr>
        <w:t>(</w:t>
      </w:r>
      <w:r w:rsidR="00F02A5F" w:rsidRPr="00E73C91">
        <w:rPr>
          <w:sz w:val="24"/>
          <w:szCs w:val="24"/>
        </w:rPr>
        <w:t>OR=</w:t>
      </w:r>
      <w:r w:rsidR="00E73C91" w:rsidRPr="00E73C91">
        <w:rPr>
          <w:sz w:val="24"/>
          <w:szCs w:val="24"/>
        </w:rPr>
        <w:t>0.</w:t>
      </w:r>
      <w:r w:rsidR="00045ED4">
        <w:rPr>
          <w:sz w:val="24"/>
          <w:szCs w:val="24"/>
        </w:rPr>
        <w:t>96</w:t>
      </w:r>
      <w:r w:rsidR="00E73C91" w:rsidRPr="00E73C91">
        <w:rPr>
          <w:sz w:val="24"/>
          <w:szCs w:val="24"/>
        </w:rPr>
        <w:t>; 95%CI=0.</w:t>
      </w:r>
      <w:r w:rsidR="00045ED4">
        <w:rPr>
          <w:sz w:val="24"/>
          <w:szCs w:val="24"/>
        </w:rPr>
        <w:t>94</w:t>
      </w:r>
      <w:r w:rsidR="00E73C91" w:rsidRPr="00E73C91">
        <w:rPr>
          <w:sz w:val="24"/>
          <w:szCs w:val="24"/>
        </w:rPr>
        <w:t>-0.</w:t>
      </w:r>
      <w:r w:rsidR="003F3491">
        <w:rPr>
          <w:sz w:val="24"/>
          <w:szCs w:val="24"/>
        </w:rPr>
        <w:t>98</w:t>
      </w:r>
      <w:r w:rsidR="00E73C91" w:rsidRPr="00E73C91">
        <w:rPr>
          <w:sz w:val="24"/>
          <w:szCs w:val="24"/>
        </w:rPr>
        <w:t>).</w:t>
      </w:r>
      <w:r w:rsidR="00E73C91" w:rsidRPr="00D617A1">
        <w:rPr>
          <w:sz w:val="24"/>
          <w:szCs w:val="24"/>
        </w:rPr>
        <w:t xml:space="preserve"> </w:t>
      </w:r>
      <w:r w:rsidR="00D617A1" w:rsidRPr="00D617A1">
        <w:rPr>
          <w:sz w:val="24"/>
          <w:szCs w:val="24"/>
        </w:rPr>
        <w:t>Mobilit</w:t>
      </w:r>
      <w:r w:rsidR="00D617A1">
        <w:rPr>
          <w:sz w:val="24"/>
          <w:szCs w:val="24"/>
        </w:rPr>
        <w:t>y limitations, cognitive complain</w:t>
      </w:r>
      <w:r w:rsidR="00F466BF">
        <w:rPr>
          <w:sz w:val="24"/>
          <w:szCs w:val="24"/>
        </w:rPr>
        <w:t>t</w:t>
      </w:r>
      <w:r w:rsidR="00D617A1">
        <w:rPr>
          <w:sz w:val="24"/>
          <w:szCs w:val="24"/>
        </w:rPr>
        <w:t>s, pain</w:t>
      </w:r>
      <w:r w:rsidR="00F466BF">
        <w:rPr>
          <w:sz w:val="24"/>
          <w:szCs w:val="24"/>
        </w:rPr>
        <w:t>/</w:t>
      </w:r>
      <w:r w:rsidR="00D617A1">
        <w:rPr>
          <w:sz w:val="24"/>
          <w:szCs w:val="24"/>
        </w:rPr>
        <w:t xml:space="preserve">discomfort, </w:t>
      </w:r>
      <w:r w:rsidR="00F466BF">
        <w:rPr>
          <w:sz w:val="24"/>
          <w:szCs w:val="24"/>
        </w:rPr>
        <w:t>sleep problems</w:t>
      </w:r>
      <w:r w:rsidR="008067AE">
        <w:rPr>
          <w:sz w:val="24"/>
          <w:szCs w:val="24"/>
        </w:rPr>
        <w:t xml:space="preserve"> and disability</w:t>
      </w:r>
      <w:r w:rsidR="00F466BF">
        <w:rPr>
          <w:sz w:val="24"/>
          <w:szCs w:val="24"/>
        </w:rPr>
        <w:t xml:space="preserve"> </w:t>
      </w:r>
      <w:r w:rsidR="00D617A1">
        <w:rPr>
          <w:sz w:val="24"/>
          <w:szCs w:val="24"/>
        </w:rPr>
        <w:t xml:space="preserve">explained the largest proportion of the association between SB and happiness. </w:t>
      </w:r>
      <w:bookmarkStart w:id="0" w:name="_Hlk46135844"/>
      <w:r w:rsidRPr="005D3987">
        <w:rPr>
          <w:b/>
          <w:bCs/>
          <w:sz w:val="24"/>
          <w:szCs w:val="24"/>
        </w:rPr>
        <w:t>Conclusions</w:t>
      </w:r>
      <w:r>
        <w:rPr>
          <w:sz w:val="24"/>
          <w:szCs w:val="24"/>
        </w:rPr>
        <w:t xml:space="preserve">: </w:t>
      </w:r>
      <w:r w:rsidR="00D617A1" w:rsidRPr="00D617A1">
        <w:rPr>
          <w:sz w:val="24"/>
          <w:szCs w:val="24"/>
        </w:rPr>
        <w:t xml:space="preserve">SB was linked with </w:t>
      </w:r>
      <w:r w:rsidR="00A6044A">
        <w:rPr>
          <w:sz w:val="24"/>
          <w:szCs w:val="24"/>
        </w:rPr>
        <w:t xml:space="preserve">lower levels of </w:t>
      </w:r>
      <w:r w:rsidR="00D617A1" w:rsidRPr="00D617A1">
        <w:rPr>
          <w:sz w:val="24"/>
          <w:szCs w:val="24"/>
        </w:rPr>
        <w:t>happiness in middle</w:t>
      </w:r>
      <w:r w:rsidR="00E72757">
        <w:rPr>
          <w:sz w:val="24"/>
          <w:szCs w:val="24"/>
        </w:rPr>
        <w:t>-aged</w:t>
      </w:r>
      <w:r w:rsidR="00D617A1" w:rsidRPr="00D617A1">
        <w:rPr>
          <w:sz w:val="24"/>
          <w:szCs w:val="24"/>
        </w:rPr>
        <w:t xml:space="preserve"> and older adults from LMICs</w:t>
      </w:r>
      <w:r w:rsidR="00CE3589">
        <w:rPr>
          <w:sz w:val="24"/>
          <w:szCs w:val="24"/>
        </w:rPr>
        <w:t xml:space="preserve">, although </w:t>
      </w:r>
      <w:r w:rsidR="003F3491">
        <w:rPr>
          <w:sz w:val="24"/>
          <w:szCs w:val="24"/>
        </w:rPr>
        <w:t xml:space="preserve">a high level of between-country heterogeneity was observed. </w:t>
      </w:r>
      <w:r w:rsidR="00D617A1" w:rsidRPr="00D617A1">
        <w:rPr>
          <w:sz w:val="24"/>
          <w:szCs w:val="24"/>
        </w:rPr>
        <w:t xml:space="preserve">Longitudinal </w:t>
      </w:r>
      <w:bookmarkEnd w:id="0"/>
      <w:r w:rsidR="00D617A1" w:rsidRPr="00D617A1">
        <w:rPr>
          <w:sz w:val="24"/>
          <w:szCs w:val="24"/>
        </w:rPr>
        <w:t xml:space="preserve">and interventional studies among older people in LMICs are warranted to assess directionality and the potential for </w:t>
      </w:r>
      <w:r w:rsidR="00782AD3">
        <w:rPr>
          <w:sz w:val="24"/>
          <w:szCs w:val="24"/>
        </w:rPr>
        <w:t xml:space="preserve">reduction in </w:t>
      </w:r>
      <w:r w:rsidR="00E72757">
        <w:rPr>
          <w:sz w:val="24"/>
          <w:szCs w:val="24"/>
        </w:rPr>
        <w:t xml:space="preserve">SB </w:t>
      </w:r>
      <w:r w:rsidR="00782AD3">
        <w:rPr>
          <w:sz w:val="24"/>
          <w:szCs w:val="24"/>
        </w:rPr>
        <w:t xml:space="preserve">to improve </w:t>
      </w:r>
      <w:r w:rsidR="00D617A1" w:rsidRPr="00D617A1">
        <w:rPr>
          <w:sz w:val="24"/>
          <w:szCs w:val="24"/>
        </w:rPr>
        <w:t>mental well-being in this population.</w:t>
      </w:r>
    </w:p>
    <w:p w14:paraId="35361A83" w14:textId="77777777" w:rsidR="00CA0912" w:rsidRDefault="00CA0912" w:rsidP="005D3987">
      <w:pPr>
        <w:pStyle w:val="CommentText"/>
        <w:suppressLineNumbers/>
        <w:spacing w:line="480" w:lineRule="auto"/>
        <w:rPr>
          <w:sz w:val="24"/>
          <w:szCs w:val="24"/>
        </w:rPr>
      </w:pPr>
    </w:p>
    <w:p w14:paraId="09225BD1" w14:textId="10DC0018" w:rsidR="00A94B6F" w:rsidRDefault="00B35845" w:rsidP="005D3987">
      <w:pPr>
        <w:spacing w:line="480" w:lineRule="auto"/>
        <w:rPr>
          <w:rFonts w:cs="Times New Roman"/>
          <w:bCs/>
        </w:rPr>
      </w:pPr>
      <w:r>
        <w:rPr>
          <w:rFonts w:cs="Times New Roman"/>
          <w:b/>
        </w:rPr>
        <w:t>K</w:t>
      </w:r>
      <w:r w:rsidR="00FC452D">
        <w:rPr>
          <w:rFonts w:cs="Times New Roman"/>
          <w:b/>
        </w:rPr>
        <w:t>e</w:t>
      </w:r>
      <w:r w:rsidR="005A1463">
        <w:rPr>
          <w:rFonts w:cs="Times New Roman"/>
          <w:b/>
        </w:rPr>
        <w:t>y</w:t>
      </w:r>
      <w:r w:rsidR="00FC452D">
        <w:rPr>
          <w:rFonts w:cs="Times New Roman"/>
          <w:b/>
        </w:rPr>
        <w:t xml:space="preserve">words: </w:t>
      </w:r>
      <w:r w:rsidR="00FC452D">
        <w:rPr>
          <w:rFonts w:cs="Times New Roman"/>
          <w:bCs/>
        </w:rPr>
        <w:t>s</w:t>
      </w:r>
      <w:r w:rsidR="00496625">
        <w:rPr>
          <w:rFonts w:cs="Times New Roman"/>
          <w:bCs/>
        </w:rPr>
        <w:t xml:space="preserve">itting time, </w:t>
      </w:r>
      <w:r w:rsidR="00FC452D">
        <w:rPr>
          <w:rFonts w:cs="Times New Roman"/>
          <w:bCs/>
        </w:rPr>
        <w:t xml:space="preserve">happiness, wellbeing, low-and-middle-income countries, mental health. </w:t>
      </w:r>
    </w:p>
    <w:p w14:paraId="62FC5509" w14:textId="77777777" w:rsidR="00C33B7B" w:rsidRPr="00FC452D" w:rsidRDefault="00C33B7B" w:rsidP="005D3987">
      <w:pPr>
        <w:spacing w:line="480" w:lineRule="auto"/>
        <w:rPr>
          <w:rFonts w:cs="Times New Roman"/>
          <w:bCs/>
        </w:rPr>
      </w:pPr>
    </w:p>
    <w:p w14:paraId="542450A4" w14:textId="77777777" w:rsidR="001F36B2" w:rsidRDefault="001F36B2" w:rsidP="005D3987">
      <w:pPr>
        <w:spacing w:line="480" w:lineRule="auto"/>
        <w:rPr>
          <w:rFonts w:cs="Times New Roman"/>
          <w:b/>
        </w:rPr>
        <w:sectPr w:rsidR="001F36B2" w:rsidSect="00BE0DF3">
          <w:pgSz w:w="11906" w:h="16838"/>
          <w:pgMar w:top="1440" w:right="1440" w:bottom="1440" w:left="1440" w:header="708" w:footer="708" w:gutter="0"/>
          <w:cols w:space="708"/>
          <w:docGrid w:linePitch="360"/>
        </w:sectPr>
      </w:pPr>
    </w:p>
    <w:p w14:paraId="5DA12B60" w14:textId="756D9C23" w:rsidR="00A16EA9" w:rsidRDefault="00A16EA9" w:rsidP="001F374D">
      <w:pPr>
        <w:pStyle w:val="Heading1"/>
      </w:pPr>
      <w:r>
        <w:lastRenderedPageBreak/>
        <w:t>INTRODUCTION</w:t>
      </w:r>
      <w:r w:rsidR="004A649C">
        <w:t xml:space="preserve"> </w:t>
      </w:r>
    </w:p>
    <w:p w14:paraId="162A9FE0" w14:textId="0477E139" w:rsidR="00910EC3" w:rsidRDefault="00C33B7B" w:rsidP="005D3987">
      <w:pPr>
        <w:spacing w:line="480" w:lineRule="auto"/>
        <w:rPr>
          <w:rFonts w:cs="Times New Roman"/>
          <w:color w:val="000000"/>
        </w:rPr>
      </w:pPr>
      <w:r>
        <w:t xml:space="preserve">Sedentary behavior </w:t>
      </w:r>
      <w:r w:rsidR="00C62ED7">
        <w:t xml:space="preserve">(SB) </w:t>
      </w:r>
      <w:r>
        <w:t xml:space="preserve">refers to </w:t>
      </w:r>
      <w:r w:rsidR="00666D80">
        <w:t>waking behaviors characterized by an energy</w:t>
      </w:r>
      <w:r w:rsidR="00666D80" w:rsidRPr="00CC09E1">
        <w:t xml:space="preserve"> expenditure</w:t>
      </w:r>
      <w:r w:rsidR="001554D9">
        <w:t xml:space="preserve"> </w:t>
      </w:r>
      <w:r w:rsidR="00666D80" w:rsidRPr="00CC09E1">
        <w:t>of</w:t>
      </w:r>
      <w:r w:rsidR="00666D80">
        <w:t xml:space="preserve"> </w:t>
      </w:r>
      <w:r w:rsidR="00666D80" w:rsidRPr="00CC09E1">
        <w:t>≤1.5 METs</w:t>
      </w:r>
      <w:r w:rsidR="00666D80">
        <w:t xml:space="preserve"> while in a sitting or reclining posture</w:t>
      </w:r>
      <w:r w:rsidR="00666D80" w:rsidRPr="000A2CD9">
        <w:t xml:space="preserve"> </w:t>
      </w:r>
      <w:r w:rsidR="00666D80">
        <w:fldChar w:fldCharType="begin" w:fldLock="1"/>
      </w:r>
      <w:r w:rsidR="00666D80">
        <w:instrText>ADDIN CSL_CITATION {"citationItems":[{"id":"ITEM-1","itemData":{"DOI":"10.1139/H2012-024","ISSN":"17155312","PMID":"22540258","author":[{"dropping-particle":"","family":"Tremblay","given":"Mark","non-dropping-particle":"","parse-names":false,"suffix":""}],"container-title":"Applied Physiology, Nutrition and Metabolism","id":"ITEM-1","issue":"3","issued":{"date-parts":[["2012","6"]]},"page":"540-542","title":"Letter to the editor: Standardized use of the terms \"sedentary\" and \"sedentary behaviours\"","type":"article","volume":"37"},"uris":["http://www.mendeley.com/documents/?uuid=86209e1b-e8eb-33ba-a5b5-1639fec4baba"]}],"mendeley":{"formattedCitation":"[1]","plainTextFormattedCitation":"[1]","previouslyFormattedCitation":"[1]"},"properties":{"noteIndex":0},"schema":"https://github.com/citation-style-language/schema/raw/master/csl-citation.json"}</w:instrText>
      </w:r>
      <w:r w:rsidR="00666D80">
        <w:fldChar w:fldCharType="separate"/>
      </w:r>
      <w:r w:rsidR="00666D80" w:rsidRPr="00A94B6F">
        <w:rPr>
          <w:noProof/>
        </w:rPr>
        <w:t>[1]</w:t>
      </w:r>
      <w:r w:rsidR="00666D80">
        <w:fldChar w:fldCharType="end"/>
      </w:r>
      <w:r w:rsidR="00666D80">
        <w:rPr>
          <w:rFonts w:cs="Times New Roman"/>
          <w:color w:val="000000"/>
        </w:rPr>
        <w:t xml:space="preserve">. </w:t>
      </w:r>
      <w:r w:rsidRPr="009D7AB2">
        <w:rPr>
          <w:rFonts w:cs="Times New Roman"/>
          <w:color w:val="000000"/>
        </w:rPr>
        <w:t xml:space="preserve">According to accelerometer-derived measures, middle-aged and older adults spend an average of 9.4 to 12.3 hours/day in </w:t>
      </w:r>
      <w:r w:rsidR="00C62ED7" w:rsidRPr="009D7AB2">
        <w:rPr>
          <w:rFonts w:cs="Times New Roman"/>
          <w:color w:val="000000"/>
        </w:rPr>
        <w:t xml:space="preserve">SB </w:t>
      </w:r>
      <w:r w:rsidR="008933F0">
        <w:rPr>
          <w:rFonts w:cs="Times New Roman"/>
          <w:color w:val="000000"/>
        </w:rPr>
        <w:t xml:space="preserve"> </w:t>
      </w:r>
      <w:r w:rsidR="008933F0">
        <w:rPr>
          <w:rFonts w:cs="Times New Roman"/>
          <w:color w:val="000000"/>
        </w:rPr>
        <w:fldChar w:fldCharType="begin" w:fldLock="1"/>
      </w:r>
      <w:r w:rsidR="000D75C8">
        <w:rPr>
          <w:rFonts w:cs="Times New Roman"/>
          <w:color w:val="000000"/>
        </w:rPr>
        <w:instrText>ADDIN CSL_CITATION {"citationItems":[{"id":"ITEM-1","itemData":{"DOI":"10.7326/M17-0212","ISSN":"15393704","PMID":"28892811","abstract":"Background: Excessive sedentary time is ubiquitous in Western societies. Previous studies have relied on self-reporting to evaluate the total volume of sedentary time as a prognostic risk factor for mortality and have not examined whether the manner in which sedentary time is accrued (in short or long bouts) carries prognostic relevance. Objective: To examine the association between objectively measured sedentary behavior (its total volume and accrual in prolonged, uninterrupted bouts) and all-cause mortality. Design: Prospective cohort study. Setting: Contiguous United States. Participants: 7985 black and white adults aged 45 years or older. Measurements: Sedentary time was measured using a hipmounted accelerometer. Prolonged, uninterrupted sedentariness was expressed as mean sedentary bout length. Hazard ratios (HRs) were calculated comparing quartiles 2 through 4 to quartile 1 for each exposure (quartile cut points: 689.7, 746.5, and 799.4 min/d for total sedentary time; 7.7, 9.6, and 12.4 min/ bout for sedentary bout duration) in models that included moderate to vigorous physical activity. Results: Over a median follow-up of 4.0 years, 340 participants died. In multivariable-adjusted models, greater total sedentary time (HR, 1.22 [95% CI, 0.74 to 2.02]; HR, 1.61 [CI, 0.99 to 2.63]; and HR, 2.63 [CI, 1.60 to 4.30]; P for trend &lt; 0.001) and longer sedentary bout duration (HR, 1.03 [CI, 0.67 to 1.60]; HR, 1.22 [CI, 0.80 to 1.85]; and HR, 1.96 [CI, 1.31 to 2.93]; P for trend &lt; 0.001) were both associated with a higher risk for all-cause mortality. Evaluation of their joint association showed that participants classified as high for both sedentary characteristics (high sedentary time [≥12.5 h/d] and high bout duration [≥10 min/bout]) had the greatest risk for death. Limitation: Participants may not be representative of the general U.S. population. Conclusion: Both the total volume of sedentary time and its accrual in prolonged, uninterrupted bouts are associated with all-cause mortality, suggesting that physical activity guidelines should target reducing and interrupting sedentary time to reduce risk for death. Primary Funding Source: National Institutes of Health.","author":[{"dropping-particle":"","family":"Diaz","given":"Keith M.","non-dropping-particle":"","parse-names":false,"suffix":""},{"dropping-particle":"","family":"Howard","given":"Virginia J.","non-dropping-particle":"","parse-names":false,"suffix":""},{"dropping-particle":"","family":"Hutto","given":"Brent","non-dropping-particle":"","parse-names":false,"suffix":""},{"dropping-particle":"","family":"Colabianchi","given":"Natalie","non-dropping-particle":"","parse-names":false,"suffix":""},{"dropping-particle":"","family":"Vena","given":"John E.","non-dropping-particle":"","parse-names":false,"suffix":""},{"dropping-particle":"","family":"Safford","given":"Monika M.","non-dropping-particle":"","parse-names":false,"suffix":""},{"dropping-particle":"","family":"Blair","given":"Steven N.","non-dropping-particle":"","parse-names":false,"suffix":""},{"dropping-particle":"","family":"Hooker","given":"Steven P.","non-dropping-particle":"","parse-names":false,"suffix":""}],"container-title":"Annals of Internal Medicine","id":"ITEM-1","issue":"7","issued":{"date-parts":[["2017","10","3"]]},"page":"465-475","publisher":"American College of Physicians","title":"Patterns of sedentary behavior and mortality in U.S. middle-aged and older adults a national cohort study","type":"article-journal","volume":"167"},"uris":["http://www.mendeley.com/documents/?uuid=b3b1fa86-cbe9-3f29-99af-cc75107c36a8"]},{"id":"ITEM-2","itemData":{"DOI":"10.1123/japa.2014-0164","ISSN":"1543267X","abstract":"Background/objectives: Sedentary behavior (SB), defined as sitting (nonexercising), reclining, and lying down (posture), or by low energy expenditure, is a public health risk independent to physical activity. The objective of this systematic literature review was to synthesize the available evidence on amount of SB reported by and measured in older adults. Data source: Studies published between 1981 and 2014 were identified from electronic databases and manual searching. Large-scale population studies/surveys reporting the amount of SB (objective/ subjective) in older adults aged ≥ 60 years of age were included. Appraisal and synthesis was completed using MOOSE guidelines. Results: 349,698 adults aged ≥ 60 within 22 studies (10 countries and 1 EU-wide) were included. Objective measurement of SB shows that older adults spend an average of 9.4 hr a day sedentary, equating to 65-80% of their waking day. Self-report of SB is lower, with average weighted self-reports being 5.3 hr daily. Within specific domains of SB, older adults report 3.3 hr in leisure sitting time and 3.3 hr watching TV. There is an association with more time spent in SB as age advances and a trend for older men to spend more time in SB than women. Conclusion/ implications: Time spent sedentary ranges from 5.3-9.4 hr per waking day in older adults. With recent studies suggesting a link between SB, health, and well-being, independent of physical activity, this is an area important for successful aging. Limitations: Different methodologies of measurement and different reporting methods of SB made synthesis difficult. Estimated SB time from self-report is half of that measured objectively; suggesting that most self-report surveys of SB will vastly underestimate the actual time spent in SB.","author":[{"dropping-particle":"","family":"Harvey","given":"Juliet A.","non-dropping-particle":"","parse-names":false,"suffix":""},{"dropping-particle":"","family":"Chastin","given":"Sebastien F.M.","non-dropping-particle":"","parse-names":false,"suffix":""},{"dropping-particle":"","family":"Skelton","given":"Dawn A.","non-dropping-particle":"","parse-names":false,"suffix":""}],"container-title":"Journal of Aging and Physical Activity","id":"ITEM-2","issue":"3","issued":{"date-parts":[["2015","7","1"]]},"page":"471-487","publisher":"Human Kinetics Publishers Inc.","title":"How sedentary are older people? A systematic review of the amount of sedentary behavior","type":"article","volume":"23"},"uris":["http://www.mendeley.com/documents/?uuid=a2142a37-28c2-38ce-9fcc-e6bb59c07c78"]}],"mendeley":{"formattedCitation":"[2,3]","plainTextFormattedCitation":"[2,3]","previouslyFormattedCitation":"[2,3]"},"properties":{"noteIndex":0},"schema":"https://github.com/citation-style-language/schema/raw/master/csl-citation.json"}</w:instrText>
      </w:r>
      <w:r w:rsidR="008933F0">
        <w:rPr>
          <w:rFonts w:cs="Times New Roman"/>
          <w:color w:val="000000"/>
        </w:rPr>
        <w:fldChar w:fldCharType="separate"/>
      </w:r>
      <w:r w:rsidR="008933F0" w:rsidRPr="008933F0">
        <w:rPr>
          <w:rFonts w:cs="Times New Roman"/>
          <w:noProof/>
          <w:color w:val="000000"/>
        </w:rPr>
        <w:t>[2,3]</w:t>
      </w:r>
      <w:r w:rsidR="008933F0">
        <w:rPr>
          <w:rFonts w:cs="Times New Roman"/>
          <w:color w:val="000000"/>
        </w:rPr>
        <w:fldChar w:fldCharType="end"/>
      </w:r>
      <w:r w:rsidR="008933F0">
        <w:rPr>
          <w:rFonts w:cs="Times New Roman"/>
          <w:color w:val="000000"/>
        </w:rPr>
        <w:t>.</w:t>
      </w:r>
      <w:r>
        <w:t xml:space="preserve"> </w:t>
      </w:r>
      <w:r w:rsidR="004751F4">
        <w:t>M</w:t>
      </w:r>
      <w:r w:rsidR="00DF7DBC">
        <w:t xml:space="preserve">ounting evidence </w:t>
      </w:r>
      <w:r w:rsidR="009277A4">
        <w:t xml:space="preserve">indicates </w:t>
      </w:r>
      <w:r w:rsidR="0039045C">
        <w:t xml:space="preserve">that </w:t>
      </w:r>
      <w:r w:rsidR="00B2243B">
        <w:t xml:space="preserve">prolonged SB </w:t>
      </w:r>
      <w:r w:rsidR="0039045C">
        <w:t xml:space="preserve">can be hazardous to </w:t>
      </w:r>
      <w:r w:rsidR="00B56BDA">
        <w:t xml:space="preserve">adults’ </w:t>
      </w:r>
      <w:r w:rsidR="0001186E">
        <w:t xml:space="preserve">physical </w:t>
      </w:r>
      <w:r w:rsidR="0039045C">
        <w:t>health</w:t>
      </w:r>
      <w:r w:rsidR="00B2243B">
        <w:t xml:space="preserve"> (</w:t>
      </w:r>
      <w:r w:rsidR="008B7505">
        <w:t>e.g.,</w:t>
      </w:r>
      <w:r w:rsidR="00B2243B">
        <w:t xml:space="preserve"> </w:t>
      </w:r>
      <w:r w:rsidR="00DF7DBC" w:rsidRPr="00DF7DBC">
        <w:t xml:space="preserve">increased risk </w:t>
      </w:r>
      <w:r w:rsidR="004A354A">
        <w:t>for incident cardiovascular disease</w:t>
      </w:r>
      <w:r w:rsidR="007C0AAA">
        <w:t xml:space="preserve">, </w:t>
      </w:r>
      <w:r w:rsidR="004A354A">
        <w:t>type 2 diabetes</w:t>
      </w:r>
      <w:r w:rsidR="009C2612">
        <w:t xml:space="preserve"> and </w:t>
      </w:r>
      <w:r w:rsidR="007C0AAA">
        <w:t>premature mortality</w:t>
      </w:r>
      <w:r w:rsidR="00B2243B">
        <w:t>)</w:t>
      </w:r>
      <w:r w:rsidR="004751F4">
        <w:t xml:space="preserve">, </w:t>
      </w:r>
      <w:r w:rsidR="00B2243B">
        <w:t>independent</w:t>
      </w:r>
      <w:r w:rsidR="00D04AB6">
        <w:t>ly</w:t>
      </w:r>
      <w:r w:rsidR="00B2243B">
        <w:t xml:space="preserve"> of physical activity </w:t>
      </w:r>
      <w:r w:rsidR="007C0AAA">
        <w:fldChar w:fldCharType="begin" w:fldLock="1"/>
      </w:r>
      <w:r w:rsidR="000D75C8">
        <w:instrText>ADDIN CSL_CITATION {"citationItems":[{"id":"ITEM-1","itemData":{"DOI":"10.1007/s10654-018-0380-1","ISSN":"15737284","PMID":"29589226","abstract":"Purpose: To estimate the strength and shape of the dose–response relationship between sedentary behaviour and all-cause, cardiovascular disease (CVD) and cancer mortality, and incident type 2 diabetes (T2D), adjusted for physical activity (PA). Data Sources: Pubmed, Web of Knowledge, Medline, Embase, Cochrane Library and Google Scholar (through September-2016); reference lists. Study Selection: Prospective studies reporting associations between total daily sedentary time or TV viewing time, and ≥ one outcome of interest. Data Extraction: Two independent reviewers extracted data, study quality was assessed; corresponding authors were approached where needed. Data Synthesis: Thirty-four studies (1,331,468 unique participants; good study quality) covering 8 exposure-outcome combinations were included. For total sedentary behaviour, the PA-adjusted relationship was non-linear for all-cause mortality (RR per 1 h/day: were 1.01 (1.00–1.01) ≤ 8 h/day; 1.04 (1.03–1.05) &gt; 8 h/day of exposure), and for CVD mortality (1.01 (0.99–1.02) ≤ 6 h/day; 1.04 (1.03–1.04) &gt; 6 h/day). The association was linear (1.01 (1.00–1.01)) with T2D and non-significant with cancer mortality. Stronger PA-adjusted associations were found for TV viewing (h/day); non-linear for all-cause mortality (1.03 (1.01–1.04) ≤ 3.5 h/day; 1.06 (1.05–1.08) &gt; 3.5 h/day) and for CVD mortality (1.02 (0.99–1.04) ≤ 4 h/day; 1.08 (1.05–1.12) &gt; 4 h/day). Associations with cancer mortality (1.03 (1.02–1.04)) and T2D were linear (1.09 (1.07–1.12)). Conclusions: Independent of PA, total sitting and TV viewing time are associated with greater risk for several major chronic disease outcomes. For all-cause and CVD mortality, a threshold of 6–8 h/day of total sitting and 3–4 h/day of TV viewing was identified, above which the risk is increased.","author":[{"dropping-particle":"","family":"Patterson","given":"Richard","non-dropping-particle":"","parse-names":false,"suffix":""},{"dropping-particle":"","family":"McNamara","given":"Eoin","non-dropping-particle":"","parse-names":false,"suffix":""},{"dropping-particle":"","family":"Tainio","given":"Marko","non-dropping-particle":"","parse-names":false,"suffix":""},{"dropping-particle":"","family":"Sá","given":"Thiago Hérick","non-dropping-particle":"de","parse-names":false,"suffix":""},{"dropping-particle":"","family":"Smith","given":"Andrea D.","non-dropping-particle":"","parse-names":false,"suffix":""},{"dropping-particle":"","family":"Sharp","given":"Stephen J.","non-dropping-particle":"","parse-names":false,"suffix":""},{"dropping-particle":"","family":"Edwards","given":"Phil","non-dropping-particle":"","parse-names":false,"suffix":""},{"dropping-particle":"","family":"Woodcock","given":"James","non-dropping-particle":"","parse-names":false,"suffix":""},{"dropping-particle":"","family":"Brage","given":"Søren","non-dropping-particle":"","parse-names":false,"suffix":""},{"dropping-particle":"","family":"Wijndaele","given":"Katrien","non-dropping-particle":"","parse-names":false,"suffix":""}],"container-title":"European Journal of Epidemiology","id":"ITEM-1","issue":"9","issued":{"date-parts":[["2018","9","1"]]},"page":"811-829","publisher":"Springer Netherlands","title":"Sedentary behaviour and risk of all-cause, cardiovascular and cancer mortality, and incident type 2 diabetes: a systematic review and dose response meta-analysis","type":"article","volume":"33"},"uris":["http://www.mendeley.com/documents/?uuid=698e9240-7356-3902-9523-890dae8635e6"]}],"mendeley":{"formattedCitation":"[4]","plainTextFormattedCitation":"[4]","previouslyFormattedCitation":"[4]"},"properties":{"noteIndex":0},"schema":"https://github.com/citation-style-language/schema/raw/master/csl-citation.json"}</w:instrText>
      </w:r>
      <w:r w:rsidR="007C0AAA">
        <w:fldChar w:fldCharType="separate"/>
      </w:r>
      <w:r w:rsidR="008933F0" w:rsidRPr="008933F0">
        <w:rPr>
          <w:noProof/>
        </w:rPr>
        <w:t>[4]</w:t>
      </w:r>
      <w:r w:rsidR="007C0AAA">
        <w:fldChar w:fldCharType="end"/>
      </w:r>
      <w:r w:rsidR="00BA2BA1">
        <w:t xml:space="preserve">. </w:t>
      </w:r>
      <w:r w:rsidR="00CA6B6D">
        <w:t xml:space="preserve">More recently, </w:t>
      </w:r>
      <w:r w:rsidR="00E76F36">
        <w:t xml:space="preserve">there is burgeoning evidence </w:t>
      </w:r>
      <w:r w:rsidR="00CA6B6D">
        <w:t xml:space="preserve">that </w:t>
      </w:r>
      <w:r w:rsidR="006A36FE">
        <w:t xml:space="preserve">excessive time </w:t>
      </w:r>
      <w:r w:rsidR="00C8414F">
        <w:t xml:space="preserve">spent </w:t>
      </w:r>
      <w:r w:rsidR="006A36FE">
        <w:t xml:space="preserve">in </w:t>
      </w:r>
      <w:r w:rsidR="00C8414F">
        <w:t xml:space="preserve">SB </w:t>
      </w:r>
      <w:r w:rsidR="00CA6B6D">
        <w:t xml:space="preserve">is also linked to </w:t>
      </w:r>
      <w:r w:rsidR="00D43BD7">
        <w:t>adults’</w:t>
      </w:r>
      <w:r w:rsidR="00A24820">
        <w:t xml:space="preserve"> </w:t>
      </w:r>
      <w:r w:rsidR="00CA6B6D">
        <w:t>worse mental health status</w:t>
      </w:r>
      <w:r w:rsidR="00FF6661">
        <w:t xml:space="preserve">, </w:t>
      </w:r>
      <w:r w:rsidR="005F5018">
        <w:t xml:space="preserve">such as </w:t>
      </w:r>
      <w:r w:rsidR="006205CE">
        <w:t xml:space="preserve">increased risk for depression </w:t>
      </w:r>
      <w:r w:rsidR="00020E41">
        <w:fldChar w:fldCharType="begin" w:fldLock="1"/>
      </w:r>
      <w:r w:rsidR="000D75C8">
        <w:instrText>ADDIN CSL_CITATION {"citationItems":[{"id":"ITEM-1","itemData":{"DOI":"10.1038/s41398-020-0715-z","ISSN":"21583188","abstract":"Epidemiological evidence on the association between sedentary behaviors and the risk of depression is inconsistent. We conducted a meta-analysis of prospective studies to identify the impact of sedentary behaviors on the risk of depression. We systematically searched in the PubMed and Embase databases to June 2019 for prospective cohort studies investigating sedentary behaviors in relation to the risk of depression. The pooled relative risks (RRs) and 95% confidence intervals (CIs) were calculated with random-effect meta-analysis. In addition, meta-regression analyses, subgroup analyses, and sensitivity analyses were performed to explore the potential sources of heterogeneity. Twelve prospective studies involving 128,553 participants were identified. A significantly positive association between sedentary behavior and the risk of depression was observed (RR = 1.10, 95% CI 1.03–1.19, I2 = 60.6%, P &lt; 0.01). Subgroup analyses revealed that watching television was positively associated with the risk of depression (RR = 1.18, 95% CI 1.07–1.30), whereas using a computer was not (RR = 0.99, 95% CI 0.79–1.23). Mentally passive sedentary behaviors could increase the risk of depression (RR = 1.17, 95% CI 1.08–1.27), whereas the effect of mentally active sedentary behaviors were non-significant (RR = 0.98, 95% CI 0.83–1.15). Sedentary behaviors were positively related to depression defined by clinical diagnosis (RR = 1.08, 95% CI 1.03, 1.14), whereas the associations were statistically non-significant when depression was evaluated by the CES-D and the Prime-MD screening. The present study suggests that mentally passive sedentary behaviors, such as watching television, could increase the risk of depression. Interventions that reduce mentally passive sedentary behaviors may prevent depression.","author":[{"dropping-particle":"","family":"Huang","given":"Yuchai","non-dropping-particle":"","parse-names":false,"suffix":""},{"dropping-particle":"","family":"Li","given":"Liqing","non-dropping-particle":"","parse-names":false,"suffix":""},{"dropping-particle":"","family":"Gan","given":"Yong","non-dropping-particle":"","parse-names":false,"suffix":""},{"dropping-particle":"","family":"Wang","given":"Chao","non-dropping-particle":"","parse-names":false,"suffix":""},{"dropping-particle":"","family":"Jiang","given":"Heng","non-dropping-particle":"","parse-names":false,"suffix":""},{"dropping-particle":"","family":"Cao","given":"Shiyi","non-dropping-particle":"","parse-names":false,"suffix":""},{"dropping-particle":"","family":"Lu","given":"Zuxun","non-dropping-particle":"","parse-names":false,"suffix":""}],"container-title":"Translational Psychiatry","id":"ITEM-1","issue":"1","issued":{"date-parts":[["2020","12","1"]]},"page":"1-10","publisher":"Springer Nature","title":"Sedentary behaviors and risk of depression: a meta-analysis of prospective studies","type":"article","volume":"10"},"uris":["http://www.mendeley.com/documents/?uuid=25f714ca-e804-337b-8993-9e14c0008125"]}],"mendeley":{"formattedCitation":"[5]","plainTextFormattedCitation":"[5]","previouslyFormattedCitation":"[5]"},"properties":{"noteIndex":0},"schema":"https://github.com/citation-style-language/schema/raw/master/csl-citation.json"}</w:instrText>
      </w:r>
      <w:r w:rsidR="00020E41">
        <w:fldChar w:fldCharType="separate"/>
      </w:r>
      <w:r w:rsidR="008933F0" w:rsidRPr="008933F0">
        <w:rPr>
          <w:noProof/>
        </w:rPr>
        <w:t>[5]</w:t>
      </w:r>
      <w:r w:rsidR="00020E41">
        <w:fldChar w:fldCharType="end"/>
      </w:r>
      <w:r w:rsidR="00020E41">
        <w:t xml:space="preserve">. </w:t>
      </w:r>
      <w:r w:rsidR="00FF6661">
        <w:t>N</w:t>
      </w:r>
      <w:r w:rsidR="005F5018">
        <w:t xml:space="preserve">onetheless, </w:t>
      </w:r>
      <w:r w:rsidR="00DF2E4E">
        <w:t xml:space="preserve">research </w:t>
      </w:r>
      <w:r w:rsidR="00BD2E1B">
        <w:t xml:space="preserve">examining </w:t>
      </w:r>
      <w:r w:rsidR="00BE3695">
        <w:t>th</w:t>
      </w:r>
      <w:r w:rsidR="00026093">
        <w:t>e influence o</w:t>
      </w:r>
      <w:r w:rsidR="004F0628">
        <w:t>f</w:t>
      </w:r>
      <w:r w:rsidR="00026093">
        <w:t xml:space="preserve"> SB on psychological outcomes </w:t>
      </w:r>
      <w:r w:rsidR="00BE3695">
        <w:t xml:space="preserve">has been predominantly illness-oriented, </w:t>
      </w:r>
      <w:r w:rsidR="00026093">
        <w:t xml:space="preserve">and </w:t>
      </w:r>
      <w:r w:rsidR="00BE3695" w:rsidRPr="00BE3695">
        <w:t>the influence of SB</w:t>
      </w:r>
      <w:r w:rsidR="00BE3695">
        <w:t xml:space="preserve"> on </w:t>
      </w:r>
      <w:r w:rsidR="00C54926">
        <w:t>subjective wellbeing</w:t>
      </w:r>
      <w:r w:rsidR="00C8414F">
        <w:t xml:space="preserve"> </w:t>
      </w:r>
      <w:r w:rsidR="00BE3695">
        <w:t>remains under-investigated.</w:t>
      </w:r>
      <w:r w:rsidR="008B393C">
        <w:rPr>
          <w:rFonts w:cs="Times New Roman"/>
          <w:color w:val="000000"/>
        </w:rPr>
        <w:t xml:space="preserve"> </w:t>
      </w:r>
      <w:r w:rsidR="007168CD">
        <w:rPr>
          <w:rFonts w:cs="Times New Roman"/>
          <w:color w:val="000000"/>
        </w:rPr>
        <w:tab/>
      </w:r>
    </w:p>
    <w:p w14:paraId="26E6AF94" w14:textId="3DE735B9" w:rsidR="003B719F" w:rsidRDefault="00DC3A31" w:rsidP="005D3987">
      <w:pPr>
        <w:spacing w:line="480" w:lineRule="auto"/>
        <w:rPr>
          <w:rFonts w:cs="Times New Roman"/>
          <w:color w:val="000000"/>
        </w:rPr>
      </w:pPr>
      <w:r>
        <w:rPr>
          <w:rFonts w:cs="Times New Roman"/>
          <w:color w:val="000000"/>
        </w:rPr>
        <w:tab/>
      </w:r>
      <w:r w:rsidRPr="009D7AB2">
        <w:rPr>
          <w:rFonts w:cs="Times New Roman"/>
          <w:color w:val="000000"/>
        </w:rPr>
        <w:t xml:space="preserve">Happiness </w:t>
      </w:r>
      <w:r w:rsidR="00DE3B40" w:rsidRPr="009D7AB2">
        <w:rPr>
          <w:rFonts w:cs="Times New Roman"/>
          <w:color w:val="000000"/>
        </w:rPr>
        <w:t xml:space="preserve">can be defined as </w:t>
      </w:r>
      <w:r w:rsidRPr="009D7AB2">
        <w:rPr>
          <w:rFonts w:cs="Times New Roman"/>
          <w:color w:val="000000"/>
        </w:rPr>
        <w:t>a positive affect that encompasses feelings that reflect a state of pleasurable engagement with the environment</w:t>
      </w:r>
      <w:r w:rsidR="000D75C8" w:rsidRPr="009D7AB2">
        <w:rPr>
          <w:rFonts w:cs="Times New Roman"/>
          <w:color w:val="000000"/>
        </w:rPr>
        <w:t xml:space="preserve"> </w:t>
      </w:r>
      <w:r w:rsidR="000D75C8" w:rsidRPr="009D7AB2">
        <w:rPr>
          <w:rFonts w:cs="Times New Roman"/>
          <w:color w:val="000000"/>
        </w:rPr>
        <w:fldChar w:fldCharType="begin" w:fldLock="1"/>
      </w:r>
      <w:r w:rsidR="000D75C8" w:rsidRPr="009D7AB2">
        <w:rPr>
          <w:rFonts w:cs="Times New Roman"/>
          <w:color w:val="000000"/>
        </w:rPr>
        <w:instrText>ADDIN CSL_CITATION {"citationItems":[{"id":"ITEM-1","itemData":{"URL":"https://www.tomkins.org/what-tomkins-said/books-and-articles/affect-imagery-consciousness-vol-i-iv/","accessed":{"date-parts":[["2020","7","27"]]},"id":"ITEM-1","issued":{"date-parts":[["0"]]},"title":"Tomkins Institute » Affect Imagery Consciousness (Vol I-IV)","type":"webpage"},"uris":["http://www.mendeley.com/documents/?uuid=e2d4b1a9-17a9-3a23-bf2b-e499b2bba007"]}],"mendeley":{"formattedCitation":"[6]","plainTextFormattedCitation":"[6]","previouslyFormattedCitation":"[6]"},"properties":{"noteIndex":0},"schema":"https://github.com/citation-style-language/schema/raw/master/csl-citation.json"}</w:instrText>
      </w:r>
      <w:r w:rsidR="000D75C8" w:rsidRPr="009D7AB2">
        <w:rPr>
          <w:rFonts w:cs="Times New Roman"/>
          <w:color w:val="000000"/>
        </w:rPr>
        <w:fldChar w:fldCharType="separate"/>
      </w:r>
      <w:r w:rsidR="000D75C8" w:rsidRPr="009D7AB2">
        <w:rPr>
          <w:rFonts w:cs="Times New Roman"/>
          <w:noProof/>
          <w:color w:val="000000"/>
        </w:rPr>
        <w:t>[6]</w:t>
      </w:r>
      <w:r w:rsidR="000D75C8" w:rsidRPr="009D7AB2">
        <w:rPr>
          <w:rFonts w:cs="Times New Roman"/>
          <w:color w:val="000000"/>
        </w:rPr>
        <w:fldChar w:fldCharType="end"/>
      </w:r>
      <w:r w:rsidR="00DE3B40" w:rsidRPr="009D7AB2">
        <w:rPr>
          <w:rFonts w:cs="Times New Roman"/>
          <w:color w:val="000000"/>
        </w:rPr>
        <w:t xml:space="preserve">. </w:t>
      </w:r>
      <w:r w:rsidR="00631266" w:rsidRPr="009D7AB2">
        <w:rPr>
          <w:rFonts w:cs="Times New Roman"/>
          <w:color w:val="000000"/>
        </w:rPr>
        <w:t xml:space="preserve">It is </w:t>
      </w:r>
      <w:r w:rsidR="007D542D" w:rsidRPr="009D7AB2">
        <w:rPr>
          <w:rFonts w:cs="Times New Roman"/>
          <w:color w:val="000000"/>
        </w:rPr>
        <w:t>considered a hedonic conception of wellbeing</w:t>
      </w:r>
      <w:r w:rsidR="004063EE" w:rsidRPr="009D7AB2">
        <w:rPr>
          <w:rFonts w:cs="Times New Roman"/>
          <w:color w:val="000000"/>
        </w:rPr>
        <w:t xml:space="preserve">, </w:t>
      </w:r>
      <w:r w:rsidR="004C4C7F" w:rsidRPr="009D7AB2">
        <w:rPr>
          <w:rFonts w:cs="Times New Roman"/>
          <w:color w:val="000000"/>
        </w:rPr>
        <w:t>and together with life satisfaction (evaluative wellbeing) and sense of purpose/meaning in life (eudemonic wellbeing)</w:t>
      </w:r>
      <w:r w:rsidR="00491E53" w:rsidRPr="009D7AB2">
        <w:rPr>
          <w:rFonts w:cs="Times New Roman"/>
          <w:color w:val="000000"/>
        </w:rPr>
        <w:t>,</w:t>
      </w:r>
      <w:r w:rsidR="004C4C7F" w:rsidRPr="009D7AB2">
        <w:rPr>
          <w:rFonts w:cs="Times New Roman"/>
          <w:color w:val="000000"/>
        </w:rPr>
        <w:t xml:space="preserve"> comp</w:t>
      </w:r>
      <w:r w:rsidR="00C33B7B" w:rsidRPr="009D7AB2">
        <w:rPr>
          <w:rFonts w:cs="Times New Roman"/>
          <w:color w:val="000000"/>
        </w:rPr>
        <w:t>rise</w:t>
      </w:r>
      <w:r w:rsidR="004C4C7F" w:rsidRPr="009D7AB2">
        <w:rPr>
          <w:rFonts w:cs="Times New Roman"/>
          <w:color w:val="000000"/>
        </w:rPr>
        <w:t xml:space="preserve"> the three dimensions of the construct </w:t>
      </w:r>
      <w:r w:rsidR="00491E53" w:rsidRPr="009D7AB2">
        <w:rPr>
          <w:rFonts w:cs="Times New Roman"/>
          <w:color w:val="000000"/>
        </w:rPr>
        <w:t xml:space="preserve">of </w:t>
      </w:r>
      <w:r w:rsidR="004C4C7F" w:rsidRPr="009D7AB2">
        <w:rPr>
          <w:rFonts w:cs="Times New Roman"/>
          <w:color w:val="000000"/>
        </w:rPr>
        <w:t>subjective well-being</w:t>
      </w:r>
      <w:r w:rsidR="004063EE" w:rsidRPr="009D7AB2">
        <w:t xml:space="preserve"> </w:t>
      </w:r>
      <w:r w:rsidR="004063EE" w:rsidRPr="009D7AB2">
        <w:fldChar w:fldCharType="begin" w:fldLock="1"/>
      </w:r>
      <w:r w:rsidR="000D75C8" w:rsidRPr="009D7AB2">
        <w:instrText>ADDIN CSL_CITATION {"citationItems":[{"id":"ITEM-1","itemData":{"DOI":"10.1016/S0140-6736(13)61489-0","ISSN":"1474547X","PMID":"25468152","abstract":"Subjective wellbeing and health are closely linked to age. Three aspects of subjective wellbeing can be distinguished - evaluative wellbeing (or life satisfaction), hedonic wellbeing (feelings of happiness, sadness, anger, stress, and pain), and eudemonic wellbeing (sense of purpose and meaning in life). We review recent advances in the specialty of psychological wellbeing, and present new analyses about the pattern of wellbeing across ages and the association between wellbeing and survival at older ages. The Gallup World Poll, a continuing survey in more than 160 countries, shows a U-shaped relation between evaluative wellbeing and age in high-income, English speaking countries, with the lowest levels of wellbeing in ages 45-54 years. But this pattern is not universal. For example, respondents from the former Soviet Union and eastern Europe show a large progressive reduction in wellbeing with age, respondents from Latin America also shows decreased wellbeing with age, whereas wellbeing in sub-Saharan Africa shows little change with age. The relation between physical health and subjective wellbeing is bidirectional. Older people with illnesses such as coronary heart disease, arthritis, and chronic lung disease show both increased levels of depressed mood and impaired hedonic and eudemonic wellbeing. Wellbeing might also have a protective role in health maintenance. In an analysis of the English Longitudinal Study of Ageing, we identify that eudemonic wellbeing is associated with increased survival; 29·3% of people in the lowest wellbeing quartile died during the average follow-up period of 8·5 years compared with 9·3% of those in the highest quartile. Associations were independent of age, sex, demographic factors, and baseline mental and physical health. We conclude that the wellbeing of elderly people is an important objective for both economic and health policy. Present psychological and economic theories do not adequately account for the variations in patterns of wellbeing with age across different parts of the world. The apparent association between wellbeing and survival is consistent with a protective role of high wellbeing, but alternative explanations cannot be ruled out at this stage.","author":[{"dropping-particle":"","family":"Steptoe","given":"Andrew","non-dropping-particle":"","parse-names":false,"suffix":""},{"dropping-particle":"","family":"Deaton","given":"Angus","non-dropping-particle":"","parse-names":false,"suffix":""},{"dropping-particle":"","family":"Stone","given":"Arthur A.","non-dropping-particle":"","parse-names":false,"suffix":""}],"container-title":"The Lancet","id":"ITEM-1","issue":"9968","issued":{"date-parts":[["2015","2","14"]]},"page":"640-648","publisher":"Lancet Publishing Group","title":"Subjective wellbeing, health, and ageing","type":"article","volume":"385"},"uris":["http://www.mendeley.com/documents/?uuid=6653aebc-5fed-32b4-b20f-c748301e7502"]}],"mendeley":{"formattedCitation":"[7]","plainTextFormattedCitation":"[7]","previouslyFormattedCitation":"[7]"},"properties":{"noteIndex":0},"schema":"https://github.com/citation-style-language/schema/raw/master/csl-citation.json"}</w:instrText>
      </w:r>
      <w:r w:rsidR="004063EE" w:rsidRPr="009D7AB2">
        <w:fldChar w:fldCharType="separate"/>
      </w:r>
      <w:r w:rsidR="000D75C8" w:rsidRPr="009D7AB2">
        <w:rPr>
          <w:noProof/>
        </w:rPr>
        <w:t>[7]</w:t>
      </w:r>
      <w:r w:rsidR="004063EE" w:rsidRPr="009D7AB2">
        <w:fldChar w:fldCharType="end"/>
      </w:r>
      <w:r w:rsidR="004063EE" w:rsidRPr="009D7AB2">
        <w:t>.</w:t>
      </w:r>
      <w:r w:rsidR="008069DD" w:rsidRPr="009D7AB2">
        <w:t xml:space="preserve"> </w:t>
      </w:r>
      <w:r w:rsidR="007964E3" w:rsidRPr="009D7AB2">
        <w:t xml:space="preserve">Happiness is </w:t>
      </w:r>
      <w:r w:rsidRPr="009D7AB2">
        <w:rPr>
          <w:rFonts w:cs="Times New Roman"/>
        </w:rPr>
        <w:t xml:space="preserve">considered to be a fundamental human goal, </w:t>
      </w:r>
      <w:r w:rsidRPr="009D7AB2">
        <w:rPr>
          <w:rFonts w:cs="Times New Roman"/>
          <w:color w:val="000000"/>
        </w:rPr>
        <w:t xml:space="preserve">and its promotion is included in the public health agenda worldwide </w:t>
      </w:r>
      <w:r w:rsidRPr="009D7AB2">
        <w:rPr>
          <w:rFonts w:cs="Times New Roman"/>
          <w:color w:val="000000"/>
        </w:rPr>
        <w:fldChar w:fldCharType="begin" w:fldLock="1"/>
      </w:r>
      <w:r w:rsidR="000D75C8" w:rsidRPr="009D7AB2">
        <w:rPr>
          <w:rFonts w:cs="Times New Roman"/>
          <w:color w:val="000000"/>
        </w:rPr>
        <w:instrText>ADDIN CSL_CITATION {"citationItems":[{"id":"ITEM-1","itemData":{"container-title":"WHO","id":"ITEM-1","issued":{"date-parts":[["2011"]]},"publisher":"World Health Organization","title":"WHO | The happiness effect","type":"article-journal"},"uris":["http://www.mendeley.com/documents/?uuid=f335d07e-aacd-37b4-a540-6cb8555213c0"]}],"mendeley":{"formattedCitation":"[8]","plainTextFormattedCitation":"[8]","previouslyFormattedCitation":"[8]"},"properties":{"noteIndex":0},"schema":"https://github.com/citation-style-language/schema/raw/master/csl-citation.json"}</w:instrText>
      </w:r>
      <w:r w:rsidRPr="009D7AB2">
        <w:rPr>
          <w:rFonts w:cs="Times New Roman"/>
          <w:color w:val="000000"/>
        </w:rPr>
        <w:fldChar w:fldCharType="separate"/>
      </w:r>
      <w:r w:rsidR="000D75C8" w:rsidRPr="009D7AB2">
        <w:rPr>
          <w:rFonts w:cs="Times New Roman"/>
          <w:noProof/>
          <w:color w:val="000000"/>
        </w:rPr>
        <w:t>[8]</w:t>
      </w:r>
      <w:r w:rsidRPr="009D7AB2">
        <w:rPr>
          <w:rFonts w:cs="Times New Roman"/>
          <w:color w:val="000000"/>
        </w:rPr>
        <w:fldChar w:fldCharType="end"/>
      </w:r>
      <w:r w:rsidRPr="009D7AB2">
        <w:rPr>
          <w:rFonts w:cs="Times New Roman"/>
          <w:color w:val="000000"/>
        </w:rPr>
        <w:t xml:space="preserve">. </w:t>
      </w:r>
      <w:r w:rsidR="007E1584" w:rsidRPr="009D7AB2">
        <w:rPr>
          <w:rFonts w:cs="Times New Roman"/>
          <w:color w:val="000000"/>
        </w:rPr>
        <w:t>Furthermore, it has been well documented that happy people are healthier and live longer</w:t>
      </w:r>
      <w:r w:rsidR="000A6AB1" w:rsidRPr="009D7AB2">
        <w:rPr>
          <w:rFonts w:cs="Times New Roman"/>
          <w:color w:val="000000"/>
        </w:rPr>
        <w:t xml:space="preserve"> </w:t>
      </w:r>
      <w:r w:rsidR="000A6AB1" w:rsidRPr="009D7AB2">
        <w:rPr>
          <w:rFonts w:cs="Times New Roman"/>
          <w:color w:val="000000"/>
        </w:rPr>
        <w:fldChar w:fldCharType="begin" w:fldLock="1"/>
      </w:r>
      <w:r w:rsidR="005D55DE" w:rsidRPr="009D7AB2">
        <w:rPr>
          <w:rFonts w:cs="Times New Roman"/>
          <w:color w:val="000000"/>
        </w:rPr>
        <w:instrText>ADDIN CSL_CITATION {"citationItems":[{"id":"ITEM-1","itemData":{"DOI":"10.1111/j.1758-0854.2010.01045.x","ISSN":"17580846","abstract":"Seven types of evidence are reviewed that indicate that high subjective well-being (such as life satisfaction, absence of negative emotions, optimism, and positive emotions) causes better health and longevity. For example, prospective longitudinal studies of normal populations provide evidence that various types of subjective well-being such as positive affect predict health and longevity, controlling for health and socioeconomic status at baseline. Combined with experimental human and animal research, as well as naturalistic studies of changes of subjective well-being and physiological processes over time, the case that subjective well-being influences health and longevity in healthy populations is compelling. However, the claim that subjective well-being lengthens the lives of those with certain diseases such as cancer remains controversial. Positive feelings predict longevity and health beyond negative feelings. However, intensely aroused or manic positive affect may be detrimental to health. Issues such as causality, effect size, types of subjective well-being, and statistical controls are discussed. © 2011 The Authors. Applied Psychology: Health and Well-Being © 2011 The International Association of Applied Psychology.","author":[{"dropping-particle":"","family":"Diener","given":"Ed","non-dropping-particle":"","parse-names":false,"suffix":""},{"dropping-particle":"","family":"Chan","given":"Micaela Y.","non-dropping-particle":"","parse-names":false,"suffix":""}],"container-title":"Applied Psychology: Health and Well-Being","id":"ITEM-1","issue":"1","issued":{"date-parts":[["2011","3","1"]]},"page":"1-43","publisher":"John Wiley &amp; Sons, Ltd","title":"Happy People Live Longer: Subjective Well-Being Contributes to Health and Longevity","type":"article-journal","volume":"3"},"uris":["http://www.mendeley.com/documents/?uuid=2d714892-9418-3600-afff-749346359854"]}],"mendeley":{"formattedCitation":"[9]","plainTextFormattedCitation":"[9]","previouslyFormattedCitation":"[9]"},"properties":{"noteIndex":0},"schema":"https://github.com/citation-style-language/schema/raw/master/csl-citation.json"}</w:instrText>
      </w:r>
      <w:r w:rsidR="000A6AB1" w:rsidRPr="009D7AB2">
        <w:rPr>
          <w:rFonts w:cs="Times New Roman"/>
          <w:color w:val="000000"/>
        </w:rPr>
        <w:fldChar w:fldCharType="separate"/>
      </w:r>
      <w:r w:rsidR="000A6AB1" w:rsidRPr="009D7AB2">
        <w:rPr>
          <w:rFonts w:cs="Times New Roman"/>
          <w:noProof/>
          <w:color w:val="000000"/>
        </w:rPr>
        <w:t>[9]</w:t>
      </w:r>
      <w:r w:rsidR="000A6AB1" w:rsidRPr="009D7AB2">
        <w:rPr>
          <w:rFonts w:cs="Times New Roman"/>
          <w:color w:val="000000"/>
        </w:rPr>
        <w:fldChar w:fldCharType="end"/>
      </w:r>
      <w:r w:rsidR="000A6AB1" w:rsidRPr="009D7AB2">
        <w:rPr>
          <w:rFonts w:cs="Times New Roman"/>
          <w:color w:val="000000"/>
        </w:rPr>
        <w:t xml:space="preserve">, </w:t>
      </w:r>
      <w:r w:rsidR="007E1584" w:rsidRPr="009D7AB2">
        <w:rPr>
          <w:rFonts w:cs="Times New Roman"/>
          <w:color w:val="000000"/>
        </w:rPr>
        <w:t>factors that gain more relevance with increasing age.</w:t>
      </w:r>
    </w:p>
    <w:p w14:paraId="36AF52B9" w14:textId="06FE6133" w:rsidR="00CD2A3D" w:rsidRPr="00125C4C" w:rsidRDefault="003B719F" w:rsidP="005D3987">
      <w:pPr>
        <w:spacing w:line="480" w:lineRule="auto"/>
        <w:rPr>
          <w:rFonts w:cs="Times New Roman"/>
          <w:color w:val="000000"/>
        </w:rPr>
      </w:pPr>
      <w:r>
        <w:rPr>
          <w:rFonts w:cs="Times New Roman"/>
          <w:color w:val="000000"/>
        </w:rPr>
        <w:tab/>
      </w:r>
      <w:r w:rsidR="0051507F">
        <w:rPr>
          <w:rFonts w:cs="Times New Roman"/>
          <w:color w:val="000000"/>
        </w:rPr>
        <w:t xml:space="preserve">To date, </w:t>
      </w:r>
      <w:r w:rsidR="005F099C">
        <w:rPr>
          <w:rFonts w:cs="Times New Roman"/>
          <w:color w:val="000000"/>
        </w:rPr>
        <w:t xml:space="preserve">some </w:t>
      </w:r>
      <w:r w:rsidR="00646FFB">
        <w:rPr>
          <w:rFonts w:cs="Times New Roman"/>
          <w:color w:val="000000"/>
        </w:rPr>
        <w:t xml:space="preserve">studies have investigated how SB relates to </w:t>
      </w:r>
      <w:r w:rsidR="005F099C">
        <w:rPr>
          <w:rFonts w:cs="Times New Roman"/>
          <w:color w:val="000000"/>
        </w:rPr>
        <w:t xml:space="preserve">different components </w:t>
      </w:r>
      <w:r w:rsidR="00225E73">
        <w:rPr>
          <w:rFonts w:cs="Times New Roman"/>
          <w:color w:val="000000"/>
        </w:rPr>
        <w:t xml:space="preserve">or dimensions </w:t>
      </w:r>
      <w:r w:rsidR="005F099C">
        <w:rPr>
          <w:rFonts w:cs="Times New Roman"/>
          <w:color w:val="000000"/>
        </w:rPr>
        <w:t>of wellbeing but</w:t>
      </w:r>
      <w:r w:rsidR="00501350">
        <w:rPr>
          <w:rFonts w:cs="Times New Roman"/>
          <w:color w:val="000000"/>
        </w:rPr>
        <w:t xml:space="preserve"> with mixed results</w:t>
      </w:r>
      <w:r w:rsidR="009D22AD">
        <w:rPr>
          <w:rFonts w:cs="Times New Roman"/>
          <w:color w:val="000000"/>
        </w:rPr>
        <w:t xml:space="preserve">. </w:t>
      </w:r>
      <w:r w:rsidR="00B77FA6">
        <w:rPr>
          <w:rFonts w:cs="Times New Roman"/>
          <w:color w:val="000000"/>
        </w:rPr>
        <w:t>For instance, a</w:t>
      </w:r>
      <w:r w:rsidR="005847E7">
        <w:rPr>
          <w:rFonts w:cs="Times New Roman"/>
          <w:color w:val="000000"/>
        </w:rPr>
        <w:t xml:space="preserve"> </w:t>
      </w:r>
      <w:r w:rsidR="005F099C">
        <w:rPr>
          <w:rFonts w:cs="Times New Roman"/>
          <w:color w:val="000000"/>
        </w:rPr>
        <w:t xml:space="preserve">relatively recent </w:t>
      </w:r>
      <w:r w:rsidR="005847E7">
        <w:rPr>
          <w:rFonts w:cs="Times New Roman"/>
          <w:color w:val="000000"/>
        </w:rPr>
        <w:t xml:space="preserve">systematic review </w:t>
      </w:r>
      <w:r w:rsidR="005F099C">
        <w:rPr>
          <w:rFonts w:cs="Times New Roman"/>
          <w:color w:val="000000"/>
        </w:rPr>
        <w:t xml:space="preserve">examined </w:t>
      </w:r>
      <w:r w:rsidR="005847E7">
        <w:rPr>
          <w:rFonts w:cs="Times New Roman"/>
          <w:color w:val="000000"/>
        </w:rPr>
        <w:t xml:space="preserve">the relationship between SB and health-related quality of life and found that </w:t>
      </w:r>
      <w:r w:rsidR="008B6B8A">
        <w:rPr>
          <w:rFonts w:cs="Times New Roman"/>
          <w:color w:val="000000"/>
        </w:rPr>
        <w:t xml:space="preserve">higher </w:t>
      </w:r>
      <w:r w:rsidR="005847E7">
        <w:rPr>
          <w:rFonts w:cs="Times New Roman"/>
          <w:color w:val="000000"/>
        </w:rPr>
        <w:t xml:space="preserve">SB was related to </w:t>
      </w:r>
      <w:r w:rsidR="008B6B8A">
        <w:rPr>
          <w:rFonts w:cs="Times New Roman"/>
          <w:color w:val="000000"/>
        </w:rPr>
        <w:t>worse</w:t>
      </w:r>
      <w:r w:rsidR="005847E7">
        <w:rPr>
          <w:rFonts w:cs="Times New Roman"/>
          <w:color w:val="000000"/>
        </w:rPr>
        <w:t xml:space="preserve"> quality of life in the physical </w:t>
      </w:r>
      <w:r w:rsidR="0047501B">
        <w:rPr>
          <w:rFonts w:cs="Times New Roman"/>
          <w:color w:val="000000"/>
        </w:rPr>
        <w:t xml:space="preserve">domain but not </w:t>
      </w:r>
      <w:r w:rsidR="00237501">
        <w:rPr>
          <w:rFonts w:cs="Times New Roman"/>
          <w:color w:val="000000"/>
        </w:rPr>
        <w:t>in</w:t>
      </w:r>
      <w:r w:rsidR="0047501B">
        <w:rPr>
          <w:rFonts w:cs="Times New Roman"/>
          <w:color w:val="000000"/>
        </w:rPr>
        <w:t xml:space="preserve"> the mental and social quality of life domains</w:t>
      </w:r>
      <w:r w:rsidR="005A6FDB">
        <w:rPr>
          <w:rFonts w:cs="Times New Roman"/>
          <w:color w:val="000000"/>
        </w:rPr>
        <w:t xml:space="preserve"> </w:t>
      </w:r>
      <w:r w:rsidR="005A6FDB">
        <w:rPr>
          <w:rFonts w:cs="Times New Roman"/>
          <w:color w:val="000000"/>
        </w:rPr>
        <w:fldChar w:fldCharType="begin" w:fldLock="1"/>
      </w:r>
      <w:r w:rsidR="005D55DE">
        <w:rPr>
          <w:rFonts w:cs="Times New Roman"/>
          <w:color w:val="000000"/>
        </w:rPr>
        <w:instrText>ADDIN CSL_CITATION {"citationItems":[{"id":"ITEM-1","itemData":{"DOI":"10.1080/17437199.2017.1396191","ISSN":"17437202","abstract":"Researchers have speculated that sedentary behaviour may reduce health-related quality of life (HRQOL), but the extent to which this is true remains unknown. Our study sought to systematically review and synthesise research on the relationship between sedentary behaviours and HRQOL and to investigate if these relationships are moderated by age, health status, and HRQOL domain. The review was registered with PROSPERO (no. CRD42016036342). We searched six electronic databases. The selection process resulted in including k = 27 original studies; k = 18 were included in a meta-analysis. Data were synthesised twice, using the methods of systematic review and meta-analysis, in order to reduce biases related to a small number of included studies. Both the systematic review and meta-analytical methods indicated that lower levels of sedentary behaviours were associated with higher physical HRQOL (estimate of average effect: r = −.140; 95% CI −.191, −.088). Moderator analyses indicated that associations between the physical HRQOL domain and sedentary behaviours may be similar in strength across age- and health status groups. Causal inferences could not be drawn as most studies were cross-sectional. Concluding, sedentary behaviours were related to better physical HRQOL but not reliably to mental and social HRQOL.","author":[{"dropping-particle":"","family":"Boberska","given":"Monika","non-dropping-particle":"","parse-names":false,"suffix":""},{"dropping-particle":"","family":"Szczuka","given":"Zofia","non-dropping-particle":"","parse-names":false,"suffix":""},{"dropping-particle":"","family":"Kruk","given":"Magdalena","non-dropping-particle":"","parse-names":false,"suffix":""},{"dropping-particle":"","family":"Knoll","given":"Nina","non-dropping-particle":"","parse-names":false,"suffix":""},{"dropping-particle":"","family":"Keller","given":"Jan","non-dropping-particle":"","parse-names":false,"suffix":""},{"dropping-particle":"","family":"Hohl","given":"Diana Hilda","non-dropping-particle":"","parse-names":false,"suffix":""},{"dropping-particle":"","family":"Luszczynska","given":"Aleksandra","non-dropping-particle":"","parse-names":false,"suffix":""}],"container-title":"Health Psychology Review","id":"ITEM-1","issue":"2","issued":{"date-parts":[["2018","4","3"]]},"page":"195-210","publisher":"Routledge","title":"Sedentary behaviours and health-related quality of life. A systematic review and meta-analysis","type":"article-journal","volume":"12"},"uris":["http://www.mendeley.com/documents/?uuid=83d552bc-309a-3df9-ad74-f8d747121407"]}],"mendeley":{"formattedCitation":"[10]","plainTextFormattedCitation":"[10]","previouslyFormattedCitation":"[10]"},"properties":{"noteIndex":0},"schema":"https://github.com/citation-style-language/schema/raw/master/csl-citation.json"}</w:instrText>
      </w:r>
      <w:r w:rsidR="005A6FDB">
        <w:rPr>
          <w:rFonts w:cs="Times New Roman"/>
          <w:color w:val="000000"/>
        </w:rPr>
        <w:fldChar w:fldCharType="separate"/>
      </w:r>
      <w:r w:rsidR="000A6AB1" w:rsidRPr="000A6AB1">
        <w:rPr>
          <w:rFonts w:cs="Times New Roman"/>
          <w:noProof/>
          <w:color w:val="000000"/>
        </w:rPr>
        <w:t>[10]</w:t>
      </w:r>
      <w:r w:rsidR="005A6FDB">
        <w:rPr>
          <w:rFonts w:cs="Times New Roman"/>
          <w:color w:val="000000"/>
        </w:rPr>
        <w:fldChar w:fldCharType="end"/>
      </w:r>
      <w:r w:rsidR="005A6FDB">
        <w:rPr>
          <w:rFonts w:cs="Times New Roman"/>
          <w:color w:val="000000"/>
        </w:rPr>
        <w:t xml:space="preserve">. </w:t>
      </w:r>
      <w:r w:rsidR="006E773C">
        <w:rPr>
          <w:rFonts w:cs="Times New Roman"/>
          <w:color w:val="000000"/>
        </w:rPr>
        <w:t xml:space="preserve">However, this review included </w:t>
      </w:r>
      <w:r w:rsidR="00AB76B6">
        <w:rPr>
          <w:rFonts w:cs="Times New Roman"/>
          <w:color w:val="000000"/>
        </w:rPr>
        <w:t xml:space="preserve">studies </w:t>
      </w:r>
      <w:r w:rsidR="006E773C">
        <w:rPr>
          <w:rFonts w:cs="Times New Roman"/>
          <w:color w:val="000000"/>
        </w:rPr>
        <w:t xml:space="preserve">from all age-groups and </w:t>
      </w:r>
      <w:r w:rsidR="00013908">
        <w:rPr>
          <w:rFonts w:cs="Times New Roman"/>
          <w:color w:val="000000"/>
        </w:rPr>
        <w:t xml:space="preserve">different health status </w:t>
      </w:r>
      <w:r w:rsidR="0041597E">
        <w:rPr>
          <w:rFonts w:cs="Times New Roman"/>
          <w:color w:val="000000"/>
        </w:rPr>
        <w:t xml:space="preserve">groups </w:t>
      </w:r>
      <w:r w:rsidR="00013908">
        <w:rPr>
          <w:rFonts w:cs="Times New Roman"/>
          <w:color w:val="000000"/>
        </w:rPr>
        <w:t>(</w:t>
      </w:r>
      <w:r w:rsidR="006E773C">
        <w:rPr>
          <w:rFonts w:cs="Times New Roman"/>
          <w:color w:val="000000"/>
        </w:rPr>
        <w:t xml:space="preserve">general </w:t>
      </w:r>
      <w:r w:rsidR="004762A6">
        <w:rPr>
          <w:rFonts w:cs="Times New Roman"/>
          <w:color w:val="000000"/>
        </w:rPr>
        <w:t xml:space="preserve">population </w:t>
      </w:r>
      <w:r w:rsidR="00013908">
        <w:rPr>
          <w:rFonts w:cs="Times New Roman"/>
          <w:color w:val="000000"/>
        </w:rPr>
        <w:t>and chronic</w:t>
      </w:r>
      <w:r w:rsidR="004762A6">
        <w:rPr>
          <w:rFonts w:cs="Times New Roman"/>
          <w:color w:val="000000"/>
        </w:rPr>
        <w:t>a</w:t>
      </w:r>
      <w:r w:rsidR="00013908">
        <w:rPr>
          <w:rFonts w:cs="Times New Roman"/>
          <w:color w:val="000000"/>
        </w:rPr>
        <w:t>lly ill patients</w:t>
      </w:r>
      <w:r w:rsidR="00B67494">
        <w:rPr>
          <w:rFonts w:cs="Times New Roman"/>
          <w:color w:val="000000"/>
        </w:rPr>
        <w:t>)</w:t>
      </w:r>
      <w:r w:rsidR="005A6FDB">
        <w:rPr>
          <w:rFonts w:cs="Times New Roman"/>
          <w:color w:val="000000"/>
        </w:rPr>
        <w:t xml:space="preserve"> </w:t>
      </w:r>
      <w:r w:rsidR="005A6FDB">
        <w:rPr>
          <w:rFonts w:cs="Times New Roman"/>
          <w:color w:val="000000"/>
        </w:rPr>
        <w:lastRenderedPageBreak/>
        <w:fldChar w:fldCharType="begin" w:fldLock="1"/>
      </w:r>
      <w:r w:rsidR="005D55DE">
        <w:rPr>
          <w:rFonts w:cs="Times New Roman"/>
          <w:color w:val="000000"/>
        </w:rPr>
        <w:instrText>ADDIN CSL_CITATION {"citationItems":[{"id":"ITEM-1","itemData":{"DOI":"10.1080/17437199.2017.1396191","ISSN":"17437202","abstract":"Researchers have speculated that sedentary behaviour may reduce health-related quality of life (HRQOL), but the extent to which this is true remains unknown. Our study sought to systematically review and synthesise research on the relationship between sedentary behaviours and HRQOL and to investigate if these relationships are moderated by age, health status, and HRQOL domain. The review was registered with PROSPERO (no. CRD42016036342). We searched six electronic databases. The selection process resulted in including k = 27 original studies; k = 18 were included in a meta-analysis. Data were synthesised twice, using the methods of systematic review and meta-analysis, in order to reduce biases related to a small number of included studies. Both the systematic review and meta-analytical methods indicated that lower levels of sedentary behaviours were associated with higher physical HRQOL (estimate of average effect: r = −.140; 95% CI −.191, −.088). Moderator analyses indicated that associations between the physical HRQOL domain and sedentary behaviours may be similar in strength across age- and health status groups. Causal inferences could not be drawn as most studies were cross-sectional. Concluding, sedentary behaviours were related to better physical HRQOL but not reliably to mental and social HRQOL.","author":[{"dropping-particle":"","family":"Boberska","given":"Monika","non-dropping-particle":"","parse-names":false,"suffix":""},{"dropping-particle":"","family":"Szczuka","given":"Zofia","non-dropping-particle":"","parse-names":false,"suffix":""},{"dropping-particle":"","family":"Kruk","given":"Magdalena","non-dropping-particle":"","parse-names":false,"suffix":""},{"dropping-particle":"","family":"Knoll","given":"Nina","non-dropping-particle":"","parse-names":false,"suffix":""},{"dropping-particle":"","family":"Keller","given":"Jan","non-dropping-particle":"","parse-names":false,"suffix":""},{"dropping-particle":"","family":"Hohl","given":"Diana Hilda","non-dropping-particle":"","parse-names":false,"suffix":""},{"dropping-particle":"","family":"Luszczynska","given":"Aleksandra","non-dropping-particle":"","parse-names":false,"suffix":""}],"container-title":"Health Psychology Review","id":"ITEM-1","issue":"2","issued":{"date-parts":[["2018","4","3"]]},"page":"195-210","publisher":"Routledge","title":"Sedentary behaviours and health-related quality of life. A systematic review and meta-analysis","type":"article-journal","volume":"12"},"uris":["http://www.mendeley.com/documents/?uuid=83d552bc-309a-3df9-ad74-f8d747121407"]}],"mendeley":{"formattedCitation":"[10]","plainTextFormattedCitation":"[10]","previouslyFormattedCitation":"[10]"},"properties":{"noteIndex":0},"schema":"https://github.com/citation-style-language/schema/raw/master/csl-citation.json"}</w:instrText>
      </w:r>
      <w:r w:rsidR="005A6FDB">
        <w:rPr>
          <w:rFonts w:cs="Times New Roman"/>
          <w:color w:val="000000"/>
        </w:rPr>
        <w:fldChar w:fldCharType="separate"/>
      </w:r>
      <w:r w:rsidR="000A6AB1" w:rsidRPr="000A6AB1">
        <w:rPr>
          <w:rFonts w:cs="Times New Roman"/>
          <w:noProof/>
          <w:color w:val="000000"/>
        </w:rPr>
        <w:t>[10]</w:t>
      </w:r>
      <w:r w:rsidR="005A6FDB">
        <w:rPr>
          <w:rFonts w:cs="Times New Roman"/>
          <w:color w:val="000000"/>
        </w:rPr>
        <w:fldChar w:fldCharType="end"/>
      </w:r>
      <w:r w:rsidR="005A6FDB">
        <w:rPr>
          <w:rFonts w:cs="Times New Roman"/>
          <w:color w:val="000000"/>
        </w:rPr>
        <w:t xml:space="preserve">. </w:t>
      </w:r>
      <w:r w:rsidR="0041597E">
        <w:rPr>
          <w:rFonts w:cs="Times New Roman"/>
          <w:color w:val="000000"/>
        </w:rPr>
        <w:t xml:space="preserve">Evidence derived from general population studies </w:t>
      </w:r>
      <w:r w:rsidR="001C5CD6">
        <w:rPr>
          <w:rFonts w:cs="Times New Roman"/>
          <w:color w:val="000000"/>
        </w:rPr>
        <w:t>conducted in middle</w:t>
      </w:r>
      <w:r w:rsidR="004148E9">
        <w:rPr>
          <w:rFonts w:cs="Times New Roman"/>
          <w:color w:val="000000"/>
        </w:rPr>
        <w:t>-</w:t>
      </w:r>
      <w:r w:rsidR="001C5CD6">
        <w:rPr>
          <w:rFonts w:cs="Times New Roman"/>
          <w:color w:val="000000"/>
        </w:rPr>
        <w:t xml:space="preserve">aged and older adults </w:t>
      </w:r>
      <w:r w:rsidR="0041597E">
        <w:rPr>
          <w:rFonts w:cs="Times New Roman"/>
          <w:color w:val="000000"/>
        </w:rPr>
        <w:t xml:space="preserve">found that </w:t>
      </w:r>
      <w:r w:rsidR="006A3610" w:rsidRPr="00125C4C">
        <w:rPr>
          <w:rFonts w:cs="Times New Roman"/>
          <w:color w:val="000000"/>
        </w:rPr>
        <w:t xml:space="preserve">higher SB is associated </w:t>
      </w:r>
      <w:r w:rsidR="005670EF">
        <w:rPr>
          <w:rFonts w:cs="Times New Roman"/>
          <w:color w:val="000000"/>
        </w:rPr>
        <w:t>with</w:t>
      </w:r>
      <w:r w:rsidR="006A3610" w:rsidRPr="00125C4C">
        <w:rPr>
          <w:rFonts w:cs="Times New Roman"/>
          <w:color w:val="000000"/>
        </w:rPr>
        <w:t xml:space="preserve"> lower levels of wellbeing</w:t>
      </w:r>
      <w:r w:rsidR="00F37763" w:rsidRPr="00125C4C">
        <w:rPr>
          <w:rFonts w:cs="Times New Roman"/>
          <w:color w:val="000000"/>
        </w:rPr>
        <w:t xml:space="preserve"> </w:t>
      </w:r>
      <w:r w:rsidR="00E53295" w:rsidRPr="00125C4C">
        <w:rPr>
          <w:rFonts w:cs="Times New Roman"/>
          <w:color w:val="000000"/>
        </w:rPr>
        <w:t xml:space="preserve">in </w:t>
      </w:r>
      <w:r w:rsidR="00F37763" w:rsidRPr="00125C4C">
        <w:rPr>
          <w:rFonts w:cs="Times New Roman"/>
          <w:color w:val="000000"/>
        </w:rPr>
        <w:t>Taiwanese adults</w:t>
      </w:r>
      <w:r w:rsidR="00F848D0" w:rsidRPr="00125C4C">
        <w:rPr>
          <w:rFonts w:cs="Times New Roman"/>
          <w:color w:val="000000"/>
        </w:rPr>
        <w:t xml:space="preserve"> </w:t>
      </w:r>
      <w:r w:rsidR="005A6FDB">
        <w:rPr>
          <w:rFonts w:cs="Times New Roman"/>
          <w:color w:val="000000"/>
        </w:rPr>
        <w:fldChar w:fldCharType="begin" w:fldLock="1"/>
      </w:r>
      <w:r w:rsidR="005D55DE">
        <w:rPr>
          <w:rFonts w:cs="Times New Roman"/>
          <w:color w:val="000000"/>
        </w:rPr>
        <w:instrText>ADDIN CSL_CITATION {"citationItems":[{"id":"ITEM-1","itemData":{"author":[{"dropping-particle":"","family":"Ku","given":"Po-Wen","non-dropping-particle":"","parse-names":false,"suffix":""},{"dropping-particle":"","family":"Fox","given":"Kenneth R","non-dropping-particle":"","parse-names":false,"suffix":""},{"dropping-particle":"","family":"Chen","given":"Li-Jung","non-dropping-particle":"","parse-names":false,"suffix":""},{"dropping-particle":"","family":"Chou","given":"Pesus","non-dropping-particle":"","parse-names":false,"suffix":""}],"container-title":"International journal of sport psychology","id":"ITEM-1","issue":"3","issued":{"date-parts":[["2011"]]},"page":"245-262","title":"Physical activity, sedentary time and subjective well-being in Taiwanese older adults","type":"article-journal","volume":"42"},"uris":["http://www.mendeley.com/documents/?uuid=0e87cff2-79ee-3fd1-8431-9096e7178fd1"]}],"mendeley":{"formattedCitation":"[11]","plainTextFormattedCitation":"[11]","previouslyFormattedCitation":"[11]"},"properties":{"noteIndex":0},"schema":"https://github.com/citation-style-language/schema/raw/master/csl-citation.json"}</w:instrText>
      </w:r>
      <w:r w:rsidR="005A6FDB">
        <w:rPr>
          <w:rFonts w:cs="Times New Roman"/>
          <w:color w:val="000000"/>
        </w:rPr>
        <w:fldChar w:fldCharType="separate"/>
      </w:r>
      <w:r w:rsidR="000A6AB1" w:rsidRPr="000A6AB1">
        <w:rPr>
          <w:rFonts w:cs="Times New Roman"/>
          <w:noProof/>
          <w:color w:val="000000"/>
        </w:rPr>
        <w:t>[11]</w:t>
      </w:r>
      <w:r w:rsidR="005A6FDB">
        <w:rPr>
          <w:rFonts w:cs="Times New Roman"/>
          <w:color w:val="000000"/>
        </w:rPr>
        <w:fldChar w:fldCharType="end"/>
      </w:r>
      <w:r w:rsidR="005A6FDB">
        <w:rPr>
          <w:rFonts w:cs="Times New Roman"/>
          <w:color w:val="000000"/>
        </w:rPr>
        <w:t xml:space="preserve">, </w:t>
      </w:r>
      <w:r w:rsidR="00464199" w:rsidRPr="00125C4C">
        <w:rPr>
          <w:rFonts w:cs="Times New Roman"/>
          <w:color w:val="000000"/>
        </w:rPr>
        <w:t xml:space="preserve">and lower quality of life among Korean and Spanish adults in cross-sectional and prospective studies, respectively </w:t>
      </w:r>
      <w:r w:rsidR="005A6FDB">
        <w:rPr>
          <w:rFonts w:cs="Times New Roman"/>
          <w:color w:val="000000"/>
        </w:rPr>
        <w:fldChar w:fldCharType="begin" w:fldLock="1"/>
      </w:r>
      <w:r w:rsidR="005D55DE">
        <w:rPr>
          <w:rFonts w:cs="Times New Roman"/>
          <w:color w:val="000000"/>
        </w:rPr>
        <w:instrText>ADDIN CSL_CITATION {"citationItems":[{"id":"ITEM-1","itemData":{"DOI":"10.1186/s12955-019-1191-0","ISSN":"14777525","abstract":"Background: Research on the effects of sedentary behavior on the health-related quality of life (HRQoL) of the elderly is limited. The present study aimed to determine the association between sedentary behavior and the HRQoL of the young-old (aged 65-74 years) people and old-old (aged ≥75 years) people. Methods: This study used the raw data of the 7th Korea National Health and Nutrition Examination Survey for 2016. The study subjects were 1,415 people aged over 65 years. The association between HRQoL and average daily sitting time was analyzed using the point biserial correlation coefficient. The effect of sedentary behavior on HRQoL was analyzed by logistic regression analysis. Results: Overall, elderly people aged ≥65 years spent 7.9 h in sedentary pursuits: The young-old spent 7.7 h and the old-old spent 9.0 h. Longer sitting time was found to be associated with lower HROoL while shorter sitting time was associated with higher HROoL, with the relationship stronger among the old-old than among the young-old. This means that the effects of either having longer time sitting per day and low quality of life or shorter time sitting per day and high quality of life are more pronounced in the old-old in comparison to the young-old. Conclusions: Sedentary behavior is significantly associated with people's HRQoL. Interventions towards improving the HRQoL by reducing sedentary behavior based on the respective characteristics of young-old and old-old people are needed.","author":[{"dropping-particle":"","family":"Kim","given":"Yujeong","non-dropping-particle":"","parse-names":false,"suffix":""},{"dropping-particle":"","family":"Lee","given":"Eunmi","non-dropping-particle":"","parse-names":false,"suffix":""}],"container-title":"Health and Quality of Life Outcomes","id":"ITEM-1","issue":"1","issued":{"date-parts":[["2019","7","26"]]},"page":"131","publisher":"BioMed Central Ltd.","title":"The association between elderly people's sedentary behaviors and their health-related quality of life: Focusing on comparing the young-old and the old-old","type":"article-journal","volume":"17"},"uris":["http://www.mendeley.com/documents/?uuid=85bde6ab-8f93-3838-bd98-924bdb2c52bd"]},{"id":"ITEM-2","itemData":{"author":[{"dropping-particle":"","family":"Ku","given":"Po-Wen","non-dropping-particle":"","parse-names":false,"suffix":""},{"dropping-particle":"","family":"Fox","given":"Kenneth R","non-dropping-particle":"","parse-names":false,"suffix":""},{"dropping-particle":"","family":"Chen","given":"Li-Jung","non-dropping-particle":"","parse-names":false,"suffix":""},{"dropping-particle":"","family":"Chou","given":"Pesus","non-dropping-particle":"","parse-names":false,"suffix":""}],"container-title":"International journal of sport psychology","id":"ITEM-2","issue":"3","issued":{"date-parts":[["2011"]]},"page":"245-262","title":"Physical activity, sedentary time and subjective well-being in Taiwanese older adults","type":"article-journal","volume":"42"},"uris":["http://www.mendeley.com/documents/?uuid=0e87cff2-79ee-3fd1-8431-9096e7178fd1"]},{"id":"ITEM-3","itemData":{"DOI":"10.1186/1477-7525-9-47","ISSN":"1477-7525","author":[{"dropping-particle":"","family":"Balboa-Castillo","given":"Teresa","non-dropping-particle":"","parse-names":false,"suffix":""},{"dropping-particle":"","family":"León-Muñoz","given":"Luz M","non-dropping-particle":"","parse-names":false,"suffix":""},{"dropping-particle":"","family":"Graciani","given":"Auxiliadora","non-dropping-particle":"","parse-names":false,"suffix":""},{"dropping-particle":"","family":"Rodríguez-Artalejo","given":"Fernando","non-dropping-particle":"","parse-names":false,"suffix":""},{"dropping-particle":"","family":"Guallar-Castillón","given":"Pilar","non-dropping-particle":"","parse-names":false,"suffix":""}],"container-title":"Health and Quality of Life Outcomes","id":"ITEM-3","issue":"1","issued":{"date-parts":[["2011"]]},"page":"47","title":"Longitudinal association of physical activity and sedentary behavior during leisure time with health-related quality of life in community-dwelling older adults","type":"article-journal","volume":"9"},"uris":["http://www.mendeley.com/documents/?uuid=8c352efe-d9f5-377a-9954-8b6311a5bc26"]}],"mendeley":{"formattedCitation":"[11–13]","plainTextFormattedCitation":"[11–13]","previouslyFormattedCitation":"[11–13]"},"properties":{"noteIndex":0},"schema":"https://github.com/citation-style-language/schema/raw/master/csl-citation.json"}</w:instrText>
      </w:r>
      <w:r w:rsidR="005A6FDB">
        <w:rPr>
          <w:rFonts w:cs="Times New Roman"/>
          <w:color w:val="000000"/>
        </w:rPr>
        <w:fldChar w:fldCharType="separate"/>
      </w:r>
      <w:r w:rsidR="000A6AB1" w:rsidRPr="000A6AB1">
        <w:rPr>
          <w:rFonts w:cs="Times New Roman"/>
          <w:noProof/>
          <w:color w:val="000000"/>
        </w:rPr>
        <w:t>[11–13]</w:t>
      </w:r>
      <w:r w:rsidR="005A6FDB">
        <w:rPr>
          <w:rFonts w:cs="Times New Roman"/>
          <w:color w:val="000000"/>
        </w:rPr>
        <w:fldChar w:fldCharType="end"/>
      </w:r>
      <w:r w:rsidR="005A6FDB">
        <w:rPr>
          <w:rFonts w:cs="Times New Roman"/>
          <w:color w:val="000000"/>
        </w:rPr>
        <w:t xml:space="preserve">. </w:t>
      </w:r>
      <w:r w:rsidR="00B16C30" w:rsidRPr="00125C4C">
        <w:rPr>
          <w:rFonts w:cs="Times New Roman"/>
          <w:color w:val="000000"/>
        </w:rPr>
        <w:t xml:space="preserve">In contrast, </w:t>
      </w:r>
      <w:r w:rsidR="00CD2A3D" w:rsidRPr="00125C4C">
        <w:rPr>
          <w:rFonts w:cs="Times New Roman"/>
          <w:color w:val="000000"/>
        </w:rPr>
        <w:t xml:space="preserve">two other cross-sectional UK studies found no associations between SB and measures of wellbeing </w:t>
      </w:r>
      <w:r w:rsidR="00CD2A3D" w:rsidRPr="00125C4C">
        <w:rPr>
          <w:rFonts w:cs="Times New Roman"/>
          <w:color w:val="000000"/>
        </w:rPr>
        <w:fldChar w:fldCharType="begin" w:fldLock="1"/>
      </w:r>
      <w:r w:rsidR="005D55DE">
        <w:rPr>
          <w:rFonts w:cs="Times New Roman"/>
          <w:color w:val="000000"/>
        </w:rPr>
        <w:instrText>ADDIN CSL_CITATION {"citationItems":[{"id":"ITEM-1","itemData":{"DOI":"10.3390/ijerph110100643","ISSN":"16617827","abstract":"This study explored the associations of the volume and intensity of physical activity and the volume of sedentary time with subjective well-being in a diverse group of 228 older adults in the UK (111 female, mean age 78.2 years (SD 5.8)). Physical activity (PA) and sedentary behaviour were assessed by accelerometry deriving mean steps per day, mean moderate/vigorous PA minutes per hour (MVPA min·h-1) and minutes of sedentary time per hour (ST min·h-1). Lower limb function was assessed by the Short Physical Performance Battery. Subjective well-being was assessed using the SF-12 health status scale, the Ageing Well Profile and the Satisfaction with Life Scale. Linear regressions were used to investigate associations between the independent variables which included physical activity (steps and MVPA), sedentary time, participant characteristics (gender, age, BMI, education, number of medical conditions), and lower limb function and dependent variables which included mental and physical well-being. Steps, MVPA and lower limb function were independently and moderately positively associated with perceived physical well-being but relationships with mental well-being variables were weak. No significant associations between sedentary behaviours and well-being were observed. The association between objectively evaluated physical activity and function and subjective evaluations of physical well-being suggest that improving perceptions of physical health and function may provide an important target for physical activity programmes. This in turn may drive further activity participation. © 2014 by the authors; licensee MDPI, Basel, Switzerland.","author":[{"dropping-particle":"","family":"Withall","given":"Janet","non-dropping-particle":"","parse-names":false,"suffix":""},{"dropping-particle":"","family":"Stathi","given":"Afroditi","non-dropping-particle":"","parse-names":false,"suffix":""},{"dropping-particle":"","family":"Davis","given":"Mark","non-dropping-particle":"","parse-names":false,"suffix":""},{"dropping-particle":"","family":"Coulson","given":"Jo","non-dropping-particle":"","parse-names":false,"suffix":""},{"dropping-particle":"","family":"Thompson","given":"Janice L.","non-dropping-particle":"","parse-names":false,"suffix":""},{"dropping-particle":"","family":"Fox","given":"Kenneth R.","non-dropping-particle":"","parse-names":false,"suffix":""}],"container-title":"International Journal of Environmental Research and Public Health","id":"ITEM-1","issue":"1","issued":{"date-parts":[["2014","1","2"]]},"page":"643-656","title":"Objective indicators of physical activity and sedentary time and associations with subjective well-being in adults aged 70 and over","type":"article-journal","volume":"11"},"uris":["http://www.mendeley.com/documents/?uuid=9a2b1ddf-1e7a-3f6f-acf6-7c3b850c9abd"]},{"id":"ITEM-2","itemData":{"DOI":"10.1186/s12877-019-1026-1","ISSN":"1471-2318","author":[{"dropping-particle":"","family":"Okely","given":"Judith A.","non-dropping-particle":"","parse-names":false,"suffix":""},{"dropping-particle":"","family":"Čukić","given":"Iva","non-dropping-particle":"","parse-names":false,"suffix":""},{"dropping-particle":"","family":"Shaw","given":"Richard J.","non-dropping-particle":"","parse-names":false,"suffix":""},{"dropping-particle":"","family":"Chastin","given":"Sebastien F.","non-dropping-particle":"","parse-names":false,"suffix":""},{"dropping-particle":"","family":"Dall","given":"Philippa M.","non-dropping-particle":"","parse-names":false,"suffix":""},{"dropping-particle":"","family":"Deary","given":"Ian J.","non-dropping-particle":"","parse-names":false,"suffix":""},{"dropping-particle":"","family":"Der","given":"Geoff","non-dropping-particle":"","parse-names":false,"suffix":""},{"dropping-particle":"","family":"Dontje","given":"Manon L.","non-dropping-particle":"","parse-names":false,"suffix":""},{"dropping-particle":"","family":"Skelton","given":"Dawn A.","non-dropping-particle":"","parse-names":false,"suffix":""},{"dropping-particle":"","family":"Gale","given":"Catharine R.","non-dropping-particle":"","parse-names":false,"suffix":""}],"container-title":"BMC Geriatrics","id":"ITEM-2","issue":"1","issued":{"date-parts":[["2019","12","30"]]},"page":"28","title":"Positive and negative well-being and objectively measured sedentary behaviour in older adults: evidence from three cohorts","type":"article-journal","volume":"19"},"uris":["http://www.mendeley.com/documents/?uuid=6353d564-1d71-37fa-bfbf-0cafeef9d06d"]}],"mendeley":{"formattedCitation":"[14,15]","plainTextFormattedCitation":"[14,15]","previouslyFormattedCitation":"[14,15]"},"properties":{"noteIndex":0},"schema":"https://github.com/citation-style-language/schema/raw/master/csl-citation.json"}</w:instrText>
      </w:r>
      <w:r w:rsidR="00CD2A3D" w:rsidRPr="00125C4C">
        <w:rPr>
          <w:rFonts w:cs="Times New Roman"/>
          <w:color w:val="000000"/>
        </w:rPr>
        <w:fldChar w:fldCharType="separate"/>
      </w:r>
      <w:r w:rsidR="000A6AB1" w:rsidRPr="000A6AB1">
        <w:rPr>
          <w:rFonts w:cs="Times New Roman"/>
          <w:noProof/>
          <w:color w:val="000000"/>
        </w:rPr>
        <w:t>[14,15]</w:t>
      </w:r>
      <w:r w:rsidR="00CD2A3D" w:rsidRPr="00125C4C">
        <w:rPr>
          <w:rFonts w:cs="Times New Roman"/>
          <w:color w:val="000000"/>
        </w:rPr>
        <w:fldChar w:fldCharType="end"/>
      </w:r>
      <w:r w:rsidR="00CD2A3D" w:rsidRPr="00125C4C">
        <w:rPr>
          <w:rFonts w:cs="Times New Roman"/>
          <w:color w:val="000000"/>
        </w:rPr>
        <w:t>.</w:t>
      </w:r>
    </w:p>
    <w:p w14:paraId="5C75A0B9" w14:textId="2A52D887" w:rsidR="001341C9" w:rsidRPr="009D006B" w:rsidRDefault="005670EF" w:rsidP="005D3987">
      <w:pPr>
        <w:spacing w:line="480" w:lineRule="auto"/>
        <w:ind w:firstLine="708"/>
        <w:rPr>
          <w:rFonts w:cs="Times New Roman"/>
          <w:color w:val="000000"/>
        </w:rPr>
      </w:pPr>
      <w:r>
        <w:rPr>
          <w:rFonts w:cs="Times New Roman"/>
          <w:color w:val="000000"/>
        </w:rPr>
        <w:t>However, t</w:t>
      </w:r>
      <w:r w:rsidR="00861209">
        <w:rPr>
          <w:rFonts w:cs="Times New Roman"/>
          <w:color w:val="000000"/>
        </w:rPr>
        <w:t>he</w:t>
      </w:r>
      <w:r w:rsidR="00A653C5">
        <w:rPr>
          <w:rFonts w:cs="Times New Roman"/>
          <w:color w:val="000000"/>
        </w:rPr>
        <w:t xml:space="preserve"> existing literature has several important limitations</w:t>
      </w:r>
      <w:r w:rsidR="00861209">
        <w:rPr>
          <w:rFonts w:cs="Times New Roman"/>
          <w:color w:val="000000"/>
        </w:rPr>
        <w:t xml:space="preserve">. </w:t>
      </w:r>
      <w:r w:rsidR="00656FBC" w:rsidRPr="00125C4C">
        <w:rPr>
          <w:rFonts w:cs="Times New Roman"/>
          <w:color w:val="000000"/>
        </w:rPr>
        <w:t xml:space="preserve">First, </w:t>
      </w:r>
      <w:r w:rsidR="00640773">
        <w:rPr>
          <w:rFonts w:cs="Times New Roman"/>
          <w:color w:val="000000"/>
        </w:rPr>
        <w:t>although studies on SB and several dimensions of wellbeing exist, t</w:t>
      </w:r>
      <w:r w:rsidR="009A714E" w:rsidRPr="00125C4C">
        <w:rPr>
          <w:rFonts w:cs="Times New Roman"/>
          <w:color w:val="000000"/>
        </w:rPr>
        <w:t xml:space="preserve">o our knowledge, there are no studies </w:t>
      </w:r>
      <w:r w:rsidR="002F6464">
        <w:rPr>
          <w:rFonts w:cs="Times New Roman"/>
          <w:color w:val="000000"/>
        </w:rPr>
        <w:t xml:space="preserve">specifically on </w:t>
      </w:r>
      <w:r w:rsidR="009A714E" w:rsidRPr="00125C4C">
        <w:rPr>
          <w:rFonts w:cs="Times New Roman"/>
          <w:color w:val="000000"/>
        </w:rPr>
        <w:t xml:space="preserve">SB and happiness. </w:t>
      </w:r>
      <w:r w:rsidR="008017FF">
        <w:rPr>
          <w:rFonts w:cs="Times New Roman"/>
          <w:color w:val="000000"/>
        </w:rPr>
        <w:t xml:space="preserve">Second, </w:t>
      </w:r>
      <w:r w:rsidR="00C842AE">
        <w:rPr>
          <w:rFonts w:cs="Times New Roman"/>
          <w:color w:val="000000"/>
        </w:rPr>
        <w:t xml:space="preserve">available evidence </w:t>
      </w:r>
      <w:r w:rsidR="002F6464">
        <w:rPr>
          <w:rFonts w:cs="Times New Roman"/>
          <w:color w:val="000000"/>
        </w:rPr>
        <w:t xml:space="preserve">on wellbeing </w:t>
      </w:r>
      <w:r w:rsidR="00C842AE">
        <w:rPr>
          <w:rFonts w:cs="Times New Roman"/>
          <w:color w:val="000000"/>
        </w:rPr>
        <w:t>i</w:t>
      </w:r>
      <w:r w:rsidR="00A04E65">
        <w:rPr>
          <w:rFonts w:cs="Times New Roman"/>
          <w:color w:val="000000"/>
        </w:rPr>
        <w:t xml:space="preserve">s derived </w:t>
      </w:r>
      <w:r w:rsidR="002F6464">
        <w:rPr>
          <w:rFonts w:cs="Times New Roman"/>
          <w:color w:val="000000"/>
        </w:rPr>
        <w:t xml:space="preserve">solely </w:t>
      </w:r>
      <w:r w:rsidR="00A04E65">
        <w:rPr>
          <w:rFonts w:cs="Times New Roman"/>
          <w:color w:val="000000"/>
        </w:rPr>
        <w:t>from single</w:t>
      </w:r>
      <w:r w:rsidR="0051507F">
        <w:rPr>
          <w:rFonts w:cs="Times New Roman"/>
          <w:color w:val="000000"/>
        </w:rPr>
        <w:t>-country</w:t>
      </w:r>
      <w:r w:rsidR="00A04E65">
        <w:rPr>
          <w:rFonts w:cs="Times New Roman"/>
          <w:color w:val="000000"/>
        </w:rPr>
        <w:t xml:space="preserve"> </w:t>
      </w:r>
      <w:r w:rsidR="0051507F">
        <w:rPr>
          <w:rFonts w:cs="Times New Roman"/>
          <w:color w:val="000000"/>
        </w:rPr>
        <w:t>studies</w:t>
      </w:r>
      <w:r w:rsidR="00A04E65">
        <w:rPr>
          <w:rFonts w:cs="Times New Roman"/>
          <w:color w:val="000000"/>
        </w:rPr>
        <w:t xml:space="preserve">. Thus, </w:t>
      </w:r>
      <w:r w:rsidR="00656FBC">
        <w:rPr>
          <w:rFonts w:cs="Times New Roman"/>
          <w:color w:val="000000"/>
        </w:rPr>
        <w:t>m</w:t>
      </w:r>
      <w:r w:rsidR="00C842AE">
        <w:rPr>
          <w:rFonts w:cs="Times New Roman"/>
          <w:color w:val="000000"/>
        </w:rPr>
        <w:t xml:space="preserve">ulti-country </w:t>
      </w:r>
      <w:r w:rsidR="00903888">
        <w:rPr>
          <w:rFonts w:cs="Times New Roman"/>
          <w:color w:val="000000"/>
        </w:rPr>
        <w:t>studies</w:t>
      </w:r>
      <w:r w:rsidR="00656FBC">
        <w:rPr>
          <w:rFonts w:cs="Times New Roman"/>
          <w:color w:val="000000"/>
        </w:rPr>
        <w:t xml:space="preserve"> from diverse context are needed</w:t>
      </w:r>
      <w:r w:rsidR="00C842AE">
        <w:rPr>
          <w:rFonts w:cs="Times New Roman"/>
          <w:color w:val="000000"/>
        </w:rPr>
        <w:t xml:space="preserve"> to understand whether associations are context</w:t>
      </w:r>
      <w:r w:rsidR="00564EA5">
        <w:rPr>
          <w:rFonts w:cs="Times New Roman"/>
          <w:color w:val="000000"/>
        </w:rPr>
        <w:t xml:space="preserve"> </w:t>
      </w:r>
      <w:r w:rsidR="00C842AE">
        <w:rPr>
          <w:rFonts w:cs="Times New Roman"/>
          <w:color w:val="000000"/>
        </w:rPr>
        <w:t xml:space="preserve">specific. </w:t>
      </w:r>
      <w:r w:rsidR="00E15F8F">
        <w:rPr>
          <w:rFonts w:cs="Times New Roman"/>
          <w:color w:val="000000"/>
        </w:rPr>
        <w:t xml:space="preserve">Third, </w:t>
      </w:r>
      <w:r w:rsidR="008B393C">
        <w:rPr>
          <w:rFonts w:cs="Times New Roman"/>
          <w:color w:val="000000"/>
        </w:rPr>
        <w:t xml:space="preserve">in these previous studies, </w:t>
      </w:r>
      <w:r w:rsidR="000D0D77">
        <w:rPr>
          <w:rFonts w:cs="Times New Roman"/>
          <w:color w:val="000000"/>
        </w:rPr>
        <w:t xml:space="preserve">several </w:t>
      </w:r>
      <w:r w:rsidR="00DE297C">
        <w:rPr>
          <w:rFonts w:cs="Times New Roman"/>
          <w:color w:val="000000"/>
        </w:rPr>
        <w:t>potential confound</w:t>
      </w:r>
      <w:r w:rsidR="006A36FE">
        <w:rPr>
          <w:rFonts w:cs="Times New Roman"/>
          <w:color w:val="000000"/>
        </w:rPr>
        <w:t>ing</w:t>
      </w:r>
      <w:r w:rsidR="00DE297C">
        <w:rPr>
          <w:rFonts w:cs="Times New Roman"/>
          <w:color w:val="000000"/>
        </w:rPr>
        <w:t xml:space="preserve"> factors were not taken into </w:t>
      </w:r>
      <w:r w:rsidR="0051507F">
        <w:rPr>
          <w:rFonts w:cs="Times New Roman"/>
          <w:color w:val="000000"/>
        </w:rPr>
        <w:t xml:space="preserve">account </w:t>
      </w:r>
      <w:r w:rsidR="00DE297C">
        <w:rPr>
          <w:rFonts w:cs="Times New Roman"/>
          <w:color w:val="000000"/>
        </w:rPr>
        <w:t>when exploring relationships between SB and wellbeing (</w:t>
      </w:r>
      <w:r w:rsidR="00BF7AE6">
        <w:rPr>
          <w:rFonts w:cs="Times New Roman"/>
          <w:color w:val="000000"/>
        </w:rPr>
        <w:t>e.g.</w:t>
      </w:r>
      <w:r w:rsidR="00E76F36">
        <w:rPr>
          <w:rFonts w:cs="Times New Roman"/>
          <w:color w:val="000000"/>
        </w:rPr>
        <w:t>,</w:t>
      </w:r>
      <w:r w:rsidR="00BF7AE6">
        <w:rPr>
          <w:rFonts w:cs="Times New Roman"/>
          <w:color w:val="000000"/>
        </w:rPr>
        <w:t xml:space="preserve"> social cohesion, sleep, </w:t>
      </w:r>
      <w:r w:rsidR="00471615">
        <w:rPr>
          <w:rFonts w:cs="Times New Roman"/>
          <w:color w:val="000000"/>
        </w:rPr>
        <w:t>disability</w:t>
      </w:r>
      <w:r w:rsidR="0017605E">
        <w:rPr>
          <w:rFonts w:cs="Times New Roman"/>
          <w:color w:val="000000"/>
        </w:rPr>
        <w:t>, physical activity</w:t>
      </w:r>
      <w:r w:rsidR="00BF7AE6">
        <w:rPr>
          <w:rFonts w:cs="Times New Roman"/>
          <w:color w:val="000000"/>
        </w:rPr>
        <w:t>)</w:t>
      </w:r>
      <w:r w:rsidR="00373BA8">
        <w:rPr>
          <w:rFonts w:cs="Times New Roman"/>
          <w:color w:val="000000"/>
        </w:rPr>
        <w:t xml:space="preserve">, </w:t>
      </w:r>
      <w:r w:rsidR="00EF27B7">
        <w:rPr>
          <w:rFonts w:cs="Times New Roman"/>
          <w:color w:val="000000"/>
        </w:rPr>
        <w:t>and thus</w:t>
      </w:r>
      <w:r w:rsidR="00A355BA">
        <w:rPr>
          <w:rFonts w:cs="Times New Roman"/>
          <w:color w:val="000000"/>
        </w:rPr>
        <w:t>,</w:t>
      </w:r>
      <w:r w:rsidR="00EF27B7">
        <w:rPr>
          <w:rFonts w:cs="Times New Roman"/>
          <w:color w:val="000000"/>
        </w:rPr>
        <w:t xml:space="preserve"> the reported associations may suffer from residual confounding. Relatedly, </w:t>
      </w:r>
      <w:r w:rsidR="00EF27B7">
        <w:rPr>
          <w:rFonts w:eastAsiaTheme="minorHAnsi" w:cs="Times New Roman"/>
          <w:color w:val="000000"/>
        </w:rPr>
        <w:t xml:space="preserve">to our knowledge, no previous study has explored the extent to which potentially influential factors may explain the association between </w:t>
      </w:r>
      <w:r w:rsidR="000F1B42">
        <w:rPr>
          <w:rFonts w:eastAsiaTheme="minorHAnsi" w:cs="Times New Roman"/>
          <w:color w:val="000000"/>
        </w:rPr>
        <w:t xml:space="preserve">SB </w:t>
      </w:r>
      <w:r w:rsidR="00EF27B7">
        <w:rPr>
          <w:rFonts w:eastAsiaTheme="minorHAnsi" w:cs="Times New Roman"/>
          <w:color w:val="000000"/>
        </w:rPr>
        <w:t xml:space="preserve">and wellbeing indicators. </w:t>
      </w:r>
      <w:r w:rsidR="00EF27B7">
        <w:t>This knowledge may be important when designing future interventions</w:t>
      </w:r>
      <w:r w:rsidR="00A653C5">
        <w:t xml:space="preserve"> </w:t>
      </w:r>
      <w:r w:rsidR="00BC7DFD">
        <w:t xml:space="preserve">particularly </w:t>
      </w:r>
      <w:r w:rsidR="000815B5">
        <w:t>for middle</w:t>
      </w:r>
      <w:r w:rsidR="00BC7DFD">
        <w:t>-</w:t>
      </w:r>
      <w:r w:rsidR="000815B5">
        <w:t xml:space="preserve"> and older-aged adults</w:t>
      </w:r>
      <w:r w:rsidR="00BC7DFD">
        <w:t xml:space="preserve"> </w:t>
      </w:r>
      <w:r w:rsidR="001341C9" w:rsidDel="00AB52F6">
        <w:rPr>
          <w:rFonts w:cs="Times New Roman"/>
        </w:rPr>
        <w:t>as this segment of the population is projected to grow rapidly in the coming years</w:t>
      </w:r>
      <w:r w:rsidR="008B3CFF">
        <w:rPr>
          <w:rFonts w:cs="Times New Roman"/>
        </w:rPr>
        <w:t>,</w:t>
      </w:r>
      <w:r w:rsidR="001341C9" w:rsidDel="00AB52F6">
        <w:rPr>
          <w:rFonts w:cs="Times New Roman"/>
        </w:rPr>
        <w:t xml:space="preserve"> especially in </w:t>
      </w:r>
      <w:r w:rsidR="008B3CFF">
        <w:rPr>
          <w:rFonts w:cs="Times New Roman"/>
        </w:rPr>
        <w:t>low- and</w:t>
      </w:r>
      <w:r w:rsidR="008B3CFF" w:rsidDel="006A36FE">
        <w:rPr>
          <w:rFonts w:cs="Times New Roman"/>
        </w:rPr>
        <w:t xml:space="preserve"> </w:t>
      </w:r>
      <w:r w:rsidR="008B3CFF">
        <w:rPr>
          <w:rFonts w:cs="Times New Roman"/>
        </w:rPr>
        <w:t>middle-income countries (</w:t>
      </w:r>
      <w:r w:rsidR="001341C9" w:rsidDel="00AB52F6">
        <w:rPr>
          <w:rFonts w:cs="Times New Roman"/>
        </w:rPr>
        <w:t>LMICs</w:t>
      </w:r>
      <w:r w:rsidR="008B3CFF">
        <w:rPr>
          <w:rFonts w:cs="Times New Roman"/>
        </w:rPr>
        <w:t>)</w:t>
      </w:r>
      <w:r w:rsidR="00CD420E">
        <w:rPr>
          <w:rFonts w:cs="Times New Roman"/>
        </w:rPr>
        <w:t xml:space="preserve"> </w:t>
      </w:r>
      <w:r w:rsidR="00CD420E">
        <w:rPr>
          <w:rFonts w:cs="Times New Roman"/>
        </w:rPr>
        <w:fldChar w:fldCharType="begin" w:fldLock="1"/>
      </w:r>
      <w:r w:rsidR="005D55DE">
        <w:rPr>
          <w:rFonts w:cs="Times New Roman"/>
        </w:rPr>
        <w:instrText>ADDIN CSL_CITATION {"citationItems":[{"id":"ITEM-1","itemData":{"ISBN":"9780309474108","PMID":"29989766","abstract":"Almost 25 years have passed since the Demography of Aging (1994) was published by the National Research Council. Future Directions for the Demography of Aging is, in many ways, the successor to that original volume. The Division of Behavioral and Social Research at the National Institute on Aging (NIA) asked the National Academies of Sciences, Engineering, and Medicine to produce an authoritative guide to new directions in demography of aging. The papers published in this report were originally presented and discussed at a public workshop held in Washington, D.C., August 17-18, 2017. The workshop discussion made evident that major new advances had been made in the last two decades, but also that new trends and research directions have emerged that call for innovative conceptual, design, and measurement approaches. The report reviews these recent trends and also discusses future directions for research on a range of topics that are central to current research in the demography of aging. Looking back over the past two decades of demography of aging research shows remarkable advances in our understanding of the health and well-being of the older population. Equally exciting is that this report sets the stage for the next two decades of innovative research-a period of rapid growth in the older American population.","container-title":"Future Directions for the Demography of Aging: Proceedings of a Workshop","id":"ITEM-1","issued":{"date-parts":[["2018"]]},"title":"(No Title)","type":"book"},"uris":["http://www.mendeley.com/documents/?uuid=739b806b-9b38-3576-9c11-701f8d09f977"]}],"mendeley":{"formattedCitation":"[16]","plainTextFormattedCitation":"[16]","previouslyFormattedCitation":"[16]"},"properties":{"noteIndex":0},"schema":"https://github.com/citation-style-language/schema/raw/master/csl-citation.json"}</w:instrText>
      </w:r>
      <w:r w:rsidR="00CD420E">
        <w:rPr>
          <w:rFonts w:cs="Times New Roman"/>
        </w:rPr>
        <w:fldChar w:fldCharType="separate"/>
      </w:r>
      <w:r w:rsidR="000A6AB1" w:rsidRPr="000A6AB1">
        <w:rPr>
          <w:rFonts w:cs="Times New Roman"/>
          <w:noProof/>
        </w:rPr>
        <w:t>[16]</w:t>
      </w:r>
      <w:r w:rsidR="00CD420E">
        <w:rPr>
          <w:rFonts w:cs="Times New Roman"/>
        </w:rPr>
        <w:fldChar w:fldCharType="end"/>
      </w:r>
      <w:r w:rsidR="001341C9" w:rsidDel="00AB52F6">
        <w:rPr>
          <w:rFonts w:cs="Times New Roman"/>
        </w:rPr>
        <w:t>.</w:t>
      </w:r>
      <w:r w:rsidR="001341C9">
        <w:t xml:space="preserve"> </w:t>
      </w:r>
      <w:r w:rsidR="00A667A8">
        <w:rPr>
          <w:rFonts w:cs="Times New Roman"/>
          <w:color w:val="000000"/>
        </w:rPr>
        <w:t>Next</w:t>
      </w:r>
      <w:r w:rsidR="00060E1D">
        <w:rPr>
          <w:rFonts w:cs="Times New Roman"/>
          <w:color w:val="000000"/>
        </w:rPr>
        <w:t xml:space="preserve">, </w:t>
      </w:r>
      <w:r w:rsidR="00E572FC">
        <w:rPr>
          <w:rFonts w:cs="Times New Roman"/>
          <w:color w:val="000000"/>
        </w:rPr>
        <w:t xml:space="preserve">the majority of </w:t>
      </w:r>
      <w:r w:rsidR="00060E1D">
        <w:rPr>
          <w:rFonts w:cs="Times New Roman"/>
          <w:color w:val="000000"/>
        </w:rPr>
        <w:t>previous studies on SB and wellbeing were conducted in high-income countries</w:t>
      </w:r>
      <w:r w:rsidR="009F19AE">
        <w:rPr>
          <w:rFonts w:cs="Times New Roman"/>
          <w:color w:val="000000"/>
        </w:rPr>
        <w:t xml:space="preserve">, </w:t>
      </w:r>
      <w:r w:rsidR="00CB6C1C">
        <w:rPr>
          <w:rFonts w:cs="Times New Roman"/>
          <w:color w:val="000000"/>
        </w:rPr>
        <w:t xml:space="preserve">and </w:t>
      </w:r>
      <w:r w:rsidR="00003A52">
        <w:rPr>
          <w:rFonts w:cs="Times New Roman"/>
          <w:color w:val="000000"/>
        </w:rPr>
        <w:t xml:space="preserve">the </w:t>
      </w:r>
      <w:r w:rsidR="00CB6C1C">
        <w:rPr>
          <w:rFonts w:cs="Times New Roman"/>
          <w:color w:val="000000"/>
        </w:rPr>
        <w:t xml:space="preserve">findings may not be generalizable </w:t>
      </w:r>
      <w:r w:rsidR="00B40988">
        <w:t>to LMICs as t</w:t>
      </w:r>
      <w:r w:rsidR="00060E1D">
        <w:t xml:space="preserve">hese countries are characterized by </w:t>
      </w:r>
      <w:r w:rsidR="00060E1D">
        <w:rPr>
          <w:rFonts w:cs="Times New Roman"/>
        </w:rPr>
        <w:t>different occupational, socio-cultural structures, e</w:t>
      </w:r>
      <w:r w:rsidR="00060E1D" w:rsidRPr="00700379">
        <w:rPr>
          <w:rFonts w:cs="Times New Roman"/>
        </w:rPr>
        <w:t>nvironmental factors</w:t>
      </w:r>
      <w:r w:rsidR="00060E1D">
        <w:rPr>
          <w:rFonts w:cs="Times New Roman"/>
        </w:rPr>
        <w:t xml:space="preserve"> and modes of transport </w:t>
      </w:r>
      <w:r w:rsidR="00060E1D">
        <w:rPr>
          <w:rFonts w:cs="Times New Roman"/>
        </w:rPr>
        <w:fldChar w:fldCharType="begin" w:fldLock="1"/>
      </w:r>
      <w:r w:rsidR="005D55DE">
        <w:rPr>
          <w:rFonts w:cs="Times New Roman"/>
        </w:rPr>
        <w:instrText>ADDIN CSL_CITATION {"citationItems":[{"id":"ITEM-1","itemData":{"DOI":"10.5502/ijw.v7i2.503","ISSN":"1179-8602","abstract":"Our world faces unprecedented, intense and rapid change. As such, it is difficult to fathom how we might monitor related impacts on the wellbeing of population(s) affected. In the past, the world has typically relied upon measures of economic health or wellbeing such as gross domestic product (GDP). As the world ends its commitment to the Millennium Development Goals (MDGs), and embarks on a commitment to the Sustainable Development Goals, questions about where we as a global society should continue our investments in wellbeing and efforts to measure those outcomes are now up for debate. These questions are particularly poignant for those populations most vulnerable to change: low to middle income countries (LMICs). This paper reviews existing \"beyond GDP\" measures of population wellbeing as a foundation for developing a truly global index of wellbeing (GLOWING) that can be used by LMICs to document change, and measure the impact of policy, across space and over time. The paper describes a proposed index of wellbeing that is simple, meaningful, and built on the use of available secondary data at the ecological level. It is built on the foundation of the innovative Canadian Index of Wellbeing, and hinges on plans for a proof of concept in East Africa followed by a scaling up, all of which is founded on the twin pillars of capacity building and empowerment.","author":[{"dropping-particle":"","family":"Elliott","given":"Susan J.","non-dropping-particle":"","parse-names":false,"suffix":""},{"dropping-particle":"","family":"Dixon","given":"Jenna","non-dropping-particle":"","parse-names":false,"suffix":""},{"dropping-particle":"","family":"Bisung","given":"E","non-dropping-particle":"","parse-names":false,"suffix":""},{"dropping-particle":"","family":"Kangmennaang","given":"Joseph","non-dropping-particle":"","parse-names":false,"suffix":""}],"container-title":"International Journal of Wellbeing","id":"ITEM-1","issue":"2","issued":{"date-parts":[["2017"]]},"title":"A GLOWING footprint: Developing an index of wellbeing for low to middle income countries","type":"article-journal","volume":"7"},"uris":["http://www.mendeley.com/documents/?uuid=244c046c-31e1-3bfc-a3fa-d7f60f85701c"]}],"mendeley":{"formattedCitation":"[17]","plainTextFormattedCitation":"[17]","previouslyFormattedCitation":"[17]"},"properties":{"noteIndex":0},"schema":"https://github.com/citation-style-language/schema/raw/master/csl-citation.json"}</w:instrText>
      </w:r>
      <w:r w:rsidR="00060E1D">
        <w:rPr>
          <w:rFonts w:cs="Times New Roman"/>
        </w:rPr>
        <w:fldChar w:fldCharType="separate"/>
      </w:r>
      <w:r w:rsidR="000A6AB1" w:rsidRPr="000A6AB1">
        <w:rPr>
          <w:rFonts w:cs="Times New Roman"/>
          <w:noProof/>
        </w:rPr>
        <w:t>[17]</w:t>
      </w:r>
      <w:r w:rsidR="00060E1D">
        <w:rPr>
          <w:rFonts w:cs="Times New Roman"/>
        </w:rPr>
        <w:fldChar w:fldCharType="end"/>
      </w:r>
      <w:r w:rsidR="004D6C59">
        <w:rPr>
          <w:rFonts w:cs="Times New Roman"/>
        </w:rPr>
        <w:t>.</w:t>
      </w:r>
    </w:p>
    <w:p w14:paraId="3BC5594E" w14:textId="58BB59EF" w:rsidR="00832D57" w:rsidRDefault="00060E1D" w:rsidP="005D3987">
      <w:pPr>
        <w:spacing w:line="480" w:lineRule="auto"/>
        <w:ind w:firstLine="708"/>
        <w:rPr>
          <w:rFonts w:cs="Times New Roman"/>
        </w:rPr>
      </w:pPr>
      <w:r>
        <w:rPr>
          <w:rFonts w:eastAsiaTheme="minorHAnsi" w:cs="Times New Roman"/>
          <w:color w:val="000000"/>
        </w:rPr>
        <w:t xml:space="preserve">Given </w:t>
      </w:r>
      <w:r w:rsidR="004935F9">
        <w:rPr>
          <w:rFonts w:eastAsiaTheme="minorHAnsi" w:cs="Times New Roman"/>
          <w:color w:val="000000"/>
        </w:rPr>
        <w:t>the</w:t>
      </w:r>
      <w:r w:rsidR="009B1F1D">
        <w:rPr>
          <w:rFonts w:eastAsiaTheme="minorHAnsi" w:cs="Times New Roman"/>
          <w:color w:val="000000"/>
        </w:rPr>
        <w:t xml:space="preserve"> above-mentioned gaps in the literature</w:t>
      </w:r>
      <w:r w:rsidR="002E642A">
        <w:t xml:space="preserve">, </w:t>
      </w:r>
      <w:r w:rsidR="002E642A">
        <w:rPr>
          <w:rFonts w:cs="Times New Roman"/>
        </w:rPr>
        <w:t>the purpose of this study was</w:t>
      </w:r>
      <w:r w:rsidR="006A36FE">
        <w:rPr>
          <w:rFonts w:cs="Times New Roman"/>
        </w:rPr>
        <w:t>:</w:t>
      </w:r>
      <w:r w:rsidR="002E642A">
        <w:rPr>
          <w:rFonts w:cs="Times New Roman"/>
        </w:rPr>
        <w:t xml:space="preserve"> </w:t>
      </w:r>
      <w:r w:rsidR="00A653C5">
        <w:rPr>
          <w:rFonts w:cs="Times New Roman"/>
        </w:rPr>
        <w:t xml:space="preserve">to </w:t>
      </w:r>
      <w:r w:rsidR="002E642A">
        <w:rPr>
          <w:rFonts w:cs="Times New Roman"/>
        </w:rPr>
        <w:t>(</w:t>
      </w:r>
      <w:r w:rsidR="009B1F1D">
        <w:rPr>
          <w:rFonts w:cs="Times New Roman"/>
        </w:rPr>
        <w:t>a</w:t>
      </w:r>
      <w:r w:rsidR="002E642A">
        <w:rPr>
          <w:rFonts w:cs="Times New Roman"/>
        </w:rPr>
        <w:t xml:space="preserve">) examine the association between </w:t>
      </w:r>
      <w:r w:rsidR="00C1571A">
        <w:rPr>
          <w:rFonts w:cs="Times New Roman"/>
        </w:rPr>
        <w:t>SB</w:t>
      </w:r>
      <w:r w:rsidR="002E642A">
        <w:rPr>
          <w:rFonts w:cs="Times New Roman"/>
        </w:rPr>
        <w:t xml:space="preserve"> and happiness among </w:t>
      </w:r>
      <w:r w:rsidR="009A51E9">
        <w:rPr>
          <w:rFonts w:cs="Times New Roman"/>
        </w:rPr>
        <w:t xml:space="preserve">middle-aged and older </w:t>
      </w:r>
      <w:r w:rsidR="002E642A">
        <w:rPr>
          <w:rFonts w:cs="Times New Roman"/>
        </w:rPr>
        <w:t xml:space="preserve">adults </w:t>
      </w:r>
      <w:r w:rsidR="002E642A">
        <w:rPr>
          <w:rFonts w:cs="Times New Roman"/>
        </w:rPr>
        <w:lastRenderedPageBreak/>
        <w:t xml:space="preserve">employing nationally representative datasets from six </w:t>
      </w:r>
      <w:r w:rsidR="008B3CFF">
        <w:rPr>
          <w:rFonts w:cs="Times New Roman"/>
        </w:rPr>
        <w:t xml:space="preserve">LMICs; </w:t>
      </w:r>
      <w:r w:rsidR="002E642A">
        <w:rPr>
          <w:rFonts w:cs="Times New Roman"/>
        </w:rPr>
        <w:t>and (</w:t>
      </w:r>
      <w:r w:rsidR="009B1F1D">
        <w:rPr>
          <w:rFonts w:cs="Times New Roman"/>
        </w:rPr>
        <w:t>b</w:t>
      </w:r>
      <w:r w:rsidR="002E642A">
        <w:rPr>
          <w:rFonts w:cs="Times New Roman"/>
        </w:rPr>
        <w:t xml:space="preserve">) </w:t>
      </w:r>
      <w:r w:rsidR="00073192">
        <w:rPr>
          <w:rFonts w:cs="Times New Roman"/>
        </w:rPr>
        <w:t>explore factors</w:t>
      </w:r>
      <w:r w:rsidR="002E642A">
        <w:rPr>
          <w:rFonts w:cs="Times New Roman"/>
        </w:rPr>
        <w:t xml:space="preserve"> </w:t>
      </w:r>
      <w:r w:rsidR="009A51E9">
        <w:rPr>
          <w:rFonts w:cs="Times New Roman"/>
        </w:rPr>
        <w:t xml:space="preserve">that </w:t>
      </w:r>
      <w:r w:rsidR="002E642A">
        <w:rPr>
          <w:rFonts w:cs="Times New Roman"/>
        </w:rPr>
        <w:t xml:space="preserve">may explain such </w:t>
      </w:r>
      <w:r w:rsidR="00912286">
        <w:rPr>
          <w:rFonts w:cs="Times New Roman"/>
        </w:rPr>
        <w:t xml:space="preserve">a </w:t>
      </w:r>
      <w:r w:rsidR="002E642A">
        <w:rPr>
          <w:rFonts w:cs="Times New Roman"/>
        </w:rPr>
        <w:t xml:space="preserve">relationship. </w:t>
      </w:r>
    </w:p>
    <w:p w14:paraId="2675FFAB" w14:textId="77777777" w:rsidR="00EC0288" w:rsidRDefault="00EC0288" w:rsidP="005D3987">
      <w:pPr>
        <w:spacing w:line="480" w:lineRule="auto"/>
        <w:ind w:firstLine="708"/>
        <w:rPr>
          <w:rFonts w:cs="Times New Roman"/>
        </w:rPr>
      </w:pPr>
    </w:p>
    <w:p w14:paraId="5FDA99B6" w14:textId="0B09E708" w:rsidR="00AC7DFB" w:rsidRPr="00FF40B3" w:rsidRDefault="00AC7DFB" w:rsidP="001F374D">
      <w:pPr>
        <w:pStyle w:val="Heading1"/>
      </w:pPr>
      <w:r w:rsidRPr="00FF40B3">
        <w:t>METHODS</w:t>
      </w:r>
    </w:p>
    <w:p w14:paraId="6047BB8C" w14:textId="77777777" w:rsidR="00AC7DFB" w:rsidRPr="00FF40B3" w:rsidRDefault="007E4489" w:rsidP="001F374D">
      <w:pPr>
        <w:pStyle w:val="Heading2"/>
        <w:rPr>
          <w:b w:val="0"/>
          <w:i w:val="0"/>
        </w:rPr>
      </w:pPr>
      <w:r>
        <w:t xml:space="preserve">Sample and study design </w:t>
      </w:r>
    </w:p>
    <w:p w14:paraId="12B9E89E" w14:textId="4AA68991" w:rsidR="00AC7DFB" w:rsidRDefault="001F59D6" w:rsidP="005D3987">
      <w:pPr>
        <w:spacing w:line="480" w:lineRule="auto"/>
        <w:rPr>
          <w:rFonts w:cs="Times New Roman"/>
        </w:rPr>
      </w:pPr>
      <w:r>
        <w:rPr>
          <w:rFonts w:cs="Times New Roman"/>
          <w:color w:val="000000"/>
        </w:rPr>
        <w:t>D</w:t>
      </w:r>
      <w:r w:rsidR="00AC7DFB" w:rsidRPr="00FF40B3">
        <w:rPr>
          <w:rFonts w:cs="Times New Roman"/>
          <w:color w:val="000000"/>
        </w:rPr>
        <w:t xml:space="preserve">ata from the </w:t>
      </w:r>
      <w:r w:rsidR="00AC7DFB" w:rsidRPr="00FF40B3">
        <w:rPr>
          <w:rFonts w:cs="Times New Roman"/>
        </w:rPr>
        <w:t>Study on Global Ageing and Adult Health (</w:t>
      </w:r>
      <w:r w:rsidR="00AC7DFB" w:rsidRPr="009D7AB2">
        <w:rPr>
          <w:rFonts w:cs="Times New Roman"/>
        </w:rPr>
        <w:t xml:space="preserve">SAGE) </w:t>
      </w:r>
      <w:r w:rsidR="00677954" w:rsidRPr="009D7AB2">
        <w:rPr>
          <w:rFonts w:cs="Times New Roman"/>
        </w:rPr>
        <w:t>Wave 1</w:t>
      </w:r>
      <w:r w:rsidR="00677954">
        <w:rPr>
          <w:rFonts w:cs="Times New Roman"/>
        </w:rPr>
        <w:t xml:space="preserve"> </w:t>
      </w:r>
      <w:r w:rsidR="00AC7DFB" w:rsidRPr="00FF40B3">
        <w:rPr>
          <w:rFonts w:cs="Times New Roman"/>
          <w:color w:val="000000"/>
        </w:rPr>
        <w:t>were analyzed</w:t>
      </w:r>
      <w:r w:rsidR="00674D1E">
        <w:rPr>
          <w:rFonts w:cs="Times New Roman"/>
          <w:color w:val="000000"/>
        </w:rPr>
        <w:t xml:space="preserve"> (</w:t>
      </w:r>
      <w:hyperlink r:id="rId10" w:history="1">
        <w:r w:rsidR="00237F4C" w:rsidRPr="001F59D6">
          <w:rPr>
            <w:rStyle w:val="Hyperlink"/>
            <w:rFonts w:cs="Times New Roman"/>
          </w:rPr>
          <w:t>http://www.who.int/healthinfo/sage/en/</w:t>
        </w:r>
      </w:hyperlink>
      <w:r w:rsidR="00674D1E">
        <w:rPr>
          <w:rFonts w:cs="Times New Roman"/>
          <w:color w:val="000000"/>
        </w:rPr>
        <w:t xml:space="preserve">). </w:t>
      </w:r>
      <w:r w:rsidR="00AC7DFB" w:rsidRPr="00FF40B3">
        <w:rPr>
          <w:rFonts w:cs="Times New Roman"/>
          <w:color w:val="000000"/>
        </w:rPr>
        <w:t xml:space="preserve">This survey was undertaken in China, Ghana, India, Mexico, Russia, and South Africa between 2007 and 2010. Based on the World Bank classification at the time of the survey, </w:t>
      </w:r>
      <w:r w:rsidR="00674D1E">
        <w:rPr>
          <w:rFonts w:cs="Times New Roman"/>
          <w:color w:val="000000"/>
        </w:rPr>
        <w:t xml:space="preserve">all </w:t>
      </w:r>
      <w:r w:rsidR="00655A36">
        <w:rPr>
          <w:rFonts w:cs="Times New Roman"/>
          <w:color w:val="000000"/>
        </w:rPr>
        <w:t xml:space="preserve">these countries were LMICs. </w:t>
      </w:r>
      <w:r w:rsidR="00AC7DFB" w:rsidRPr="00FF40B3">
        <w:rPr>
          <w:rFonts w:cs="Times New Roman"/>
          <w:color w:val="000000"/>
        </w:rPr>
        <w:t>Details of the</w:t>
      </w:r>
      <w:r w:rsidR="0091005C">
        <w:rPr>
          <w:rFonts w:cs="Times New Roman"/>
          <w:color w:val="000000"/>
        </w:rPr>
        <w:t xml:space="preserve"> survey methodology</w:t>
      </w:r>
      <w:r w:rsidR="00AC7DFB" w:rsidRPr="00FF40B3">
        <w:rPr>
          <w:rFonts w:cs="Times New Roman"/>
          <w:color w:val="000000"/>
        </w:rPr>
        <w:t xml:space="preserve"> have been published elsewhere</w:t>
      </w:r>
      <w:r w:rsidR="00AC7DFB">
        <w:rPr>
          <w:rFonts w:cs="Times New Roman"/>
          <w:color w:val="000000"/>
        </w:rPr>
        <w:t xml:space="preserve"> </w:t>
      </w:r>
      <w:r w:rsidR="00AC7DFB">
        <w:rPr>
          <w:rFonts w:cs="Times New Roman"/>
          <w:color w:val="000000"/>
        </w:rPr>
        <w:fldChar w:fldCharType="begin" w:fldLock="1"/>
      </w:r>
      <w:r w:rsidR="005D55DE">
        <w:rPr>
          <w:rFonts w:cs="Times New Roman"/>
          <w:color w:val="000000"/>
        </w:rPr>
        <w:instrText>ADDIN CSL_CITATION {"citationItems":[{"id":"ITEM-1","itemData":{"DOI":"10.1093/ije/dys210","ISSN":"03005771","abstract":"Population ageing is rapidly becoming a global issue and will have a major impact on health policies and programmes. The World Health Organization's Study on global AGEing and adult health (SAGE) aims to address the gap in reliable data and scientific knowledge on ageing and health in low- and middle-income countries. SAGE is a longitudinal study with nationally representative samples of persons aged 50{thorn} years in China, Ghana, India, Mexico, Russia and South Africa, with a smaller sample of adults aged 18-49 years in each country for comparisons. Instruments are compatible with other large high-income country longitudinal ageing studies. Wave 1 was conducted during 2007-2010 and included a total of 34 124 respondents aged 50{thorn} and 8340 aged 18-49. In four countries, a subsample consisting of 8160 respondents participated in Wave 1 and the 2002/04 World Health Survey (referred to as SAGE Wave 0). Wave 2 data collection will start in 2012/13, following up all Wave 1 respondents. Wave 3 is planned for 2014/15. SAGE is committed to the public release of study instruments, protocols and meta- and micro-data: access is provided upon completion of a Users Agreement available through WHO's SAGE website (www.who.int/healthinfo/systems/ sage) and WHO's archive using the National Data Archive application (http://apps.who.int/healthinfo/systems/surveydata). © The Author 2012; all rights reserved.","author":[{"dropping-particle":"","family":"Kowal","given":"Paul","non-dropping-particle":"","parse-names":false,"suffix":""},{"dropping-particle":"","family":"Chatterji","given":"Somnath","non-dropping-particle":"","parse-names":false,"suffix":""},{"dropping-particle":"","family":"Naidoo","given":"Nirmala","non-dropping-particle":"","parse-names":false,"suffix":""},{"dropping-particle":"","family":"Biritwum","given":"Richard","non-dropping-particle":"","parse-names":false,"suffix":""},{"dropping-particle":"","family":"Fan","given":"Wu","non-dropping-particle":"","parse-names":false,"suffix":""},{"dropping-particle":"","family":"Ridaura","given":"Ruy Lopez","non-dropping-particle":"","parse-names":false,"suffix":""},{"dropping-particle":"","family":"Maximova","given":"Tamara","non-dropping-particle":"","parse-names":false,"suffix":""},{"dropping-particle":"","family":"Arokiasamy","given":"Perianayagam","non-dropping-particle":"","parse-names":false,"suffix":""},{"dropping-particle":"","family":"Phaswana-Mafuya","given":"Nancy","non-dropping-particle":"","parse-names":false,"suffix":""},{"dropping-particle":"","family":"Williams","given":"Sharon","non-dropping-particle":"","parse-names":false,"suffix":""},{"dropping-particle":"","family":"Josh Snodgrass","given":"J.","non-dropping-particle":"","parse-names":false,"suffix":""},{"dropping-particle":"","family":"Minicuci","given":"Nadia","non-dropping-particle":"","parse-names":false,"suffix":""},{"dropping-particle":"","family":"D'Este","given":"Catherine","non-dropping-particle":"","parse-names":false,"suffix":""},{"dropping-particle":"","family":"Peltzer","given":"Karl","non-dropping-particle":"","parse-names":false,"suffix":""},{"dropping-particle":"","family":"Ties Boerma","given":"J.","non-dropping-particle":"","parse-names":false,"suffix":""},{"dropping-particle":"","family":"Yawson","given":"A.","non-dropping-particle":"","parse-names":false,"suffix":""},{"dropping-particle":"","family":"Mensah","given":"G.","non-dropping-particle":"","parse-names":false,"suffix":""},{"dropping-particle":"","family":"Yong","given":"J.","non-dropping-particle":"","parse-names":false,"suffix":""},{"dropping-particle":"","family":"Guo","given":"Y.","non-dropping-particle":"","parse-names":false,"suffix":""},{"dropping-particle":"","family":"Zheng","given":"Y.","non-dropping-particle":"","parse-names":false,"suffix":""},{"dropping-particle":"","family":"Parasuraman","given":"P.","non-dropping-particle":"","parse-names":false,"suffix":""},{"dropping-particle":"","family":"Lhungdim","given":"H.","non-dropping-particle":"","parse-names":false,"suffix":""},{"dropping-particle":"V.","family":"Sekher","given":"T.","non-dropping-particle":"","parse-names":false,"suffix":""},{"dropping-particle":"","family":"Rosa","given":"R.","non-dropping-particle":"","parse-names":false,"suffix":""},{"dropping-particle":"","family":"Belov","given":"V. B.","non-dropping-particle":"","parse-names":false,"suffix":""},{"dropping-particle":"","family":"Lushkina","given":"N. P.","non-dropping-particle":"","parse-names":false,"suffix":""},{"dropping-particle":"","family":"Peltzer","given":"K.","non-dropping-particle":"","parse-names":false,"suffix":""},{"dropping-particle":"","family":"Makiwane","given":"M.","non-dropping-particle":"","parse-names":false,"suffix":""},{"dropping-particle":"","family":"Zuma","given":"K.","non-dropping-particle":"","parse-names":false,"suffix":""},{"dropping-particle":"","family":"Ramlagan","given":"S.","non-dropping-particle":"","parse-names":false,"suffix":""},{"dropping-particle":"","family":"Davids","given":"A.","non-dropping-particle":"","parse-names":false,"suffix":""},{"dropping-particle":"","family":"Mbelle","given":"N.","non-dropping-particle":"","parse-names":false,"suffix":""},{"dropping-particle":"","family":"Matseke","given":"G.","non-dropping-particle":"","parse-names":false,"suffix":""},{"dropping-particle":"","family":"Schneider","given":"M.","non-dropping-particle":"","parse-names":false,"suffix":""},{"dropping-particle":"","family":"Tabane","given":"C.","non-dropping-particle":"","parse-names":false,"suffix":""},{"dropping-particle":"","family":"Tollman","given":"S.","non-dropping-particle":"","parse-names":false,"suffix":""},{"dropping-particle":"","family":"Kahn","given":"K.","non-dropping-particle":"","parse-names":false,"suffix":""},{"dropping-particle":"","family":"Ng","given":"N.","non-dropping-particle":"","parse-names":false,"suffix":""},{"dropping-particle":"","family":"Juvekar","given":"S.","non-dropping-particle":"","parse-names":false,"suffix":""},{"dropping-particle":"","family":"Sankoh","given":"O.","non-dropping-particle":"","parse-names":false,"suffix":""},{"dropping-particle":"","family":"Debpuur","given":"C. Y.","non-dropping-particle":"","parse-names":false,"suffix":""},{"dropping-particle":"","family":"Chuc","given":"Nguyen T.K.","non-dropping-particle":"","parse-names":false,"suffix":""},{"dropping-particle":"","family":"Gomez-Olive","given":"F. X.","non-dropping-particle":"","parse-names":false,"suffix":""},{"dropping-particle":"","family":"Hakimi","given":"M.","non-dropping-particle":"","parse-names":false,"suffix":""},{"dropping-particle":"","family":"Hirve","given":"S.","non-dropping-particle":"","parse-names":false,"suffix":""},{"dropping-particle":"","family":"Abdullah","given":"S.","non-dropping-particle":"","parse-names":false,"suffix":""},{"dropping-particle":"","family":"Hodgson","given":"A.","non-dropping-particle":"","parse-names":false,"suffix":""},{"dropping-particle":"","family":"Kyobutungi","given":"C.","non-dropping-particle":"","parse-names":false,"suffix":""},{"dropping-particle":"","family":"Egondi","given":"T.","non-dropping-particle":"","parse-names":false,"suffix":""},{"dropping-particle":"","family":"Mayombana","given":"C.","non-dropping-particle":"","parse-names":false,"suffix":""},{"dropping-particle":"V.","family":"Minh","given":"H.","non-dropping-particle":"","parse-names":false,"suffix":""},{"dropping-particle":"","family":"Mwanyangala","given":"M. A.","non-dropping-particle":"","parse-names":false,"suffix":""},{"dropping-particle":"","family":"Razzaque","given":"A.","non-dropping-particle":"","parse-names":false,"suffix":""},{"dropping-particle":"","family":"Wilopo","given":"S.","non-dropping-particle":"","parse-names":false,"suffix":""},{"dropping-particle":"","family":"Streatfield","given":"P. K.","non-dropping-particle":"","parse-names":false,"suffix":""},{"dropping-particle":"","family":"Byass","given":"P.","non-dropping-particle":"","parse-names":false,"suffix":""},{"dropping-particle":"","family":"Wall","given":"S.","non-dropping-particle":"","parse-names":false,"suffix":""},{"dropping-particle":"","family":"Scholten","given":"F.","non-dropping-particle":"","parse-names":false,"suffix":""},{"dropping-particle":"","family":"Mugisha","given":"J.","non-dropping-particle":"","parse-names":false,"suffix":""},{"dropping-particle":"","family":"Seeley","given":"J.","non-dropping-particle":"","parse-names":false,"suffix":""},{"dropping-particle":"","family":"Kinyanda","given":"E.","non-dropping-particle":"","parse-names":false,"suffix":""},{"dropping-particle":"","family":"Nyirenda","given":"M.","non-dropping-particle":"","parse-names":false,"suffix":""},{"dropping-particle":"","family":"Mutevedzi","given":"P.","non-dropping-particle":"","parse-names":false,"suffix":""},{"dropping-particle":"","family":"Newell","given":"M. L.","non-dropping-particle":"","parse-names":false,"suffix":""}],"container-title":"International Journal of Epidemiology","id":"ITEM-1","issue":"6","issued":{"date-parts":[["2012","12"]]},"page":"1639-1649","title":"Data resource profile: The world health organization study on global ageing and adult health (SAGE)","type":"article-journal","volume":"41"},"uris":["http://www.mendeley.com/documents/?uuid=9afb223e-4102-3d17-95a5-6a8caaf02293"]}],"mendeley":{"formattedCitation":"[18]","plainTextFormattedCitation":"[18]","previouslyFormattedCitation":"[18]"},"properties":{"noteIndex":0},"schema":"https://github.com/citation-style-language/schema/raw/master/csl-citation.json"}</w:instrText>
      </w:r>
      <w:r w:rsidR="00AC7DFB">
        <w:rPr>
          <w:rFonts w:cs="Times New Roman"/>
          <w:color w:val="000000"/>
        </w:rPr>
        <w:fldChar w:fldCharType="separate"/>
      </w:r>
      <w:r w:rsidR="000A6AB1" w:rsidRPr="000A6AB1">
        <w:rPr>
          <w:rFonts w:cs="Times New Roman"/>
          <w:noProof/>
          <w:color w:val="000000"/>
        </w:rPr>
        <w:t>[18]</w:t>
      </w:r>
      <w:r w:rsidR="00AC7DFB">
        <w:rPr>
          <w:rFonts w:cs="Times New Roman"/>
          <w:color w:val="000000"/>
        </w:rPr>
        <w:fldChar w:fldCharType="end"/>
      </w:r>
      <w:r w:rsidR="00AC7DFB">
        <w:rPr>
          <w:rFonts w:cs="Times New Roman"/>
          <w:color w:val="000000"/>
        </w:rPr>
        <w:t xml:space="preserve">. </w:t>
      </w:r>
      <w:r w:rsidR="00AC7DFB" w:rsidRPr="00FF40B3">
        <w:rPr>
          <w:rFonts w:cs="Times New Roman"/>
          <w:color w:val="000000"/>
        </w:rPr>
        <w:t xml:space="preserve">Briefly, </w:t>
      </w:r>
      <w:r w:rsidR="00C5059D" w:rsidRPr="00FF40B3">
        <w:rPr>
          <w:rFonts w:cs="Times New Roman"/>
          <w:color w:val="000000"/>
        </w:rPr>
        <w:t>nationally representative samples</w:t>
      </w:r>
      <w:r w:rsidR="00C5059D">
        <w:rPr>
          <w:rFonts w:cs="Times New Roman"/>
          <w:color w:val="000000"/>
        </w:rPr>
        <w:t xml:space="preserve"> were obtained using </w:t>
      </w:r>
      <w:r w:rsidR="00AC7DFB" w:rsidRPr="00FF40B3">
        <w:rPr>
          <w:rFonts w:cs="Times New Roman"/>
          <w:color w:val="000000"/>
        </w:rPr>
        <w:t>a multistage clustered sampling design method</w:t>
      </w:r>
      <w:r w:rsidR="00C5059D">
        <w:rPr>
          <w:rFonts w:cs="Times New Roman"/>
          <w:color w:val="000000"/>
        </w:rPr>
        <w:t xml:space="preserve">. </w:t>
      </w:r>
      <w:r w:rsidR="00AC7DFB" w:rsidRPr="00FF40B3">
        <w:rPr>
          <w:rFonts w:cs="Times New Roman"/>
          <w:color w:val="000000"/>
        </w:rPr>
        <w:t xml:space="preserve">The sample consisted of adults aged ≥18 years with oversampling of </w:t>
      </w:r>
      <w:r w:rsidR="00633F89">
        <w:rPr>
          <w:rFonts w:cs="Times New Roman"/>
          <w:color w:val="000000"/>
        </w:rPr>
        <w:t xml:space="preserve">participants </w:t>
      </w:r>
      <w:r w:rsidR="00AC7DFB" w:rsidRPr="00FF40B3">
        <w:rPr>
          <w:rFonts w:cs="Times New Roman"/>
          <w:color w:val="000000"/>
        </w:rPr>
        <w:t>aged ≥50 years. Standa</w:t>
      </w:r>
      <w:r w:rsidR="00633F89">
        <w:rPr>
          <w:rFonts w:cs="Times New Roman"/>
          <w:color w:val="000000"/>
        </w:rPr>
        <w:t>rd translation procedures were conducted</w:t>
      </w:r>
      <w:r w:rsidR="00AC7DFB" w:rsidRPr="00FF40B3">
        <w:rPr>
          <w:rFonts w:cs="Times New Roman"/>
          <w:color w:val="000000"/>
        </w:rPr>
        <w:t xml:space="preserve"> to ensure comparability between countries</w:t>
      </w:r>
      <w:r w:rsidR="00061D4E">
        <w:rPr>
          <w:rFonts w:cs="Times New Roman"/>
          <w:color w:val="000000"/>
        </w:rPr>
        <w:t>,</w:t>
      </w:r>
      <w:r w:rsidR="00A4686F">
        <w:rPr>
          <w:rFonts w:cs="Times New Roman"/>
          <w:color w:val="000000"/>
        </w:rPr>
        <w:t xml:space="preserve"> and t</w:t>
      </w:r>
      <w:r w:rsidR="00A4686F" w:rsidRPr="00FF40B3">
        <w:rPr>
          <w:rFonts w:cs="Times New Roman"/>
          <w:color w:val="000000"/>
        </w:rPr>
        <w:t xml:space="preserve">rained interviewers conducted face-to-face interviews using a standard questionnaire. </w:t>
      </w:r>
      <w:r w:rsidR="00AC7DFB" w:rsidRPr="00FF40B3">
        <w:rPr>
          <w:rFonts w:cs="Times New Roman"/>
          <w:color w:val="000000"/>
        </w:rPr>
        <w:t xml:space="preserve">The survey response rates were: </w:t>
      </w:r>
      <w:r w:rsidR="00AC7DFB" w:rsidRPr="00FF40B3">
        <w:rPr>
          <w:rFonts w:cs="Times New Roman"/>
        </w:rPr>
        <w:t>China 93%; Ghana 81%; India 68%; Mexico 53%; Russia 83%; and South Africa 75%.</w:t>
      </w:r>
      <w:r w:rsidR="00AC7DFB" w:rsidRPr="00FF40B3">
        <w:rPr>
          <w:rFonts w:cs="Times New Roman"/>
          <w:i/>
        </w:rPr>
        <w:t xml:space="preserve"> </w:t>
      </w:r>
      <w:r w:rsidR="00AC7DFB" w:rsidRPr="00FF40B3">
        <w:rPr>
          <w:rFonts w:cs="Times New Roman"/>
          <w:color w:val="000000"/>
        </w:rPr>
        <w:t>S</w:t>
      </w:r>
      <w:r w:rsidR="00AC7DFB" w:rsidRPr="00FF40B3">
        <w:rPr>
          <w:rFonts w:cs="Times New Roman"/>
        </w:rPr>
        <w:t xml:space="preserve">ampling weights were </w:t>
      </w:r>
      <w:r w:rsidR="00574B27">
        <w:rPr>
          <w:rFonts w:cs="Times New Roman"/>
        </w:rPr>
        <w:t>calculated</w:t>
      </w:r>
      <w:r w:rsidR="00AC7DFB" w:rsidRPr="00FF40B3">
        <w:rPr>
          <w:rFonts w:cs="Times New Roman"/>
        </w:rPr>
        <w:t xml:space="preserve"> to adjust for the population structure as reported by the United Nations Statistical Division. Ethical approval was obtained from the WHO Ethical Review Committee and local </w:t>
      </w:r>
      <w:r w:rsidR="00574B27">
        <w:rPr>
          <w:rFonts w:cs="Times New Roman"/>
        </w:rPr>
        <w:t>ethics research review boards</w:t>
      </w:r>
      <w:r w:rsidR="00023127">
        <w:rPr>
          <w:rFonts w:cs="Times New Roman"/>
        </w:rPr>
        <w:t xml:space="preserve">, </w:t>
      </w:r>
      <w:r w:rsidR="00574B27">
        <w:rPr>
          <w:rFonts w:cs="Times New Roman"/>
        </w:rPr>
        <w:t>and w</w:t>
      </w:r>
      <w:r w:rsidR="00AC7DFB" w:rsidRPr="00FF40B3">
        <w:rPr>
          <w:rFonts w:cs="Times New Roman"/>
        </w:rPr>
        <w:t>ritten informed consent was obtained from all participants.</w:t>
      </w:r>
      <w:r w:rsidR="00911D12">
        <w:rPr>
          <w:rFonts w:cs="Times New Roman"/>
        </w:rPr>
        <w:t xml:space="preserve"> </w:t>
      </w:r>
    </w:p>
    <w:p w14:paraId="0A94AFF3" w14:textId="77777777" w:rsidR="00061D4E" w:rsidRDefault="00061D4E" w:rsidP="005D3987">
      <w:pPr>
        <w:spacing w:line="480" w:lineRule="auto"/>
        <w:rPr>
          <w:rFonts w:cs="Times New Roman"/>
        </w:rPr>
      </w:pPr>
    </w:p>
    <w:p w14:paraId="6D17A630" w14:textId="77777777" w:rsidR="00AC7DFB" w:rsidRDefault="00B8134D" w:rsidP="001F374D">
      <w:pPr>
        <w:pStyle w:val="Heading2"/>
      </w:pPr>
      <w:r>
        <w:t xml:space="preserve">Sedentary behavior </w:t>
      </w:r>
    </w:p>
    <w:p w14:paraId="5D603EFB" w14:textId="120DB74A" w:rsidR="00A31B76" w:rsidRDefault="00243346" w:rsidP="005D3987">
      <w:pPr>
        <w:spacing w:line="480" w:lineRule="auto"/>
        <w:rPr>
          <w:rFonts w:eastAsia="Times New Roman" w:cs="Times New Roman"/>
          <w:lang w:eastAsia="nl-BE"/>
        </w:rPr>
      </w:pPr>
      <w:r>
        <w:rPr>
          <w:rFonts w:eastAsia="Times New Roman" w:cs="Times New Roman"/>
          <w:lang w:eastAsia="nl-BE"/>
        </w:rPr>
        <w:t>Total s</w:t>
      </w:r>
      <w:r w:rsidR="00C63AE8">
        <w:rPr>
          <w:rFonts w:eastAsia="Times New Roman" w:cs="Times New Roman"/>
          <w:lang w:eastAsia="nl-BE"/>
        </w:rPr>
        <w:t xml:space="preserve">edentary behavior was assessed with the </w:t>
      </w:r>
      <w:r w:rsidR="00C63AE8" w:rsidRPr="00FF40B3">
        <w:rPr>
          <w:rFonts w:cs="Times New Roman"/>
          <w:lang w:val="en-GB"/>
        </w:rPr>
        <w:t>Global Physical Activity Questionnaire</w:t>
      </w:r>
      <w:r w:rsidR="002D1092">
        <w:rPr>
          <w:rFonts w:cs="Times New Roman"/>
          <w:lang w:val="en-GB"/>
        </w:rPr>
        <w:t xml:space="preserve"> </w:t>
      </w:r>
      <w:r w:rsidR="00E426A2">
        <w:rPr>
          <w:rFonts w:cs="Times New Roman"/>
          <w:lang w:val="en-GB"/>
        </w:rPr>
        <w:t xml:space="preserve">(GPAQ) </w:t>
      </w:r>
      <w:r w:rsidR="00794457">
        <w:rPr>
          <w:rFonts w:cs="Times New Roman"/>
          <w:lang w:val="en-GB"/>
        </w:rPr>
        <w:fldChar w:fldCharType="begin" w:fldLock="1"/>
      </w:r>
      <w:r w:rsidR="005D55DE">
        <w:rPr>
          <w:rFonts w:cs="Times New Roman"/>
          <w:lang w:val="en-GB"/>
        </w:rPr>
        <w:instrText>ADDIN CSL_CITATION {"citationItems":[{"id":"ITEM-1","itemData":{"DOI":"10.1123/jpah.6.6.790","ISSN":"15435476","PMID":"20101923","abstract":"Purpose: Instruments to assess physical activity are needed for (inter)national surveillance systems and comparison. Methods: Male and female adults were recruited from diverse sociocultural, educational and economic backgrounds in 9 countries (total n = 2657). GPAQ and the International Physical Activity Questionnaire (IPAQ) were administered on at least 2 occasions. Eight countries assessed criterion validity using an objective measure (pedometer or accelerometer) over 7 days. Results: Reliability coefficients were of moderate to substantial strength (Kappa 0.67 to 0.73; Spearman's rho 0.67 to 0.81). Results on concurrent validity between IPAQ and GPAQ also showed a moderate to strong positive relationship (range 0.45 to 0.65). Results on criterion validity were in the poor-fair (range 0.06 to 0.35). There were some observed differences between sex, education, BMI and urban/rural and between countries. Conclusions: Overall GPAQ provides reproducible data and showed a moderate-strong positive correlation with IPAQ, a previously validated and accepted measure of physical activity. Validation of GPAQ produced poor results although the magnitude was similar to the range reported in other studies. Overall, these results indicate that GPAQ is a suitable and acceptable instrument for monitoring physical activity in population health surveillance systems, although further replication of this work in other countries is warranted. © 2009 Human Kinetics, Inc.","author":[{"dropping-particle":"","family":"Bull","given":"Fiona C.","non-dropping-particle":"","parse-names":false,"suffix":""},{"dropping-particle":"","family":"Maslin","given":"Tahlia S.","non-dropping-particle":"","parse-names":false,"suffix":""},{"dropping-particle":"","family":"Armstrong","given":"Timothy","non-dropping-particle":"","parse-names":false,"suffix":""}],"container-title":"Journal of Physical Activity and Health","id":"ITEM-1","issue":"6","issued":{"date-parts":[["2009"]]},"page":"790-804","publisher":"Human Kinetics Publishers Inc.","title":"Global physical activity questionnaire (GPAQ): Nine country reliability and validity study","type":"article-journal","volume":"6"},"uris":["http://www.mendeley.com/documents/?uuid=1d333721-57e7-3369-986c-fd2cb9ac369d"]}],"mendeley":{"formattedCitation":"[19]","plainTextFormattedCitation":"[19]","previouslyFormattedCitation":"[19]"},"properties":{"noteIndex":0},"schema":"https://github.com/citation-style-language/schema/raw/master/csl-citation.json"}</w:instrText>
      </w:r>
      <w:r w:rsidR="00794457">
        <w:rPr>
          <w:rFonts w:cs="Times New Roman"/>
          <w:lang w:val="en-GB"/>
        </w:rPr>
        <w:fldChar w:fldCharType="separate"/>
      </w:r>
      <w:r w:rsidR="000A6AB1" w:rsidRPr="000A6AB1">
        <w:rPr>
          <w:rFonts w:cs="Times New Roman"/>
          <w:noProof/>
          <w:lang w:val="en-GB"/>
        </w:rPr>
        <w:t>[19]</w:t>
      </w:r>
      <w:r w:rsidR="00794457">
        <w:rPr>
          <w:rFonts w:cs="Times New Roman"/>
          <w:lang w:val="en-GB"/>
        </w:rPr>
        <w:fldChar w:fldCharType="end"/>
      </w:r>
      <w:r w:rsidR="009A33C0">
        <w:rPr>
          <w:rFonts w:cs="Times New Roman"/>
          <w:lang w:val="en-GB"/>
        </w:rPr>
        <w:t xml:space="preserve">. </w:t>
      </w:r>
      <w:r w:rsidR="00A9558E">
        <w:rPr>
          <w:rFonts w:eastAsia="Times New Roman" w:cs="Times New Roman"/>
          <w:lang w:eastAsia="nl-BE"/>
        </w:rPr>
        <w:t>P</w:t>
      </w:r>
      <w:r w:rsidR="00E328E5">
        <w:rPr>
          <w:rFonts w:eastAsia="Times New Roman" w:cs="Times New Roman"/>
          <w:lang w:eastAsia="nl-BE"/>
        </w:rPr>
        <w:t xml:space="preserve">articipants were asked to </w:t>
      </w:r>
      <w:r w:rsidR="001F59D6">
        <w:rPr>
          <w:rFonts w:eastAsia="Times New Roman" w:cs="Times New Roman"/>
          <w:lang w:eastAsia="nl-BE"/>
        </w:rPr>
        <w:t>report</w:t>
      </w:r>
      <w:r w:rsidR="00E328E5">
        <w:rPr>
          <w:rFonts w:eastAsia="Times New Roman" w:cs="Times New Roman"/>
          <w:lang w:eastAsia="nl-BE"/>
        </w:rPr>
        <w:t xml:space="preserve"> </w:t>
      </w:r>
      <w:r w:rsidR="00E328E5" w:rsidRPr="00D008BF">
        <w:rPr>
          <w:rFonts w:eastAsia="Times New Roman" w:cs="Times New Roman"/>
          <w:lang w:eastAsia="nl-BE"/>
        </w:rPr>
        <w:t xml:space="preserve">the total time they usually spent (expressed in minutes per day) sitting or reclining including at work, at home, getting to and from places, or with friends (e.g., </w:t>
      </w:r>
      <w:r w:rsidR="00E328E5" w:rsidRPr="00D008BF">
        <w:rPr>
          <w:rFonts w:eastAsia="Times New Roman" w:cs="Times New Roman"/>
          <w:iCs/>
          <w:lang w:eastAsia="nl-BE"/>
        </w:rPr>
        <w:t>sitting at a desk, sitting with friends, travelling in car, bus, train, reading, playing cards or watching television)</w:t>
      </w:r>
      <w:r w:rsidR="00E328E5" w:rsidRPr="00D008BF">
        <w:rPr>
          <w:rFonts w:eastAsia="Times New Roman" w:cs="Times New Roman"/>
          <w:lang w:eastAsia="nl-BE"/>
        </w:rPr>
        <w:t xml:space="preserve">. This did not include time spent sleeping. SB </w:t>
      </w:r>
      <w:r w:rsidR="00E328E5">
        <w:rPr>
          <w:rFonts w:eastAsia="Times New Roman" w:cs="Times New Roman"/>
          <w:lang w:eastAsia="nl-BE"/>
        </w:rPr>
        <w:t xml:space="preserve">was </w:t>
      </w:r>
      <w:r w:rsidR="00E328E5">
        <w:rPr>
          <w:rFonts w:eastAsia="Times New Roman" w:cs="Times New Roman"/>
          <w:lang w:eastAsia="nl-BE"/>
        </w:rPr>
        <w:lastRenderedPageBreak/>
        <w:t xml:space="preserve">assessed </w:t>
      </w:r>
      <w:r w:rsidR="00E328E5" w:rsidRPr="00D008BF">
        <w:rPr>
          <w:rFonts w:eastAsia="Times New Roman" w:cs="Times New Roman"/>
          <w:lang w:eastAsia="nl-BE"/>
        </w:rPr>
        <w:t>as a continuous variable (</w:t>
      </w:r>
      <w:r w:rsidR="00E328E5">
        <w:rPr>
          <w:rFonts w:eastAsia="Times New Roman" w:cs="Times New Roman"/>
          <w:lang w:eastAsia="nl-BE"/>
        </w:rPr>
        <w:t xml:space="preserve">hours </w:t>
      </w:r>
      <w:r w:rsidR="00E328E5" w:rsidRPr="00D008BF">
        <w:rPr>
          <w:rFonts w:eastAsia="Times New Roman" w:cs="Times New Roman"/>
          <w:lang w:eastAsia="nl-BE"/>
        </w:rPr>
        <w:t>per day)</w:t>
      </w:r>
      <w:r w:rsidR="00A31B76">
        <w:rPr>
          <w:rFonts w:eastAsia="Times New Roman" w:cs="Times New Roman"/>
          <w:lang w:eastAsia="nl-BE"/>
        </w:rPr>
        <w:t>,</w:t>
      </w:r>
      <w:r w:rsidR="00E328E5" w:rsidRPr="00D008BF">
        <w:rPr>
          <w:rFonts w:eastAsia="Times New Roman" w:cs="Times New Roman"/>
          <w:lang w:eastAsia="nl-BE"/>
        </w:rPr>
        <w:t xml:space="preserve"> </w:t>
      </w:r>
      <w:r w:rsidR="00794457" w:rsidRPr="00D008BF">
        <w:rPr>
          <w:rFonts w:eastAsia="Times New Roman" w:cs="Times New Roman"/>
          <w:lang w:eastAsia="nl-BE"/>
        </w:rPr>
        <w:t>and</w:t>
      </w:r>
      <w:r w:rsidR="00E328E5" w:rsidRPr="00D008BF">
        <w:rPr>
          <w:rFonts w:eastAsia="Times New Roman" w:cs="Times New Roman"/>
          <w:lang w:eastAsia="nl-BE"/>
        </w:rPr>
        <w:t xml:space="preserve"> </w:t>
      </w:r>
      <w:r w:rsidR="00A31B76">
        <w:rPr>
          <w:rFonts w:eastAsia="Times New Roman" w:cs="Times New Roman"/>
          <w:lang w:eastAsia="nl-BE"/>
        </w:rPr>
        <w:t xml:space="preserve">also </w:t>
      </w:r>
      <w:r w:rsidR="00E328E5" w:rsidRPr="00D008BF">
        <w:rPr>
          <w:rFonts w:eastAsia="Times New Roman" w:cs="Times New Roman"/>
          <w:lang w:eastAsia="nl-BE"/>
        </w:rPr>
        <w:t xml:space="preserve">as a </w:t>
      </w:r>
      <w:r w:rsidR="001B1B38">
        <w:rPr>
          <w:rFonts w:eastAsia="Times New Roman" w:cs="Times New Roman"/>
          <w:lang w:eastAsia="nl-BE"/>
        </w:rPr>
        <w:t xml:space="preserve">dichotomous </w:t>
      </w:r>
      <w:r w:rsidR="00E328E5">
        <w:rPr>
          <w:rFonts w:eastAsia="Times New Roman" w:cs="Times New Roman"/>
          <w:lang w:eastAsia="nl-BE"/>
        </w:rPr>
        <w:t>variable (</w:t>
      </w:r>
      <w:r w:rsidR="00B77401">
        <w:rPr>
          <w:rFonts w:cs="Times New Roman"/>
        </w:rPr>
        <w:t xml:space="preserve">high </w:t>
      </w:r>
      <w:r w:rsidR="00C63AE8">
        <w:rPr>
          <w:rFonts w:cs="Times New Roman"/>
        </w:rPr>
        <w:t xml:space="preserve">SB </w:t>
      </w:r>
      <w:r w:rsidR="00B77401">
        <w:rPr>
          <w:rFonts w:cs="Times New Roman"/>
        </w:rPr>
        <w:t>≥8 hours/day</w:t>
      </w:r>
      <w:r w:rsidR="00B77401">
        <w:rPr>
          <w:rFonts w:eastAsia="Times New Roman" w:cs="Times New Roman"/>
          <w:lang w:eastAsia="nl-BE"/>
        </w:rPr>
        <w:t xml:space="preserve"> vs</w:t>
      </w:r>
      <w:r w:rsidR="001B1B38">
        <w:rPr>
          <w:rFonts w:eastAsia="Times New Roman" w:cs="Times New Roman"/>
          <w:lang w:eastAsia="nl-BE"/>
        </w:rPr>
        <w:t>.</w:t>
      </w:r>
      <w:r w:rsidR="00B77401">
        <w:rPr>
          <w:rFonts w:eastAsia="Times New Roman" w:cs="Times New Roman"/>
          <w:lang w:eastAsia="nl-BE"/>
        </w:rPr>
        <w:t xml:space="preserve"> low SB</w:t>
      </w:r>
      <w:r w:rsidR="00C63AE8">
        <w:rPr>
          <w:rFonts w:eastAsia="Times New Roman" w:cs="Times New Roman"/>
          <w:lang w:eastAsia="nl-BE"/>
        </w:rPr>
        <w:t xml:space="preserve"> &lt;8hours/day</w:t>
      </w:r>
      <w:r w:rsidR="00C63AE8" w:rsidRPr="009D7AB2">
        <w:rPr>
          <w:rFonts w:eastAsia="Times New Roman" w:cs="Times New Roman"/>
          <w:lang w:eastAsia="nl-BE"/>
        </w:rPr>
        <w:t>)</w:t>
      </w:r>
      <w:r w:rsidR="00794457" w:rsidRPr="009D7AB2">
        <w:rPr>
          <w:rFonts w:eastAsia="Times New Roman" w:cs="Times New Roman"/>
          <w:lang w:eastAsia="nl-BE"/>
        </w:rPr>
        <w:t xml:space="preserve"> </w:t>
      </w:r>
      <w:r w:rsidR="00A31B76" w:rsidRPr="009D7AB2">
        <w:rPr>
          <w:rFonts w:eastAsia="Times New Roman" w:cs="Times New Roman"/>
          <w:lang w:eastAsia="nl-BE"/>
        </w:rPr>
        <w:t xml:space="preserve">in some analyses based on previous literature which have found that this threshold is associated with increased risk for negative health outcomes such as chronic physical conditions, poor mental health, and premature mortality </w:t>
      </w:r>
      <w:r w:rsidR="005D55DE" w:rsidRPr="009D7AB2">
        <w:rPr>
          <w:rFonts w:eastAsia="Times New Roman" w:cs="Times New Roman"/>
          <w:lang w:eastAsia="nl-BE"/>
        </w:rPr>
        <w:fldChar w:fldCharType="begin" w:fldLock="1"/>
      </w:r>
      <w:r w:rsidR="005D55DE" w:rsidRPr="009D7AB2">
        <w:rPr>
          <w:rFonts w:eastAsia="Times New Roman" w:cs="Times New Roman"/>
          <w:lang w:eastAsia="nl-BE"/>
        </w:rPr>
        <w:instrText>ADDIN CSL_CITATION {"citationItems":[{"id":"ITEM-1","itemData":{"DOI":"10.1016/j.jad.2017.12.104","ISSN":"15732517","PMID":"29329054","abstract":"Background Sedentary behavior (SB) is associated with diabetes, cardiovascular disease and low mood. There is a paucity of multi-national research investigating SB and depression, particularly among low- and middle-income countries. This study investigated the association between SB and depression, and factors which influence this. Methods Cross-sectional data were analyzed from the World Health Organization's Study on Global Ageing and Adult Health. Depression was based on the Composite International Diagnostic Interview. The association between depression and SB (self-report) was estimated by multivariable linear and logistic regression analyses. Mediation analysis was used to identify influential factors. Results A total of 42,469 individuals (50.1% female, mean 43.8 years) were included. People with depression spent 25.6 (95%CI8.5–42.7) more daily minutes in SB than non-depressed participants. This discrepancy was most notable in adults aged ≥ 65 y (35.6 min more in those with depression). Overall, adjusting for socio-demographics and country, depression was associated with a 1.94 (95%CI1.31–2.85) times higher odds for high SB (i.e., ≥ 8 h/day). The largest proportion of the SB-depression relationship was explained by mobility limitations (49.9%), followed by impairments in sleep/energy (43.4%), pain/discomfort (31.1%), anxiety (30.0%), disability (25.6%), cognition (16.1%), and problems with vision (11.0%). Other health behaviors (physical activity, alcohol consumption, smoking), body mass index, and social cohesion did not influence the SB-depression relationship. Conclusion People with depression are at increased risk of engaging in high levels of SB. This first multi-national study offers potentially valuable insight for a number of hypotheses which may influence this relationship, although testing with longitudinal studies is needed.","author":[{"dropping-particle":"","family":"Stubbs","given":"Brendon","non-dropping-particle":"","parse-names":false,"suffix":""},{"dropping-particle":"","family":"Vancampfort","given":"Davy","non-dropping-particle":"","parse-names":false,"suffix":""},{"dropping-particle":"","family":"Firth","given":"Joseph","non-dropping-particle":"","parse-names":false,"suffix":""},{"dropping-particle":"","family":"Schuch","given":"Felipe B.","non-dropping-particle":"","parse-names":false,"suffix":""},{"dropping-particle":"","family":"Hallgren","given":"Mats","non-dropping-particle":"","parse-names":false,"suffix":""},{"dropping-particle":"","family":"Smith","given":"Lee","non-dropping-particle":"","parse-names":false,"suffix":""},{"dropping-particle":"","family":"Gardner","given":"Benjamin","non-dropping-particle":"","parse-names":false,"suffix":""},{"dropping-particle":"","family":"Kahl","given":"Kai G.","non-dropping-particle":"","parse-names":false,"suffix":""},{"dropping-particle":"","family":"Veronese","given":"Nicola","non-dropping-particle":"","parse-names":false,"suffix":""},{"dropping-particle":"","family":"Solmi","given":"Marco","non-dropping-particle":"","parse-names":false,"suffix":""},{"dropping-particle":"","family":"Carvalho","given":"André F.","non-dropping-particle":"","parse-names":false,"suffix":""},{"dropping-particle":"","family":"Koyanagi","given":"Ai","non-dropping-particle":"","parse-names":false,"suffix":""}],"container-title":"Journal of Affective Disorders","id":"ITEM-1","issued":{"date-parts":[["2018","3","15"]]},"page":"231-238","publisher":"Elsevier B.V.","title":"Relationship between sedentary behavior and depression: A mediation analysis of influential factors across the lifespan among 42,469 people in low- and middle-income countries","type":"article-journal","volume":"229"},"uris":["http://www.mendeley.com/documents/?uuid=d31a6359-b2ef-3ae8-ba5c-77ed44d551d3"]},{"id":"ITEM-2","itemData":{"DOI":"10.1016/S0140-6736(16)30370-1","ISBN":"9788578110796","ISSN":"1474547X","PMID":"25246403","abstract":"Background High amounts of sedentary behaviour have been associated with increased risks of several chronic conditions and mortality. However, it is unclear whether physical activity attenuates or even eliminates the detrimental effects of prolonged sitting. We examined the associations of sedentary behaviour and physical activity with all-cause mortality. Methods We did a systematic review, searching six databases (PubMed, PsycINFO, Embase, Web of Science, Sport Discus, and Scopus) from database inception until October, 2015, for prospective cohort studies that had individual level exposure and outcome data, provided data on both daily sitting or TV-viewing time and physical activity, and reported effect estimates for all-cause mortality, cardiovascular disease mortality, or breast, colon, and colorectal cancer mortality. We included data from 16 studies, of which 14 were identified through a systematic review and two were additional unpublished studies where pertinent data were available. All study data were analysed according to a harmonised protocol, which categorised reported daily sitting time and TV-viewing time into four standardised groups each, and physical activity into quartiles (in metabolic equivalent of task [MET]-hours per week). We then combined data across all studies to analyse the association of daily sitting time and physical activity with all-cause mortality, and estimated summary hazard ratios using Cox regression. We repeated these analyses using TV-viewing time instead of daily sitting time. Findings Of the 16 studies included in the meta-analysis, 13 studies provided data on sitting time and all-cause mortality. These studies included 1???005???791 individuals who were followed up for 2???18??1 years, during which 84???609 (8??4%) died. Compared with the referent group (ie, those sitting &lt;4 h/day and in the most active quartile [&gt;35??5 MET-h per week]), mortality rates during follow-up were 12???59% higher in the two lowest quartiles of physical activity (from HR=1??12, 95% CI 1??08???1??16, for the second lowest quartile of physical activity [&lt;16 MET-h per week] and sitting &lt;4 h/day; to HR=1??59, 1??52???1??66, for the lowest quartile of physical activity [&lt;2??5 MET-h per week] and sitting &gt;8 h/day). Daily sitting time was not associated with increased all-cause mortality in those in the most active quartile of physical activity. Compared with the referent (&lt;4 h of sitting per day and highest quartile of physical activity [&gt;35…","author":[{"dropping-particle":"","family":"Ekelund","given":"Ulf","non-dropping-particle":"","parse-names":false,"suffix":""},{"dropping-particle":"","family":"Steene-Johannessen","given":"Jostein","non-dropping-particle":"","parse-names":false,"suffix":""},{"dropping-particle":"","family":"Brown","given":"Wendy J.","non-dropping-particle":"","parse-names":false,"suffix":""},{"dropping-particle":"","family":"Fagerland","given":"Morten Wang","non-dropping-particle":"","parse-names":false,"suffix":""},{"dropping-particle":"","family":"Owen","given":"Neville","non-dropping-particle":"","parse-names":false,"suffix":""},{"dropping-particle":"","family":"Powell","given":"Kenneth E.","non-dropping-particle":"","parse-names":false,"suffix":""},{"dropping-particle":"","family":"Bauman","given":"Adrian","non-dropping-particle":"","parse-names":false,"suffix":""},{"dropping-particle":"","family":"Lee","given":"I. Min","non-dropping-particle":"","parse-names":false,"suffix":""}],"container-title":"The Lancet","id":"ITEM-2","issue":"10051","issued":{"date-parts":[["2016"]]},"page":"1302-1310","publisher":"Elsevier Ltd","title":"Does physical activity attenuate, or even eliminate, the detrimental association of sitting time with mortality? A harmonised meta-analysis of data from more than 1 million men and women","type":"article-journal","volume":"388"},"uris":["http://www.mendeley.com/documents/?uuid=0255ebed-4540-4622-82e3-b6ad4f8b6bc9"]},{"id":"ITEM-3","itemData":{"DOI":"10.1186/s12966-017-0602-z","ISSN":"14795868","abstract":"Background: Sedentary behavior (SB) is, irrespective of a person's physical activity levels, associated with a wide range of deleterious outcomes such as diabetes, stroke and associated premature mortality. There are no nationally representative, multi-national, population-based studies investigating the relationship between SB, chronic conditions, and physical multimorbidity (i.e., two or more chronic physical conditions). Thus, this cross-sectional study aimed to assess the association between chronic conditions, physical multimorbidity and SB among community-dwelling adults in six low- and middle-income countries (LMICs). We also explored the influential factors of these relationships. Method: The Study on Global Ageing and Adult Health (SAGE) survey included 34,129 adults aged ≥50 years. SB was self-reported and expressed as a categorical variable [&lt;8 or ≥8 h per day (high SB)]. Eleven chronic physical conditions (angina, arthritis, asthma, chronic back pain, chronic lung disease, diabetes, edentulism, hearing problems, hypertension, stroke, visual impairment) were assessed. Multivariable logistic regression and mediation analyses were conducted. Results: The prevalence of physical multimorbidity and high SB (≥8 h/day) were 45.5% (43.7%-47.4%) and 10.8% (9.7%-12.1%), respectively. The prevalence of high SB increased in a linear fashion from 7.1% in people with no chronic condition to 24.1% in those with ≥4 chronic conditions. In the multivariable analysis, visual impairment (OR = 2.62), stroke (OR = 2.02), chronic back pain (OR = 1.70) hearing problems (OR = 1.58), chronic lung disease (OR = 1.48), asthma (OR = 1.39), arthritis (OR = 1.22) and multimorbidity (OR = 1.41) were significantly associated with high SB. Disability explained more than 50% of the association for all chronic conditions with particularly high percentages (&gt;80%) for arthritis, asthma, and multimorbdity. Mobility problems explained 88.1% and 85.1% of the association of SB with arthritis and physical multimorbidiy, respectively. Pain was highly influential in the SB-arthritis relationship (85.6%). Sleep/energy problems explained between 9.3% (stroke) to 49.1% (arthritis) of the association, and cognitive problems from 21.5% (stroke) to 33.4% (hearing problems). Findings for anxiety and depression were mixed. Conclusion: In LMICs, those with chronic conditions and physical multimorbidity are significantly more sedentary. Targeted messages to reduce time spent sedentary among indiv…","author":[{"dropping-particle":"","family":"Vancampfort","given":"Davy","non-dropping-particle":"","parse-names":false,"suffix":""},{"dropping-particle":"","family":"Stubbs","given":"Brendon","non-dropping-particle":"","parse-names":false,"suffix":""},{"dropping-particle":"","family":"Koyanagi","given":"Ai","non-dropping-particle":"","parse-names":false,"suffix":""}],"container-title":"International Journal of Behavioral Nutrition and Physical Activity","id":"ITEM-3","issue":"1","issued":{"date-parts":[["2017","10","27"]]},"publisher":"BioMed Central Ltd.","title":"Physical chronic conditions, multimorbidity and sedentary behavior amongst middle-aged and older adults in six low- and middle-income countries","type":"article-journal","volume":"14"},"uris":["http://www.mendeley.com/documents/?uuid=9b5ad103-95c9-3cfd-837e-079fe6bbe3c5"]}],"mendeley":{"formattedCitation":"[20–22]","plainTextFormattedCitation":"[20–22]","previouslyFormattedCitation":"[20–22]"},"properties":{"noteIndex":0},"schema":"https://github.com/citation-style-language/schema/raw/master/csl-citation.json"}</w:instrText>
      </w:r>
      <w:r w:rsidR="005D55DE" w:rsidRPr="009D7AB2">
        <w:rPr>
          <w:rFonts w:eastAsia="Times New Roman" w:cs="Times New Roman"/>
          <w:lang w:eastAsia="nl-BE"/>
        </w:rPr>
        <w:fldChar w:fldCharType="separate"/>
      </w:r>
      <w:r w:rsidR="005D55DE" w:rsidRPr="009D7AB2">
        <w:rPr>
          <w:rFonts w:eastAsia="Times New Roman" w:cs="Times New Roman"/>
          <w:noProof/>
          <w:lang w:eastAsia="nl-BE"/>
        </w:rPr>
        <w:t>[20–22]</w:t>
      </w:r>
      <w:r w:rsidR="005D55DE" w:rsidRPr="009D7AB2">
        <w:rPr>
          <w:rFonts w:eastAsia="Times New Roman" w:cs="Times New Roman"/>
          <w:lang w:eastAsia="nl-BE"/>
        </w:rPr>
        <w:fldChar w:fldCharType="end"/>
      </w:r>
      <w:r w:rsidR="005D55DE" w:rsidRPr="009D7AB2">
        <w:rPr>
          <w:rFonts w:eastAsia="Times New Roman" w:cs="Times New Roman"/>
          <w:lang w:eastAsia="nl-BE"/>
        </w:rPr>
        <w:t>.</w:t>
      </w:r>
      <w:r w:rsidR="00A31B76">
        <w:rPr>
          <w:rFonts w:eastAsia="Times New Roman" w:cs="Times New Roman"/>
          <w:lang w:eastAsia="nl-BE"/>
        </w:rPr>
        <w:t xml:space="preserve"> </w:t>
      </w:r>
    </w:p>
    <w:p w14:paraId="216DB26B" w14:textId="1629AAB1" w:rsidR="00B77401" w:rsidRDefault="00C63AE8" w:rsidP="005D3987">
      <w:pPr>
        <w:spacing w:line="480" w:lineRule="auto"/>
        <w:rPr>
          <w:rFonts w:eastAsia="Times New Roman" w:cs="Times New Roman"/>
          <w:lang w:eastAsia="nl-BE"/>
        </w:rPr>
      </w:pPr>
      <w:r>
        <w:rPr>
          <w:rFonts w:eastAsia="Times New Roman" w:cs="Times New Roman"/>
          <w:lang w:eastAsia="nl-BE"/>
        </w:rPr>
        <w:t xml:space="preserve"> </w:t>
      </w:r>
    </w:p>
    <w:p w14:paraId="6747BDD1" w14:textId="77777777" w:rsidR="00AC7DFB" w:rsidRPr="0022132A" w:rsidRDefault="00AC7DFB" w:rsidP="001F374D">
      <w:pPr>
        <w:pStyle w:val="Heading2"/>
        <w:rPr>
          <w:lang w:val="en-GB"/>
        </w:rPr>
      </w:pPr>
      <w:r w:rsidRPr="0022132A">
        <w:rPr>
          <w:lang w:val="en-GB"/>
        </w:rPr>
        <w:t>Happiness</w:t>
      </w:r>
      <w:r>
        <w:rPr>
          <w:lang w:val="en-GB"/>
        </w:rPr>
        <w:t xml:space="preserve"> (outcome)</w:t>
      </w:r>
    </w:p>
    <w:p w14:paraId="4649FBE1" w14:textId="68A020F4" w:rsidR="00AC7DFB" w:rsidRPr="0022132A" w:rsidRDefault="00AC7DFB" w:rsidP="005D398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cs="Times New Roman"/>
          <w:color w:val="000000"/>
        </w:rPr>
      </w:pPr>
      <w:r w:rsidRPr="00922ABB">
        <w:rPr>
          <w:rFonts w:cs="Times New Roman"/>
        </w:rPr>
        <w:t xml:space="preserve">Happiness levels were </w:t>
      </w:r>
      <w:r>
        <w:rPr>
          <w:rFonts w:cs="Times New Roman"/>
        </w:rPr>
        <w:t xml:space="preserve">assessed with a widely used and a cross-culturally validated single-item question </w:t>
      </w:r>
      <w:r>
        <w:rPr>
          <w:rFonts w:cs="Times New Roman"/>
        </w:rPr>
        <w:fldChar w:fldCharType="begin" w:fldLock="1"/>
      </w:r>
      <w:r w:rsidR="005D55DE">
        <w:rPr>
          <w:rFonts w:cs="Times New Roman"/>
        </w:rPr>
        <w:instrText>ADDIN CSL_CITATION {"citationItems":[{"id":"ITEM-1","itemData":{"DOI":"10.1086/268332","ISSN":"0033362X","author":[{"dropping-particle":"","family":"Gallup","given":"George H.","non-dropping-particle":"","parse-names":false,"suffix":""}],"container-title":"Public Opinion Quarterly","id":"ITEM-1","issue":"4","issued":{"date-parts":[["1976"]]},"page":"459","title":"Human Needs and Satisfactions: A Global Survey","type":"article-journal","volume":"40"},"uris":["http://www.mendeley.com/documents/?uuid=1b1262a9-10f4-3c69-8934-53b70dec07eb"]}],"mendeley":{"formattedCitation":"[23]","plainTextFormattedCitation":"[23]","previouslyFormattedCitation":"[23]"},"properties":{"noteIndex":0},"schema":"https://github.com/citation-style-language/schema/raw/master/csl-citation.json"}</w:instrText>
      </w:r>
      <w:r>
        <w:rPr>
          <w:rFonts w:cs="Times New Roman"/>
        </w:rPr>
        <w:fldChar w:fldCharType="separate"/>
      </w:r>
      <w:r w:rsidR="005D55DE" w:rsidRPr="005D55DE">
        <w:rPr>
          <w:rFonts w:cs="Times New Roman"/>
          <w:noProof/>
        </w:rPr>
        <w:t>[23]</w:t>
      </w:r>
      <w:r>
        <w:rPr>
          <w:rFonts w:cs="Times New Roman"/>
        </w:rPr>
        <w:fldChar w:fldCharType="end"/>
      </w:r>
      <w:r w:rsidR="002C4A9F">
        <w:rPr>
          <w:rFonts w:cs="Times New Roman"/>
        </w:rPr>
        <w:t xml:space="preserve"> </w:t>
      </w:r>
      <w:r w:rsidRPr="0022132A">
        <w:rPr>
          <w:rFonts w:cs="Times New Roman"/>
          <w:color w:val="000000"/>
        </w:rPr>
        <w:t>“Taking all things together, how would you say you are these days? Are you...?” with answer options very unhappy, unhappy, neither happy or unhappy, happy, and very happy</w:t>
      </w:r>
      <w:r>
        <w:rPr>
          <w:rFonts w:cs="Times New Roman"/>
          <w:color w:val="000000"/>
        </w:rPr>
        <w:t xml:space="preserve"> </w:t>
      </w:r>
      <w:r w:rsidR="00223A19">
        <w:rPr>
          <w:rFonts w:cs="Times New Roman"/>
          <w:color w:val="000000"/>
        </w:rPr>
        <w:t xml:space="preserve">(coded 0 to 4, respectively). </w:t>
      </w:r>
      <w:r w:rsidR="00AD5942">
        <w:rPr>
          <w:rFonts w:cs="Times New Roman"/>
          <w:color w:val="000000"/>
        </w:rPr>
        <w:t xml:space="preserve"> </w:t>
      </w:r>
      <w:r w:rsidRPr="0022132A">
        <w:rPr>
          <w:rFonts w:cs="Times New Roman"/>
          <w:color w:val="000000"/>
        </w:rPr>
        <w:t xml:space="preserve"> </w:t>
      </w:r>
    </w:p>
    <w:p w14:paraId="1F50B15F" w14:textId="77777777" w:rsidR="00AC7DFB" w:rsidRDefault="00AC7DFB" w:rsidP="00506803">
      <w:pPr>
        <w:spacing w:line="480" w:lineRule="auto"/>
        <w:rPr>
          <w:rFonts w:cs="Times New Roman"/>
        </w:rPr>
      </w:pPr>
    </w:p>
    <w:p w14:paraId="75F7E0C8" w14:textId="42522EA9" w:rsidR="00471615" w:rsidRPr="009D7AB2" w:rsidRDefault="00B805B9" w:rsidP="001F374D">
      <w:pPr>
        <w:pStyle w:val="Heading2"/>
      </w:pPr>
      <w:r w:rsidRPr="009D7AB2">
        <w:t xml:space="preserve">Potential mediators </w:t>
      </w:r>
    </w:p>
    <w:p w14:paraId="67AFF617" w14:textId="45E5DB18" w:rsidR="003305E9" w:rsidRPr="00937FCA" w:rsidRDefault="009C5892" w:rsidP="00506803">
      <w:pPr>
        <w:spacing w:line="480" w:lineRule="auto"/>
        <w:rPr>
          <w:rFonts w:cs="Times New Roman"/>
        </w:rPr>
      </w:pPr>
      <w:r w:rsidRPr="009D7AB2">
        <w:rPr>
          <w:rFonts w:cs="Times New Roman"/>
        </w:rPr>
        <w:t xml:space="preserve">Potential mediators </w:t>
      </w:r>
      <w:r w:rsidR="00471615" w:rsidRPr="009D7AB2">
        <w:rPr>
          <w:rFonts w:cs="Times New Roman"/>
        </w:rPr>
        <w:t xml:space="preserve">in the association between SB and happiness </w:t>
      </w:r>
      <w:r w:rsidR="00AC7DFB" w:rsidRPr="009D7AB2">
        <w:rPr>
          <w:rFonts w:cs="Times New Roman"/>
        </w:rPr>
        <w:t xml:space="preserve">in the current study were </w:t>
      </w:r>
      <w:r w:rsidR="001B2EC8" w:rsidRPr="009D7AB2">
        <w:rPr>
          <w:rFonts w:cs="Times New Roman"/>
        </w:rPr>
        <w:t xml:space="preserve">selected based on </w:t>
      </w:r>
      <w:r w:rsidR="000111F4" w:rsidRPr="009D7AB2">
        <w:rPr>
          <w:rFonts w:cs="Times New Roman"/>
        </w:rPr>
        <w:t>previous research</w:t>
      </w:r>
      <w:r w:rsidR="007A0A14" w:rsidRPr="009D7AB2">
        <w:rPr>
          <w:rFonts w:cs="Times New Roman"/>
        </w:rPr>
        <w:t xml:space="preserve"> </w:t>
      </w:r>
      <w:r w:rsidR="009F56A5" w:rsidRPr="009D7AB2">
        <w:rPr>
          <w:rFonts w:cs="Times New Roman"/>
        </w:rPr>
        <w:fldChar w:fldCharType="begin" w:fldLock="1"/>
      </w:r>
      <w:r w:rsidR="005D55DE" w:rsidRPr="009D7AB2">
        <w:rPr>
          <w:rFonts w:cs="Times New Roman"/>
        </w:rPr>
        <w:instrText>ADDIN CSL_CITATION {"citationItems":[{"id":"ITEM-1","itemData":{"DOI":"10.1371/journal.pone.0202222","ISSN":"1932-6203","abstract":"Background Sedentary behavior (SB) is associated with adverse health outcomes independent of levels of physical activity. However, data on its correlates are scarce from low- and middle-income countries (LMICs). Thus, we assessed the correlates of SB in six LMICs (China, Ghana, India, Mexico, Russia, South Africa) using nationally representative data. Methods Cross-sectional, community-based data on 42,469 individuals aged ≥18 years from the World Health Organization's Study on Global Ageing and Adult Health were analyzed. Selfreported time spent sedentary per day was the outcome. High SB was defined as ≥8 hours of SB per day. The correlates (sociodemographic and health-related) of high SB were estimated by multivariable logistic regression analyses. Results The overall prevalence (95%CI) of high SB was 8.3% (7.1-9.7%). In the overall sample, the most important sociodemographic correlates of high SB were unemployment and urban residence. Physical inactivity, morbid obesity (BMI≥30.0 kg/m2), higher number of chronic conditions, poor self-reported health, higher disability levels, and worse health status in terms of mobility, pain/discomfort, affect, sleep/energy and cognition were associated with high SB. Several between-country differences were found. Conclusion The current data provides important guidance for future interventions across LMICs to assist sedentary people to reduce their SB levels.","author":[{"dropping-particle":"","family":"Koyanagi","given":"Ai","non-dropping-particle":"","parse-names":false,"suffix":""},{"dropping-particle":"","family":"Stubbs","given":"Brendon","non-dropping-particle":"","parse-names":false,"suffix":""},{"dropping-particle":"","family":"Vancampfort","given":"Davy","non-dropping-particle":"","parse-names":false,"suffix":""}],"container-title":"PLOS ONE","editor":[{"dropping-particle":"","family":"González-Chica","given":"David Alejandro","non-dropping-particle":"","parse-names":false,"suffix":""}],"id":"ITEM-1","issue":"8","issued":{"date-parts":[["2018","8","10"]]},"page":"e0202222","publisher":"Public Library of Science","title":"Correlates of sedentary behavior in the general population: A cross-sectional study using nationally representative data from six low- and middle-income countries","type":"article-journal","volume":"13"},"uris":["http://www.mendeley.com/documents/?uuid=78edf586-79b3-36fd-8d52-b409aaa74e63"]}],"mendeley":{"formattedCitation":"[24]","plainTextFormattedCitation":"[24]","previouslyFormattedCitation":"[24]"},"properties":{"noteIndex":0},"schema":"https://github.com/citation-style-language/schema/raw/master/csl-citation.json"}</w:instrText>
      </w:r>
      <w:r w:rsidR="009F56A5" w:rsidRPr="009D7AB2">
        <w:rPr>
          <w:rFonts w:cs="Times New Roman"/>
        </w:rPr>
        <w:fldChar w:fldCharType="separate"/>
      </w:r>
      <w:r w:rsidR="005D55DE" w:rsidRPr="009D7AB2">
        <w:rPr>
          <w:rFonts w:cs="Times New Roman"/>
          <w:noProof/>
        </w:rPr>
        <w:t>[24]</w:t>
      </w:r>
      <w:r w:rsidR="009F56A5" w:rsidRPr="009D7AB2">
        <w:rPr>
          <w:rFonts w:cs="Times New Roman"/>
        </w:rPr>
        <w:fldChar w:fldCharType="end"/>
      </w:r>
      <w:r w:rsidR="009F56A5" w:rsidRPr="009D7AB2">
        <w:rPr>
          <w:rFonts w:cs="Times New Roman"/>
        </w:rPr>
        <w:t xml:space="preserve">. </w:t>
      </w:r>
      <w:r w:rsidR="00937940" w:rsidRPr="009D7AB2">
        <w:rPr>
          <w:rFonts w:cs="Times New Roman"/>
        </w:rPr>
        <w:t xml:space="preserve">These </w:t>
      </w:r>
      <w:r w:rsidR="00AC7DFB" w:rsidRPr="009D7AB2">
        <w:rPr>
          <w:rFonts w:cs="Times New Roman"/>
        </w:rPr>
        <w:t>included current smoking, alcohol use in the past 30 days, social cohesion, depression, anxiety, obesity, disability, mobility, pain/discomfort, sleep/energy, cognition</w:t>
      </w:r>
      <w:r w:rsidR="000A37EF" w:rsidRPr="009D7AB2">
        <w:rPr>
          <w:rFonts w:cs="Times New Roman"/>
        </w:rPr>
        <w:t xml:space="preserve"> and</w:t>
      </w:r>
      <w:r w:rsidR="00BE0DF3" w:rsidRPr="009D7AB2">
        <w:rPr>
          <w:rFonts w:cs="Times New Roman"/>
        </w:rPr>
        <w:t xml:space="preserve"> physical activity.</w:t>
      </w:r>
      <w:r w:rsidR="000C699B" w:rsidRPr="009D7AB2">
        <w:rPr>
          <w:rFonts w:cs="Times New Roman"/>
        </w:rPr>
        <w:t xml:space="preserve"> A </w:t>
      </w:r>
      <w:r w:rsidR="00AC7DFB" w:rsidRPr="009D7AB2">
        <w:rPr>
          <w:rFonts w:cs="Times New Roman"/>
        </w:rPr>
        <w:t>social cohesion index was created based on 9 questions on the participant’s involvement in community activities in the past 12 months</w:t>
      </w:r>
      <w:r w:rsidR="008B6345" w:rsidRPr="009D7AB2">
        <w:rPr>
          <w:rFonts w:cs="Times New Roman"/>
        </w:rPr>
        <w:t xml:space="preserve"> </w:t>
      </w:r>
      <w:r w:rsidR="008B6345" w:rsidRPr="009D7AB2">
        <w:rPr>
          <w:rFonts w:cs="Times New Roman"/>
        </w:rPr>
        <w:fldChar w:fldCharType="begin" w:fldLock="1"/>
      </w:r>
      <w:r w:rsidR="006510CA" w:rsidRPr="009D7AB2">
        <w:rPr>
          <w:rFonts w:cs="Times New Roman"/>
        </w:rPr>
        <w:instrText>ADDIN CSL_CITATION {"citationItems":[{"id":"ITEM-1","itemData":{"DOI":"10.1016/j.archger.2016.10.005","ISSN":"18726976","abstract":"Social support networks are crucial for the health of older adults; however, personal characteristics and time of life may diminish the protective effect of social support. Objective to determine if the presence of social support networks were associated with cognitive impairment among Mexican adults aged 50 or older and if this relationship was different based on age. Method This study analyzed data from the National Representation Survey performed in Mexico, Study on Global Ageing (SAGE) wave 1. Cognitive function was evaluated by a standardized test, social support was evaluated through latent class analysis (LCA). The LCA was run to obtain three subgroups of different Social Support Levels (SSL): low, medium, and high. Logistic regression models, stratified by age, were performed to analyze the association between SSL and cognitive function. Results For respondents ages 71–80 y/o, there was an inverse relationship with cognitive impairment for those with medium (OR 0.23, p = 0.020) and high (OR 0.07, p = 0.000) SSL in comparison with low SSL. While social support helped to improve cognitive function in older adults aged 71–80, this same association was not observed in adults of other ages. Those younger than 70 y/o may not need such a strong support network as a result of being more self-sufficient. After 80, social networks were not enough to help diminish the negative impact of cognitive impairment. Conclusion Social support could improve the cognitive function of adults ages 71 and 80; suggesting there could be a window of opportunity to improve cognitive functioning for this group.","author":[{"dropping-particle":"","family":"Zamora-Macorra","given":"Mireya","non-dropping-particle":"","parse-names":false,"suffix":""},{"dropping-particle":"","family":"Castro","given":"Elga Filipa Amorin","non-dropping-particle":"de","parse-names":false,"suffix":""},{"dropping-particle":"","family":"Ávila-Funes","given":"José Alberto","non-dropping-particle":"","parse-names":false,"suffix":""},{"dropping-particle":"","family":"Manrique-Espinoza","given":"Betty Soledad","non-dropping-particle":"","parse-names":false,"suffix":""},{"dropping-particle":"","family":"López-Ridaura","given":"Ruy","non-dropping-particle":"","parse-names":false,"suffix":""},{"dropping-particle":"","family":"Sosa-Ortiz","given":"Ana Luisa","non-dropping-particle":"","parse-names":false,"suffix":""},{"dropping-particle":"","family":"Shields","given":"Pamela L.","non-dropping-particle":"","parse-names":false,"suffix":""},{"dropping-particle":"","family":"Campo","given":"Daniel Samano Martin","non-dropping-particle":"del","parse-names":false,"suffix":""}],"container-title":"Archives of Gerontology and Geriatrics","id":"ITEM-1","issued":{"date-parts":[["2017","1","1"]]},"page":"113-118","publisher":"Elsevier Ireland Ltd","title":"The association between social support and cognitive function in Mexican adults aged 50 and older","type":"article-journal","volume":"68"},"uris":["http://www.mendeley.com/documents/?uuid=bcf21130-b2c1-3935-ab8f-542b3257fc6b"]}],"mendeley":{"formattedCitation":"[25]","plainTextFormattedCitation":"[25]","previouslyFormattedCitation":"[25]"},"properties":{"noteIndex":0},"schema":"https://github.com/citation-style-language/schema/raw/master/csl-citation.json"}</w:instrText>
      </w:r>
      <w:r w:rsidR="008B6345" w:rsidRPr="009D7AB2">
        <w:rPr>
          <w:rFonts w:cs="Times New Roman"/>
        </w:rPr>
        <w:fldChar w:fldCharType="separate"/>
      </w:r>
      <w:r w:rsidR="008B6345" w:rsidRPr="009D7AB2">
        <w:rPr>
          <w:rFonts w:cs="Times New Roman"/>
          <w:noProof/>
        </w:rPr>
        <w:t>[25]</w:t>
      </w:r>
      <w:r w:rsidR="008B6345" w:rsidRPr="009D7AB2">
        <w:rPr>
          <w:rFonts w:cs="Times New Roman"/>
        </w:rPr>
        <w:fldChar w:fldCharType="end"/>
      </w:r>
      <w:r w:rsidR="00AC7DFB" w:rsidRPr="009D7AB2">
        <w:rPr>
          <w:rFonts w:cs="Times New Roman"/>
        </w:rPr>
        <w:t xml:space="preserve"> </w:t>
      </w:r>
      <w:r w:rsidR="001522F3" w:rsidRPr="009D7AB2">
        <w:rPr>
          <w:rFonts w:cs="Times New Roman"/>
        </w:rPr>
        <w:t xml:space="preserve">with </w:t>
      </w:r>
      <w:r w:rsidR="00AC7DFB" w:rsidRPr="009D7AB2">
        <w:rPr>
          <w:rFonts w:cs="Times New Roman"/>
        </w:rPr>
        <w:t>higher scores corresponding to higher levels of social cohesion (</w:t>
      </w:r>
      <w:r w:rsidR="001522F3" w:rsidRPr="009D7AB2">
        <w:rPr>
          <w:rFonts w:cs="Times New Roman"/>
        </w:rPr>
        <w:t>range 0-100</w:t>
      </w:r>
      <w:r w:rsidR="00AC7DFB" w:rsidRPr="009D7AB2">
        <w:rPr>
          <w:rFonts w:cs="Times New Roman"/>
        </w:rPr>
        <w:t>)</w:t>
      </w:r>
      <w:r w:rsidRPr="009D7AB2">
        <w:rPr>
          <w:rFonts w:cs="Times New Roman"/>
        </w:rPr>
        <w:t xml:space="preserve"> </w:t>
      </w:r>
      <w:r w:rsidR="00A81B16" w:rsidRPr="009D7AB2">
        <w:rPr>
          <w:rFonts w:cs="Times New Roman"/>
        </w:rPr>
        <w:t xml:space="preserve">(Cronbach’s alpha=0.79) </w:t>
      </w:r>
      <w:r w:rsidRPr="009D7AB2">
        <w:rPr>
          <w:rFonts w:cs="Times New Roman"/>
        </w:rPr>
        <w:t xml:space="preserve">(actual questions can be found in supplementary </w:t>
      </w:r>
      <w:r w:rsidRPr="009D7AB2">
        <w:rPr>
          <w:rFonts w:cs="Times New Roman"/>
          <w:b/>
          <w:bCs/>
        </w:rPr>
        <w:t>Table S1</w:t>
      </w:r>
      <w:r w:rsidRPr="009D7AB2">
        <w:rPr>
          <w:rFonts w:cs="Times New Roman"/>
        </w:rPr>
        <w:t>)</w:t>
      </w:r>
      <w:r w:rsidR="00AC7DFB" w:rsidRPr="009D7AB2">
        <w:rPr>
          <w:rFonts w:cs="Times New Roman"/>
        </w:rPr>
        <w:t>. Questions</w:t>
      </w:r>
      <w:r w:rsidR="00AC7DFB" w:rsidRPr="00FF40B3">
        <w:rPr>
          <w:rFonts w:cs="Times New Roman"/>
        </w:rPr>
        <w:t xml:space="preserve"> based on the </w:t>
      </w:r>
      <w:r w:rsidR="00AC7DFB" w:rsidRPr="00FF40B3">
        <w:rPr>
          <w:rFonts w:cs="Times New Roman"/>
          <w:color w:val="000000"/>
        </w:rPr>
        <w:t>World Mental Health Survey version of the Composite International Diagnostic Interview</w:t>
      </w:r>
      <w:r w:rsidR="00AC7DFB">
        <w:rPr>
          <w:rFonts w:cs="Times New Roman"/>
          <w:color w:val="000000"/>
        </w:rPr>
        <w:t xml:space="preserve"> </w:t>
      </w:r>
      <w:r w:rsidR="00AC7DFB">
        <w:rPr>
          <w:rFonts w:cs="Times New Roman"/>
          <w:color w:val="000000"/>
        </w:rPr>
        <w:fldChar w:fldCharType="begin" w:fldLock="1"/>
      </w:r>
      <w:r w:rsidR="006510CA">
        <w:rPr>
          <w:rFonts w:cs="Times New Roman"/>
          <w:color w:val="000000"/>
        </w:rPr>
        <w:instrText>ADDIN CSL_CITATION {"citationItems":[{"id":"ITEM-1","itemData":{"ISSN":"1049-8931","PMID":"15297906","abstract":"This paper presents an overview of the World Mental Health (WMH) Survey Initiative version of the World Health Organization (WHO) Composite International Diagnostic Interview (CIDI) and a discussion of the methodological research on which the development of the instrument was based. The WMH-CIDI includes a screening module and 40 sections that focus on diagnoses (22 sections), functioning (four sections), treatment (two sections), risk factors (four sections), socio-demographic correlates (seven sections), and methodological factors (two sections). Innovations compared to earlier versions of the CIDI include expansion of the diagnostic sections, a focus on 12-month as well as lifetime disorders in the same interview, detailed assessment of clinical severity, and inclusion of information on treatment, risk factors, and consequences. A computer-assisted version of the interview is available along with a direct data entry software system that can be used to keypunch responses to the paper-and-pencil version of the interview. Computer programs that generate diagnoses are also available based on both ICD-10 and DSM-IV criteria. Elaborate CD-ROM-based training materials are available to teach interviewers how to administer the interview as well as to teach supervisors how to monitor the quality of data collection.","author":[{"dropping-particle":"","family":"Kessler","given":"Ronald C","non-dropping-particle":"","parse-names":false,"suffix":""},{"dropping-particle":"","family":"Ustün","given":"T Bedirhan","non-dropping-particle":"","parse-names":false,"suffix":""}],"container-title":"International journal of methods in psychiatric research","id":"ITEM-1","issue":"2","issued":{"date-parts":[["2004"]]},"page":"93-121","title":"The World Mental Health (WMH) Survey Initiative Version of the World Health Organization (WHO) Composite International Diagnostic Interview (CIDI).","type":"article-journal","volume":"13"},"uris":["http://www.mendeley.com/documents/?uuid=2d530b63-b6de-35db-afd2-140026384933"]}],"mendeley":{"formattedCitation":"[26]","plainTextFormattedCitation":"[26]","previouslyFormattedCitation":"[26]"},"properties":{"noteIndex":0},"schema":"https://github.com/citation-style-language/schema/raw/master/csl-citation.json"}</w:instrText>
      </w:r>
      <w:r w:rsidR="00AC7DFB">
        <w:rPr>
          <w:rFonts w:cs="Times New Roman"/>
          <w:color w:val="000000"/>
        </w:rPr>
        <w:fldChar w:fldCharType="separate"/>
      </w:r>
      <w:r w:rsidR="008B6345" w:rsidRPr="008B6345">
        <w:rPr>
          <w:rFonts w:cs="Times New Roman"/>
          <w:noProof/>
          <w:color w:val="000000"/>
        </w:rPr>
        <w:t>[26]</w:t>
      </w:r>
      <w:r w:rsidR="00AC7DFB">
        <w:rPr>
          <w:rFonts w:cs="Times New Roman"/>
          <w:color w:val="000000"/>
        </w:rPr>
        <w:fldChar w:fldCharType="end"/>
      </w:r>
      <w:r w:rsidR="00AC7DFB">
        <w:rPr>
          <w:rFonts w:cs="Times New Roman"/>
          <w:color w:val="000000"/>
        </w:rPr>
        <w:t xml:space="preserve"> were</w:t>
      </w:r>
      <w:r w:rsidR="00AC7DFB" w:rsidRPr="00FF40B3">
        <w:rPr>
          <w:rFonts w:cs="Times New Roman"/>
        </w:rPr>
        <w:t xml:space="preserve"> used for the endorsement of </w:t>
      </w:r>
      <w:r w:rsidR="00AC7DFB">
        <w:rPr>
          <w:rFonts w:cs="Times New Roman"/>
        </w:rPr>
        <w:t xml:space="preserve">past 12-month </w:t>
      </w:r>
      <w:r w:rsidR="00AC7DFB" w:rsidRPr="00FF40B3">
        <w:rPr>
          <w:rFonts w:cs="Times New Roman"/>
        </w:rPr>
        <w:t xml:space="preserve">DSM-IV depression. </w:t>
      </w:r>
      <w:r w:rsidR="00AC7DFB" w:rsidRPr="00D008BF">
        <w:rPr>
          <w:rFonts w:cs="Times New Roman"/>
          <w:lang w:val="en-GB"/>
        </w:rPr>
        <w:t xml:space="preserve">In accordance with previous publications using a dataset with the identical question, those who </w:t>
      </w:r>
      <w:r w:rsidR="00AC7DFB">
        <w:rPr>
          <w:rFonts w:cs="Times New Roman"/>
          <w:lang w:val="en-GB"/>
        </w:rPr>
        <w:t xml:space="preserve">claimed to have severe/extreme problems with worry or anxiety in the past 30 days </w:t>
      </w:r>
      <w:r w:rsidR="00AC7DFB" w:rsidRPr="00D008BF">
        <w:rPr>
          <w:rFonts w:cs="Times New Roman"/>
          <w:lang w:val="en-GB"/>
        </w:rPr>
        <w:t>were considered to have anxiety</w:t>
      </w:r>
      <w:r w:rsidR="009F56A5">
        <w:rPr>
          <w:rFonts w:cs="Times New Roman"/>
          <w:lang w:val="en-GB"/>
        </w:rPr>
        <w:t xml:space="preserve"> </w:t>
      </w:r>
      <w:r w:rsidR="009F56A5">
        <w:rPr>
          <w:rFonts w:cs="Times New Roman"/>
          <w:lang w:val="en-GB"/>
        </w:rPr>
        <w:fldChar w:fldCharType="begin" w:fldLock="1"/>
      </w:r>
      <w:r w:rsidR="006510CA">
        <w:rPr>
          <w:rFonts w:cs="Times New Roman"/>
          <w:lang w:val="en-GB"/>
        </w:rPr>
        <w:instrText>ADDIN CSL_CITATION {"citationItems":[{"id":"ITEM-1","itemData":{"DOI":"10.1016/j.jad.2016.10.028","ISSN":"15732517","abstract":"Background Despite the known benefits of physical activity (PA) among people with anxiety, little is known about PA levels in people with anxiety at the population level. This study explored the global prevalence of anxiety and its association with PA. Methods Cross-sectional, community-based data from the World Health Survey was analyzed. Prevalence of anxiety was estimated for 237,964 individuals (47 countries). PA was categorized as low, moderate, and high based on the International Physical Activity Questionnaire (short form). The association between PA and anxiety was assessed by multivariable logistic regression. Results The overall global prevalence of anxiety was 11.4% (47 countries). Across 38 countries with available data on PA, 62.5%, 20.2%, and 17.3% of the sample engaged in high, moderate, and low levels of PA respectively. The prevalence of low physical activity in those with and without anxiety was 22.9% vs. 16.6% (p&lt;0.001) (38 countries, n=184,920). In the pooled model adjusted for socio-demographics, depression, and country, individuals engaging in low PA (vs. high PA) had 1.32 (95% CI=1.17–1.47) times higher odds for anxiety than those with high PA. Female sex, older age, lower education and wealth, and depression were also associated with low PA. At the individual country level, there was a significant positive association between low PA and anxiety in 17 of the 38 countries. Conclusion Low PA levels are associated with increased prevalence of anxiety. There is a need for longitudinal research to establish the directionality of the relationships observed.","author":[{"dropping-particle":"","family":"Stubbs","given":"Brendon","non-dropping-particle":"","parse-names":false,"suffix":""},{"dropping-particle":"","family":"Koyanagi","given":"Ai","non-dropping-particle":"","parse-names":false,"suffix":""},{"dropping-particle":"","family":"Hallgren","given":"Mats","non-dropping-particle":"","parse-names":false,"suffix":""},{"dropping-particle":"","family":"Firth","given":"Joseph","non-dropping-particle":"","parse-names":false,"suffix":""},{"dropping-particle":"","family":"Richards","given":"Justin","non-dropping-particle":"","parse-names":false,"suffix":""},{"dropping-particle":"","family":"Schuch","given":"Felipe","non-dropping-particle":"","parse-names":false,"suffix":""},{"dropping-particle":"","family":"Rosenbaum","given":"Simon","non-dropping-particle":"","parse-names":false,"suffix":""},{"dropping-particle":"","family":"Mugisha","given":"James","non-dropping-particle":"","parse-names":false,"suffix":""},{"dropping-particle":"","family":"Veronese","given":"Nicola","non-dropping-particle":"","parse-names":false,"suffix":""},{"dropping-particle":"","family":"Lahti","given":"Jouni","non-dropping-particle":"","parse-names":false,"suffix":""},{"dropping-particle":"","family":"Vancampfort","given":"Davy","non-dropping-particle":"","parse-names":false,"suffix":""}],"container-title":"Journal of Affective Disorders","id":"ITEM-1","issued":{"date-parts":[["2017","1","15"]]},"page":"545-552","publisher":"Elsevier B.V.","title":"Physical activity and anxiety: A perspective from the World Health Survey","type":"article-journal","volume":"208"},"uris":["http://www.mendeley.com/documents/?uuid=5199b6a3-058d-3242-97b5-6315b5a7dee7"]}],"mendeley":{"formattedCitation":"[27]","plainTextFormattedCitation":"[27]","previouslyFormattedCitation":"[27]"},"properties":{"noteIndex":0},"schema":"https://github.com/citation-style-language/schema/raw/master/csl-citation.json"}</w:instrText>
      </w:r>
      <w:r w:rsidR="009F56A5">
        <w:rPr>
          <w:rFonts w:cs="Times New Roman"/>
          <w:lang w:val="en-GB"/>
        </w:rPr>
        <w:fldChar w:fldCharType="separate"/>
      </w:r>
      <w:r w:rsidR="008B6345" w:rsidRPr="008B6345">
        <w:rPr>
          <w:rFonts w:cs="Times New Roman"/>
          <w:noProof/>
          <w:lang w:val="en-GB"/>
        </w:rPr>
        <w:t>[27]</w:t>
      </w:r>
      <w:r w:rsidR="009F56A5">
        <w:rPr>
          <w:rFonts w:cs="Times New Roman"/>
          <w:lang w:val="en-GB"/>
        </w:rPr>
        <w:fldChar w:fldCharType="end"/>
      </w:r>
      <w:r w:rsidR="00821867">
        <w:rPr>
          <w:rFonts w:cs="Times New Roman"/>
          <w:lang w:val="en-GB"/>
        </w:rPr>
        <w:t xml:space="preserve">. </w:t>
      </w:r>
      <w:r w:rsidR="00AC7DFB">
        <w:rPr>
          <w:rFonts w:cs="Times New Roman"/>
          <w:lang w:val="en-GB"/>
        </w:rPr>
        <w:t>Obesity was defined as body mass index (BMI) ≥30kg/m</w:t>
      </w:r>
      <w:r w:rsidR="00AC7DFB" w:rsidRPr="00A755F8">
        <w:rPr>
          <w:rFonts w:cs="Times New Roman"/>
          <w:vertAlign w:val="superscript"/>
          <w:lang w:val="en-GB"/>
        </w:rPr>
        <w:t>2</w:t>
      </w:r>
      <w:r w:rsidR="00AC7DFB">
        <w:rPr>
          <w:rFonts w:cs="Times New Roman"/>
          <w:lang w:val="en-GB"/>
        </w:rPr>
        <w:t xml:space="preserve"> based on measured weight and height</w:t>
      </w:r>
      <w:r w:rsidR="00BB69D5">
        <w:rPr>
          <w:rFonts w:cs="Times New Roman"/>
          <w:lang w:val="en-GB"/>
        </w:rPr>
        <w:t xml:space="preserve">. </w:t>
      </w:r>
      <w:r w:rsidR="00AC7DFB">
        <w:rPr>
          <w:rFonts w:cs="Times New Roman"/>
          <w:lang w:val="en-GB"/>
        </w:rPr>
        <w:t>Disability was assessed with</w:t>
      </w:r>
      <w:r w:rsidR="00AC7DFB" w:rsidRPr="00D008BF">
        <w:rPr>
          <w:rFonts w:cs="Times New Roman"/>
          <w:lang w:val="en-GB"/>
        </w:rPr>
        <w:t xml:space="preserve"> </w:t>
      </w:r>
      <w:r w:rsidR="00AC7DFB">
        <w:rPr>
          <w:rFonts w:cs="Times New Roman"/>
          <w:lang w:val="en-GB"/>
        </w:rPr>
        <w:lastRenderedPageBreak/>
        <w:t xml:space="preserve">six questions on the level of difficulty in conducting </w:t>
      </w:r>
      <w:r w:rsidR="00AC7DFB" w:rsidRPr="00D008BF">
        <w:rPr>
          <w:rFonts w:cs="Times New Roman"/>
          <w:lang w:val="en-GB"/>
        </w:rPr>
        <w:t xml:space="preserve">standard basic activities of daily living </w:t>
      </w:r>
      <w:r w:rsidR="00AC7DFB">
        <w:rPr>
          <w:rFonts w:cs="Times New Roman"/>
          <w:lang w:val="en-GB"/>
        </w:rPr>
        <w:t>in the past 30 days</w:t>
      </w:r>
      <w:r w:rsidR="000C699B">
        <w:rPr>
          <w:rFonts w:cs="Times New Roman"/>
          <w:lang w:val="en-GB"/>
        </w:rPr>
        <w:t xml:space="preserve"> </w:t>
      </w:r>
      <w:r w:rsidR="00AC7DFB">
        <w:rPr>
          <w:rFonts w:cs="Times New Roman"/>
          <w:lang w:val="en-GB"/>
        </w:rPr>
        <w:fldChar w:fldCharType="begin" w:fldLock="1"/>
      </w:r>
      <w:r w:rsidR="006510CA">
        <w:rPr>
          <w:rFonts w:cs="Times New Roman"/>
          <w:lang w:val="en-GB"/>
        </w:rPr>
        <w:instrText>ADDIN CSL_CITATION {"citationItems":[{"id":"ITEM-1","itemData":{"DOI":"10.1136/bmjopen-2014-007313","ISSN":"20446055","abstract":"Objective: The association between obesity and disability may differ between high-income and low-income/middle-income countries but there are no studies comparing this association between these settings. The aim of the study was to assess this association in nine countries using nationally-representative data from the Collaborative Research on Ageing in Europe (COURAGE) study and the WHO's Study on global AGEing and Adult Health (SAGE). Design: Population-based cross-sectional study Setting: The survey was conducted in China, Finland, Ghana, India, Mexico, Poland, Russia, South Africa and Spain between 2007 and 2012. Participants: 42 116 individuals 50 years and older. The institutionalised and those with limited cognition were excluded. Primary outcome measure: Disability was defined as severe or extreme difficulty in conducting at least one of six types of basic activities of daily living (ADL). Results: The mean body mass index (BMI) ranged from 20.4 kg/m&lt;sup&gt;2&lt;/sup&gt; in India to 30.7 kg/m&lt;sup&gt;2&lt;/sup&gt; in South Africa. Compared to normal BMI (18.5-24.9 kg/m&lt;sup&gt;2&lt;/sup&gt;), BMI≥35 kg/m&lt;sup&gt;2&lt;/sup&gt; was associated with significantly higher odds for ADL disability in Finland (OR 4.64), Poland (OR 2.77), South Africa (OR 2.19) and Spain (OR 2.42). Interaction analysis showed that obese individuals in high-income countries were more likely to have ADL limitations than those in low-income or middle-income countries. Conclusions: The higher odds for disability among obese individuals in high-income countries may imply longer life lived with disability due to factors such as the decline in cardiovascular disease mortality. In South Africa, this may have been due to the exceptionally high prevalence of class III obesity. These findings underscore the importance of obesity prevention to reduce the disability burden among older adults.","author":[{"dropping-particle":"","family":"Koyanagi","given":"Ai","non-dropping-particle":"","parse-names":false,"suffix":""},{"dropping-particle":"","family":"Moneta","given":"Maria Victoria","non-dropping-particle":"","parse-names":false,"suffix":""},{"dropping-particle":"","family":"Garin","given":"Noe","non-dropping-particle":"","parse-names":false,"suffix":""},{"dropping-particle":"","family":"Olaya","given":"Beatriz","non-dropping-particle":"","parse-names":false,"suffix":""},{"dropping-particle":"","family":"Ayuso-Mateos","given":"Jose Luis","non-dropping-particle":"","parse-names":false,"suffix":""},{"dropping-particle":"","family":"Chatterji","given":"Somnath","non-dropping-particle":"","parse-names":false,"suffix":""},{"dropping-particle":"","family":"Leonardi","given":"Matilde","non-dropping-particle":"","parse-names":false,"suffix":""},{"dropping-particle":"","family":"Sainio","given":"Päivi","non-dropping-particle":"","parse-names":false,"suffix":""},{"dropping-particle":"","family":"Galas","given":"Aleksander","non-dropping-particle":"","parse-names":false,"suffix":""},{"dropping-particle":"","family":"Haro","given":"Josep Maria","non-dropping-particle":"","parse-names":false,"suffix":""}],"container-title":"BMJ Open","id":"ITEM-1","issue":"4","issued":{"date-parts":[["2015"]]},"publisher":"BMJ Publishing Group","title":"The association between obesity and severe disability among adults aged 50 or over in nine high-income, middle-income and low-income countries: A cross-sectional study","type":"article-journal","volume":"5"},"uris":["http://www.mendeley.com/documents/?uuid=50b30c7c-a6f6-3446-b012-edaa328f7a54"]}],"mendeley":{"formattedCitation":"[28]","plainTextFormattedCitation":"[28]","previouslyFormattedCitation":"[28]"},"properties":{"noteIndex":0},"schema":"https://github.com/citation-style-language/schema/raw/master/csl-citation.json"}</w:instrText>
      </w:r>
      <w:r w:rsidR="00AC7DFB">
        <w:rPr>
          <w:rFonts w:cs="Times New Roman"/>
          <w:lang w:val="en-GB"/>
        </w:rPr>
        <w:fldChar w:fldCharType="separate"/>
      </w:r>
      <w:r w:rsidR="008B6345" w:rsidRPr="008B6345">
        <w:rPr>
          <w:rFonts w:cs="Times New Roman"/>
          <w:noProof/>
          <w:lang w:val="en-GB"/>
        </w:rPr>
        <w:t>[28]</w:t>
      </w:r>
      <w:r w:rsidR="00AC7DFB">
        <w:rPr>
          <w:rFonts w:cs="Times New Roman"/>
          <w:lang w:val="en-GB"/>
        </w:rPr>
        <w:fldChar w:fldCharType="end"/>
      </w:r>
      <w:r w:rsidR="00AC7DFB">
        <w:rPr>
          <w:rFonts w:cs="Times New Roman"/>
          <w:lang w:val="en-GB"/>
        </w:rPr>
        <w:t>.</w:t>
      </w:r>
      <w:r w:rsidR="00AC7DFB" w:rsidRPr="0052794D">
        <w:rPr>
          <w:rFonts w:cs="Times New Roman"/>
          <w:lang w:val="en-GB"/>
        </w:rPr>
        <w:t xml:space="preserve"> Those</w:t>
      </w:r>
      <w:r w:rsidR="00AC7DFB" w:rsidRPr="00D008BF">
        <w:rPr>
          <w:rFonts w:cs="Times New Roman"/>
          <w:lang w:val="en-GB"/>
        </w:rPr>
        <w:t xml:space="preserve"> who answered severe or extreme/cannot do to any of the six questions were considered to have </w:t>
      </w:r>
      <w:r w:rsidR="00AC7DFB">
        <w:rPr>
          <w:rFonts w:cs="Times New Roman"/>
          <w:lang w:val="en-GB"/>
        </w:rPr>
        <w:t xml:space="preserve">disability </w:t>
      </w:r>
      <w:r w:rsidR="00AC7DFB">
        <w:rPr>
          <w:rFonts w:cs="Times New Roman"/>
          <w:lang w:val="en-GB"/>
        </w:rPr>
        <w:fldChar w:fldCharType="begin" w:fldLock="1"/>
      </w:r>
      <w:r w:rsidR="006510CA">
        <w:rPr>
          <w:rFonts w:cs="Times New Roman"/>
          <w:lang w:val="en-GB"/>
        </w:rPr>
        <w:instrText>ADDIN CSL_CITATION {"citationItems":[{"id":"ITEM-1","itemData":{"DOI":"10.1136/bmjopen-2014-007313","ISSN":"20446055","abstract":"Objective: The association between obesity and disability may differ between high-income and low-income/middle-income countries but there are no studies comparing this association between these settings. The aim of the study was to assess this association in nine countries using nationally-representative data from the Collaborative Research on Ageing in Europe (COURAGE) study and the WHO's Study on global AGEing and Adult Health (SAGE). Design: Population-based cross-sectional study Setting: The survey was conducted in China, Finland, Ghana, India, Mexico, Poland, Russia, South Africa and Spain between 2007 and 2012. Participants: 42 116 individuals 50 years and older. The institutionalised and those with limited cognition were excluded. Primary outcome measure: Disability was defined as severe or extreme difficulty in conducting at least one of six types of basic activities of daily living (ADL). Results: The mean body mass index (BMI) ranged from 20.4 kg/m&lt;sup&gt;2&lt;/sup&gt; in India to 30.7 kg/m&lt;sup&gt;2&lt;/sup&gt; in South Africa. Compared to normal BMI (18.5-24.9 kg/m&lt;sup&gt;2&lt;/sup&gt;), BMI≥35 kg/m&lt;sup&gt;2&lt;/sup&gt; was associated with significantly higher odds for ADL disability in Finland (OR 4.64), Poland (OR 2.77), South Africa (OR 2.19) and Spain (OR 2.42). Interaction analysis showed that obese individuals in high-income countries were more likely to have ADL limitations than those in low-income or middle-income countries. Conclusions: The higher odds for disability among obese individuals in high-income countries may imply longer life lived with disability due to factors such as the decline in cardiovascular disease mortality. In South Africa, this may have been due to the exceptionally high prevalence of class III obesity. These findings underscore the importance of obesity prevention to reduce the disability burden among older adults.","author":[{"dropping-particle":"","family":"Koyanagi","given":"Ai","non-dropping-particle":"","parse-names":false,"suffix":""},{"dropping-particle":"","family":"Moneta","given":"Maria Victoria","non-dropping-particle":"","parse-names":false,"suffix":""},{"dropping-particle":"","family":"Garin","given":"Noe","non-dropping-particle":"","parse-names":false,"suffix":""},{"dropping-particle":"","family":"Olaya","given":"Beatriz","non-dropping-particle":"","parse-names":false,"suffix":""},{"dropping-particle":"","family":"Ayuso-Mateos","given":"Jose Luis","non-dropping-particle":"","parse-names":false,"suffix":""},{"dropping-particle":"","family":"Chatterji","given":"Somnath","non-dropping-particle":"","parse-names":false,"suffix":""},{"dropping-particle":"","family":"Leonardi","given":"Matilde","non-dropping-particle":"","parse-names":false,"suffix":""},{"dropping-particle":"","family":"Sainio","given":"Päivi","non-dropping-particle":"","parse-names":false,"suffix":""},{"dropping-particle":"","family":"Galas","given":"Aleksander","non-dropping-particle":"","parse-names":false,"suffix":""},{"dropping-particle":"","family":"Haro","given":"Josep Maria","non-dropping-particle":"","parse-names":false,"suffix":""}],"container-title":"BMJ Open","id":"ITEM-1","issue":"4","issued":{"date-parts":[["2015"]]},"publisher":"BMJ Publishing Group","title":"The association between obesity and severe disability among adults aged 50 or over in nine high-income, middle-income and low-income countries: A cross-sectional study","type":"article-journal","volume":"5"},"uris":["http://www.mendeley.com/documents/?uuid=50b30c7c-a6f6-3446-b012-edaa328f7a54"]}],"mendeley":{"formattedCitation":"[28]","plainTextFormattedCitation":"[28]","previouslyFormattedCitation":"[28]"},"properties":{"noteIndex":0},"schema":"https://github.com/citation-style-language/schema/raw/master/csl-citation.json"}</w:instrText>
      </w:r>
      <w:r w:rsidR="00AC7DFB">
        <w:rPr>
          <w:rFonts w:cs="Times New Roman"/>
          <w:lang w:val="en-GB"/>
        </w:rPr>
        <w:fldChar w:fldCharType="separate"/>
      </w:r>
      <w:r w:rsidR="008B6345" w:rsidRPr="008B6345">
        <w:rPr>
          <w:rFonts w:cs="Times New Roman"/>
          <w:noProof/>
          <w:lang w:val="en-GB"/>
        </w:rPr>
        <w:t>[28]</w:t>
      </w:r>
      <w:r w:rsidR="00AC7DFB">
        <w:rPr>
          <w:rFonts w:cs="Times New Roman"/>
          <w:lang w:val="en-GB"/>
        </w:rPr>
        <w:fldChar w:fldCharType="end"/>
      </w:r>
      <w:r w:rsidR="00AC7DFB">
        <w:rPr>
          <w:rFonts w:cs="Times New Roman"/>
          <w:lang w:val="en-GB"/>
        </w:rPr>
        <w:t xml:space="preserve">. </w:t>
      </w:r>
      <w:r w:rsidR="00C77294">
        <w:rPr>
          <w:rFonts w:cs="Times New Roman"/>
          <w:lang w:val="en-GB"/>
        </w:rPr>
        <w:t>Health status in the domains of m</w:t>
      </w:r>
      <w:proofErr w:type="spellStart"/>
      <w:r w:rsidR="00AC7DFB">
        <w:rPr>
          <w:rFonts w:eastAsia="Times New Roman" w:cs="Times New Roman"/>
          <w:lang w:eastAsia="nl-BE"/>
        </w:rPr>
        <w:t>obility</w:t>
      </w:r>
      <w:proofErr w:type="spellEnd"/>
      <w:r w:rsidR="00AC7DFB">
        <w:rPr>
          <w:rFonts w:eastAsia="Times New Roman" w:cs="Times New Roman"/>
          <w:lang w:eastAsia="nl-BE"/>
        </w:rPr>
        <w:t xml:space="preserve">, pain/discomfort, sleep/energy, and cognition were </w:t>
      </w:r>
      <w:r w:rsidR="00C77294">
        <w:rPr>
          <w:rFonts w:eastAsia="Times New Roman" w:cs="Times New Roman"/>
          <w:lang w:eastAsia="nl-BE"/>
        </w:rPr>
        <w:t xml:space="preserve">assessed by </w:t>
      </w:r>
      <w:r w:rsidR="003A4B63">
        <w:rPr>
          <w:rFonts w:eastAsia="Times New Roman" w:cs="Times New Roman"/>
          <w:lang w:eastAsia="nl-BE"/>
        </w:rPr>
        <w:t xml:space="preserve">scales ranging from 0-10 with higher scores indicating worse health </w:t>
      </w:r>
      <w:r w:rsidR="003A4B63" w:rsidRPr="009D7AB2">
        <w:rPr>
          <w:rFonts w:eastAsia="Times New Roman" w:cs="Times New Roman"/>
          <w:lang w:eastAsia="nl-BE"/>
        </w:rPr>
        <w:t xml:space="preserve">status </w:t>
      </w:r>
      <w:r w:rsidR="00967349" w:rsidRPr="009D7AB2">
        <w:rPr>
          <w:rFonts w:cs="Times New Roman"/>
        </w:rPr>
        <w:t xml:space="preserve">(items used to assess these variables are provided in supplementary </w:t>
      </w:r>
      <w:r w:rsidR="00967349" w:rsidRPr="009D7AB2">
        <w:rPr>
          <w:rFonts w:cs="Times New Roman"/>
          <w:b/>
          <w:bCs/>
        </w:rPr>
        <w:t>Table S2)</w:t>
      </w:r>
      <w:r w:rsidR="00967349" w:rsidRPr="009D7AB2">
        <w:rPr>
          <w:rFonts w:cs="Times New Roman"/>
        </w:rPr>
        <w:t xml:space="preserve">. These health domains correspond to those in common health related quality of life outcome measures such as the </w:t>
      </w:r>
      <w:r w:rsidR="00967349" w:rsidRPr="009D7AB2">
        <w:rPr>
          <w:rFonts w:cs="Times New Roman"/>
          <w:lang w:eastAsia="ja-JP"/>
        </w:rPr>
        <w:t xml:space="preserve">Short Form-12 (SF-12) </w:t>
      </w:r>
      <w:r w:rsidR="006510CA" w:rsidRPr="009D7AB2">
        <w:rPr>
          <w:rFonts w:cs="Times New Roman"/>
          <w:lang w:eastAsia="ja-JP"/>
        </w:rPr>
        <w:fldChar w:fldCharType="begin" w:fldLock="1"/>
      </w:r>
      <w:r w:rsidR="006510CA" w:rsidRPr="009D7AB2">
        <w:rPr>
          <w:rFonts w:cs="Times New Roman"/>
          <w:lang w:eastAsia="ja-JP"/>
        </w:rPr>
        <w:instrText>ADDIN CSL_CITATION {"citationItems":[{"id":"ITEM-1","itemData":{"DOI":"10.1097/00005650-199603000-00003","ISSN":"00257079","PMID":"8628042","abstract":"Regression methods were used to select and score 12 items from the Medical Outcomes Study 36-Item Short-Form Health Survey (SF-36) to reproduce the Physical Component Summary and Mental Component Summary scales in the general US population (n = 2,333). The resulting 12-item short-form (SF-12) achieved multiple R squares of 0.911 and 0.918 in predictions of the SF-36 Physical Component Summary and SF-36 Mental Component Summary scores, respectively. Scoring algorithms from the general population used to score 12-item versions of the two components (Physical Component Summary and Mental Component Summary) achieved R squares of 0.905 with the SF-36 Physical Component Summary and 0.938 with the SF-36 Mental Component Summary when cross-validated in the Medical Outcomes Study Test-retest (2-week) correlations of 0.89 and 0.76 were observed for the 12-item Physical Component Summary and the 12-item Mental Component Summary, respectively, in the general US population (n = 232). Twenty cross-sectional and longitudinal tests of empirical validity previously published for the 36-item short-form scales and summary measures were replicated for the 12-item Physical Component Summary and the 12-item Mental Component Summary, including comparisons between patient groups known to differ or to change in terms of the presence and seriousness of physical and mental conditions, acute symptoms, age and aging, self-reported 1-year changes in health, and recovery from depression. In 14 validity tests involving physical criteria, relative validity estimates for the 12-item Physical Component Summary ranged from 0.43 to 0.93 (median = 0.67) in comparison with the best 36-item short-form scale. Relative validity estimates for the 12-item Mental Component Summary in 6 tests involving mental criteria ranged from 0.60 to 1.07 (median = 0.97) in relation to the best 36-item short-form scale. Average scores for the 2 summary measures, and those for most scales in the 8-scale profile based on the 12-item short-form, closely mirrored those for the 36-item short-form, although standard errors were nearly always larger for the 12-item short-form.","author":[{"dropping-particle":"","family":"Ware","given":"John E.","non-dropping-particle":"","parse-names":false,"suffix":""},{"dropping-particle":"","family":"Kosinski","given":"Mark","non-dropping-particle":"","parse-names":false,"suffix":""},{"dropping-particle":"","family":"Keller","given":"Susan D.","non-dropping-particle":"","parse-names":false,"suffix":""}],"container-title":"Medical Care","id":"ITEM-1","issue":"3","issued":{"date-parts":[["1996"]]},"page":"220-233","publisher":"Lippincott Williams and Wilkins","title":"A 12-Item Short-Form Health Survey: Construction of Scales and Preliminary Tests of Reliability and Validity","type":"article-journal","volume":"34"},"uris":["http://www.mendeley.com/documents/?uuid=02ce6a6c-c3d8-30f0-a581-b797653dad3e"]}],"mendeley":{"formattedCitation":"[29]","plainTextFormattedCitation":"[29]","previouslyFormattedCitation":"[29]"},"properties":{"noteIndex":0},"schema":"https://github.com/citation-style-language/schema/raw/master/csl-citation.json"}</w:instrText>
      </w:r>
      <w:r w:rsidR="006510CA" w:rsidRPr="009D7AB2">
        <w:rPr>
          <w:rFonts w:cs="Times New Roman"/>
          <w:lang w:eastAsia="ja-JP"/>
        </w:rPr>
        <w:fldChar w:fldCharType="separate"/>
      </w:r>
      <w:r w:rsidR="006510CA" w:rsidRPr="009D7AB2">
        <w:rPr>
          <w:rFonts w:cs="Times New Roman"/>
          <w:noProof/>
          <w:lang w:eastAsia="ja-JP"/>
        </w:rPr>
        <w:t>[29]</w:t>
      </w:r>
      <w:r w:rsidR="006510CA" w:rsidRPr="009D7AB2">
        <w:rPr>
          <w:rFonts w:cs="Times New Roman"/>
          <w:lang w:eastAsia="ja-JP"/>
        </w:rPr>
        <w:fldChar w:fldCharType="end"/>
      </w:r>
      <w:r w:rsidR="006510CA" w:rsidRPr="009D7AB2">
        <w:rPr>
          <w:rFonts w:cs="Times New Roman"/>
          <w:lang w:eastAsia="ja-JP"/>
        </w:rPr>
        <w:t>,</w:t>
      </w:r>
      <w:r w:rsidR="00967349" w:rsidRPr="009D7AB2">
        <w:rPr>
          <w:rFonts w:cs="Times New Roman"/>
          <w:lang w:eastAsia="ja-JP"/>
        </w:rPr>
        <w:t xml:space="preserve"> the Health Utilities Index Mark 3 (HUI) </w:t>
      </w:r>
      <w:r w:rsidR="006510CA" w:rsidRPr="009D7AB2">
        <w:rPr>
          <w:rFonts w:cs="Times New Roman"/>
          <w:lang w:eastAsia="ja-JP"/>
        </w:rPr>
        <w:fldChar w:fldCharType="begin" w:fldLock="1"/>
      </w:r>
      <w:r w:rsidR="006E5675" w:rsidRPr="009D7AB2">
        <w:rPr>
          <w:rFonts w:cs="Times New Roman"/>
          <w:lang w:eastAsia="ja-JP"/>
        </w:rPr>
        <w:instrText>ADDIN CSL_CITATION {"citationItems":[{"id":"ITEM-1","itemData":{"DOI":"10.2165/00019053-199507060-00004","ISSN":"11792027","abstract":"In this article, multi-attribute approaches to the assessment of health status are reviewed with a special focus on 2 recently developed systems, the Health Utilities Index (HUI) Mark II and Mark III systems. The Mark II system consists of 7 attributes: sensation, mobility, emotion, cognition, self-care, pain and fertility. The Mark III system contains 8 attributes: vision, hearing, speech. ambulation, dexterity, emotion, cognition and pain. Each attribute consists of multiple levels of functioning. A combination of levels across Ihe attributes constitutes a health state. The HUI systems are deliberately focused on the fundamental core attributes of health status. and on the capacity of individuals to function with respect to these aHributes. Thus, the measure obtained constitutes a pure description of health status. uncontaminated by differential opportunity or preference. Multi-attribute systems provide a compact but comprehensive framework for describing health status for use in population health and programme evaluation studies. An important advantage of such systems is their ability 10 simultaneously provide detail on an allribute-by-attribute basis and to capture combinations of deficits among attributes. An additional advantage is their compatibility with multi-attribute preference functions. which provide a method for computing a summary health-related quality-of-life score for each health state © 1995, Adis International Limited. All rights reserved.","author":[{"dropping-particle":"","family":"Feeny","given":"David","non-dropping-particle":"","parse-names":false,"suffix":""},{"dropping-particle":"","family":"Furlong","given":"William","non-dropping-particle":"","parse-names":false,"suffix":""},{"dropping-particle":"","family":"Boyle","given":"Michael","non-dropping-particle":"","parse-names":false,"suffix":""},{"dropping-particle":"","family":"Torrance","given":"George W.","non-dropping-particle":"","parse-names":false,"suffix":""}],"container-title":"PharmacoEconomics","id":"ITEM-1","issue":"6","issued":{"date-parts":[["1995"]]},"page":"490-502","title":"Multi-Attribute Health Status Classification Systems: Health Utilities Index","type":"article","volume":"7"},"uris":["http://www.mendeley.com/documents/?uuid=537834b3-af46-3637-85f0-03f9cf898073"]}],"mendeley":{"formattedCitation":"[30]","plainTextFormattedCitation":"[30]","previouslyFormattedCitation":"[30]"},"properties":{"noteIndex":0},"schema":"https://github.com/citation-style-language/schema/raw/master/csl-citation.json"}</w:instrText>
      </w:r>
      <w:r w:rsidR="006510CA" w:rsidRPr="009D7AB2">
        <w:rPr>
          <w:rFonts w:cs="Times New Roman"/>
          <w:lang w:eastAsia="ja-JP"/>
        </w:rPr>
        <w:fldChar w:fldCharType="separate"/>
      </w:r>
      <w:r w:rsidR="006510CA" w:rsidRPr="009D7AB2">
        <w:rPr>
          <w:rFonts w:cs="Times New Roman"/>
          <w:noProof/>
          <w:lang w:eastAsia="ja-JP"/>
        </w:rPr>
        <w:t>[30]</w:t>
      </w:r>
      <w:r w:rsidR="006510CA" w:rsidRPr="009D7AB2">
        <w:rPr>
          <w:rFonts w:cs="Times New Roman"/>
          <w:lang w:eastAsia="ja-JP"/>
        </w:rPr>
        <w:fldChar w:fldCharType="end"/>
      </w:r>
      <w:r w:rsidR="00967349" w:rsidRPr="009D7AB2">
        <w:rPr>
          <w:rFonts w:cs="Times New Roman"/>
          <w:lang w:eastAsia="ja-JP"/>
        </w:rPr>
        <w:t xml:space="preserve"> and the EUROQOL 5D </w:t>
      </w:r>
      <w:r w:rsidR="006E5675" w:rsidRPr="009D7AB2">
        <w:rPr>
          <w:rFonts w:cs="Times New Roman"/>
          <w:lang w:eastAsia="ja-JP"/>
        </w:rPr>
        <w:fldChar w:fldCharType="begin" w:fldLock="1"/>
      </w:r>
      <w:r w:rsidR="002C60D3" w:rsidRPr="009D7AB2">
        <w:rPr>
          <w:rFonts w:cs="Times New Roman"/>
          <w:lang w:eastAsia="ja-JP"/>
        </w:rPr>
        <w:instrText>ADDIN CSL_CITATION {"citationItems":[{"id":"ITEM-1","itemData":{"DOI":"10.1016/0168-8510(91)90141-J","ISSN":"01688510","PMID":"10112299","abstract":"The EuroQol© instrument consists of a self administered questionnaire where subjects are asked to value health states on a visual analogue scale. The instrument is playing a role of linking cross-national data in the field of health status measurement. An experiment in Norway with an alternative lay out added little to the feasibility of the instrument. On the other hand, reducing the number of states to be valued did increase the response rate significantly. Valuations in a random sample of Norwegian subjects were quite similar to valuations made by subjects in England, Holland and Sweden. EuroQol© valuations may have to undergo a radical transformation before being used as utility weights for life years, but the similarity in valuations across countries is a promising finding in itself. To the extent that these similarities are validated in later studies, authorities in any one of these four countries wishing to use health status indices in medical decision making, may in the future allow themselves to draw on results obtained in any of the other three countries. Particularly for a small country like Norway there is an obvious advantage in this. © 1991.","author":[{"dropping-particle":"","family":"Nord","given":"Erik","non-dropping-particle":"","parse-names":false,"suffix":""}],"container-title":"Health policy","id":"ITEM-1","issue":"1","issued":{"date-parts":[["1991"]]},"page":"25-36","publisher":"Health Policy","title":"EuroQol©: health-related quality of life measurement. Valuations of health states by the general public in Norway","type":"article-journal","volume":"18"},"uris":["http://www.mendeley.com/documents/?uuid=96af2c56-d77b-39af-aed6-4dec4ac7d934"]}],"mendeley":{"formattedCitation":"[31]","plainTextFormattedCitation":"[31]","previouslyFormattedCitation":"[31]"},"properties":{"noteIndex":0},"schema":"https://github.com/citation-style-language/schema/raw/master/csl-citation.json"}</w:instrText>
      </w:r>
      <w:r w:rsidR="006E5675" w:rsidRPr="009D7AB2">
        <w:rPr>
          <w:rFonts w:cs="Times New Roman"/>
          <w:lang w:eastAsia="ja-JP"/>
        </w:rPr>
        <w:fldChar w:fldCharType="separate"/>
      </w:r>
      <w:r w:rsidR="006E5675" w:rsidRPr="009D7AB2">
        <w:rPr>
          <w:rFonts w:cs="Times New Roman"/>
          <w:noProof/>
          <w:lang w:eastAsia="ja-JP"/>
        </w:rPr>
        <w:t>[31]</w:t>
      </w:r>
      <w:r w:rsidR="006E5675" w:rsidRPr="009D7AB2">
        <w:rPr>
          <w:rFonts w:cs="Times New Roman"/>
          <w:lang w:eastAsia="ja-JP"/>
        </w:rPr>
        <w:fldChar w:fldCharType="end"/>
      </w:r>
      <w:r w:rsidR="006E5675" w:rsidRPr="009D7AB2">
        <w:rPr>
          <w:rFonts w:cs="Times New Roman"/>
          <w:lang w:eastAsia="ja-JP"/>
        </w:rPr>
        <w:t xml:space="preserve">. </w:t>
      </w:r>
      <w:r w:rsidR="00967349" w:rsidRPr="009D7AB2">
        <w:rPr>
          <w:rFonts w:cs="Times New Roman"/>
          <w:lang w:eastAsia="ja-JP"/>
        </w:rPr>
        <w:t>Moreover, the</w:t>
      </w:r>
      <w:r w:rsidR="00967349" w:rsidRPr="009D7AB2">
        <w:rPr>
          <w:rFonts w:cs="Times New Roman"/>
        </w:rPr>
        <w:t>se</w:t>
      </w:r>
      <w:r w:rsidR="00967349" w:rsidRPr="009D7AB2">
        <w:rPr>
          <w:rFonts w:cs="Times New Roman"/>
          <w:lang w:eastAsia="ja-JP"/>
        </w:rPr>
        <w:t xml:space="preserve"> domains have been used as indicators of functional health status in prior studies utilizing the </w:t>
      </w:r>
      <w:r w:rsidR="00967349" w:rsidRPr="009D7AB2">
        <w:rPr>
          <w:rFonts w:cs="Times New Roman"/>
        </w:rPr>
        <w:t xml:space="preserve">exact same survey questions </w:t>
      </w:r>
      <w:r w:rsidR="002C60D3" w:rsidRPr="009D7AB2">
        <w:rPr>
          <w:rFonts w:cs="Times New Roman"/>
        </w:rPr>
        <w:fldChar w:fldCharType="begin" w:fldLock="1"/>
      </w:r>
      <w:r w:rsidR="002C60D3" w:rsidRPr="009D7AB2">
        <w:rPr>
          <w:rFonts w:cs="Times New Roman"/>
        </w:rPr>
        <w:instrText>ADDIN CSL_CITATION {"citationItems":[{"id":"ITEM-1","itemData":{"DOI":"10.1017/S0033291716001422","ISSN":"14698978","PMID":"27377628","abstract":"Background Studies on whether the co-occurrence of psychotic experiences (PEs) and depression confers a more pronounced decrement in health status and function compared with depression alone are scarce in the general adult population. Method Data on 195 479 adults aged 18 years from the World Health Survey were analysed. Using the World Mental Health Survey version of the Composite International Diagnostic Interview (CIDI), depression in the past 12 months was categorized into four groups: depressive episode, brief depressive episode, subsyndromal depression, and no depression. Past 12-month psychotic symptoms were assessed using four questions on positive symptoms from the CIDI. Health status across seven domains (cognition, interpersonal activities, sleep/energy, self-care, mobility, pain/discomfort, vision) and interviewer-rated presence of a mental health problem were assessed. Multivariable logistic and linear regression analyses were performed to assess the associations. Results When compared with those with no depression, individuals with depression had higher odds of reporting at least one PE, and this was seen across all levels of depression severity: subsyndromal depression [odds ratio (OR) 2.38, 95% confidence interval (CI) 2.02-2.81], brief depressive episode (OR 3.84, 95% CI 3.31-4.46) and depressive episode (OR 3.75, 95% CI 3.24-4.33). Having coexisting PEs and depression was associated with a higher risk for observable illness behavior and a significant decline in health status in the cognition, interpersonal activities and sleep/energy domains, compared with those with depression alone. Conclusions This coexistence of depression and PEs is associated with more severe social, cognitive and sleep disturbances, and more outwardly apparent illness behavior. Detecting this co-occurrence may be important for treatment planning.","author":[{"dropping-particle":"","family":"Koyanagi","given":"A.","non-dropping-particle":"","parse-names":false,"suffix":""},{"dropping-particle":"","family":"Oh","given":"H.","non-dropping-particle":"","parse-names":false,"suffix":""},{"dropping-particle":"","family":"Stickley","given":"A.","non-dropping-particle":"","parse-names":false,"suffix":""},{"dropping-particle":"","family":"Haro","given":"J. M.","non-dropping-particle":"","parse-names":false,"suffix":""},{"dropping-particle":"","family":"Devylder","given":"J.","non-dropping-particle":"","parse-names":false,"suffix":""}],"container-title":"Psychological Medicine","id":"ITEM-1","issue":"12","issued":{"date-parts":[["2016","9","1"]]},"page":"2655-2665","publisher":"Cambridge University Press","title":"Risk and functional significance of psychotic experiences among individuals with depression in 44 low- and middle-income countries","type":"article-journal","volume":"46"},"uris":["http://www.mendeley.com/documents/?uuid=10d93786-c7dc-322c-b871-0ac718c98ae0"]},{"id":"ITEM-2","itemData":{"DOI":"10.1093/SCHBUL","abstract":"There is growing recognition that neural oscillations are important in a wide range of perceptual and cognitive functions. One of the key issues in electrophysiological studies of schizophrenia is whether high or low frequency oscillations, or both, are related to schizophrenia because many brain functions are modulated with frequency specificities. Many recent electrophysiological studies of schizophrenia have focused on high frequency oscillations at gamma band and in general support gamma band dysfunction in schizophrenia. We discuss the concept that gamma oscillation abnormalities in schizophrenia often occur in the background of oscillation abnormalities of lower frequencies. The review discusses the basic neurobiology for the emergence of oscillations of all frequency bands in association with networks of inhibitory interneurons and the convergence and divergence of such mechanisms in generating high vs low frequency oscillations. We then review the literature of oscillatory frequency abnormalities identified in each frequency band in schizophrenia. By describing some of the key functional roles exerted by gamma, low frequencies, and their cross-frequency coupling, we conceptualize that even isolated alterations in gamma or low frequency oscillations may impact the interactions of high and low frequency bands that are involved in key cognitive functions. The review concludes that studying the full spectrum and the interaction of gamma and low frequency oscillations may be critical for deciphering the complex electrophysio-logical abnormalities observed in schizophrenia patients.","author":[{"dropping-particle":"","family":"Freeman","given":"Daniel","non-dropping-particle":"","parse-names":false,"suffix":""},{"dropping-particle":"","family":"Dunn","given":"Graham","non-dropping-particle":"","parse-names":false,"suffix":""},{"dropping-particle":"","family":"Murray","given":"Robin M.","non-dropping-particle":"","parse-names":false,"suffix":""},{"dropping-particle":"","family":"Evans","given":"Nicole","non-dropping-particle":"","parse-names":false,"suffix":""},{"dropping-particle":"","family":"Lister","given":"Rachel","non-dropping-particle":"","parse-names":false,"suffix":""},{"dropping-particle":"","family":"Antley","given":"Angus","non-dropping-particle":"","parse-names":false,"suffix":""},{"dropping-particle":"","family":"Slater","given":"Mel","non-dropping-particle":"","parse-names":false,"suffix":""},{"dropping-particle":"","family":"Godlewska","given":"Beata","non-dropping-particle":"","parse-names":false,"suffix":""},{"dropping-particle":"","family":"Cornish","given":"Robert","non-dropping-particle":"","parse-names":false,"suffix":""},{"dropping-particle":"","family":"Williams","given":"Jonathan","non-dropping-particle":"","parse-names":false,"suffix":""},{"dropping-particle":"","family":"Simplicio","given":"Martina","non-dropping-particle":"Di","parse-names":false,"suffix":""},{"dropping-particle":"","family":"Igoumenou","given":"Artemis","non-dropping-particle":"","parse-names":false,"suffix":""},{"dropping-particle":"","family":"Brenneisen","given":"Rudolf","non-dropping-particle":"","parse-names":false,"suffix":""},{"dropping-particle":"","family":"Tunbridge","given":"Elizabeth M.","non-dropping-particle":"","parse-names":false,"suffix":""},{"dropping-particle":"","family":"Harrison","given":"Paul J.","non-dropping-particle":"","parse-names":false,"suffix":""},{"dropping-particle":"","family":"Harmer","given":"Catherine J.","non-dropping-particle":"","parse-names":false,"suffix":""},{"dropping-particle":"","family":"Cowen","given":"Philip","non-dropping-particle":"","parse-names":false,"suffix":""},{"dropping-particle":"","family":"Morrison","given":"Paul D.","non-dropping-particle":"","parse-names":false,"suffix":""}],"container-title":"Schizophrenia Bulletin","id":"ITEM-2","issue":"2","issued":{"date-parts":[["2015"]]},"page":"391-399","publisher":"Oxford Academic","title":"defeatist performance beliefs review","type":"article-journal","volume":"41"},"uris":["http://www.mendeley.com/documents/?uuid=2b4a3de8-1402-3ad2-992c-419e03a70298"]},{"id":"ITEM-3","itemData":{"DOI":"10.1093/schbul/sbq099","ISSN":"0586-7614","author":[{"dropping-particle":"","family":"Nuevo","given":"R.","non-dropping-particle":"","parse-names":false,"suffix":""},{"dropping-particle":"","family":"Chatterji","given":"S.","non-dropping-particle":"","parse-names":false,"suffix":""},{"dropping-particle":"","family":"Verdes","given":"E.","non-dropping-particle":"","parse-names":false,"suffix":""},{"dropping-particle":"","family":"Naidoo","given":"N.","non-dropping-particle":"","parse-names":false,"suffix":""},{"dropping-particle":"","family":"Arango","given":"C.","non-dropping-particle":"","parse-names":false,"suffix":""},{"dropping-particle":"","family":"Ayuso-Mateos","given":"J. L.","non-dropping-particle":"","parse-names":false,"suffix":""}],"container-title":"Schizophrenia Bulletin","id":"ITEM-3","issue":"3","issued":{"date-parts":[["2012","5","1"]]},"page":"475-485","title":"The Continuum of Psychotic Symptoms in the General Population: A Cross-national Study","type":"article-journal","volume":"38"},"uris":["http://www.mendeley.com/documents/?uuid=a796dda8-853f-33c6-82e9-87ed2a9b9910"]}],"mendeley":{"formattedCitation":"[32–34]","plainTextFormattedCitation":"[32–34]","previouslyFormattedCitation":"[32–34]"},"properties":{"noteIndex":0},"schema":"https://github.com/citation-style-language/schema/raw/master/csl-citation.json"}</w:instrText>
      </w:r>
      <w:r w:rsidR="002C60D3" w:rsidRPr="009D7AB2">
        <w:rPr>
          <w:rFonts w:cs="Times New Roman"/>
        </w:rPr>
        <w:fldChar w:fldCharType="separate"/>
      </w:r>
      <w:r w:rsidR="002C60D3" w:rsidRPr="009D7AB2">
        <w:rPr>
          <w:rFonts w:cs="Times New Roman"/>
          <w:noProof/>
        </w:rPr>
        <w:t>[32–34]</w:t>
      </w:r>
      <w:r w:rsidR="002C60D3" w:rsidRPr="009D7AB2">
        <w:rPr>
          <w:rFonts w:cs="Times New Roman"/>
        </w:rPr>
        <w:fldChar w:fldCharType="end"/>
      </w:r>
      <w:r w:rsidR="002C60D3" w:rsidRPr="009D7AB2">
        <w:rPr>
          <w:rFonts w:cs="Times New Roman"/>
        </w:rPr>
        <w:t xml:space="preserve">. </w:t>
      </w:r>
      <w:r w:rsidR="004804D2" w:rsidRPr="009D7AB2">
        <w:rPr>
          <w:rFonts w:cs="Times New Roman"/>
        </w:rPr>
        <w:t>Physical</w:t>
      </w:r>
      <w:r w:rsidR="004804D2">
        <w:rPr>
          <w:rFonts w:cs="Times New Roman"/>
        </w:rPr>
        <w:t xml:space="preserve"> activity </w:t>
      </w:r>
      <w:r w:rsidR="004804D2">
        <w:rPr>
          <w:rFonts w:cs="Times New Roman"/>
          <w:lang w:val="en-GB"/>
        </w:rPr>
        <w:t>was</w:t>
      </w:r>
      <w:r w:rsidR="00925CCC">
        <w:rPr>
          <w:rFonts w:cs="Times New Roman"/>
          <w:lang w:val="en-GB"/>
        </w:rPr>
        <w:t xml:space="preserve"> categorized as low, moderate, and high based on </w:t>
      </w:r>
      <w:r w:rsidR="00106BCB">
        <w:rPr>
          <w:rFonts w:cs="Times New Roman"/>
          <w:lang w:val="en-GB"/>
        </w:rPr>
        <w:t xml:space="preserve">previously </w:t>
      </w:r>
      <w:r w:rsidR="00925CCC">
        <w:rPr>
          <w:rFonts w:cs="Times New Roman"/>
          <w:lang w:val="en-GB"/>
        </w:rPr>
        <w:t>established algorithms</w:t>
      </w:r>
      <w:r w:rsidR="00803443">
        <w:rPr>
          <w:rFonts w:cs="Times New Roman"/>
          <w:lang w:val="en-GB"/>
        </w:rPr>
        <w:t xml:space="preserve"> </w:t>
      </w:r>
      <w:r w:rsidR="004804D2">
        <w:rPr>
          <w:rFonts w:cs="Times New Roman"/>
          <w:lang w:val="en-GB"/>
        </w:rPr>
        <w:t>of the GPAQ</w:t>
      </w:r>
      <w:r w:rsidR="00506803">
        <w:rPr>
          <w:rFonts w:cs="Times New Roman"/>
          <w:lang w:val="en-GB"/>
        </w:rPr>
        <w:t>,</w:t>
      </w:r>
      <w:r w:rsidR="004804D2">
        <w:rPr>
          <w:rFonts w:cs="Times New Roman"/>
          <w:lang w:val="en-GB"/>
        </w:rPr>
        <w:t xml:space="preserve"> </w:t>
      </w:r>
      <w:r w:rsidR="00506803">
        <w:rPr>
          <w:rFonts w:cs="Times New Roman"/>
          <w:lang w:val="en-GB"/>
        </w:rPr>
        <w:t xml:space="preserve">which also include algorithms for cleaning data (e.g., implausible values) </w:t>
      </w:r>
      <w:r w:rsidR="00803443">
        <w:rPr>
          <w:rFonts w:cs="Times New Roman"/>
          <w:lang w:val="en-GB"/>
        </w:rPr>
        <w:fldChar w:fldCharType="begin" w:fldLock="1"/>
      </w:r>
      <w:r w:rsidR="002C60D3">
        <w:rPr>
          <w:rFonts w:cs="Times New Roman"/>
          <w:lang w:val="en-GB"/>
        </w:rPr>
        <w:instrText>ADDIN CSL_CITATION {"citationItems":[{"id":"ITEM-1","itemData":{"id":"ITEM-1","issued":{"date-parts":[["0"]]},"title":"Global Physical Activity Questionnaire Analysis Guide GPAQ Analysis Guide Global Physical Activity Questionnaire (GPAQ) Analysis Guide","type":"report"},"uris":["http://www.mendeley.com/documents/?uuid=9d38b381-636f-3c56-9934-b4477224c96b"]}],"mendeley":{"formattedCitation":"[35]","plainTextFormattedCitation":"[35]","previouslyFormattedCitation":"[35]"},"properties":{"noteIndex":0},"schema":"https://github.com/citation-style-language/schema/raw/master/csl-citation.json"}</w:instrText>
      </w:r>
      <w:r w:rsidR="00803443">
        <w:rPr>
          <w:rFonts w:cs="Times New Roman"/>
          <w:lang w:val="en-GB"/>
        </w:rPr>
        <w:fldChar w:fldCharType="separate"/>
      </w:r>
      <w:r w:rsidR="002C60D3" w:rsidRPr="002C60D3">
        <w:rPr>
          <w:rFonts w:cs="Times New Roman"/>
          <w:noProof/>
          <w:lang w:val="en-GB"/>
        </w:rPr>
        <w:t>[35]</w:t>
      </w:r>
      <w:r w:rsidR="00803443">
        <w:rPr>
          <w:rFonts w:cs="Times New Roman"/>
          <w:lang w:val="en-GB"/>
        </w:rPr>
        <w:fldChar w:fldCharType="end"/>
      </w:r>
      <w:r w:rsidR="00803443">
        <w:rPr>
          <w:rFonts w:cs="Times New Roman"/>
          <w:lang w:val="en-GB"/>
        </w:rPr>
        <w:t xml:space="preserve">. </w:t>
      </w:r>
      <w:r w:rsidR="002D1092">
        <w:rPr>
          <w:rFonts w:cs="Times New Roman"/>
          <w:lang w:val="en-GB"/>
        </w:rPr>
        <w:t xml:space="preserve"> </w:t>
      </w:r>
    </w:p>
    <w:p w14:paraId="5E1170DE" w14:textId="28EEAEAD" w:rsidR="00E426A2" w:rsidRDefault="002D1092" w:rsidP="005D3987">
      <w:pPr>
        <w:spacing w:line="480" w:lineRule="auto"/>
        <w:rPr>
          <w:rFonts w:cs="Times New Roman"/>
          <w:lang w:val="en-GB"/>
        </w:rPr>
      </w:pPr>
      <w:r>
        <w:rPr>
          <w:rFonts w:cs="Times New Roman"/>
          <w:lang w:val="en-GB"/>
        </w:rPr>
        <w:t xml:space="preserve"> </w:t>
      </w:r>
    </w:p>
    <w:p w14:paraId="1498B3CC" w14:textId="77777777" w:rsidR="00AC7DFB" w:rsidRDefault="00AC7DFB" w:rsidP="001F374D">
      <w:pPr>
        <w:pStyle w:val="Heading2"/>
      </w:pPr>
      <w:r>
        <w:t>Control variables</w:t>
      </w:r>
    </w:p>
    <w:p w14:paraId="413657C0" w14:textId="1B4EA0F6" w:rsidR="00AC7DFB" w:rsidRDefault="00AC7DFB" w:rsidP="005D3987">
      <w:pPr>
        <w:spacing w:line="480" w:lineRule="auto"/>
        <w:rPr>
          <w:rFonts w:cs="Times New Roman"/>
        </w:rPr>
      </w:pPr>
      <w:r w:rsidRPr="00FF40B3">
        <w:rPr>
          <w:rFonts w:cs="Times New Roman"/>
        </w:rPr>
        <w:t xml:space="preserve">The </w:t>
      </w:r>
      <w:r>
        <w:rPr>
          <w:rFonts w:cs="Times New Roman"/>
        </w:rPr>
        <w:t xml:space="preserve">control variables </w:t>
      </w:r>
      <w:r w:rsidRPr="00FF40B3">
        <w:rPr>
          <w:rFonts w:cs="Times New Roman"/>
        </w:rPr>
        <w:t xml:space="preserve">included </w:t>
      </w:r>
      <w:r>
        <w:rPr>
          <w:rFonts w:cs="Times New Roman"/>
        </w:rPr>
        <w:t xml:space="preserve">the following sociodemographic variables: </w:t>
      </w:r>
      <w:r w:rsidRPr="00FF40B3">
        <w:rPr>
          <w:rFonts w:cs="Times New Roman"/>
        </w:rPr>
        <w:t xml:space="preserve">age, sex, </w:t>
      </w:r>
      <w:r>
        <w:rPr>
          <w:rFonts w:cs="Times New Roman"/>
        </w:rPr>
        <w:t xml:space="preserve">years of education received, </w:t>
      </w:r>
      <w:r w:rsidRPr="00FF40B3">
        <w:rPr>
          <w:rFonts w:cs="Times New Roman"/>
        </w:rPr>
        <w:t xml:space="preserve">wealth quintiles based on country-specific income, marital status (married/cohabiting, never married, separated/divorced/widowed), unemployment (engaged in paid work ≥2 days in last 7 days: Y/N), </w:t>
      </w:r>
      <w:r>
        <w:rPr>
          <w:rFonts w:cs="Times New Roman"/>
        </w:rPr>
        <w:t xml:space="preserve">and </w:t>
      </w:r>
      <w:r w:rsidRPr="00FF40B3">
        <w:rPr>
          <w:rFonts w:cs="Times New Roman"/>
        </w:rPr>
        <w:t xml:space="preserve">setting (rural, </w:t>
      </w:r>
      <w:r>
        <w:rPr>
          <w:rFonts w:cs="Times New Roman"/>
        </w:rPr>
        <w:t xml:space="preserve">urban). </w:t>
      </w:r>
      <w:r w:rsidR="00472FD7">
        <w:rPr>
          <w:rFonts w:cs="Times New Roman"/>
        </w:rPr>
        <w:t xml:space="preserve">We did not assess their influence in the association between SB and happiness as these factors </w:t>
      </w:r>
      <w:r>
        <w:rPr>
          <w:rFonts w:cs="Times New Roman"/>
        </w:rPr>
        <w:t>are often considered to be non-modifiable.</w:t>
      </w:r>
    </w:p>
    <w:p w14:paraId="3281CCDE" w14:textId="77777777" w:rsidR="000F1B57" w:rsidRDefault="000F1B57" w:rsidP="005D3987">
      <w:pPr>
        <w:spacing w:line="480" w:lineRule="auto"/>
        <w:rPr>
          <w:rFonts w:cs="Times New Roman"/>
        </w:rPr>
      </w:pPr>
    </w:p>
    <w:p w14:paraId="60E70E5B" w14:textId="77777777" w:rsidR="00AC7DFB" w:rsidRPr="00FF40B3" w:rsidRDefault="00AC7DFB" w:rsidP="001F374D">
      <w:pPr>
        <w:pStyle w:val="Heading2"/>
      </w:pPr>
      <w:r w:rsidRPr="00FF40B3">
        <w:t>Statistical analysis</w:t>
      </w:r>
    </w:p>
    <w:p w14:paraId="550D31DE" w14:textId="016C2689" w:rsidR="00B003EA" w:rsidRDefault="00AC7DFB" w:rsidP="005D3987">
      <w:pPr>
        <w:spacing w:line="480" w:lineRule="auto"/>
        <w:rPr>
          <w:rFonts w:cs="Times New Roman"/>
        </w:rPr>
      </w:pPr>
      <w:r w:rsidRPr="00FF40B3">
        <w:rPr>
          <w:rFonts w:cs="Times New Roman"/>
        </w:rPr>
        <w:t xml:space="preserve">The difference in </w:t>
      </w:r>
      <w:r>
        <w:rPr>
          <w:rFonts w:cs="Times New Roman"/>
        </w:rPr>
        <w:t xml:space="preserve">sample characteristics by </w:t>
      </w:r>
      <w:r w:rsidR="00661003">
        <w:rPr>
          <w:rFonts w:cs="Times New Roman"/>
        </w:rPr>
        <w:t xml:space="preserve">SB </w:t>
      </w:r>
      <w:r>
        <w:rPr>
          <w:rFonts w:cs="Times New Roman"/>
        </w:rPr>
        <w:t xml:space="preserve">levels was tested by Chi-squared tests for categorical variables and Student’s t-tests for continuous variables. </w:t>
      </w:r>
      <w:r w:rsidRPr="00FF40B3">
        <w:rPr>
          <w:rFonts w:cs="Times New Roman"/>
        </w:rPr>
        <w:t xml:space="preserve">Multivariable </w:t>
      </w:r>
      <w:r>
        <w:rPr>
          <w:rFonts w:cs="Times New Roman"/>
        </w:rPr>
        <w:t xml:space="preserve">ordinal </w:t>
      </w:r>
      <w:r w:rsidRPr="00FF40B3">
        <w:rPr>
          <w:rFonts w:cs="Times New Roman"/>
        </w:rPr>
        <w:t xml:space="preserve">logistic regression analysis was conducted to </w:t>
      </w:r>
      <w:r>
        <w:rPr>
          <w:rFonts w:cs="Times New Roman"/>
        </w:rPr>
        <w:t xml:space="preserve">assess the association between </w:t>
      </w:r>
      <w:r w:rsidR="00AE2B08">
        <w:rPr>
          <w:rFonts w:cs="Times New Roman"/>
        </w:rPr>
        <w:t>SB (</w:t>
      </w:r>
      <w:r w:rsidR="008A7080">
        <w:rPr>
          <w:rFonts w:cs="Times New Roman"/>
        </w:rPr>
        <w:t xml:space="preserve">hours/day) </w:t>
      </w:r>
      <w:r w:rsidR="007B1543">
        <w:rPr>
          <w:rFonts w:cs="Times New Roman"/>
        </w:rPr>
        <w:t xml:space="preserve">(exposure) </w:t>
      </w:r>
      <w:r w:rsidRPr="00FF40B3">
        <w:rPr>
          <w:rFonts w:cs="Times New Roman"/>
        </w:rPr>
        <w:t xml:space="preserve">and </w:t>
      </w:r>
      <w:r>
        <w:rPr>
          <w:rFonts w:cs="Times New Roman"/>
        </w:rPr>
        <w:t>happiness</w:t>
      </w:r>
      <w:r w:rsidR="007B1543">
        <w:rPr>
          <w:rFonts w:cs="Times New Roman"/>
        </w:rPr>
        <w:t xml:space="preserve"> (outcome)</w:t>
      </w:r>
      <w:r w:rsidR="006C1A28">
        <w:rPr>
          <w:rFonts w:cs="Times New Roman"/>
        </w:rPr>
        <w:t xml:space="preserve">. </w:t>
      </w:r>
      <w:r w:rsidR="00126C53">
        <w:rPr>
          <w:rFonts w:cs="Times New Roman"/>
        </w:rPr>
        <w:t xml:space="preserve">Four models were built to assess the influence of </w:t>
      </w:r>
      <w:r w:rsidR="00126C53">
        <w:rPr>
          <w:rFonts w:cs="Times New Roman"/>
        </w:rPr>
        <w:lastRenderedPageBreak/>
        <w:t xml:space="preserve">various factors in the association between SB and happiness: </w:t>
      </w:r>
      <w:r>
        <w:rPr>
          <w:rFonts w:cs="Times New Roman"/>
        </w:rPr>
        <w:t>Model 1 - adjusted for age, sex, and country; Model 2 - adjusted for factors in Model 1 and education, wealth, marital status, employment status, and setting; Model 3 - adjusted for factors in Model 2 and smoking, alcohol consumption, social cohesion, depression, anxiety, obesity, disability, mobility, pain/discomfort, sleep/energy, and cognition</w:t>
      </w:r>
      <w:r w:rsidR="00B003EA">
        <w:rPr>
          <w:rFonts w:cs="Times New Roman"/>
        </w:rPr>
        <w:t xml:space="preserve">: Model 4 –included all prior variables and </w:t>
      </w:r>
      <w:r w:rsidR="00B003EA" w:rsidRPr="009D7AB2">
        <w:rPr>
          <w:rFonts w:cs="Times New Roman"/>
        </w:rPr>
        <w:t>physical activity</w:t>
      </w:r>
      <w:r w:rsidR="00661003" w:rsidRPr="009D7AB2">
        <w:rPr>
          <w:rFonts w:cs="Times New Roman"/>
        </w:rPr>
        <w:t xml:space="preserve"> </w:t>
      </w:r>
      <w:r w:rsidRPr="009D7AB2">
        <w:rPr>
          <w:rFonts w:cs="Times New Roman"/>
        </w:rPr>
        <w:t xml:space="preserve">(fully adjusted model). </w:t>
      </w:r>
      <w:r w:rsidR="008A5611" w:rsidRPr="009D7AB2">
        <w:rPr>
          <w:rFonts w:cs="Times New Roman"/>
        </w:rPr>
        <w:t>Furthermore, an interaction term was included (i.e., sex X SB</w:t>
      </w:r>
      <w:r w:rsidR="00545F3E" w:rsidRPr="009D7AB2">
        <w:rPr>
          <w:rFonts w:cs="Times New Roman"/>
        </w:rPr>
        <w:t xml:space="preserve"> or physical activity X SB</w:t>
      </w:r>
      <w:r w:rsidR="008A5611" w:rsidRPr="009D7AB2">
        <w:rPr>
          <w:rFonts w:cs="Times New Roman"/>
        </w:rPr>
        <w:t xml:space="preserve">) </w:t>
      </w:r>
      <w:r w:rsidR="00834B2A" w:rsidRPr="009D7AB2">
        <w:rPr>
          <w:rFonts w:cs="Times New Roman"/>
        </w:rPr>
        <w:t xml:space="preserve">in the fully adjusted model </w:t>
      </w:r>
      <w:r w:rsidR="008A5611" w:rsidRPr="009D7AB2">
        <w:rPr>
          <w:rFonts w:cs="Times New Roman"/>
        </w:rPr>
        <w:t>to assess whether the association between SB and happiness differed by sex</w:t>
      </w:r>
      <w:r w:rsidR="00545F3E" w:rsidRPr="009D7AB2">
        <w:rPr>
          <w:rFonts w:cs="Times New Roman"/>
        </w:rPr>
        <w:t xml:space="preserve"> or level of physical activity</w:t>
      </w:r>
      <w:r w:rsidR="008A5611" w:rsidRPr="009D7AB2">
        <w:rPr>
          <w:rFonts w:cs="Times New Roman"/>
        </w:rPr>
        <w:t>.</w:t>
      </w:r>
      <w:r w:rsidR="008A5611">
        <w:rPr>
          <w:rFonts w:cs="Times New Roman"/>
        </w:rPr>
        <w:t xml:space="preserve"> </w:t>
      </w:r>
    </w:p>
    <w:p w14:paraId="75345604" w14:textId="3BBE4E55" w:rsidR="00FD6C8C" w:rsidRPr="0005080F" w:rsidRDefault="00AC7DFB" w:rsidP="005D3987">
      <w:pPr>
        <w:spacing w:line="480" w:lineRule="auto"/>
        <w:ind w:firstLine="708"/>
        <w:rPr>
          <w:rFonts w:cs="Times New Roman"/>
          <w:lang w:val="en-GB"/>
        </w:rPr>
      </w:pPr>
      <w:r>
        <w:rPr>
          <w:rFonts w:cs="Times New Roman"/>
          <w:lang w:val="en-GB"/>
        </w:rPr>
        <w:t xml:space="preserve">Next, </w:t>
      </w:r>
      <w:r w:rsidR="00FD6C8C">
        <w:rPr>
          <w:rFonts w:cs="Times New Roman"/>
          <w:lang w:val="en-GB"/>
        </w:rPr>
        <w:t xml:space="preserve">a mediation analysis using </w:t>
      </w:r>
      <w:r w:rsidR="00FD6C8C">
        <w:rPr>
          <w:rFonts w:eastAsia="MS Mincho" w:cs="Times New Roman"/>
          <w:lang w:eastAsia="ja-JP"/>
        </w:rPr>
        <w:t xml:space="preserve">the </w:t>
      </w:r>
      <w:proofErr w:type="spellStart"/>
      <w:r w:rsidR="00FD6C8C" w:rsidRPr="007A1892">
        <w:rPr>
          <w:rFonts w:eastAsia="MS Mincho" w:cs="Times New Roman" w:hint="eastAsia"/>
          <w:i/>
          <w:lang w:eastAsia="ja-JP"/>
        </w:rPr>
        <w:t>khb</w:t>
      </w:r>
      <w:proofErr w:type="spellEnd"/>
      <w:r w:rsidR="00FD6C8C" w:rsidRPr="007A1892">
        <w:rPr>
          <w:rFonts w:eastAsia="MS Mincho" w:cs="Times New Roman" w:hint="eastAsia"/>
          <w:i/>
          <w:lang w:eastAsia="ja-JP"/>
        </w:rPr>
        <w:t xml:space="preserve"> </w:t>
      </w:r>
      <w:r w:rsidR="00FD6C8C">
        <w:rPr>
          <w:rFonts w:eastAsia="MS Mincho" w:cs="Times New Roman" w:hint="eastAsia"/>
          <w:lang w:eastAsia="ja-JP"/>
        </w:rPr>
        <w:t>(Karlson Holm Breen) command in Stata</w:t>
      </w:r>
      <w:r w:rsidR="005A559A">
        <w:rPr>
          <w:rFonts w:eastAsia="MS Mincho" w:cs="Times New Roman"/>
          <w:lang w:eastAsia="ja-JP"/>
        </w:rPr>
        <w:t xml:space="preserve"> </w:t>
      </w:r>
      <w:r w:rsidR="005A559A">
        <w:rPr>
          <w:rFonts w:eastAsia="MS Mincho" w:cs="Times New Roman"/>
          <w:lang w:eastAsia="ja-JP"/>
        </w:rPr>
        <w:fldChar w:fldCharType="begin" w:fldLock="1"/>
      </w:r>
      <w:r w:rsidR="005320AE">
        <w:rPr>
          <w:rFonts w:eastAsia="MS Mincho" w:cs="Times New Roman"/>
          <w:lang w:eastAsia="ja-JP"/>
        </w:rPr>
        <w:instrText>ADDIN CSL_CITATION {"citationItems":[{"id":"ITEM-1","itemData":{"DOI":"10.1177/0049124113494572","ISSN":"0049-1241","abstract":"This article presents a method for estimating and interpreting total, direct, and indirect effects in logit or probit models. The method extends the decomposition properties of linear models to these models; it closes the much-discussed gap between results based on the “difference in coefficients” method and the “product of coefficients” method in mediation analysis involving nonlinear probability models models; it reports effects measured on both the logit or probit scale and the probability scale; and it identifies causal mediation effects under the sequential ignorability assumption. We also show that while our method is computationally simpler than other methods, it always performs as well as, or better than, these methods. Further derivations suggest a hitherto unrecognized issue in identifying heterogeneous mediation effects in nonlinear probability models. We conclude the article with an application of our method to data from the National Educational Longitudinal Study of 1988.","author":[{"dropping-particle":"","family":"Breen","given":"Richard","non-dropping-particle":"","parse-names":false,"suffix":""},{"dropping-particle":"","family":"Karlson","given":"Kristian Bernt","non-dropping-particle":"","parse-names":false,"suffix":""},{"dropping-particle":"","family":"Holm","given":"Anders","non-dropping-particle":"","parse-names":false,"suffix":""}],"container-title":"Sociological Methods &amp; Research","id":"ITEM-1","issue":"2","issued":{"date-parts":[["2013","5","8"]]},"page":"164-191","publisher":"SAGE PublicationsSage CA: Los Angeles, CA","title":"Total, Direct, and Indirect Effects in Logit and Probit Models","type":"article-journal","volume":"42"},"uris":["http://www.mendeley.com/documents/?uuid=7ffc6d18-9ceb-3186-9ee5-b2142983d0ca"]}],"mendeley":{"formattedCitation":"[36]","plainTextFormattedCitation":"[36]","previouslyFormattedCitation":"[36]"},"properties":{"noteIndex":0},"schema":"https://github.com/citation-style-language/schema/raw/master/csl-citation.json"}</w:instrText>
      </w:r>
      <w:r w:rsidR="005A559A">
        <w:rPr>
          <w:rFonts w:eastAsia="MS Mincho" w:cs="Times New Roman"/>
          <w:lang w:eastAsia="ja-JP"/>
        </w:rPr>
        <w:fldChar w:fldCharType="separate"/>
      </w:r>
      <w:r w:rsidR="005A559A" w:rsidRPr="005A559A">
        <w:rPr>
          <w:rFonts w:eastAsia="MS Mincho" w:cs="Times New Roman"/>
          <w:noProof/>
          <w:lang w:eastAsia="ja-JP"/>
        </w:rPr>
        <w:t>[36]</w:t>
      </w:r>
      <w:r w:rsidR="005A559A">
        <w:rPr>
          <w:rFonts w:eastAsia="MS Mincho" w:cs="Times New Roman"/>
          <w:lang w:eastAsia="ja-JP"/>
        </w:rPr>
        <w:fldChar w:fldCharType="end"/>
      </w:r>
      <w:r w:rsidR="00FD6C8C">
        <w:rPr>
          <w:rFonts w:eastAsia="MS Mincho" w:cs="Times New Roman" w:hint="eastAsia"/>
          <w:lang w:eastAsia="ja-JP"/>
        </w:rPr>
        <w:t xml:space="preserve"> </w:t>
      </w:r>
      <w:r w:rsidR="00FD6C8C">
        <w:rPr>
          <w:rFonts w:eastAsia="MS Mincho" w:cs="Times New Roman"/>
          <w:lang w:eastAsia="ja-JP"/>
        </w:rPr>
        <w:t xml:space="preserve">was </w:t>
      </w:r>
      <w:r w:rsidR="00FD6C8C">
        <w:rPr>
          <w:rFonts w:cs="Times New Roman"/>
          <w:lang w:val="en-GB"/>
        </w:rPr>
        <w:t xml:space="preserve">conducted to </w:t>
      </w:r>
      <w:r w:rsidR="00F67173">
        <w:rPr>
          <w:rFonts w:cs="Times New Roman"/>
          <w:lang w:val="en-GB"/>
        </w:rPr>
        <w:t xml:space="preserve">quantify the degree to which several potentially influential factors may explain the association between </w:t>
      </w:r>
      <w:r w:rsidR="002F27A1">
        <w:rPr>
          <w:rFonts w:cs="Times New Roman"/>
          <w:lang w:val="en-GB"/>
        </w:rPr>
        <w:t xml:space="preserve">high </w:t>
      </w:r>
      <w:r w:rsidR="00F67173">
        <w:rPr>
          <w:rFonts w:cs="Times New Roman"/>
          <w:lang w:val="en-GB"/>
        </w:rPr>
        <w:t xml:space="preserve">SB and happiness </w:t>
      </w:r>
      <w:r w:rsidR="00F67173">
        <w:t xml:space="preserve">(i.e., smoking, alcohol consumption, social cohesion, depression, anxiety, obesity, disability, mobility, pain/discomfort, sleep/energy, </w:t>
      </w:r>
      <w:r w:rsidR="00F67173" w:rsidRPr="009D7AB2">
        <w:t xml:space="preserve">cognition, </w:t>
      </w:r>
      <w:r w:rsidR="009D59CD" w:rsidRPr="009D7AB2">
        <w:t>physical activity</w:t>
      </w:r>
      <w:r w:rsidR="00F67173" w:rsidRPr="009D7AB2">
        <w:t>)</w:t>
      </w:r>
      <w:r w:rsidR="00F67173" w:rsidRPr="009D7AB2">
        <w:rPr>
          <w:rFonts w:cs="Times New Roman"/>
          <w:lang w:val="en-GB"/>
        </w:rPr>
        <w:t>.</w:t>
      </w:r>
      <w:r w:rsidR="00FD6C8C" w:rsidRPr="009D7AB2">
        <w:t xml:space="preserve"> </w:t>
      </w:r>
      <w:r w:rsidRPr="009D7AB2">
        <w:rPr>
          <w:rFonts w:eastAsia="Times New Roman"/>
          <w:lang w:eastAsia="da-DK"/>
        </w:rPr>
        <w:t>Each</w:t>
      </w:r>
      <w:r w:rsidR="00F67173" w:rsidRPr="009D7AB2">
        <w:rPr>
          <w:rFonts w:eastAsia="Times New Roman"/>
          <w:lang w:eastAsia="da-DK"/>
        </w:rPr>
        <w:t xml:space="preserve"> of these variables w</w:t>
      </w:r>
      <w:r w:rsidR="00AE2B08" w:rsidRPr="009D7AB2">
        <w:rPr>
          <w:rFonts w:eastAsia="Times New Roman"/>
          <w:lang w:eastAsia="da-DK"/>
        </w:rPr>
        <w:t>ere</w:t>
      </w:r>
      <w:r w:rsidRPr="009D7AB2">
        <w:rPr>
          <w:rFonts w:eastAsia="Times New Roman"/>
          <w:lang w:eastAsia="da-DK"/>
        </w:rPr>
        <w:t xml:space="preserve"> included in the model individually</w:t>
      </w:r>
      <w:r w:rsidR="00AE2B08" w:rsidRPr="009D7AB2">
        <w:rPr>
          <w:rFonts w:eastAsia="Times New Roman"/>
          <w:lang w:eastAsia="da-DK"/>
        </w:rPr>
        <w:t xml:space="preserve">, and it was therefore possible for the sum of the mediated percentage to exceed 100%. </w:t>
      </w:r>
      <w:r w:rsidR="00FD6C8C" w:rsidRPr="009D7AB2">
        <w:rPr>
          <w:rFonts w:cs="Times New Roman"/>
        </w:rPr>
        <w:t>The</w:t>
      </w:r>
      <w:r w:rsidR="002F27A1" w:rsidRPr="009D7AB2">
        <w:rPr>
          <w:rFonts w:cs="Times New Roman"/>
        </w:rPr>
        <w:t>se</w:t>
      </w:r>
      <w:r w:rsidR="00FD6C8C" w:rsidRPr="009D7AB2">
        <w:rPr>
          <w:rFonts w:cs="Times New Roman"/>
        </w:rPr>
        <w:t xml:space="preserve"> regression</w:t>
      </w:r>
      <w:r w:rsidR="00FD6C8C">
        <w:rPr>
          <w:rFonts w:cs="Times New Roman"/>
        </w:rPr>
        <w:t xml:space="preserve"> and mediation analys</w:t>
      </w:r>
      <w:r w:rsidR="00F02AE8">
        <w:rPr>
          <w:rFonts w:cs="Times New Roman"/>
        </w:rPr>
        <w:t>e</w:t>
      </w:r>
      <w:r w:rsidR="00FD6C8C">
        <w:rPr>
          <w:rFonts w:cs="Times New Roman"/>
        </w:rPr>
        <w:t>s were conducted for the overall sample (≥50 years) and by age groups (50-64</w:t>
      </w:r>
      <w:r w:rsidR="00834B2A">
        <w:rPr>
          <w:rFonts w:cs="Times New Roman"/>
        </w:rPr>
        <w:t>,</w:t>
      </w:r>
      <w:r w:rsidR="00FD6C8C">
        <w:rPr>
          <w:rFonts w:cs="Times New Roman"/>
        </w:rPr>
        <w:t xml:space="preserve"> ≥65</w:t>
      </w:r>
      <w:r w:rsidR="00834B2A">
        <w:rPr>
          <w:rFonts w:cs="Times New Roman"/>
        </w:rPr>
        <w:t xml:space="preserve"> years</w:t>
      </w:r>
      <w:r w:rsidR="00FD6C8C">
        <w:rPr>
          <w:rFonts w:cs="Times New Roman"/>
        </w:rPr>
        <w:t xml:space="preserve">). </w:t>
      </w:r>
    </w:p>
    <w:p w14:paraId="6457F4EE" w14:textId="6F93B918" w:rsidR="00AC7DFB" w:rsidRDefault="00AC7DFB" w:rsidP="005D3987">
      <w:pPr>
        <w:spacing w:line="480" w:lineRule="auto"/>
        <w:rPr>
          <w:rFonts w:cs="Times New Roman"/>
        </w:rPr>
      </w:pPr>
      <w:r>
        <w:rPr>
          <w:rFonts w:cs="Times New Roman"/>
        </w:rPr>
        <w:tab/>
        <w:t xml:space="preserve">Furthermore, we also conducted country-wise analysis </w:t>
      </w:r>
      <w:r w:rsidR="002F27A1">
        <w:rPr>
          <w:rFonts w:cs="Times New Roman"/>
        </w:rPr>
        <w:t xml:space="preserve">using the overall sample </w:t>
      </w:r>
      <w:r w:rsidRPr="007601C2">
        <w:rPr>
          <w:rFonts w:cs="Times New Roman"/>
        </w:rPr>
        <w:t>to</w:t>
      </w:r>
      <w:r>
        <w:rPr>
          <w:rFonts w:cs="Times New Roman"/>
        </w:rPr>
        <w:t xml:space="preserve"> assess whether the findings </w:t>
      </w:r>
      <w:r w:rsidR="002F27A1">
        <w:rPr>
          <w:rFonts w:cs="Times New Roman"/>
        </w:rPr>
        <w:t xml:space="preserve">on the association between SB and happiness </w:t>
      </w:r>
      <w:r>
        <w:rPr>
          <w:rFonts w:cs="Times New Roman"/>
        </w:rPr>
        <w:t>are consistent across countries</w:t>
      </w:r>
      <w:r w:rsidR="00734193">
        <w:rPr>
          <w:rFonts w:cs="Times New Roman"/>
        </w:rPr>
        <w:t xml:space="preserve"> by </w:t>
      </w:r>
      <w:r w:rsidRPr="00FF40B3">
        <w:rPr>
          <w:rFonts w:cs="Times New Roman"/>
        </w:rPr>
        <w:t>calculat</w:t>
      </w:r>
      <w:r w:rsidR="00734193">
        <w:rPr>
          <w:rFonts w:cs="Times New Roman"/>
        </w:rPr>
        <w:t xml:space="preserve">ing </w:t>
      </w:r>
      <w:r w:rsidRPr="00FF40B3">
        <w:rPr>
          <w:rFonts w:cs="Times New Roman"/>
        </w:rPr>
        <w:t>the Higgins’s</w:t>
      </w:r>
      <w:r w:rsidRPr="00FF40B3">
        <w:rPr>
          <w:rFonts w:cs="Times New Roman"/>
          <w:i/>
        </w:rPr>
        <w:t xml:space="preserve"> I</w:t>
      </w:r>
      <w:r w:rsidRPr="00FF40B3">
        <w:rPr>
          <w:rFonts w:cs="Times New Roman"/>
          <w:vertAlign w:val="superscript"/>
        </w:rPr>
        <w:t xml:space="preserve">2 </w:t>
      </w:r>
      <w:r w:rsidRPr="00FF40B3">
        <w:rPr>
          <w:rFonts w:cs="Times New Roman"/>
        </w:rPr>
        <w:t xml:space="preserve">based on estimates </w:t>
      </w:r>
      <w:r>
        <w:rPr>
          <w:rFonts w:cs="Times New Roman"/>
        </w:rPr>
        <w:t xml:space="preserve">from </w:t>
      </w:r>
      <w:r w:rsidRPr="00FF40B3">
        <w:rPr>
          <w:rFonts w:cs="Times New Roman"/>
        </w:rPr>
        <w:t xml:space="preserve">each country. The Higgins’s </w:t>
      </w:r>
      <w:r w:rsidRPr="00FF40B3">
        <w:rPr>
          <w:rFonts w:cs="Times New Roman"/>
          <w:i/>
        </w:rPr>
        <w:t>I</w:t>
      </w:r>
      <w:r w:rsidRPr="00FF40B3">
        <w:rPr>
          <w:rFonts w:cs="Times New Roman"/>
          <w:vertAlign w:val="superscript"/>
        </w:rPr>
        <w:t xml:space="preserve">2 </w:t>
      </w:r>
      <w:r w:rsidRPr="00FF40B3">
        <w:rPr>
          <w:rFonts w:cs="Times New Roman"/>
        </w:rPr>
        <w:t xml:space="preserve">represents the degree of heterogeneity that is not explained by sampling error with a value of &lt;40% often considered as negligible and 40-60% as moderate heterogeneity </w:t>
      </w:r>
      <w:r>
        <w:rPr>
          <w:rFonts w:cs="Times New Roman"/>
        </w:rPr>
        <w:fldChar w:fldCharType="begin" w:fldLock="1"/>
      </w:r>
      <w:r w:rsidR="005320AE">
        <w:rPr>
          <w:rFonts w:cs="Times New Roman"/>
        </w:rPr>
        <w:instrText>ADDIN CSL_CITATION {"citationItems":[{"id":"ITEM-1","itemData":{"DOI":"10.1002/sim.1186","ISSN":"0277-6715","PMID":"12111919","abstract":"The extent of heterogeneity in a meta-analysis partly determines the difficulty in drawing overall conclusions. This extent may be measured by estimating a between-study variance, but interpretation is then specific to a particular treatment effect metric. A test for the existence of heterogeneity exists, but depends on the number of studies in the meta-analysis. We develop measures of the impact of heterogeneity on a meta-analysis, from mathematical criteria, that are independent of the number of studies and the treatment effect metric. We derive and propose three suitable statistics: H is the square root of the chi2 heterogeneity statistic divided by its degrees of freedom; R is the ratio of the standard error of the underlying mean from a random effects meta-analysis to the standard error of a fixed effect meta-analytic estimate, and I2 is a transformation of (H) that describes the proportion of total variation in study estimates that is due to heterogeneity. We discuss interpretation, interval estimates and other properties of these measures and examine them in five example data sets showing different amounts of heterogeneity. We conclude that H and I2, which can usually be calculated for published meta-analyses, are particularly useful summaries of the impact of heterogeneity. One or both should be presented in published meta-analyses in preference to the test for heterogeneity.","author":[{"dropping-particle":"","family":"Higgins","given":"Julian P. T.","non-dropping-particle":"","parse-names":false,"suffix":""},{"dropping-particle":"","family":"Thompson","given":"Simon G.","non-dropping-particle":"","parse-names":false,"suffix":""}],"container-title":"Statistics in Medicine","id":"ITEM-1","issue":"11","issued":{"date-parts":[["2002","6","15"]]},"page":"1539-1558","title":"Quantifying heterogeneity in a meta-analysis","type":"article-journal","volume":"21"},"uris":["http://www.mendeley.com/documents/?uuid=f571c9bb-5d2d-3b1e-a25a-2e94f4b88cc6"]}],"mendeley":{"formattedCitation":"[37]","plainTextFormattedCitation":"[37]","previouslyFormattedCitation":"[37]"},"properties":{"noteIndex":0},"schema":"https://github.com/citation-style-language/schema/raw/master/csl-citation.json"}</w:instrText>
      </w:r>
      <w:r>
        <w:rPr>
          <w:rFonts w:cs="Times New Roman"/>
        </w:rPr>
        <w:fldChar w:fldCharType="separate"/>
      </w:r>
      <w:r w:rsidR="005A559A" w:rsidRPr="005A559A">
        <w:rPr>
          <w:rFonts w:cs="Times New Roman"/>
          <w:noProof/>
        </w:rPr>
        <w:t>[37]</w:t>
      </w:r>
      <w:r>
        <w:rPr>
          <w:rFonts w:cs="Times New Roman"/>
        </w:rPr>
        <w:fldChar w:fldCharType="end"/>
      </w:r>
      <w:r>
        <w:rPr>
          <w:rFonts w:cs="Times New Roman"/>
        </w:rPr>
        <w:t xml:space="preserve">. </w:t>
      </w:r>
      <w:r w:rsidRPr="00FF40B3">
        <w:rPr>
          <w:rFonts w:cs="Times New Roman"/>
        </w:rPr>
        <w:t xml:space="preserve">A pooled estimate was obtained by random-effect meta-analysis. </w:t>
      </w:r>
    </w:p>
    <w:p w14:paraId="1D5C39FC" w14:textId="330796EB" w:rsidR="00AC7DFB" w:rsidRDefault="00AC7DFB" w:rsidP="005D3987">
      <w:pPr>
        <w:spacing w:line="480" w:lineRule="auto"/>
        <w:rPr>
          <w:rFonts w:cs="Times New Roman"/>
        </w:rPr>
      </w:pPr>
      <w:r>
        <w:rPr>
          <w:rFonts w:cs="Times New Roman"/>
        </w:rPr>
        <w:tab/>
      </w:r>
      <w:r w:rsidR="00160680">
        <w:rPr>
          <w:rFonts w:cs="Times New Roman"/>
        </w:rPr>
        <w:t xml:space="preserve">The mediation analysis and country-wise analysis </w:t>
      </w:r>
      <w:r w:rsidR="00160680">
        <w:rPr>
          <w:rFonts w:eastAsia="Times New Roman"/>
          <w:lang w:eastAsia="da-DK"/>
        </w:rPr>
        <w:t xml:space="preserve">controlled for age, sex, education, wealth, marital status, employment status, setting, with the median analysis also adjusting for country. </w:t>
      </w:r>
      <w:r>
        <w:rPr>
          <w:rFonts w:cs="Times New Roman"/>
        </w:rPr>
        <w:t xml:space="preserve">Adjustment for country was done by including dummy variables for each country in </w:t>
      </w:r>
      <w:r>
        <w:rPr>
          <w:rFonts w:cs="Times New Roman"/>
        </w:rPr>
        <w:lastRenderedPageBreak/>
        <w:t>the model as in previous SAGE publications</w:t>
      </w:r>
      <w:r w:rsidR="00525DE8">
        <w:rPr>
          <w:rFonts w:cs="Times New Roman"/>
        </w:rPr>
        <w:t xml:space="preserve"> </w:t>
      </w:r>
      <w:r w:rsidR="00525DE8">
        <w:rPr>
          <w:rFonts w:cs="Times New Roman"/>
        </w:rPr>
        <w:fldChar w:fldCharType="begin" w:fldLock="1"/>
      </w:r>
      <w:r w:rsidR="005D55DE">
        <w:rPr>
          <w:rFonts w:cs="Times New Roman"/>
        </w:rPr>
        <w:instrText>ADDIN CSL_CITATION {"citationItems":[{"id":"ITEM-1","itemData":{"DOI":"10.1371/journal.pone.0202222","ISSN":"1932-6203","abstract":"Background Sedentary behavior (SB) is associated with adverse health outcomes independent of levels of physical activity. However, data on its correlates are scarce from low- and middle-income countries (LMICs). Thus, we assessed the correlates of SB in six LMICs (China, Ghana, India, Mexico, Russia, South Africa) using nationally representative data. Methods Cross-sectional, community-based data on 42,469 individuals aged ≥18 years from the World Health Organization's Study on Global Ageing and Adult Health were analyzed. Selfreported time spent sedentary per day was the outcome. High SB was defined as ≥8 hours of SB per day. The correlates (sociodemographic and health-related) of high SB were estimated by multivariable logistic regression analyses. Results The overall prevalence (95%CI) of high SB was 8.3% (7.1-9.7%). In the overall sample, the most important sociodemographic correlates of high SB were unemployment and urban residence. Physical inactivity, morbid obesity (BMI≥30.0 kg/m2), higher number of chronic conditions, poor self-reported health, higher disability levels, and worse health status in terms of mobility, pain/discomfort, affect, sleep/energy and cognition were associated with high SB. Several between-country differences were found. Conclusion The current data provides important guidance for future interventions across LMICs to assist sedentary people to reduce their SB levels.","author":[{"dropping-particle":"","family":"Koyanagi","given":"Ai","non-dropping-particle":"","parse-names":false,"suffix":""},{"dropping-particle":"","family":"Stubbs","given":"Brendon","non-dropping-particle":"","parse-names":false,"suffix":""},{"dropping-particle":"","family":"Vancampfort","given":"Davy","non-dropping-particle":"","parse-names":false,"suffix":""}],"container-title":"PLOS ONE","editor":[{"dropping-particle":"","family":"González-Chica","given":"David Alejandro","non-dropping-particle":"","parse-names":false,"suffix":""}],"id":"ITEM-1","issue":"8","issued":{"date-parts":[["2018","8","10"]]},"page":"e0202222","publisher":"Public Library of Science","title":"Correlates of sedentary behavior in the general population: A cross-sectional study using nationally representative data from six low- and middle-income countries","type":"article-journal","volume":"13"},"uris":["http://www.mendeley.com/documents/?uuid=78edf586-79b3-36fd-8d52-b409aaa74e63"]}],"mendeley":{"formattedCitation":"[24]","plainTextFormattedCitation":"[24]","previouslyFormattedCitation":"[24]"},"properties":{"noteIndex":0},"schema":"https://github.com/citation-style-language/schema/raw/master/csl-citation.json"}</w:instrText>
      </w:r>
      <w:r w:rsidR="00525DE8">
        <w:rPr>
          <w:rFonts w:cs="Times New Roman"/>
        </w:rPr>
        <w:fldChar w:fldCharType="separate"/>
      </w:r>
      <w:r w:rsidR="005D55DE" w:rsidRPr="005D55DE">
        <w:rPr>
          <w:rFonts w:cs="Times New Roman"/>
          <w:noProof/>
        </w:rPr>
        <w:t>[24]</w:t>
      </w:r>
      <w:r w:rsidR="00525DE8">
        <w:rPr>
          <w:rFonts w:cs="Times New Roman"/>
        </w:rPr>
        <w:fldChar w:fldCharType="end"/>
      </w:r>
      <w:r w:rsidR="00525DE8">
        <w:rPr>
          <w:rFonts w:cs="Times New Roman"/>
        </w:rPr>
        <w:t xml:space="preserve">. </w:t>
      </w:r>
      <w:r w:rsidRPr="00FF40B3">
        <w:rPr>
          <w:rFonts w:cs="Times New Roman"/>
        </w:rPr>
        <w:t xml:space="preserve">The sample weighting and the complex study design were taken into account in all </w:t>
      </w:r>
      <w:r w:rsidRPr="009D7AB2">
        <w:rPr>
          <w:rFonts w:cs="Times New Roman"/>
        </w:rPr>
        <w:t xml:space="preserve">analyses. </w:t>
      </w:r>
      <w:r w:rsidR="00CD6270" w:rsidRPr="009D7AB2">
        <w:rPr>
          <w:rFonts w:cs="Times New Roman"/>
        </w:rPr>
        <w:t xml:space="preserve">Those with missing or zero probability weights were excluded from the analysis (n=207). </w:t>
      </w:r>
      <w:r w:rsidRPr="009D7AB2">
        <w:rPr>
          <w:rFonts w:cs="Times New Roman"/>
        </w:rPr>
        <w:t>The</w:t>
      </w:r>
      <w:r w:rsidRPr="00FF40B3">
        <w:rPr>
          <w:rFonts w:cs="Times New Roman"/>
        </w:rPr>
        <w:t xml:space="preserve"> level of statistical </w:t>
      </w:r>
      <w:r w:rsidR="00734193">
        <w:rPr>
          <w:rFonts w:cs="Times New Roman"/>
        </w:rPr>
        <w:t>significance was set at P&lt;0.05 and all s</w:t>
      </w:r>
      <w:r w:rsidR="00734193" w:rsidRPr="00163E99">
        <w:rPr>
          <w:rFonts w:cs="Times New Roman"/>
        </w:rPr>
        <w:t>tatistical analyses were performed with Stata 14.1 (Stata Corp LP, College station, Texas).</w:t>
      </w:r>
    </w:p>
    <w:p w14:paraId="097F47AA" w14:textId="77777777" w:rsidR="00C85785" w:rsidRPr="00FF40B3" w:rsidRDefault="00C85785" w:rsidP="005D3987">
      <w:pPr>
        <w:spacing w:line="480" w:lineRule="auto"/>
        <w:rPr>
          <w:rFonts w:cs="Times New Roman"/>
        </w:rPr>
      </w:pPr>
    </w:p>
    <w:p w14:paraId="284DA887" w14:textId="77777777" w:rsidR="00AC7DFB" w:rsidRPr="00512EBB" w:rsidRDefault="00AC7DFB" w:rsidP="001F374D">
      <w:pPr>
        <w:pStyle w:val="Heading1"/>
      </w:pPr>
      <w:r w:rsidRPr="00310B09">
        <w:t>RESULTS</w:t>
      </w:r>
    </w:p>
    <w:p w14:paraId="139FB1EF" w14:textId="3202A826" w:rsidR="003317AA" w:rsidRPr="00B22BFF" w:rsidRDefault="00411114" w:rsidP="005D3987">
      <w:pPr>
        <w:spacing w:line="480" w:lineRule="auto"/>
        <w:rPr>
          <w:rFonts w:cs="Times New Roman"/>
          <w:lang w:eastAsia="ja-JP"/>
        </w:rPr>
      </w:pPr>
      <w:r w:rsidRPr="00C04E90">
        <w:rPr>
          <w:rFonts w:cs="Times New Roman"/>
          <w:highlight w:val="yellow"/>
        </w:rPr>
        <w:t xml:space="preserve">Data for 42,489 individuals aged </w:t>
      </w:r>
      <w:r w:rsidRPr="00C04E90">
        <w:rPr>
          <w:rFonts w:eastAsia="MS Mincho" w:cs="Times New Roman"/>
          <w:highlight w:val="yellow"/>
          <w:lang w:eastAsia="ja-JP"/>
        </w:rPr>
        <w:t>≥18 years were available. After restricting to those aged ≥50 years,</w:t>
      </w:r>
      <w:r>
        <w:rPr>
          <w:rFonts w:eastAsia="MS Mincho" w:cs="Times New Roman"/>
          <w:lang w:eastAsia="ja-JP"/>
        </w:rPr>
        <w:t xml:space="preserve"> </w:t>
      </w:r>
      <w:r>
        <w:rPr>
          <w:rFonts w:cs="Times New Roman"/>
        </w:rPr>
        <w:t>t</w:t>
      </w:r>
      <w:r w:rsidR="00AF65CB">
        <w:rPr>
          <w:rFonts w:cs="Times New Roman"/>
        </w:rPr>
        <w:t>he final sample consisted of</w:t>
      </w:r>
      <w:r w:rsidR="00AF65CB">
        <w:rPr>
          <w:rFonts w:eastAsia="MS Mincho" w:cs="Times New Roman"/>
          <w:lang w:eastAsia="ja-JP"/>
        </w:rPr>
        <w:t xml:space="preserve"> 34,129 adults </w:t>
      </w:r>
      <w:r w:rsidR="00B61A05">
        <w:rPr>
          <w:rFonts w:eastAsia="MS Mincho" w:cs="Times New Roman"/>
          <w:lang w:eastAsia="ja-JP"/>
        </w:rPr>
        <w:t>(</w:t>
      </w:r>
      <w:r w:rsidR="00B61A05" w:rsidRPr="00417580">
        <w:rPr>
          <w:rFonts w:eastAsia="MS Mincho" w:cs="Times New Roman"/>
          <w:highlight w:val="yellow"/>
          <w:lang w:eastAsia="ja-JP"/>
        </w:rPr>
        <w:t>China n=</w:t>
      </w:r>
      <w:r w:rsidR="00F66994" w:rsidRPr="00417580">
        <w:rPr>
          <w:rFonts w:eastAsia="MS Mincho" w:cs="Times New Roman"/>
          <w:highlight w:val="yellow"/>
          <w:lang w:eastAsia="ja-JP"/>
        </w:rPr>
        <w:t>13,175</w:t>
      </w:r>
      <w:r w:rsidR="00B61A05" w:rsidRPr="00417580">
        <w:rPr>
          <w:rFonts w:eastAsia="MS Mincho" w:cs="Times New Roman"/>
          <w:highlight w:val="yellow"/>
          <w:lang w:eastAsia="ja-JP"/>
        </w:rPr>
        <w:t>; Ghana n=</w:t>
      </w:r>
      <w:r w:rsidR="00F66994" w:rsidRPr="00417580">
        <w:rPr>
          <w:rFonts w:eastAsia="MS Mincho" w:cs="Times New Roman"/>
          <w:highlight w:val="yellow"/>
          <w:lang w:eastAsia="ja-JP"/>
        </w:rPr>
        <w:t>4,305</w:t>
      </w:r>
      <w:r w:rsidR="00B61A05" w:rsidRPr="00417580">
        <w:rPr>
          <w:rFonts w:eastAsia="MS Mincho" w:cs="Times New Roman"/>
          <w:highlight w:val="yellow"/>
          <w:lang w:eastAsia="ja-JP"/>
        </w:rPr>
        <w:t>; India n=</w:t>
      </w:r>
      <w:r w:rsidR="00F66994" w:rsidRPr="00417580">
        <w:rPr>
          <w:rFonts w:eastAsia="MS Mincho" w:cs="Times New Roman"/>
          <w:highlight w:val="yellow"/>
          <w:lang w:eastAsia="ja-JP"/>
        </w:rPr>
        <w:t>6,560</w:t>
      </w:r>
      <w:r w:rsidR="00B61A05" w:rsidRPr="00417580">
        <w:rPr>
          <w:rFonts w:eastAsia="MS Mincho" w:cs="Times New Roman"/>
          <w:highlight w:val="yellow"/>
          <w:lang w:eastAsia="ja-JP"/>
        </w:rPr>
        <w:t>; Mexico n=</w:t>
      </w:r>
      <w:r w:rsidR="00F66994" w:rsidRPr="00417580">
        <w:rPr>
          <w:rFonts w:eastAsia="MS Mincho" w:cs="Times New Roman"/>
          <w:highlight w:val="yellow"/>
          <w:lang w:eastAsia="ja-JP"/>
        </w:rPr>
        <w:t>2,313</w:t>
      </w:r>
      <w:r w:rsidR="00B61A05" w:rsidRPr="00417580">
        <w:rPr>
          <w:rFonts w:eastAsia="MS Mincho" w:cs="Times New Roman"/>
          <w:highlight w:val="yellow"/>
          <w:lang w:eastAsia="ja-JP"/>
        </w:rPr>
        <w:t>; Russia n=</w:t>
      </w:r>
      <w:r w:rsidR="00F66994" w:rsidRPr="00417580">
        <w:rPr>
          <w:rFonts w:eastAsia="MS Mincho" w:cs="Times New Roman"/>
          <w:highlight w:val="yellow"/>
          <w:lang w:eastAsia="ja-JP"/>
        </w:rPr>
        <w:t xml:space="preserve">3,938; </w:t>
      </w:r>
      <w:r w:rsidR="00B61A05" w:rsidRPr="00417580">
        <w:rPr>
          <w:rFonts w:eastAsia="MS Mincho" w:cs="Times New Roman"/>
          <w:highlight w:val="yellow"/>
          <w:lang w:eastAsia="ja-JP"/>
        </w:rPr>
        <w:t>South Africa n=</w:t>
      </w:r>
      <w:r w:rsidR="00F66994" w:rsidRPr="00417580">
        <w:rPr>
          <w:rFonts w:eastAsia="MS Mincho" w:cs="Times New Roman"/>
          <w:highlight w:val="yellow"/>
          <w:lang w:eastAsia="ja-JP"/>
        </w:rPr>
        <w:t>3,838</w:t>
      </w:r>
      <w:r w:rsidR="00B61A05" w:rsidRPr="00417580">
        <w:rPr>
          <w:rFonts w:eastAsia="MS Mincho" w:cs="Times New Roman"/>
          <w:highlight w:val="yellow"/>
          <w:lang w:eastAsia="ja-JP"/>
        </w:rPr>
        <w:t>)</w:t>
      </w:r>
      <w:r w:rsidR="00B61A05">
        <w:rPr>
          <w:rFonts w:eastAsia="MS Mincho" w:cs="Times New Roman"/>
          <w:lang w:eastAsia="ja-JP"/>
        </w:rPr>
        <w:t xml:space="preserve"> </w:t>
      </w:r>
      <w:r w:rsidR="00AF65CB">
        <w:rPr>
          <w:rFonts w:cs="Times New Roman"/>
        </w:rPr>
        <w:t>[mean age</w:t>
      </w:r>
      <w:r w:rsidR="00164E43">
        <w:rPr>
          <w:rFonts w:cs="Times New Roman"/>
        </w:rPr>
        <w:t xml:space="preserve"> (SD) </w:t>
      </w:r>
      <w:r w:rsidR="00AF65CB">
        <w:rPr>
          <w:rFonts w:cs="Times New Roman"/>
        </w:rPr>
        <w:t>62.4</w:t>
      </w:r>
      <w:r w:rsidR="00164E43">
        <w:rPr>
          <w:rFonts w:cs="Times New Roman"/>
        </w:rPr>
        <w:t xml:space="preserve"> </w:t>
      </w:r>
      <w:r w:rsidR="00AF65CB">
        <w:rPr>
          <w:rFonts w:cs="Times New Roman"/>
        </w:rPr>
        <w:t xml:space="preserve">(16.0) years; 51.9% female). </w:t>
      </w:r>
      <w:r w:rsidR="002F27A1">
        <w:rPr>
          <w:rFonts w:cs="Times New Roman"/>
        </w:rPr>
        <w:t>More than half of the sample (</w:t>
      </w:r>
      <w:r w:rsidR="00D06888">
        <w:rPr>
          <w:rFonts w:cs="Times New Roman"/>
        </w:rPr>
        <w:t>57.3</w:t>
      </w:r>
      <w:r w:rsidR="00136241">
        <w:rPr>
          <w:rFonts w:cs="Times New Roman"/>
        </w:rPr>
        <w:t>%</w:t>
      </w:r>
      <w:r w:rsidR="002F27A1">
        <w:rPr>
          <w:rFonts w:cs="Times New Roman"/>
        </w:rPr>
        <w:t>)</w:t>
      </w:r>
      <w:r w:rsidR="00136241">
        <w:rPr>
          <w:rFonts w:cs="Times New Roman"/>
        </w:rPr>
        <w:t xml:space="preserve"> w</w:t>
      </w:r>
      <w:r w:rsidR="002F27A1">
        <w:rPr>
          <w:rFonts w:cs="Times New Roman"/>
        </w:rPr>
        <w:t>as</w:t>
      </w:r>
      <w:r w:rsidR="00136241">
        <w:rPr>
          <w:rFonts w:cs="Times New Roman"/>
        </w:rPr>
        <w:t xml:space="preserve"> aged 50-64 years. </w:t>
      </w:r>
      <w:r w:rsidR="00B60AC3">
        <w:rPr>
          <w:rFonts w:cs="Times New Roman"/>
        </w:rPr>
        <w:t>T</w:t>
      </w:r>
      <w:r w:rsidR="00F037C2">
        <w:rPr>
          <w:rFonts w:cs="Times New Roman"/>
        </w:rPr>
        <w:t xml:space="preserve">he </w:t>
      </w:r>
      <w:r w:rsidR="0077494B">
        <w:rPr>
          <w:rFonts w:cs="Times New Roman"/>
        </w:rPr>
        <w:t>prevalence of high SB (</w:t>
      </w:r>
      <w:r w:rsidR="00AD236A">
        <w:rPr>
          <w:rFonts w:cs="Times New Roman"/>
        </w:rPr>
        <w:t>i.e.</w:t>
      </w:r>
      <w:r w:rsidR="0077494B">
        <w:rPr>
          <w:rFonts w:cs="Times New Roman"/>
        </w:rPr>
        <w:t xml:space="preserve">, </w:t>
      </w:r>
      <w:r w:rsidR="0077494B">
        <w:rPr>
          <w:rFonts w:eastAsia="MS Mincho" w:cs="Times New Roman"/>
          <w:lang w:eastAsia="ja-JP"/>
        </w:rPr>
        <w:t xml:space="preserve">≥8hrs/day) </w:t>
      </w:r>
      <w:r w:rsidR="00F037C2">
        <w:rPr>
          <w:rFonts w:eastAsia="MS Mincho" w:cs="Times New Roman"/>
          <w:lang w:eastAsia="ja-JP"/>
        </w:rPr>
        <w:t xml:space="preserve">was 10.8% for the overall sample, 7.7% for those aged </w:t>
      </w:r>
      <w:r w:rsidR="00F037C2">
        <w:rPr>
          <w:rFonts w:cs="Times New Roman"/>
        </w:rPr>
        <w:t xml:space="preserve">50-64 years, </w:t>
      </w:r>
      <w:r w:rsidR="00F037C2">
        <w:rPr>
          <w:rFonts w:eastAsia="MS Mincho" w:cs="Times New Roman"/>
          <w:lang w:eastAsia="ja-JP"/>
        </w:rPr>
        <w:t>and 15.9% for participants aged ≥</w:t>
      </w:r>
      <w:r w:rsidR="00F037C2">
        <w:rPr>
          <w:rFonts w:cs="Times New Roman"/>
        </w:rPr>
        <w:t xml:space="preserve">65 years. </w:t>
      </w:r>
      <w:r w:rsidR="001A787C" w:rsidRPr="00B61A05">
        <w:rPr>
          <w:rFonts w:cs="Times New Roman"/>
          <w:lang w:eastAsia="ja-JP"/>
        </w:rPr>
        <w:t>In terms of country-wise prevalence of high SB, the figures were: 8.6% (China); 9.2% (Ghana); 8.4% (India); 5.5% (Mexico); 21.2% (Russia); and 5.1% (South Africa).</w:t>
      </w:r>
      <w:r w:rsidR="001A787C">
        <w:rPr>
          <w:rFonts w:cs="Times New Roman"/>
          <w:lang w:eastAsia="ja-JP"/>
        </w:rPr>
        <w:t xml:space="preserve"> </w:t>
      </w:r>
      <w:r w:rsidR="00B60AC3">
        <w:rPr>
          <w:rFonts w:cs="Times New Roman"/>
        </w:rPr>
        <w:t xml:space="preserve">In the </w:t>
      </w:r>
      <w:r w:rsidR="00457D63">
        <w:rPr>
          <w:rFonts w:cs="Times New Roman"/>
        </w:rPr>
        <w:t xml:space="preserve">overall sample, </w:t>
      </w:r>
      <w:r w:rsidR="00457D63">
        <w:rPr>
          <w:rFonts w:eastAsia="MS Mincho" w:cs="Times New Roman"/>
          <w:color w:val="141413"/>
        </w:rPr>
        <w:t xml:space="preserve">4.5% reported being very happy, 51.5% happy, 35.2% neither happy or unhappy, 7.7% unhappy, and 1.1% very unhappy. </w:t>
      </w:r>
      <w:r w:rsidR="00563404">
        <w:rPr>
          <w:rFonts w:eastAsia="MS Mincho" w:cs="Times New Roman"/>
          <w:color w:val="141413"/>
        </w:rPr>
        <w:t xml:space="preserve">More information on the sample characteristics are provided in </w:t>
      </w:r>
      <w:r w:rsidR="00563404" w:rsidRPr="002F37CC">
        <w:rPr>
          <w:rFonts w:eastAsia="MS Mincho" w:cs="Times New Roman"/>
          <w:b/>
          <w:color w:val="141413"/>
        </w:rPr>
        <w:t>Table 1</w:t>
      </w:r>
      <w:r w:rsidR="00563404">
        <w:rPr>
          <w:rFonts w:eastAsia="MS Mincho" w:cs="Times New Roman"/>
          <w:color w:val="141413"/>
        </w:rPr>
        <w:t xml:space="preserve">. </w:t>
      </w:r>
      <w:r w:rsidR="00D11396">
        <w:rPr>
          <w:rFonts w:eastAsia="MS Mincho" w:cs="Times New Roman"/>
          <w:color w:val="141413"/>
        </w:rPr>
        <w:t xml:space="preserve">There was a decreasing trend for the prevalence of high SB with higher levels of happiness in the overall and age-stratified samples </w:t>
      </w:r>
      <w:r w:rsidR="003317AA" w:rsidRPr="003317AA">
        <w:rPr>
          <w:rFonts w:eastAsia="MS Mincho" w:cs="Times New Roman"/>
          <w:b/>
          <w:color w:val="141413"/>
        </w:rPr>
        <w:t>(Figure 1)</w:t>
      </w:r>
      <w:r w:rsidR="003317AA" w:rsidRPr="003317AA">
        <w:rPr>
          <w:rFonts w:eastAsia="MS Mincho" w:cs="Times New Roman"/>
          <w:color w:val="141413"/>
        </w:rPr>
        <w:t>.</w:t>
      </w:r>
      <w:r w:rsidR="003317AA">
        <w:rPr>
          <w:rFonts w:eastAsia="MS Mincho" w:cs="Times New Roman"/>
          <w:color w:val="141413"/>
        </w:rPr>
        <w:t xml:space="preserve"> </w:t>
      </w:r>
    </w:p>
    <w:p w14:paraId="600251E8" w14:textId="0D5FF573" w:rsidR="00681F6D" w:rsidRPr="009D7AB2" w:rsidRDefault="003317AA" w:rsidP="00FD36F3">
      <w:pPr>
        <w:spacing w:line="480" w:lineRule="auto"/>
        <w:ind w:firstLine="708"/>
        <w:rPr>
          <w:rFonts w:cs="Times New Roman"/>
        </w:rPr>
      </w:pPr>
      <w:r>
        <w:rPr>
          <w:rFonts w:eastAsia="MS Mincho" w:cs="Times New Roman"/>
          <w:color w:val="141413"/>
        </w:rPr>
        <w:t xml:space="preserve">In the models adjusted for age, sex and country </w:t>
      </w:r>
      <w:r w:rsidRPr="0025127B">
        <w:rPr>
          <w:rFonts w:eastAsia="MS Mincho" w:cs="Times New Roman"/>
          <w:color w:val="141413"/>
        </w:rPr>
        <w:t>(</w:t>
      </w:r>
      <w:r w:rsidRPr="00A87575">
        <w:rPr>
          <w:rFonts w:eastAsia="MS Mincho" w:cs="Times New Roman"/>
          <w:b/>
          <w:color w:val="141413"/>
        </w:rPr>
        <w:t xml:space="preserve">Table </w:t>
      </w:r>
      <w:r w:rsidR="00A87575" w:rsidRPr="00A87575">
        <w:rPr>
          <w:rFonts w:eastAsia="MS Mincho" w:cs="Times New Roman"/>
          <w:b/>
          <w:color w:val="141413"/>
        </w:rPr>
        <w:t xml:space="preserve">2, </w:t>
      </w:r>
      <w:r w:rsidRPr="007B38CB">
        <w:rPr>
          <w:rFonts w:eastAsia="MS Mincho" w:cs="Times New Roman"/>
          <w:color w:val="141413"/>
        </w:rPr>
        <w:t>Model 1</w:t>
      </w:r>
      <w:r w:rsidRPr="00A87575">
        <w:rPr>
          <w:rFonts w:eastAsia="MS Mincho" w:cs="Times New Roman"/>
          <w:b/>
          <w:color w:val="141413"/>
        </w:rPr>
        <w:t>)</w:t>
      </w:r>
      <w:r>
        <w:rPr>
          <w:rFonts w:eastAsia="MS Mincho" w:cs="Times New Roman"/>
          <w:color w:val="141413"/>
        </w:rPr>
        <w:t xml:space="preserve">, </w:t>
      </w:r>
      <w:r w:rsidR="00FD36F3" w:rsidRPr="009D7AB2">
        <w:rPr>
          <w:rFonts w:eastAsia="MS Mincho" w:cs="Times New Roman"/>
          <w:color w:val="141413"/>
        </w:rPr>
        <w:t xml:space="preserve">increasing time spent in </w:t>
      </w:r>
      <w:r w:rsidRPr="009D7AB2">
        <w:rPr>
          <w:rFonts w:eastAsia="MS Mincho" w:cs="Times New Roman"/>
          <w:color w:val="141413"/>
        </w:rPr>
        <w:t xml:space="preserve">SB </w:t>
      </w:r>
      <w:r w:rsidR="00FD36F3" w:rsidRPr="009D7AB2">
        <w:rPr>
          <w:rFonts w:eastAsia="MS Mincho" w:cs="Times New Roman"/>
          <w:color w:val="141413"/>
        </w:rPr>
        <w:t xml:space="preserve">(hours/day) </w:t>
      </w:r>
      <w:r w:rsidRPr="009D7AB2">
        <w:rPr>
          <w:rFonts w:eastAsia="MS Mincho" w:cs="Times New Roman"/>
          <w:color w:val="141413"/>
        </w:rPr>
        <w:t xml:space="preserve">was </w:t>
      </w:r>
      <w:r w:rsidRPr="009D7AB2">
        <w:rPr>
          <w:rFonts w:cs="Times New Roman"/>
        </w:rPr>
        <w:t>significantly associated with lower levels of happiness</w:t>
      </w:r>
      <w:r w:rsidR="00537ED9" w:rsidRPr="009D7AB2">
        <w:rPr>
          <w:rFonts w:cs="Times New Roman"/>
        </w:rPr>
        <w:t xml:space="preserve"> in the overall sample </w:t>
      </w:r>
      <w:r w:rsidR="0054117B" w:rsidRPr="009D7AB2">
        <w:rPr>
          <w:rFonts w:cs="Times New Roman"/>
        </w:rPr>
        <w:t>(OR=0.</w:t>
      </w:r>
      <w:r w:rsidR="00FD36F3" w:rsidRPr="009D7AB2">
        <w:rPr>
          <w:rFonts w:cs="Times New Roman"/>
        </w:rPr>
        <w:t>93</w:t>
      </w:r>
      <w:r w:rsidR="0054117B" w:rsidRPr="009D7AB2">
        <w:rPr>
          <w:rFonts w:cs="Times New Roman"/>
        </w:rPr>
        <w:t>; 95%CI=0.</w:t>
      </w:r>
      <w:r w:rsidR="00FD36F3" w:rsidRPr="009D7AB2">
        <w:rPr>
          <w:rFonts w:cs="Times New Roman"/>
        </w:rPr>
        <w:t>91</w:t>
      </w:r>
      <w:r w:rsidR="0054117B" w:rsidRPr="009D7AB2">
        <w:rPr>
          <w:rFonts w:cs="Times New Roman"/>
        </w:rPr>
        <w:t>-0.</w:t>
      </w:r>
      <w:r w:rsidR="00FD36F3" w:rsidRPr="009D7AB2">
        <w:rPr>
          <w:rFonts w:cs="Times New Roman"/>
        </w:rPr>
        <w:t>95</w:t>
      </w:r>
      <w:r w:rsidR="0054117B" w:rsidRPr="009D7AB2">
        <w:rPr>
          <w:rFonts w:cs="Times New Roman"/>
        </w:rPr>
        <w:t xml:space="preserve">) </w:t>
      </w:r>
      <w:r w:rsidR="00537ED9" w:rsidRPr="009D7AB2">
        <w:rPr>
          <w:rFonts w:cs="Times New Roman"/>
        </w:rPr>
        <w:t>and by age groups</w:t>
      </w:r>
      <w:r w:rsidR="00022F60" w:rsidRPr="009D7AB2">
        <w:rPr>
          <w:rFonts w:cs="Times New Roman"/>
        </w:rPr>
        <w:t xml:space="preserve"> [</w:t>
      </w:r>
      <w:r w:rsidR="00913159" w:rsidRPr="009D7AB2">
        <w:rPr>
          <w:rFonts w:cs="Times New Roman"/>
        </w:rPr>
        <w:t>50-64 y</w:t>
      </w:r>
      <w:r w:rsidR="00CB320C" w:rsidRPr="009D7AB2">
        <w:rPr>
          <w:rFonts w:cs="Times New Roman"/>
        </w:rPr>
        <w:t>ea</w:t>
      </w:r>
      <w:r w:rsidR="00913159" w:rsidRPr="009D7AB2">
        <w:rPr>
          <w:rFonts w:cs="Times New Roman"/>
        </w:rPr>
        <w:t xml:space="preserve">rs </w:t>
      </w:r>
      <w:r w:rsidR="00022F60" w:rsidRPr="009D7AB2">
        <w:rPr>
          <w:rFonts w:cs="Times New Roman"/>
        </w:rPr>
        <w:t>(</w:t>
      </w:r>
      <w:r w:rsidR="00913159" w:rsidRPr="009D7AB2">
        <w:rPr>
          <w:rFonts w:cs="Times New Roman"/>
        </w:rPr>
        <w:t>OR=0.</w:t>
      </w:r>
      <w:r w:rsidR="00FD36F3" w:rsidRPr="009D7AB2">
        <w:rPr>
          <w:rFonts w:cs="Times New Roman"/>
        </w:rPr>
        <w:t>94</w:t>
      </w:r>
      <w:r w:rsidR="00913159" w:rsidRPr="009D7AB2">
        <w:rPr>
          <w:rFonts w:cs="Times New Roman"/>
        </w:rPr>
        <w:t>; 95%CI=0.</w:t>
      </w:r>
      <w:r w:rsidR="00FD36F3" w:rsidRPr="009D7AB2">
        <w:rPr>
          <w:rFonts w:cs="Times New Roman"/>
        </w:rPr>
        <w:t>92</w:t>
      </w:r>
      <w:r w:rsidR="00913159" w:rsidRPr="009D7AB2">
        <w:rPr>
          <w:rFonts w:cs="Times New Roman"/>
        </w:rPr>
        <w:t>-0.</w:t>
      </w:r>
      <w:r w:rsidR="00FD36F3" w:rsidRPr="009D7AB2">
        <w:rPr>
          <w:rFonts w:cs="Times New Roman"/>
        </w:rPr>
        <w:t>97</w:t>
      </w:r>
      <w:r w:rsidR="00AF3242" w:rsidRPr="009D7AB2">
        <w:rPr>
          <w:rFonts w:cs="Times New Roman"/>
        </w:rPr>
        <w:t>)</w:t>
      </w:r>
      <w:r w:rsidR="00022F60" w:rsidRPr="009D7AB2">
        <w:rPr>
          <w:rFonts w:cs="Times New Roman"/>
        </w:rPr>
        <w:t>;</w:t>
      </w:r>
      <w:r w:rsidR="00913159" w:rsidRPr="009D7AB2">
        <w:rPr>
          <w:rFonts w:cs="Times New Roman"/>
        </w:rPr>
        <w:t xml:space="preserve"> ≥65</w:t>
      </w:r>
      <w:r w:rsidR="00CB320C" w:rsidRPr="009D7AB2">
        <w:rPr>
          <w:rFonts w:cs="Times New Roman"/>
        </w:rPr>
        <w:t xml:space="preserve"> </w:t>
      </w:r>
      <w:r w:rsidR="00913159" w:rsidRPr="009D7AB2">
        <w:rPr>
          <w:rFonts w:cs="Times New Roman"/>
        </w:rPr>
        <w:t>y</w:t>
      </w:r>
      <w:r w:rsidR="00CB320C" w:rsidRPr="009D7AB2">
        <w:rPr>
          <w:rFonts w:cs="Times New Roman"/>
        </w:rPr>
        <w:t>ea</w:t>
      </w:r>
      <w:r w:rsidR="00913159" w:rsidRPr="009D7AB2">
        <w:rPr>
          <w:rFonts w:cs="Times New Roman"/>
        </w:rPr>
        <w:t>rs</w:t>
      </w:r>
      <w:r w:rsidR="00022F60" w:rsidRPr="009D7AB2">
        <w:rPr>
          <w:rFonts w:cs="Times New Roman"/>
        </w:rPr>
        <w:t xml:space="preserve"> (</w:t>
      </w:r>
      <w:r w:rsidR="00913159" w:rsidRPr="009D7AB2">
        <w:rPr>
          <w:rFonts w:cs="Times New Roman"/>
        </w:rPr>
        <w:t>OR=0.</w:t>
      </w:r>
      <w:r w:rsidR="00FD36F3" w:rsidRPr="009D7AB2">
        <w:rPr>
          <w:rFonts w:cs="Times New Roman"/>
        </w:rPr>
        <w:t>92</w:t>
      </w:r>
      <w:r w:rsidR="00913159" w:rsidRPr="009D7AB2">
        <w:rPr>
          <w:rFonts w:cs="Times New Roman"/>
        </w:rPr>
        <w:t>; 95%CI=0.</w:t>
      </w:r>
      <w:r w:rsidR="00FD36F3" w:rsidRPr="009D7AB2">
        <w:rPr>
          <w:rFonts w:cs="Times New Roman"/>
        </w:rPr>
        <w:t>90</w:t>
      </w:r>
      <w:r w:rsidR="00913159" w:rsidRPr="009D7AB2">
        <w:rPr>
          <w:rFonts w:cs="Times New Roman"/>
        </w:rPr>
        <w:t>-0.</w:t>
      </w:r>
      <w:r w:rsidR="00FD36F3" w:rsidRPr="009D7AB2">
        <w:rPr>
          <w:rFonts w:cs="Times New Roman"/>
        </w:rPr>
        <w:t>95</w:t>
      </w:r>
      <w:r w:rsidR="00AF3242" w:rsidRPr="009D7AB2">
        <w:rPr>
          <w:rFonts w:cs="Times New Roman"/>
        </w:rPr>
        <w:t>)</w:t>
      </w:r>
      <w:r w:rsidR="00022F60" w:rsidRPr="009D7AB2">
        <w:rPr>
          <w:rFonts w:cs="Times New Roman"/>
        </w:rPr>
        <w:t>]</w:t>
      </w:r>
      <w:r w:rsidR="00AF3242" w:rsidRPr="009D7AB2">
        <w:rPr>
          <w:rFonts w:cs="Times New Roman"/>
        </w:rPr>
        <w:t xml:space="preserve">. </w:t>
      </w:r>
      <w:r w:rsidR="00537ED9" w:rsidRPr="009D7AB2">
        <w:rPr>
          <w:rFonts w:cs="Times New Roman"/>
        </w:rPr>
        <w:t>After full adjustment for several behavioral and health-related factors</w:t>
      </w:r>
      <w:r w:rsidR="00A87575" w:rsidRPr="009D7AB2">
        <w:rPr>
          <w:rFonts w:cs="Times New Roman"/>
        </w:rPr>
        <w:t xml:space="preserve">, </w:t>
      </w:r>
      <w:r w:rsidR="00537ED9" w:rsidRPr="009D7AB2">
        <w:rPr>
          <w:rFonts w:cs="Times New Roman"/>
        </w:rPr>
        <w:t>the OR</w:t>
      </w:r>
      <w:r w:rsidR="00D11396" w:rsidRPr="009D7AB2">
        <w:rPr>
          <w:rFonts w:cs="Times New Roman"/>
        </w:rPr>
        <w:t xml:space="preserve"> was attenuated</w:t>
      </w:r>
      <w:r w:rsidR="00C86041" w:rsidRPr="009D7AB2">
        <w:rPr>
          <w:rFonts w:cs="Times New Roman"/>
        </w:rPr>
        <w:t>, but the negative association remained significant</w:t>
      </w:r>
      <w:r w:rsidR="00FD36F3" w:rsidRPr="009D7AB2">
        <w:rPr>
          <w:rFonts w:cs="Times New Roman"/>
        </w:rPr>
        <w:t xml:space="preserve"> even in the fully adjusted model (Model 4)</w:t>
      </w:r>
      <w:r w:rsidR="003C7A77" w:rsidRPr="009D7AB2">
        <w:rPr>
          <w:rFonts w:cs="Times New Roman"/>
        </w:rPr>
        <w:t xml:space="preserve">. </w:t>
      </w:r>
      <w:r w:rsidR="00681F6D" w:rsidRPr="009D7AB2">
        <w:rPr>
          <w:rFonts w:cs="Times New Roman"/>
        </w:rPr>
        <w:t xml:space="preserve">The interaction </w:t>
      </w:r>
      <w:r w:rsidR="00681F6D" w:rsidRPr="009D7AB2">
        <w:rPr>
          <w:rFonts w:cs="Times New Roman"/>
        </w:rPr>
        <w:lastRenderedPageBreak/>
        <w:t xml:space="preserve">analysis showed that sex </w:t>
      </w:r>
      <w:r w:rsidR="00BD6F04" w:rsidRPr="009D7AB2">
        <w:rPr>
          <w:rFonts w:cs="Times New Roman"/>
        </w:rPr>
        <w:t>and physical activity are</w:t>
      </w:r>
      <w:r w:rsidR="00681F6D" w:rsidRPr="009D7AB2">
        <w:rPr>
          <w:rFonts w:cs="Times New Roman"/>
        </w:rPr>
        <w:t xml:space="preserve"> not significant effect modifier</w:t>
      </w:r>
      <w:r w:rsidR="00BD6F04" w:rsidRPr="009D7AB2">
        <w:rPr>
          <w:rFonts w:cs="Times New Roman"/>
        </w:rPr>
        <w:t>s</w:t>
      </w:r>
      <w:r w:rsidR="00681F6D" w:rsidRPr="009D7AB2">
        <w:rPr>
          <w:rFonts w:cs="Times New Roman"/>
        </w:rPr>
        <w:t xml:space="preserve"> in the association between SB and happiness. </w:t>
      </w:r>
    </w:p>
    <w:p w14:paraId="3E478584" w14:textId="6743701B" w:rsidR="0037531C" w:rsidRPr="009D7AB2" w:rsidRDefault="00AF1421" w:rsidP="005D3987">
      <w:pPr>
        <w:spacing w:line="480" w:lineRule="auto"/>
        <w:ind w:firstLine="708"/>
        <w:rPr>
          <w:rFonts w:cs="Times New Roman"/>
        </w:rPr>
      </w:pPr>
      <w:r w:rsidRPr="009D7AB2">
        <w:rPr>
          <w:rFonts w:cs="Times New Roman"/>
        </w:rPr>
        <w:t xml:space="preserve">The mediation analysis showed that among those aged </w:t>
      </w:r>
      <w:r w:rsidR="00F76403" w:rsidRPr="009D7AB2">
        <w:rPr>
          <w:rFonts w:cs="Times New Roman"/>
        </w:rPr>
        <w:t>50</w:t>
      </w:r>
      <w:r w:rsidRPr="009D7AB2">
        <w:rPr>
          <w:rFonts w:cs="Times New Roman"/>
        </w:rPr>
        <w:t xml:space="preserve">-64 years, the largest proportion of the association between </w:t>
      </w:r>
      <w:r w:rsidR="00F76403" w:rsidRPr="009D7AB2">
        <w:rPr>
          <w:rFonts w:cs="Times New Roman"/>
        </w:rPr>
        <w:t xml:space="preserve">SB and happiness </w:t>
      </w:r>
      <w:r w:rsidR="003C7982" w:rsidRPr="009D7AB2">
        <w:rPr>
          <w:rFonts w:cs="Times New Roman"/>
        </w:rPr>
        <w:t>was explained by mobility limitations (2</w:t>
      </w:r>
      <w:r w:rsidR="00580D2B" w:rsidRPr="009D7AB2">
        <w:rPr>
          <w:rFonts w:cs="Times New Roman"/>
        </w:rPr>
        <w:t>9.9</w:t>
      </w:r>
      <w:r w:rsidR="003C7982" w:rsidRPr="009D7AB2">
        <w:rPr>
          <w:rFonts w:cs="Times New Roman"/>
        </w:rPr>
        <w:t>%</w:t>
      </w:r>
      <w:r w:rsidR="0035714A" w:rsidRPr="009D7AB2">
        <w:rPr>
          <w:rFonts w:cs="Times New Roman"/>
        </w:rPr>
        <w:t>)</w:t>
      </w:r>
      <w:r w:rsidR="003C7982" w:rsidRPr="009D7AB2">
        <w:rPr>
          <w:rFonts w:cs="Times New Roman"/>
        </w:rPr>
        <w:t xml:space="preserve">, </w:t>
      </w:r>
      <w:r w:rsidR="0035714A" w:rsidRPr="009D7AB2">
        <w:rPr>
          <w:rFonts w:cs="Times New Roman"/>
        </w:rPr>
        <w:t>prob</w:t>
      </w:r>
      <w:r w:rsidR="00FD425B" w:rsidRPr="009D7AB2">
        <w:rPr>
          <w:rFonts w:cs="Times New Roman"/>
        </w:rPr>
        <w:t>lems with sleep and energy (2</w:t>
      </w:r>
      <w:r w:rsidR="00580D2B" w:rsidRPr="009D7AB2">
        <w:rPr>
          <w:rFonts w:cs="Times New Roman"/>
        </w:rPr>
        <w:t>3.0</w:t>
      </w:r>
      <w:r w:rsidR="00FD425B" w:rsidRPr="009D7AB2">
        <w:rPr>
          <w:rFonts w:cs="Times New Roman"/>
        </w:rPr>
        <w:t>%), cognitive complaints (21.</w:t>
      </w:r>
      <w:r w:rsidR="00580D2B" w:rsidRPr="009D7AB2">
        <w:rPr>
          <w:rFonts w:cs="Times New Roman"/>
        </w:rPr>
        <w:t>7</w:t>
      </w:r>
      <w:r w:rsidR="0035714A" w:rsidRPr="009D7AB2">
        <w:rPr>
          <w:rFonts w:cs="Times New Roman"/>
        </w:rPr>
        <w:t xml:space="preserve">%), and pain </w:t>
      </w:r>
      <w:r w:rsidR="00FD425B" w:rsidRPr="009D7AB2">
        <w:rPr>
          <w:rFonts w:cs="Times New Roman"/>
        </w:rPr>
        <w:t>and discomfort (1</w:t>
      </w:r>
      <w:r w:rsidR="00580D2B" w:rsidRPr="009D7AB2">
        <w:rPr>
          <w:rFonts w:cs="Times New Roman"/>
        </w:rPr>
        <w:t>7.6</w:t>
      </w:r>
      <w:r w:rsidR="00B43B72" w:rsidRPr="009D7AB2">
        <w:rPr>
          <w:rFonts w:cs="Times New Roman"/>
        </w:rPr>
        <w:t>%) (</w:t>
      </w:r>
      <w:r w:rsidR="00B43B72" w:rsidRPr="009D7AB2">
        <w:rPr>
          <w:rFonts w:cs="Times New Roman"/>
          <w:b/>
        </w:rPr>
        <w:t>Table 3</w:t>
      </w:r>
      <w:r w:rsidR="00B43B72" w:rsidRPr="009D7AB2">
        <w:rPr>
          <w:rFonts w:cs="Times New Roman"/>
        </w:rPr>
        <w:t xml:space="preserve">). </w:t>
      </w:r>
      <w:r w:rsidR="00EA3E7C" w:rsidRPr="009D7AB2">
        <w:rPr>
          <w:rFonts w:cs="Times New Roman"/>
        </w:rPr>
        <w:t xml:space="preserve">Among </w:t>
      </w:r>
      <w:r w:rsidR="003E216C" w:rsidRPr="009D7AB2">
        <w:rPr>
          <w:rFonts w:cs="Times New Roman"/>
        </w:rPr>
        <w:t>those aged ≥65 years</w:t>
      </w:r>
      <w:r w:rsidR="00EA3E7C" w:rsidRPr="009D7AB2">
        <w:rPr>
          <w:rFonts w:cs="Times New Roman"/>
        </w:rPr>
        <w:t xml:space="preserve">, </w:t>
      </w:r>
      <w:r w:rsidR="00BA5681" w:rsidRPr="009D7AB2">
        <w:rPr>
          <w:rFonts w:cs="Times New Roman"/>
        </w:rPr>
        <w:t xml:space="preserve">the most important </w:t>
      </w:r>
      <w:r w:rsidR="00755312" w:rsidRPr="009D7AB2">
        <w:rPr>
          <w:rFonts w:cs="Times New Roman"/>
        </w:rPr>
        <w:t xml:space="preserve">explanatory factors </w:t>
      </w:r>
      <w:r w:rsidR="00FD425B" w:rsidRPr="009D7AB2">
        <w:rPr>
          <w:rFonts w:cs="Times New Roman"/>
        </w:rPr>
        <w:t>were mobility limitations (</w:t>
      </w:r>
      <w:r w:rsidR="00580D2B" w:rsidRPr="009D7AB2">
        <w:rPr>
          <w:rFonts w:cs="Times New Roman"/>
        </w:rPr>
        <w:t>51.3</w:t>
      </w:r>
      <w:r w:rsidR="00BA5681" w:rsidRPr="009D7AB2">
        <w:rPr>
          <w:rFonts w:cs="Times New Roman"/>
        </w:rPr>
        <w:t>%),</w:t>
      </w:r>
      <w:r w:rsidR="00EA3E7C" w:rsidRPr="009D7AB2">
        <w:rPr>
          <w:rFonts w:cs="Times New Roman"/>
        </w:rPr>
        <w:t xml:space="preserve"> followed by </w:t>
      </w:r>
      <w:r w:rsidR="00580D2B" w:rsidRPr="009D7AB2">
        <w:rPr>
          <w:rFonts w:cs="Times New Roman"/>
        </w:rPr>
        <w:t xml:space="preserve">cognitive complaints (34.8%), </w:t>
      </w:r>
      <w:r w:rsidR="00BA5681" w:rsidRPr="009D7AB2">
        <w:rPr>
          <w:rFonts w:cs="Times New Roman"/>
        </w:rPr>
        <w:t>pain and discomfort (31</w:t>
      </w:r>
      <w:r w:rsidR="00FD425B" w:rsidRPr="009D7AB2">
        <w:rPr>
          <w:rFonts w:cs="Times New Roman"/>
        </w:rPr>
        <w:t>.</w:t>
      </w:r>
      <w:r w:rsidR="00580D2B" w:rsidRPr="009D7AB2">
        <w:rPr>
          <w:rFonts w:cs="Times New Roman"/>
        </w:rPr>
        <w:t>4</w:t>
      </w:r>
      <w:r w:rsidR="00BA5681" w:rsidRPr="009D7AB2">
        <w:rPr>
          <w:rFonts w:cs="Times New Roman"/>
        </w:rPr>
        <w:t>%), and disability (2</w:t>
      </w:r>
      <w:r w:rsidR="00580D2B" w:rsidRPr="009D7AB2">
        <w:rPr>
          <w:rFonts w:cs="Times New Roman"/>
        </w:rPr>
        <w:t>5.9</w:t>
      </w:r>
      <w:r w:rsidR="00BA5681" w:rsidRPr="009D7AB2">
        <w:rPr>
          <w:rFonts w:cs="Times New Roman"/>
        </w:rPr>
        <w:t xml:space="preserve">%). </w:t>
      </w:r>
    </w:p>
    <w:p w14:paraId="18700296" w14:textId="7EA6DB01" w:rsidR="003C7A77" w:rsidRDefault="00AC7DFB" w:rsidP="005D3987">
      <w:pPr>
        <w:spacing w:line="480" w:lineRule="auto"/>
        <w:rPr>
          <w:rFonts w:cs="Times New Roman"/>
        </w:rPr>
      </w:pPr>
      <w:r w:rsidRPr="009D7AB2">
        <w:rPr>
          <w:rFonts w:cs="Times New Roman"/>
        </w:rPr>
        <w:tab/>
        <w:t xml:space="preserve">The country-wise associations between </w:t>
      </w:r>
      <w:r w:rsidR="00EE525C" w:rsidRPr="009D7AB2">
        <w:rPr>
          <w:rFonts w:cs="Times New Roman"/>
        </w:rPr>
        <w:t xml:space="preserve">SB </w:t>
      </w:r>
      <w:r w:rsidRPr="009D7AB2">
        <w:rPr>
          <w:rFonts w:cs="Times New Roman"/>
        </w:rPr>
        <w:t xml:space="preserve">and happiness estimated by multivariable ordinal logistic regression </w:t>
      </w:r>
      <w:r w:rsidR="009A6BA6" w:rsidRPr="009D7AB2">
        <w:rPr>
          <w:rFonts w:cs="Times New Roman"/>
        </w:rPr>
        <w:t>are</w:t>
      </w:r>
      <w:r w:rsidR="00165AE4" w:rsidRPr="009D7AB2">
        <w:rPr>
          <w:rFonts w:cs="Times New Roman"/>
        </w:rPr>
        <w:t xml:space="preserve"> show</w:t>
      </w:r>
      <w:r w:rsidR="00DC0710" w:rsidRPr="009D7AB2">
        <w:rPr>
          <w:rFonts w:cs="Times New Roman"/>
        </w:rPr>
        <w:t>n</w:t>
      </w:r>
      <w:r w:rsidR="00165AE4" w:rsidRPr="009D7AB2">
        <w:rPr>
          <w:rFonts w:cs="Times New Roman"/>
        </w:rPr>
        <w:t xml:space="preserve"> in </w:t>
      </w:r>
      <w:r w:rsidRPr="009D7AB2">
        <w:rPr>
          <w:rFonts w:cs="Times New Roman"/>
          <w:b/>
        </w:rPr>
        <w:t>Figure 2</w:t>
      </w:r>
      <w:r w:rsidR="00165AE4" w:rsidRPr="009D7AB2">
        <w:rPr>
          <w:rFonts w:cs="Times New Roman"/>
        </w:rPr>
        <w:t xml:space="preserve">. The overall estimate was </w:t>
      </w:r>
      <w:r w:rsidR="00160680" w:rsidRPr="009D7AB2">
        <w:rPr>
          <w:rFonts w:cs="Times New Roman"/>
        </w:rPr>
        <w:t>0.</w:t>
      </w:r>
      <w:r w:rsidR="00580D2B" w:rsidRPr="009D7AB2">
        <w:rPr>
          <w:rFonts w:cs="Times New Roman"/>
        </w:rPr>
        <w:t>93</w:t>
      </w:r>
      <w:r w:rsidR="00165AE4" w:rsidRPr="009D7AB2">
        <w:rPr>
          <w:rFonts w:cs="Times New Roman"/>
        </w:rPr>
        <w:t xml:space="preserve"> (95%CI=0.</w:t>
      </w:r>
      <w:r w:rsidR="00580D2B" w:rsidRPr="009D7AB2">
        <w:rPr>
          <w:rFonts w:cs="Times New Roman"/>
        </w:rPr>
        <w:t>89</w:t>
      </w:r>
      <w:r w:rsidR="00165AE4" w:rsidRPr="009D7AB2">
        <w:rPr>
          <w:rFonts w:cs="Times New Roman"/>
        </w:rPr>
        <w:t>-</w:t>
      </w:r>
      <w:r w:rsidR="00580D2B" w:rsidRPr="009D7AB2">
        <w:rPr>
          <w:rFonts w:cs="Times New Roman"/>
        </w:rPr>
        <w:t>0.96</w:t>
      </w:r>
      <w:r w:rsidR="00165AE4" w:rsidRPr="009D7AB2">
        <w:rPr>
          <w:rFonts w:cs="Times New Roman"/>
        </w:rPr>
        <w:t xml:space="preserve">) with a </w:t>
      </w:r>
      <w:r w:rsidR="00580D2B" w:rsidRPr="009D7AB2">
        <w:rPr>
          <w:rFonts w:cs="Times New Roman"/>
        </w:rPr>
        <w:t xml:space="preserve">high </w:t>
      </w:r>
      <w:r w:rsidR="00165AE4" w:rsidRPr="009D7AB2">
        <w:rPr>
          <w:rFonts w:cs="Times New Roman"/>
        </w:rPr>
        <w:t>level of heterogeneity (</w:t>
      </w:r>
      <w:r w:rsidR="00165AE4" w:rsidRPr="009D7AB2">
        <w:rPr>
          <w:rFonts w:cs="Times New Roman"/>
          <w:i/>
        </w:rPr>
        <w:t>I</w:t>
      </w:r>
      <w:r w:rsidR="00165AE4" w:rsidRPr="009D7AB2">
        <w:rPr>
          <w:rFonts w:cs="Times New Roman"/>
          <w:i/>
          <w:vertAlign w:val="superscript"/>
        </w:rPr>
        <w:t>2</w:t>
      </w:r>
      <w:r w:rsidR="00165AE4" w:rsidRPr="009D7AB2">
        <w:rPr>
          <w:rFonts w:cs="Times New Roman"/>
        </w:rPr>
        <w:t>=</w:t>
      </w:r>
      <w:r w:rsidR="00580D2B" w:rsidRPr="009D7AB2">
        <w:rPr>
          <w:rFonts w:cs="Times New Roman"/>
        </w:rPr>
        <w:t>83.0</w:t>
      </w:r>
      <w:r w:rsidR="00165AE4" w:rsidRPr="009D7AB2">
        <w:rPr>
          <w:rFonts w:cs="Times New Roman"/>
        </w:rPr>
        <w:t>%).</w:t>
      </w:r>
      <w:r w:rsidR="00165AE4">
        <w:rPr>
          <w:rFonts w:cs="Times New Roman"/>
        </w:rPr>
        <w:t xml:space="preserve"> </w:t>
      </w:r>
    </w:p>
    <w:p w14:paraId="115ABC0A" w14:textId="6BFC6128" w:rsidR="00165AE4" w:rsidRDefault="00165AE4" w:rsidP="005D3987">
      <w:pPr>
        <w:spacing w:line="480" w:lineRule="auto"/>
        <w:rPr>
          <w:rFonts w:cs="Times New Roman"/>
        </w:rPr>
      </w:pPr>
    </w:p>
    <w:p w14:paraId="19FAC1D4" w14:textId="6943EE3F" w:rsidR="00753DE0" w:rsidRPr="00512EBB" w:rsidRDefault="00753DE0" w:rsidP="001F374D">
      <w:pPr>
        <w:pStyle w:val="Heading1"/>
      </w:pPr>
      <w:r>
        <w:t>DISCUSSION</w:t>
      </w:r>
    </w:p>
    <w:p w14:paraId="44552BC0" w14:textId="0BD9B110" w:rsidR="00502D2F" w:rsidRDefault="00DF373A" w:rsidP="005D3987">
      <w:pPr>
        <w:spacing w:line="480" w:lineRule="auto"/>
        <w:rPr>
          <w:rFonts w:cs="Times New Roman"/>
        </w:rPr>
      </w:pPr>
      <w:r>
        <w:rPr>
          <w:bCs/>
          <w:iCs/>
        </w:rPr>
        <w:t xml:space="preserve">To the authors’ knowledge, this is the first multi-country study investigating the relationship between SB and wellbeing, and the first </w:t>
      </w:r>
      <w:r w:rsidR="002C1F19">
        <w:rPr>
          <w:bCs/>
          <w:iCs/>
        </w:rPr>
        <w:t xml:space="preserve">study </w:t>
      </w:r>
      <w:r w:rsidR="00165AE4">
        <w:rPr>
          <w:bCs/>
          <w:iCs/>
        </w:rPr>
        <w:t xml:space="preserve">with a specific focus on </w:t>
      </w:r>
      <w:r w:rsidR="002C1F19">
        <w:rPr>
          <w:bCs/>
          <w:iCs/>
        </w:rPr>
        <w:t>h</w:t>
      </w:r>
      <w:r>
        <w:rPr>
          <w:bCs/>
          <w:iCs/>
        </w:rPr>
        <w:t xml:space="preserve">appiness. In addition, </w:t>
      </w:r>
      <w:r w:rsidR="00026592">
        <w:rPr>
          <w:bCs/>
          <w:iCs/>
        </w:rPr>
        <w:t xml:space="preserve">this study provides </w:t>
      </w:r>
      <w:r w:rsidR="00165AE4">
        <w:rPr>
          <w:bCs/>
          <w:iCs/>
        </w:rPr>
        <w:t xml:space="preserve">preliminary </w:t>
      </w:r>
      <w:r w:rsidR="00026592">
        <w:rPr>
          <w:bCs/>
          <w:iCs/>
        </w:rPr>
        <w:t xml:space="preserve">evidence on the factors that influence </w:t>
      </w:r>
      <w:r w:rsidR="004A0B9C">
        <w:rPr>
          <w:bCs/>
          <w:iCs/>
        </w:rPr>
        <w:t xml:space="preserve">the </w:t>
      </w:r>
      <w:r w:rsidR="00026592">
        <w:rPr>
          <w:bCs/>
          <w:iCs/>
        </w:rPr>
        <w:t xml:space="preserve">SB-happiness relationship. </w:t>
      </w:r>
      <w:r w:rsidR="00250B2C">
        <w:rPr>
          <w:bCs/>
          <w:iCs/>
        </w:rPr>
        <w:t xml:space="preserve">Overall, the results showed that </w:t>
      </w:r>
      <w:r w:rsidR="00580D2B">
        <w:rPr>
          <w:bCs/>
          <w:iCs/>
        </w:rPr>
        <w:t xml:space="preserve">increasing time spent in </w:t>
      </w:r>
      <w:r w:rsidR="00391904">
        <w:rPr>
          <w:bCs/>
          <w:iCs/>
        </w:rPr>
        <w:t xml:space="preserve">SB </w:t>
      </w:r>
      <w:r w:rsidR="00293ABB">
        <w:rPr>
          <w:bCs/>
          <w:iCs/>
        </w:rPr>
        <w:t>is</w:t>
      </w:r>
      <w:r w:rsidR="00391904">
        <w:rPr>
          <w:bCs/>
          <w:iCs/>
        </w:rPr>
        <w:t xml:space="preserve"> </w:t>
      </w:r>
      <w:r w:rsidR="004C0490">
        <w:rPr>
          <w:bCs/>
          <w:iCs/>
        </w:rPr>
        <w:t xml:space="preserve">significantly </w:t>
      </w:r>
      <w:r w:rsidR="00391904">
        <w:rPr>
          <w:bCs/>
          <w:iCs/>
        </w:rPr>
        <w:t xml:space="preserve">associated with </w:t>
      </w:r>
      <w:r w:rsidR="007B7696">
        <w:rPr>
          <w:bCs/>
          <w:iCs/>
        </w:rPr>
        <w:t xml:space="preserve">lower </w:t>
      </w:r>
      <w:r w:rsidR="00391904">
        <w:rPr>
          <w:bCs/>
          <w:iCs/>
        </w:rPr>
        <w:t>levels of happiness across mid</w:t>
      </w:r>
      <w:r w:rsidR="00E569DF">
        <w:rPr>
          <w:bCs/>
          <w:iCs/>
        </w:rPr>
        <w:t>dle</w:t>
      </w:r>
      <w:r w:rsidR="00391904">
        <w:rPr>
          <w:bCs/>
          <w:iCs/>
        </w:rPr>
        <w:t xml:space="preserve"> and late adulthood. </w:t>
      </w:r>
      <w:r w:rsidR="00391904">
        <w:rPr>
          <w:rFonts w:cs="Times New Roman"/>
        </w:rPr>
        <w:t>T</w:t>
      </w:r>
      <w:r w:rsidR="00391904" w:rsidRPr="00C05C4B">
        <w:rPr>
          <w:rFonts w:cs="Times New Roman"/>
        </w:rPr>
        <w:t xml:space="preserve">he largest proportion of the association between </w:t>
      </w:r>
      <w:r w:rsidR="00391904">
        <w:rPr>
          <w:rFonts w:cs="Times New Roman"/>
        </w:rPr>
        <w:t>SB and happiness was explained by m</w:t>
      </w:r>
      <w:r w:rsidR="00391904">
        <w:rPr>
          <w:bCs/>
          <w:iCs/>
        </w:rPr>
        <w:t>obility limitations, pain</w:t>
      </w:r>
      <w:r w:rsidR="008067AE">
        <w:rPr>
          <w:bCs/>
          <w:iCs/>
        </w:rPr>
        <w:t>/</w:t>
      </w:r>
      <w:r w:rsidR="00391904">
        <w:rPr>
          <w:bCs/>
          <w:iCs/>
        </w:rPr>
        <w:t xml:space="preserve">discomfort, cognitive complaints, </w:t>
      </w:r>
      <w:r w:rsidR="00391904">
        <w:rPr>
          <w:rFonts w:cs="Times New Roman"/>
        </w:rPr>
        <w:t>problems with sleep and energy</w:t>
      </w:r>
      <w:r w:rsidR="00976F5C">
        <w:rPr>
          <w:rFonts w:cs="Times New Roman"/>
        </w:rPr>
        <w:t xml:space="preserve">, </w:t>
      </w:r>
      <w:r w:rsidR="00391904">
        <w:rPr>
          <w:rFonts w:cs="Times New Roman"/>
        </w:rPr>
        <w:t>and disability</w:t>
      </w:r>
      <w:r w:rsidR="009314F3">
        <w:rPr>
          <w:rFonts w:cs="Times New Roman"/>
        </w:rPr>
        <w:t>.</w:t>
      </w:r>
    </w:p>
    <w:p w14:paraId="2E38B48B" w14:textId="4304D5CD" w:rsidR="00A944E8" w:rsidRPr="009D7AB2" w:rsidRDefault="00887E68" w:rsidP="005D3987">
      <w:pPr>
        <w:spacing w:line="480" w:lineRule="auto"/>
        <w:rPr>
          <w:bCs/>
          <w:iCs/>
        </w:rPr>
      </w:pPr>
      <w:r>
        <w:rPr>
          <w:rFonts w:cs="Times New Roman"/>
        </w:rPr>
        <w:tab/>
      </w:r>
      <w:r w:rsidR="00502D2F">
        <w:rPr>
          <w:rFonts w:cs="Times New Roman"/>
        </w:rPr>
        <w:t xml:space="preserve">Present findings </w:t>
      </w:r>
      <w:r w:rsidR="00976F5C">
        <w:rPr>
          <w:rFonts w:cs="Times New Roman"/>
        </w:rPr>
        <w:t xml:space="preserve">on the association between SB and happiness </w:t>
      </w:r>
      <w:r w:rsidR="00502D2F">
        <w:rPr>
          <w:rFonts w:cs="Times New Roman"/>
        </w:rPr>
        <w:t xml:space="preserve">are </w:t>
      </w:r>
      <w:r w:rsidR="00976F5C">
        <w:rPr>
          <w:rFonts w:cs="Times New Roman"/>
        </w:rPr>
        <w:t xml:space="preserve">in line </w:t>
      </w:r>
      <w:r w:rsidR="00F848D0">
        <w:rPr>
          <w:rFonts w:cs="Times New Roman"/>
        </w:rPr>
        <w:t xml:space="preserve">with the previous single-country cross-sectional and longitudinal studies conducted in smaller samples </w:t>
      </w:r>
      <w:r w:rsidR="00D40FF9">
        <w:rPr>
          <w:rFonts w:cs="Times New Roman"/>
        </w:rPr>
        <w:t xml:space="preserve">showing significant inverse associations between self-reported SB (total or leisure-time SB) and levels of wellbeing </w:t>
      </w:r>
      <w:r w:rsidR="00B139EE">
        <w:rPr>
          <w:rFonts w:cs="Times New Roman"/>
        </w:rPr>
        <w:t xml:space="preserve">and overall quality of life </w:t>
      </w:r>
      <w:r w:rsidR="005763EB">
        <w:rPr>
          <w:rFonts w:cs="Times New Roman"/>
        </w:rPr>
        <w:fldChar w:fldCharType="begin" w:fldLock="1"/>
      </w:r>
      <w:r w:rsidR="005D55DE">
        <w:rPr>
          <w:rFonts w:cs="Times New Roman"/>
        </w:rPr>
        <w:instrText>ADDIN CSL_CITATION {"citationItems":[{"id":"ITEM-1","itemData":{"DOI":"10.1186/s12955-019-1191-0","ISSN":"14777525","abstract":"Background: Research on the effects of sedentary behavior on the health-related quality of life (HRQoL) of the elderly is limited. The present study aimed to determine the association between sedentary behavior and the HRQoL of the young-old (aged 65-74 years) people and old-old (aged ≥75 years) people. Methods: This study used the raw data of the 7th Korea National Health and Nutrition Examination Survey for 2016. The study subjects were 1,415 people aged over 65 years. The association between HRQoL and average daily sitting time was analyzed using the point biserial correlation coefficient. The effect of sedentary behavior on HRQoL was analyzed by logistic regression analysis. Results: Overall, elderly people aged ≥65 years spent 7.9 h in sedentary pursuits: The young-old spent 7.7 h and the old-old spent 9.0 h. Longer sitting time was found to be associated with lower HROoL while shorter sitting time was associated with higher HROoL, with the relationship stronger among the old-old than among the young-old. This means that the effects of either having longer time sitting per day and low quality of life or shorter time sitting per day and high quality of life are more pronounced in the old-old in comparison to the young-old. Conclusions: Sedentary behavior is significantly associated with people's HRQoL. Interventions towards improving the HRQoL by reducing sedentary behavior based on the respective characteristics of young-old and old-old people are needed.","author":[{"dropping-particle":"","family":"Kim","given":"Yujeong","non-dropping-particle":"","parse-names":false,"suffix":""},{"dropping-particle":"","family":"Lee","given":"Eunmi","non-dropping-particle":"","parse-names":false,"suffix":""}],"container-title":"Health and Quality of Life Outcomes","id":"ITEM-1","issue":"1","issued":{"date-parts":[["2019","7","26"]]},"page":"131","publisher":"BioMed Central Ltd.","title":"The association between elderly people's sedentary behaviors and their health-related quality of life: Focusing on comparing the young-old and the old-old","type":"article-journal","volume":"17"},"uris":["http://www.mendeley.com/documents/?uuid=85bde6ab-8f93-3838-bd98-924bdb2c52bd"]},{"id":"ITEM-2","itemData":{"author":[{"dropping-particle":"","family":"Ku","given":"Po-Wen","non-dropping-particle":"","parse-names":false,"suffix":""},{"dropping-particle":"","family":"Fox","given":"Kenneth R","non-dropping-particle":"","parse-names":false,"suffix":""},{"dropping-particle":"","family":"Chen","given":"Li-Jung","non-dropping-particle":"","parse-names":false,"suffix":""},{"dropping-particle":"","family":"Chou","given":"Pesus","non-dropping-particle":"","parse-names":false,"suffix":""}],"container-title":"International journal of sport psychology","id":"ITEM-2","issue":"3","issued":{"date-parts":[["2011"]]},"page":"245-262","title":"Physical activity, sedentary time and subjective well-being in Taiwanese older adults","type":"article-journal","volume":"42"},"uris":["http://www.mendeley.com/documents/?uuid=0e87cff2-79ee-3fd1-8431-9096e7178fd1"]},{"id":"ITEM-3","itemData":{"DOI":"10.1080/17437199.2017.1396191","ISSN":"17437202","abstract":"Researchers have speculated that sedentary behaviour may reduce health-related quality of life (HRQOL), but the extent to which this is true remains unknown. Our study sought to systematically review and synthesise research on the relationship between sedentary behaviours and HRQOL and to investigate if these relationships are moderated by age, health status, and HRQOL domain. The review was registered with PROSPERO (no. CRD42016036342). We searched six electronic databases. The selection process resulted in including k = 27 original studies; k = 18 were included in a meta-analysis. Data were synthesised twice, using the methods of systematic review and meta-analysis, in order to reduce biases related to a small number of included studies. Both the systematic review and meta-analytical methods indicated that lower levels of sedentary behaviours were associated with higher physical HRQOL (estimate of average effect: r = −.140; 95% CI −.191, −.088). Moderator analyses indicated that associations between the physical HRQOL domain and sedentary behaviours may be similar in strength across age- and health status groups. Causal inferences could not be drawn as most studies were cross-sectional. Concluding, sedentary behaviours were related to better physical HRQOL but not reliably to mental and social HRQOL.","author":[{"dropping-particle":"","family":"Boberska","given":"Monika","non-dropping-particle":"","parse-names":false,"suffix":""},{"dropping-particle":"","family":"Szczuka","given":"Zofia","non-dropping-particle":"","parse-names":false,"suffix":""},{"dropping-particle":"","family":"Kruk","given":"Magdalena","non-dropping-particle":"","parse-names":false,"suffix":""},{"dropping-particle":"","family":"Knoll","given":"Nina","non-dropping-particle":"","parse-names":false,"suffix":""},{"dropping-particle":"","family":"Keller","given":"Jan","non-dropping-particle":"","parse-names":false,"suffix":""},{"dropping-particle":"","family":"Hohl","given":"Diana Hilda","non-dropping-particle":"","parse-names":false,"suffix":""},{"dropping-particle":"","family":"Luszczynska","given":"Aleksandra","non-dropping-particle":"","parse-names":false,"suffix":""}],"container-title":"Health Psychology Review","id":"ITEM-3","issue":"2","issued":{"date-parts":[["2018","4","3"]]},"page":"195-210","publisher":"Routledge","title":"Sedentary behaviours and health-related quality of life. A systematic review and meta-analysis","type":"article-journal","volume":"12"},"uris":["http://www.mendeley.com/documents/?uuid=83d552bc-309a-3df9-ad74-f8d747121407"]}],"mendeley":{"formattedCitation":"[10–12]","plainTextFormattedCitation":"[10–12]","previouslyFormattedCitation":"[10–12]"},"properties":{"noteIndex":0},"schema":"https://github.com/citation-style-language/schema/raw/master/csl-citation.json"}</w:instrText>
      </w:r>
      <w:r w:rsidR="005763EB">
        <w:rPr>
          <w:rFonts w:cs="Times New Roman"/>
        </w:rPr>
        <w:fldChar w:fldCharType="separate"/>
      </w:r>
      <w:r w:rsidR="000A6AB1" w:rsidRPr="000A6AB1">
        <w:rPr>
          <w:rFonts w:cs="Times New Roman"/>
          <w:noProof/>
        </w:rPr>
        <w:t>[10–12]</w:t>
      </w:r>
      <w:r w:rsidR="005763EB">
        <w:rPr>
          <w:rFonts w:cs="Times New Roman"/>
        </w:rPr>
        <w:fldChar w:fldCharType="end"/>
      </w:r>
      <w:r w:rsidR="005763EB">
        <w:rPr>
          <w:rFonts w:cs="Times New Roman"/>
        </w:rPr>
        <w:t xml:space="preserve">. </w:t>
      </w:r>
      <w:r w:rsidR="00976F5C">
        <w:rPr>
          <w:noProof/>
        </w:rPr>
        <w:t xml:space="preserve">However, our results are in </w:t>
      </w:r>
      <w:r w:rsidR="00976F5C">
        <w:rPr>
          <w:noProof/>
        </w:rPr>
        <w:lastRenderedPageBreak/>
        <w:t>contrast with some studies that assessed SB through device-based measures, which found</w:t>
      </w:r>
      <w:r w:rsidR="00E54325">
        <w:rPr>
          <w:noProof/>
        </w:rPr>
        <w:t xml:space="preserve"> no </w:t>
      </w:r>
      <w:r w:rsidR="007669CC">
        <w:rPr>
          <w:noProof/>
        </w:rPr>
        <w:t xml:space="preserve">significant </w:t>
      </w:r>
      <w:r w:rsidR="00E54325">
        <w:rPr>
          <w:noProof/>
        </w:rPr>
        <w:t>associations between SB and wellbeing</w:t>
      </w:r>
      <w:r w:rsidR="007669CC">
        <w:rPr>
          <w:noProof/>
        </w:rPr>
        <w:t xml:space="preserve"> dimensions</w:t>
      </w:r>
      <w:r w:rsidR="00D4025F">
        <w:rPr>
          <w:noProof/>
        </w:rPr>
        <w:t xml:space="preserve"> </w:t>
      </w:r>
      <w:r w:rsidR="00D4025F">
        <w:rPr>
          <w:noProof/>
        </w:rPr>
        <w:fldChar w:fldCharType="begin" w:fldLock="1"/>
      </w:r>
      <w:r w:rsidR="005D55DE">
        <w:rPr>
          <w:noProof/>
        </w:rPr>
        <w:instrText>ADDIN CSL_CITATION {"citationItems":[{"id":"ITEM-1","itemData":{"DOI":"10.3390/ijerph110100643","ISSN":"16617827","abstract":"This study explored the associations of the volume and intensity of physical activity and the volume of sedentary time with subjective well-being in a diverse group of 228 older adults in the UK (111 female, mean age 78.2 years (SD 5.8)). Physical activity (PA) and sedentary behaviour were assessed by accelerometry deriving mean steps per day, mean moderate/vigorous PA minutes per hour (MVPA min·h-1) and minutes of sedentary time per hour (ST min·h-1). Lower limb function was assessed by the Short Physical Performance Battery. Subjective well-being was assessed using the SF-12 health status scale, the Ageing Well Profile and the Satisfaction with Life Scale. Linear regressions were used to investigate associations between the independent variables which included physical activity (steps and MVPA), sedentary time, participant characteristics (gender, age, BMI, education, number of medical conditions), and lower limb function and dependent variables which included mental and physical well-being. Steps, MVPA and lower limb function were independently and moderately positively associated with perceived physical well-being but relationships with mental well-being variables were weak. No significant associations between sedentary behaviours and well-being were observed. The association between objectively evaluated physical activity and function and subjective evaluations of physical well-being suggest that improving perceptions of physical health and function may provide an important target for physical activity programmes. This in turn may drive further activity participation. © 2014 by the authors; licensee MDPI, Basel, Switzerland.","author":[{"dropping-particle":"","family":"Withall","given":"Janet","non-dropping-particle":"","parse-names":false,"suffix":""},{"dropping-particle":"","family":"Stathi","given":"Afroditi","non-dropping-particle":"","parse-names":false,"suffix":""},{"dropping-particle":"","family":"Davis","given":"Mark","non-dropping-particle":"","parse-names":false,"suffix":""},{"dropping-particle":"","family":"Coulson","given":"Jo","non-dropping-particle":"","parse-names":false,"suffix":""},{"dropping-particle":"","family":"Thompson","given":"Janice L.","non-dropping-particle":"","parse-names":false,"suffix":""},{"dropping-particle":"","family":"Fox","given":"Kenneth R.","non-dropping-particle":"","parse-names":false,"suffix":""}],"container-title":"International Journal of Environmental Research and Public Health","id":"ITEM-1","issue":"1","issued":{"date-parts":[["2014","1","2"]]},"page":"643-656","title":"Objective indicators of physical activity and sedentary time and associations with subjective well-being in adults aged 70 and over","type":"article-journal","volume":"11"},"uris":["http://www.mendeley.com/documents/?uuid=9a2b1ddf-1e7a-3f6f-acf6-7c3b850c9abd"]},{"id":"ITEM-2","itemData":{"DOI":"10.1186/s12877-019-1026-1","ISSN":"1471-2318","author":[{"dropping-particle":"","family":"Okely","given":"Judith A.","non-dropping-particle":"","parse-names":false,"suffix":""},{"dropping-particle":"","family":"Čukić","given":"Iva","non-dropping-particle":"","parse-names":false,"suffix":""},{"dropping-particle":"","family":"Shaw","given":"Richard J.","non-dropping-particle":"","parse-names":false,"suffix":""},{"dropping-particle":"","family":"Chastin","given":"Sebastien F.","non-dropping-particle":"","parse-names":false,"suffix":""},{"dropping-particle":"","family":"Dall","given":"Philippa M.","non-dropping-particle":"","parse-names":false,"suffix":""},{"dropping-particle":"","family":"Deary","given":"Ian J.","non-dropping-particle":"","parse-names":false,"suffix":""},{"dropping-particle":"","family":"Der","given":"Geoff","non-dropping-particle":"","parse-names":false,"suffix":""},{"dropping-particle":"","family":"Dontje","given":"Manon L.","non-dropping-particle":"","parse-names":false,"suffix":""},{"dropping-particle":"","family":"Skelton","given":"Dawn A.","non-dropping-particle":"","parse-names":false,"suffix":""},{"dropping-particle":"","family":"Gale","given":"Catharine R.","non-dropping-particle":"","parse-names":false,"suffix":""}],"container-title":"BMC Geriatrics","id":"ITEM-2","issue":"1","issued":{"date-parts":[["2019","12","30"]]},"page":"28","title":"Positive and negative well-being and objectively measured sedentary behaviour in older adults: evidence from three cohorts","type":"article-journal","volume":"19"},"uris":["http://www.mendeley.com/documents/?uuid=6353d564-1d71-37fa-bfbf-0cafeef9d06d"]}],"mendeley":{"formattedCitation":"[14,15]","plainTextFormattedCitation":"[14,15]","previouslyFormattedCitation":"[14,15]"},"properties":{"noteIndex":0},"schema":"https://github.com/citation-style-language/schema/raw/master/csl-citation.json"}</w:instrText>
      </w:r>
      <w:r w:rsidR="00D4025F">
        <w:rPr>
          <w:noProof/>
        </w:rPr>
        <w:fldChar w:fldCharType="separate"/>
      </w:r>
      <w:r w:rsidR="000A6AB1" w:rsidRPr="000A6AB1">
        <w:rPr>
          <w:noProof/>
        </w:rPr>
        <w:t>[14,15]</w:t>
      </w:r>
      <w:r w:rsidR="00D4025F">
        <w:rPr>
          <w:noProof/>
        </w:rPr>
        <w:fldChar w:fldCharType="end"/>
      </w:r>
      <w:r w:rsidR="00D4025F">
        <w:rPr>
          <w:noProof/>
        </w:rPr>
        <w:t xml:space="preserve">. </w:t>
      </w:r>
      <w:r w:rsidR="00976F5C">
        <w:rPr>
          <w:rFonts w:cs="Times New Roman"/>
          <w:color w:val="000000"/>
        </w:rPr>
        <w:t xml:space="preserve">Although the reasons for the discrepant results are unknown, </w:t>
      </w:r>
      <w:r w:rsidR="00145B93">
        <w:rPr>
          <w:rFonts w:cs="Times New Roman"/>
          <w:color w:val="000000"/>
        </w:rPr>
        <w:t xml:space="preserve">methodological approaches in SB measurement may </w:t>
      </w:r>
      <w:r w:rsidR="00FA6972">
        <w:rPr>
          <w:rFonts w:cs="Times New Roman"/>
          <w:color w:val="000000"/>
        </w:rPr>
        <w:t xml:space="preserve">play a </w:t>
      </w:r>
      <w:r w:rsidR="00CB7255">
        <w:rPr>
          <w:rFonts w:cs="Times New Roman"/>
          <w:color w:val="000000"/>
        </w:rPr>
        <w:t xml:space="preserve">role (i.e., self-report or </w:t>
      </w:r>
      <w:r w:rsidR="004A0B9C">
        <w:rPr>
          <w:rFonts w:cs="Times New Roman"/>
          <w:color w:val="000000"/>
        </w:rPr>
        <w:t xml:space="preserve">device-based </w:t>
      </w:r>
      <w:r w:rsidR="00CB7255">
        <w:rPr>
          <w:rFonts w:cs="Times New Roman"/>
          <w:color w:val="000000"/>
        </w:rPr>
        <w:t>measurement)</w:t>
      </w:r>
      <w:r w:rsidR="00E027B0">
        <w:rPr>
          <w:rFonts w:cs="Times New Roman"/>
          <w:color w:val="000000"/>
        </w:rPr>
        <w:t xml:space="preserve">. </w:t>
      </w:r>
      <w:r w:rsidR="00D02807" w:rsidRPr="00D02807">
        <w:rPr>
          <w:rFonts w:cs="Times New Roman"/>
          <w:color w:val="000000"/>
        </w:rPr>
        <w:t xml:space="preserve">Furthermore, </w:t>
      </w:r>
      <w:r w:rsidR="002C0B49">
        <w:rPr>
          <w:rFonts w:cs="Times New Roman"/>
          <w:color w:val="000000"/>
        </w:rPr>
        <w:t>the context/domain where SB occurs may be relevant</w:t>
      </w:r>
      <w:r w:rsidR="00165A57">
        <w:rPr>
          <w:rFonts w:cs="Times New Roman"/>
          <w:color w:val="000000"/>
        </w:rPr>
        <w:t xml:space="preserve"> when examining relationships with wellbeing, </w:t>
      </w:r>
      <w:r w:rsidR="002C0B49">
        <w:rPr>
          <w:rFonts w:cs="Times New Roman"/>
          <w:color w:val="000000"/>
        </w:rPr>
        <w:t xml:space="preserve">since specific domains of SB may </w:t>
      </w:r>
      <w:r w:rsidR="00165A57">
        <w:rPr>
          <w:rFonts w:cs="Times New Roman"/>
          <w:color w:val="000000"/>
        </w:rPr>
        <w:t xml:space="preserve">be more detrimental than others. </w:t>
      </w:r>
      <w:r w:rsidR="00BD4E62">
        <w:rPr>
          <w:rFonts w:cs="Times New Roman"/>
          <w:color w:val="000000"/>
        </w:rPr>
        <w:t xml:space="preserve">For instance, </w:t>
      </w:r>
      <w:r w:rsidR="00867BB0">
        <w:rPr>
          <w:rFonts w:cs="Times New Roman"/>
          <w:color w:val="000000"/>
        </w:rPr>
        <w:t>a prospective study in Taiwanese older adults found that more time spent in specific leisure-time SB pursuits were related to higher subsequent life satisfaction (i.e., TV watching, social chatting and reading), while other forms of leisure-time SB were not (i.e., listening to radio, playing chess/cards)</w:t>
      </w:r>
      <w:r w:rsidR="00D4025F">
        <w:rPr>
          <w:rFonts w:cs="Times New Roman"/>
          <w:color w:val="000000"/>
        </w:rPr>
        <w:t xml:space="preserve"> </w:t>
      </w:r>
      <w:r w:rsidR="00D4025F">
        <w:rPr>
          <w:rFonts w:cs="Times New Roman"/>
          <w:color w:val="000000"/>
        </w:rPr>
        <w:fldChar w:fldCharType="begin" w:fldLock="1"/>
      </w:r>
      <w:r w:rsidR="005320AE">
        <w:rPr>
          <w:rFonts w:cs="Times New Roman"/>
          <w:color w:val="000000"/>
        </w:rPr>
        <w:instrText>ADDIN CSL_CITATION {"citationItems":[{"id":"ITEM-1","itemData":{"DOI":"10.1007/s11205-015-1005-7","ISSN":"15730921","abstract":"This study aimed to assess the independent and prospective associations of aspects of self-reported leisure-time physical activity (LTPA) and leisure-time sedentary behaviors (LTSB) with subjective well-being (SWB). Data from the 1999, 2003, and 2007 phases of the Survey of Health and Living Status of the Elderly conducted by the Taiwan Ministry of Health and Welfare on a nationally representative sample of older Taiwanese were used. A fixed cohort of 1268 participants aged 70 years or older in 1999 with 8 years of follow-up was analyzed. Subjective well-being was assessed using the Life Satisfaction Index A. Frequencies per week of different types of LTSB and LTPA were self-reported. Generalized estimating equation models with multivariate adjustment for socio-demographic variables, lifestyle behaviors, and health status were developed. Participants who had higher frequencies of LTPA and LTSB, especially engaging in walking, yard/gardening, group exercise, TV watching, social chatting and reading, recorded higher levels of well-being. This was supported by a sensitivity analysis after excluding participants with potential cognitive decline. This study indicated that both LTPA and aspects of LTSB in later life may provide beneficial effects for subsequent SWB.","author":[{"dropping-particle":"","family":"Ku","given":"Po Wen","non-dropping-particle":"","parse-names":false,"suffix":""},{"dropping-particle":"","family":"Fox","given":"Kenneth R.","non-dropping-particle":"","parse-names":false,"suffix":""},{"dropping-particle":"","family":"Chen","given":"Li Jung","non-dropping-particle":"","parse-names":false,"suffix":""}],"container-title":"Social Indicators Research","id":"ITEM-1","issue":"3","issued":{"date-parts":[["2016","7","1"]]},"page":"1349-1361","publisher":"Springer Netherlands","title":"Leisure-Time Physical Activity, Sedentary Behaviors and Subjective Well-Being in Older Adults: An Eight-Year Longitudinal Research","type":"article-journal","volume":"127"},"uris":["http://www.mendeley.com/documents/?uuid=56309ead-ed5a-346d-a9aa-f6e6ba0482ba"]}],"mendeley":{"formattedCitation":"[38]","plainTextFormattedCitation":"[38]","previouslyFormattedCitation":"[38]"},"properties":{"noteIndex":0},"schema":"https://github.com/citation-style-language/schema/raw/master/csl-citation.json"}</w:instrText>
      </w:r>
      <w:r w:rsidR="00D4025F">
        <w:rPr>
          <w:rFonts w:cs="Times New Roman"/>
          <w:color w:val="000000"/>
        </w:rPr>
        <w:fldChar w:fldCharType="separate"/>
      </w:r>
      <w:r w:rsidR="005A559A" w:rsidRPr="005A559A">
        <w:rPr>
          <w:rFonts w:cs="Times New Roman"/>
          <w:noProof/>
          <w:color w:val="000000"/>
        </w:rPr>
        <w:t>[38]</w:t>
      </w:r>
      <w:r w:rsidR="00D4025F">
        <w:rPr>
          <w:rFonts w:cs="Times New Roman"/>
          <w:color w:val="000000"/>
        </w:rPr>
        <w:fldChar w:fldCharType="end"/>
      </w:r>
      <w:r w:rsidR="00D4025F">
        <w:rPr>
          <w:rFonts w:cs="Times New Roman"/>
          <w:color w:val="000000"/>
        </w:rPr>
        <w:t>.</w:t>
      </w:r>
      <w:r w:rsidR="00867BB0">
        <w:rPr>
          <w:rFonts w:cs="Times New Roman"/>
          <w:color w:val="000000"/>
        </w:rPr>
        <w:t xml:space="preserve"> </w:t>
      </w:r>
      <w:r w:rsidR="00487138">
        <w:rPr>
          <w:rFonts w:cs="Times New Roman"/>
          <w:color w:val="000000"/>
        </w:rPr>
        <w:t xml:space="preserve">Future studies should assess how </w:t>
      </w:r>
      <w:r w:rsidR="00293ABB">
        <w:rPr>
          <w:rFonts w:cs="Times New Roman"/>
          <w:color w:val="000000"/>
        </w:rPr>
        <w:t xml:space="preserve">the measurement of SB </w:t>
      </w:r>
      <w:r w:rsidR="00675CD8">
        <w:rPr>
          <w:rFonts w:cs="Times New Roman"/>
          <w:color w:val="000000"/>
        </w:rPr>
        <w:t xml:space="preserve">or </w:t>
      </w:r>
      <w:r w:rsidR="00293ABB">
        <w:rPr>
          <w:rFonts w:cs="Times New Roman"/>
          <w:color w:val="000000"/>
        </w:rPr>
        <w:t xml:space="preserve">SB </w:t>
      </w:r>
      <w:r w:rsidR="00821A5F">
        <w:rPr>
          <w:rFonts w:cs="Times New Roman"/>
          <w:color w:val="000000"/>
        </w:rPr>
        <w:t>domains may</w:t>
      </w:r>
      <w:r w:rsidR="00487138">
        <w:rPr>
          <w:rFonts w:cs="Times New Roman"/>
          <w:color w:val="000000"/>
        </w:rPr>
        <w:t xml:space="preserve"> influence the association between </w:t>
      </w:r>
      <w:r w:rsidR="00487138" w:rsidRPr="009D7AB2">
        <w:rPr>
          <w:rFonts w:cs="Times New Roman"/>
          <w:color w:val="000000"/>
        </w:rPr>
        <w:t>SB and happiness</w:t>
      </w:r>
      <w:r w:rsidR="00675CD8" w:rsidRPr="009D7AB2">
        <w:rPr>
          <w:rFonts w:cs="Times New Roman"/>
          <w:color w:val="000000"/>
        </w:rPr>
        <w:t>.</w:t>
      </w:r>
      <w:r w:rsidR="00A720E3" w:rsidRPr="009D7AB2">
        <w:rPr>
          <w:rFonts w:cs="Times New Roman"/>
          <w:color w:val="000000"/>
        </w:rPr>
        <w:tab/>
      </w:r>
    </w:p>
    <w:p w14:paraId="4DD765FB" w14:textId="1E3B7918" w:rsidR="007153FE" w:rsidRDefault="009C01FA" w:rsidP="005D3987">
      <w:pPr>
        <w:spacing w:line="480" w:lineRule="auto"/>
        <w:ind w:firstLine="720"/>
      </w:pPr>
      <w:r w:rsidRPr="009D7AB2">
        <w:rPr>
          <w:rFonts w:cs="Times New Roman"/>
        </w:rPr>
        <w:t>In our study, m</w:t>
      </w:r>
      <w:r w:rsidR="00A944E8" w:rsidRPr="009D7AB2">
        <w:rPr>
          <w:rFonts w:cs="Times New Roman"/>
        </w:rPr>
        <w:t>obility limitations explained 3</w:t>
      </w:r>
      <w:r w:rsidR="00B62444" w:rsidRPr="009D7AB2">
        <w:rPr>
          <w:rFonts w:cs="Times New Roman"/>
        </w:rPr>
        <w:t>8.8</w:t>
      </w:r>
      <w:r w:rsidR="00A944E8" w:rsidRPr="009D7AB2">
        <w:rPr>
          <w:rFonts w:cs="Times New Roman"/>
        </w:rPr>
        <w:t>% of the association in the overall sample, with this figure being particularly pronounced in the older age group (</w:t>
      </w:r>
      <w:r w:rsidR="00DD4914" w:rsidRPr="009D7AB2">
        <w:rPr>
          <w:rFonts w:cs="Times New Roman"/>
        </w:rPr>
        <w:t>51.3</w:t>
      </w:r>
      <w:r w:rsidR="00A944E8" w:rsidRPr="009D7AB2">
        <w:rPr>
          <w:rFonts w:cs="Times New Roman"/>
        </w:rPr>
        <w:t xml:space="preserve">%). </w:t>
      </w:r>
      <w:r w:rsidR="00886905" w:rsidRPr="009D7AB2">
        <w:rPr>
          <w:rFonts w:cs="Times New Roman"/>
        </w:rPr>
        <w:t>It</w:t>
      </w:r>
      <w:r w:rsidR="00886905">
        <w:rPr>
          <w:rFonts w:cs="Times New Roman"/>
        </w:rPr>
        <w:t xml:space="preserve"> is possible that mobility limitations may make an individual more sedentary</w:t>
      </w:r>
      <w:r w:rsidR="003F5E27">
        <w:rPr>
          <w:rFonts w:cs="Times New Roman"/>
        </w:rPr>
        <w:t xml:space="preserve"> </w:t>
      </w:r>
      <w:r w:rsidR="003F5E27">
        <w:rPr>
          <w:rFonts w:cs="Times New Roman"/>
        </w:rPr>
        <w:fldChar w:fldCharType="begin" w:fldLock="1"/>
      </w:r>
      <w:r w:rsidR="005320AE">
        <w:rPr>
          <w:rFonts w:cs="Times New Roman"/>
        </w:rPr>
        <w:instrText>ADDIN CSL_CITATION {"citationItems":[{"id":"ITEM-1","itemData":{"DOI":"10.3390/ijerph110100773","ISSN":"16617827","abstract":"Sedentary behavior defined as time spent non-exercising seated or reclining posture has been identified has a health risk and associated with frailty and disablement for older adults. Older adults are the most sedentary segment of society. To date no study has investigated the determinants of sedentary behavior in older adults. This study reports a qualitative investigation of the determinants of sedentary behavior, strategies and motivator to reduce sitting time by structured interviews in a group of community dwelling older women (N = 11, age 65 and over). Older women expressed the view that their sedentary behavior is mostly determined by pain which acts both as an incentive to sit and a motivator to stand up, lack of energy in the afternoon, pressure from direct social circle to sit and rest, societal and environmental typecasting that older adult are meant to sit, lack of environmental facilities to allow activity pacing. This qualitative investigation highlighted some factors that older adults consider determinants of their sedentary behavior. Some are identical to those affecting physical activity (self-efficacy, functional limitations, ageist stereotyping) but some appear specific to sedentary behavior (locus of control, pain) and should be further investigated and considered during intervention design. Tailored interventions that pay attention to the pattern of sedentary behavior of individuals appear to be supported by the views of older women on their sedentary behavior. © 2014 by the authors; licensee MDPI, Basel, Switzerland.","author":[{"dropping-particle":"","family":"Chastin","given":"Sebastien F.M.","non-dropping-particle":"","parse-names":false,"suffix":""},{"dropping-particle":"","family":"Fitzpatrick","given":"Nicole","non-dropping-particle":"","parse-names":false,"suffix":""},{"dropping-particle":"","family":"Andrews","given":"Michelle","non-dropping-particle":"","parse-names":false,"suffix":""},{"dropping-particle":"","family":"DiCroce","given":"Natalie","non-dropping-particle":"","parse-names":false,"suffix":""}],"container-title":"International Journal of Environmental Research and Public Health","id":"ITEM-1","issue":"1","issued":{"date-parts":[["2014","1","7"]]},"page":"773-791","publisher":"Multidisciplinary Digital Publishing Institute  (MDPI)","title":"Determinants of sedentary behavior, motivation, barriers and strategies to reduce sitting time in older women: A qualitative investigation","type":"article-journal","volume":"11"},"uris":["http://www.mendeley.com/documents/?uuid=d81d5982-fba2-3f38-872c-6fe374163258"]}],"mendeley":{"formattedCitation":"[39]","plainTextFormattedCitation":"[39]","previouslyFormattedCitation":"[39]"},"properties":{"noteIndex":0},"schema":"https://github.com/citation-style-language/schema/raw/master/csl-citation.json"}</w:instrText>
      </w:r>
      <w:r w:rsidR="003F5E27">
        <w:rPr>
          <w:rFonts w:cs="Times New Roman"/>
        </w:rPr>
        <w:fldChar w:fldCharType="separate"/>
      </w:r>
      <w:r w:rsidR="005A559A" w:rsidRPr="005A559A">
        <w:rPr>
          <w:rFonts w:cs="Times New Roman"/>
          <w:noProof/>
        </w:rPr>
        <w:t>[39]</w:t>
      </w:r>
      <w:r w:rsidR="003F5E27">
        <w:rPr>
          <w:rFonts w:cs="Times New Roman"/>
        </w:rPr>
        <w:fldChar w:fldCharType="end"/>
      </w:r>
      <w:r w:rsidR="003F5E27">
        <w:rPr>
          <w:rFonts w:cs="Times New Roman"/>
        </w:rPr>
        <w:t xml:space="preserve">, </w:t>
      </w:r>
      <w:r w:rsidR="00886905">
        <w:rPr>
          <w:rFonts w:cs="Times New Roman"/>
        </w:rPr>
        <w:t xml:space="preserve">but </w:t>
      </w:r>
      <w:r w:rsidR="00F00306">
        <w:rPr>
          <w:rFonts w:cs="Times New Roman"/>
        </w:rPr>
        <w:t xml:space="preserve">SB </w:t>
      </w:r>
      <w:r w:rsidR="007153FE">
        <w:rPr>
          <w:rFonts w:cs="Times New Roman"/>
        </w:rPr>
        <w:t>may also lead to decline</w:t>
      </w:r>
      <w:r w:rsidR="00476CEB">
        <w:rPr>
          <w:rFonts w:cs="Times New Roman"/>
        </w:rPr>
        <w:t>s</w:t>
      </w:r>
      <w:r w:rsidR="007153FE">
        <w:rPr>
          <w:rFonts w:cs="Times New Roman"/>
        </w:rPr>
        <w:t xml:space="preserve"> in functional abilities and mobility limitations </w:t>
      </w:r>
      <w:r w:rsidR="00AC5E51">
        <w:rPr>
          <w:rFonts w:cs="Times New Roman"/>
        </w:rPr>
        <w:t>by</w:t>
      </w:r>
      <w:r w:rsidR="00D84BD7">
        <w:rPr>
          <w:rFonts w:cs="Times New Roman"/>
        </w:rPr>
        <w:t>, for example,</w:t>
      </w:r>
      <w:r w:rsidR="00C06539">
        <w:rPr>
          <w:rFonts w:cs="Times New Roman"/>
        </w:rPr>
        <w:t xml:space="preserve"> </w:t>
      </w:r>
      <w:r w:rsidR="004140E8">
        <w:rPr>
          <w:rFonts w:cs="Times New Roman"/>
        </w:rPr>
        <w:t>directly increasing the risk of chronic disorders (</w:t>
      </w:r>
      <w:r w:rsidR="00597663">
        <w:rPr>
          <w:rFonts w:cs="Times New Roman"/>
        </w:rPr>
        <w:t xml:space="preserve">e.g., </w:t>
      </w:r>
      <w:r w:rsidR="004140E8">
        <w:rPr>
          <w:rFonts w:cs="Times New Roman"/>
        </w:rPr>
        <w:t xml:space="preserve">type 2 diabetes and cardiovascular disease) or by increasing the risk of metabolic syndrome </w:t>
      </w:r>
      <w:r w:rsidR="00944F85">
        <w:rPr>
          <w:rFonts w:cs="Times New Roman"/>
        </w:rPr>
        <w:fldChar w:fldCharType="begin" w:fldLock="1"/>
      </w:r>
      <w:r w:rsidR="005320AE">
        <w:rPr>
          <w:rFonts w:cs="Times New Roman"/>
        </w:rPr>
        <w:instrText>ADDIN CSL_CITATION {"citationItems":[{"id":"ITEM-1","itemData":{"DOI":"10.1111/jgs.15584","ISSN":"15325415","abstract":"Objectives: Physical function declines with aging and is accelerated for persons with cardiovascular disease (CVD). While CVD increases the risk of functional decline in late life, little is known about differences in trajectories of functional decline. To determine whether there is more than 1 trajectory of functional decline in Americans with cardiovascular disease (CVD) who are functionally independent. Design: Secondary analysis of National Health and Aging Trends Study (NHATS). Latent class growth modeling was used to estimate trajectories of function over 4 years of follow-up. Setting: Annual structured in-home interviews. Participants: Americans aged 65 and older with CVD who were functionally independent at baseline (N = 392). Measurements: We compared trajectories of function in individuals with CVD with trajectories of those without and examined the association between risk factors (sex, age at baseline, education level, comorbidity) and trajectory group membership. Function was measured using the Short Physical Performance Battery. Results: Three functional trajectories emerged: rapid functional decline (23.8%), gradual functional decline (44.2%), and stable function (32.0%). Similar trajectories were seen for those without CVD, with a smaller proportion in the rapid functional decline group (16.2%). Women, older participants, and those with less education and greater comorbidity were less likely to be in the stable function group than the rapid functional decline group. Conclusion: Although function declines in late life for independently functioning persons with CVD, some individuals remain stable, and others decline gradually or rapidly. Persons with CVD were more likely to experience rapid functional decline than those without, suggesting that CVD increases the risk of rapid functional decline. Risk factors predicted functional trajectory group membership, not just overall decline. J Am Geriatr Soc 67:37–42, 2019.","author":[{"dropping-particle":"","family":"Keeney","given":"Tamra","non-dropping-particle":"","parse-names":false,"suffix":""},{"dropping-particle":"","family":"Fox","given":"Annie B.","non-dropping-particle":"","parse-names":false,"suffix":""},{"dropping-particle":"","family":"Jette","given":"Diane U.","non-dropping-particle":"","parse-names":false,"suffix":""},{"dropping-particle":"","family":"Jette","given":"Alan","non-dropping-particle":"","parse-names":false,"suffix":""}],"container-title":"Journal of the American Geriatrics Society","id":"ITEM-1","issue":"1","issued":{"date-parts":[["2019","1","1"]]},"page":"37-42","publisher":"Blackwell Publishing Inc.","title":"Functional Trajectories of Persons with Cardiovascular Disease in Late Life","type":"article-journal","volume":"67"},"uris":["http://www.mendeley.com/documents/?uuid=7a470320-e7ee-3227-97e5-558267ab1f5a"]},{"id":"ITEM-2","itemData":{"DOI":"10.1123/jpah.2019-0377","ISSN":"15435476","PMID":"31794961","abstract":"Background: Recent updates to physical activity guidelines highlight the importance of reducing sedentary time. However, at present, only general recommendations are possible (ie, \"Sit less, move more\"). There remains a need to investigate the strength, temporality, specificity, and dose-response nature of sedentary behavior associations with chronic disease, along with potential underlying mechanisms. Methods: Stemming from a recent research workshop organized by the Sedentary Behavior Council themed \"Sedentary behaviour mechanisms-biological and behavioural pathways linking sitting to adverse health outcomes,\" this paper (1) discusses existing challenges and scientific discussions within this advancing area of science, (2) highlights and discusses emerging areas of interest, and (3) points to potential future directions. Results: A brief knowledge update is provided, reflecting upon current and evolving thinking/discussions, and the rapid accumulation of new evidence linking sedentary behavior to chronic disease. Research \"action points\" are made at the end of each section-spanning from measurement systems and analytic methods, genetic epidemiology, causal mediation, and experimental studies to biological and behavioral determinants and mechanisms. Conclusion: A better understanding of whether and how sedentary behavior is causally related to chronic disease will allow for more meaningful conclusions in the future and assist in refining clinical and public health policies/recommendations.","author":[{"dropping-particle":"","family":"Dempsey","given":"Paddy C.","non-dropping-particle":"","parse-names":false,"suffix":""},{"dropping-particle":"","family":"Matthews","given":"Chuck E.","non-dropping-particle":"","parse-names":false,"suffix":""},{"dropping-particle":"","family":"Dashti","given":"S. Ghazaleh","non-dropping-particle":"","parse-names":false,"suffix":""},{"dropping-particle":"","family":"Doherty","given":"Aiden R.","non-dropping-particle":"","parse-names":false,"suffix":""},{"dropping-particle":"","family":"Bergouignan","given":"Audrey","non-dropping-particle":"","parse-names":false,"suffix":""},{"dropping-particle":"","family":"Roekel","given":"Eline H.","non-dropping-particle":"Van","parse-names":false,"suffix":""},{"dropping-particle":"","family":"Dunstan","given":"David W.","non-dropping-particle":"","parse-names":false,"suffix":""},{"dropping-particle":"","family":"Wareham","given":"Nicholas J.","non-dropping-particle":"","parse-names":false,"suffix":""},{"dropping-particle":"","family":"Yates","given":"Thomas E.","non-dropping-particle":"","parse-names":false,"suffix":""},{"dropping-particle":"","family":"Wijndaele","given":"Katrien","non-dropping-particle":"","parse-names":false,"suffix":""},{"dropping-particle":"","family":"Lynch","given":"Brigid M.","non-dropping-particle":"","parse-names":false,"suffix":""}],"container-title":"Journal of Physical Activity and Health","id":"ITEM-2","issue":"1","issued":{"date-parts":[["2020"]]},"page":"52-61","publisher":"Human Kinetics Publishers Inc.","title":"Sedentary behavior and chronic disease: Mechanisms and future directions","type":"article-journal","volume":"17"},"uris":["http://www.mendeley.com/documents/?uuid=acd2e0fc-b2b6-3db7-b12a-8be655ce5cad"]}],"mendeley":{"formattedCitation":"[40,41]","plainTextFormattedCitation":"[40,41]","previouslyFormattedCitation":"[40,41]"},"properties":{"noteIndex":0},"schema":"https://github.com/citation-style-language/schema/raw/master/csl-citation.json"}</w:instrText>
      </w:r>
      <w:r w:rsidR="00944F85">
        <w:rPr>
          <w:rFonts w:cs="Times New Roman"/>
        </w:rPr>
        <w:fldChar w:fldCharType="separate"/>
      </w:r>
      <w:r w:rsidR="005A559A" w:rsidRPr="005A559A">
        <w:rPr>
          <w:rFonts w:cs="Times New Roman"/>
          <w:noProof/>
        </w:rPr>
        <w:t>[40,41]</w:t>
      </w:r>
      <w:r w:rsidR="00944F85">
        <w:rPr>
          <w:rFonts w:cs="Times New Roman"/>
        </w:rPr>
        <w:fldChar w:fldCharType="end"/>
      </w:r>
      <w:r w:rsidR="00944F85">
        <w:rPr>
          <w:rFonts w:cs="Times New Roman"/>
        </w:rPr>
        <w:t xml:space="preserve">. </w:t>
      </w:r>
      <w:r w:rsidR="007153FE">
        <w:rPr>
          <w:rFonts w:cs="Times New Roman"/>
        </w:rPr>
        <w:t>In turn, d</w:t>
      </w:r>
      <w:r w:rsidR="007153FE" w:rsidRPr="00070D0E">
        <w:t>eclines in</w:t>
      </w:r>
      <w:r w:rsidR="007153FE">
        <w:t xml:space="preserve"> functional capacity have been associated </w:t>
      </w:r>
      <w:r w:rsidR="003B5DDD">
        <w:t>with</w:t>
      </w:r>
      <w:r w:rsidR="007153FE">
        <w:t xml:space="preserve"> higher risk of unhappiness in older adults </w:t>
      </w:r>
      <w:r w:rsidR="007153FE">
        <w:fldChar w:fldCharType="begin" w:fldLock="1"/>
      </w:r>
      <w:r w:rsidR="005320AE">
        <w:instrText>ADDIN CSL_CITATION {"citationItems":[{"id":"ITEM-1","itemData":{"DOI":"10.1123/japa.2016-0359","ISSN":"1543267X","abstract":"Background: Physical function is positively associated with subjective well-being in older adults from high-income nations. This study tests whether this association is evident in low- and middle-income countries. Methods: Data were drawn from the study on global AGEing and adult health, using nationally representative samples of individuals over 50 years old from China, Ghana, India, Mexico, Russia, and South Africa. Participant interviews measured well-being (quality of life, mood, and happiness) and physical function (grip strength, usual and rapid gait speed). Logistic regressions tested relations between physical function and well-being variables within each country. Results: Higher physical function measures exhibited moderate, yet significant, associations with increased odds of highly rated well-being (p &lt; .05). However, higher gait speeds were unexpectedly associated with decreased odds of highly rated well-being (p &lt; .05) in South Africa and Russia. Conclusion: These results suggest that physical function is generally positively associated with perceived well-being in older individuals from lower income nations.","author":[{"dropping-particle":"","family":"Gildner","given":"Theresa E.","non-dropping-particle":"","parse-names":false,"suffix":""},{"dropping-particle":"","family":"Snodgrass","given":"J. Josh","non-dropping-particle":"","parse-names":false,"suffix":""},{"dropping-particle":"","family":"Evans","given":"Clare","non-dropping-particle":"","parse-names":false,"suffix":""},{"dropping-particle":"","family":"Kowal","given":"Paul","non-dropping-particle":"","parse-names":false,"suffix":""}],"container-title":"Journal of Aging and Physical Activity","id":"ITEM-1","issue":"2","issued":{"date-parts":[["2019"]]},"page":"213-221","publisher":"Human Kinetics Publishers Inc.","title":"Associations between physical function and subjective well-being in older adults from low- and middle-income countries: Results from the Study on Global AGEing and Adult Health (SAGE)","type":"article-journal","volume":"27"},"uris":["http://www.mendeley.com/documents/?uuid=c6988be8-56b1-3377-b1b3-da7744f31f5c"]}],"mendeley":{"formattedCitation":"[42]","plainTextFormattedCitation":"[42]","previouslyFormattedCitation":"[42]"},"properties":{"noteIndex":0},"schema":"https://github.com/citation-style-language/schema/raw/master/csl-citation.json"}</w:instrText>
      </w:r>
      <w:r w:rsidR="007153FE">
        <w:fldChar w:fldCharType="separate"/>
      </w:r>
      <w:r w:rsidR="005A559A" w:rsidRPr="005A559A">
        <w:rPr>
          <w:noProof/>
        </w:rPr>
        <w:t>[42]</w:t>
      </w:r>
      <w:r w:rsidR="007153FE">
        <w:fldChar w:fldCharType="end"/>
      </w:r>
      <w:r w:rsidR="007153FE">
        <w:t xml:space="preserve">, </w:t>
      </w:r>
      <w:r w:rsidR="007153FE" w:rsidRPr="0040498E">
        <w:t xml:space="preserve">possibly due to low resilience </w:t>
      </w:r>
      <w:r w:rsidR="007153FE" w:rsidRPr="0040498E">
        <w:fldChar w:fldCharType="begin" w:fldLock="1"/>
      </w:r>
      <w:r w:rsidR="005320AE">
        <w:instrText>ADDIN CSL_CITATION {"citationItems":[{"id":"ITEM-1","itemData":{"DOI":"10.1016/j.gerinurse.2016.02.014","ISSN":"15283984","abstract":"The purpose of this literature review was to provide an overview of resilience for the purpose of informing potential intervention designs that may benefit older adults. While numerous reviews have focused on various specific aspects of resilience, none have provided the necessary information required to design an effective resilience intervention. Research examining resilience suggests that older adults are capable of high resilience despite socioeconomic backgrounds, personal experiences, and declining health. Thus opportunities to inform interventions in this area exist. Research studies have identified the common mental, social, and physical characteristics associated with resilience. High resilience has also been significantly associated with positive outcomes, including successful aging, lower depression, and longevity. Interventions to enhance resilience within this population are warranted, but little evidence of success exists. Thus this review provides an overview of resilience that may aid in the design of resilience interventions for the often underserved population of older adults.","author":[{"dropping-particle":"","family":"MacLeod","given":"Stephanie","non-dropping-particle":"","parse-names":false,"suffix":""},{"dropping-particle":"","family":"Musich","given":"Shirley","non-dropping-particle":"","parse-names":false,"suffix":""},{"dropping-particle":"","family":"Hawkins","given":"Kevin","non-dropping-particle":"","parse-names":false,"suffix":""},{"dropping-particle":"","family":"Alsgaard","given":"Kathleen","non-dropping-particle":"","parse-names":false,"suffix":""},{"dropping-particle":"","family":"Wicker","given":"Ellen R.","non-dropping-particle":"","parse-names":false,"suffix":""}],"container-title":"Geriatric Nursing","id":"ITEM-1","issue":"4","issued":{"date-parts":[["2016","7","1"]]},"page":"266-272","publisher":"Mosby Inc.","title":"The impact of resilience among older adults","type":"article-journal","volume":"37"},"uris":["http://www.mendeley.com/documents/?uuid=59c7a0a5-353f-3e67-9f8e-47e279433d9a"]}],"mendeley":{"formattedCitation":"[43]","plainTextFormattedCitation":"[43]","previouslyFormattedCitation":"[43]"},"properties":{"noteIndex":0},"schema":"https://github.com/citation-style-language/schema/raw/master/csl-citation.json"}</w:instrText>
      </w:r>
      <w:r w:rsidR="007153FE" w:rsidRPr="0040498E">
        <w:fldChar w:fldCharType="separate"/>
      </w:r>
      <w:r w:rsidR="005A559A" w:rsidRPr="005A559A">
        <w:rPr>
          <w:noProof/>
        </w:rPr>
        <w:t>[43]</w:t>
      </w:r>
      <w:r w:rsidR="007153FE" w:rsidRPr="0040498E">
        <w:fldChar w:fldCharType="end"/>
      </w:r>
      <w:r w:rsidR="007153FE" w:rsidRPr="0040498E">
        <w:t xml:space="preserve"> and restrictions of personal freedom of choice linked to disruptions in daily functioning </w:t>
      </w:r>
      <w:r w:rsidR="007153FE" w:rsidRPr="0040498E">
        <w:fldChar w:fldCharType="begin" w:fldLock="1"/>
      </w:r>
      <w:r w:rsidR="005320AE">
        <w:instrText>ADDIN CSL_CITATION {"citationItems":[{"id":"ITEM-1","itemData":{"DOI":"10.1007/s11205-004-6297-y","ISSN":"03038300","abstract":"In this paper, subjective well being, as measured by survey questions on happiness and life satisfaction, is investigated from a sociological-comparative point of view. The central thesis is that happiness and satisfaction must be understood as the outcome of an interaction process between individual characteristics and aspirations on the one side, and social relations and macrosocial structures on the other side. A distinction is made between life satisfaction and happiness; the former is more seen as the outcome of an evaluation process including material and social aspirations and achievements, the latter as an outcome of positive experiences, particularly close personal relationships. The focus of this paper is on micro- and macrosocial conditions favouring or inhibiting the emergence of happiness and satisfaction. It is hypothesized that dense and good basic social relations, occupational involvement and success, sociocultural (religious and altruistic) orientations and participation are conducive to happiness and life satisfaction; the same should be true at the macrolevel for economic prosperity, relatively equal social structures, a well-established welfare state and political democracy. The latter conditions, however, should be more important for life satisfaction than for happiness. A comparative, multilevel regression analysis of happiness in 41 nations around the world is carried out (using the World Value Survey 1995 - 1997). Both our general assumption and most of the specific hypotheses could be confirmed. It turned very clearly that \"happiness\" and \"life satisfaction\" are two different concepts. It could be shown that microsocial embedding and sociocultural integration of a person are highly relevant for happiness. However, contrary to earlier studies, we find that macrosocial factors like the economic wealth of nation, the distribution of income, the extent of the welfare state and political freedom are also relevant, particularly for satisfaction. What counts most is the ability to cope with life, including subjective health and financial satisfaction, close social relations, and the economic perspectives for improvement in the future, both at the level of the individual and at that of the society. These abilities are certainly improved by favourable macrosocial conditions and institutions, such as a more equal income distribution, political democracy and a welfare state. © Springer 2006.","author":[{"dropping-particle":"","family":"Haller","given":"Max","non-dropping-particle":"","parse-names":false,"suffix":""},{"dropping-particle":"","family":"Hadler","given":"Markus","non-dropping-particle":"","parse-names":false,"suffix":""}],"container-title":"Social Indicators Research","id":"ITEM-1","issue":"2","issued":{"date-parts":[["2006","1"]]},"page":"169-216","title":"How social relations and structures can produce happiness and unhappiness: An international comparative analysis","type":"article","volume":"75"},"uris":["http://www.mendeley.com/documents/?uuid=6f0795a7-6283-3932-ba27-a00ea2f30484"]}],"mendeley":{"formattedCitation":"[44]","plainTextFormattedCitation":"[44]","previouslyFormattedCitation":"[44]"},"properties":{"noteIndex":0},"schema":"https://github.com/citation-style-language/schema/raw/master/csl-citation.json"}</w:instrText>
      </w:r>
      <w:r w:rsidR="007153FE" w:rsidRPr="0040498E">
        <w:fldChar w:fldCharType="separate"/>
      </w:r>
      <w:r w:rsidR="005A559A" w:rsidRPr="005A559A">
        <w:rPr>
          <w:noProof/>
        </w:rPr>
        <w:t>[44]</w:t>
      </w:r>
      <w:r w:rsidR="007153FE" w:rsidRPr="0040498E">
        <w:fldChar w:fldCharType="end"/>
      </w:r>
      <w:r w:rsidR="007153FE" w:rsidRPr="0040498E">
        <w:t xml:space="preserve">. </w:t>
      </w:r>
    </w:p>
    <w:p w14:paraId="3C866F70" w14:textId="5807F298" w:rsidR="00B65FCF" w:rsidRDefault="00594455" w:rsidP="005D3987">
      <w:pPr>
        <w:spacing w:line="480" w:lineRule="auto"/>
        <w:ind w:firstLine="720"/>
      </w:pPr>
      <w:r>
        <w:t>P</w:t>
      </w:r>
      <w:r w:rsidR="00EF3D76">
        <w:t>ain and discomfort explained between 1</w:t>
      </w:r>
      <w:r w:rsidR="00DD4914">
        <w:t>8</w:t>
      </w:r>
      <w:r w:rsidR="00EF3D76">
        <w:t xml:space="preserve">-31% of the SB-happiness association. Pain </w:t>
      </w:r>
      <w:r w:rsidR="00B65FCF">
        <w:t xml:space="preserve">and SB </w:t>
      </w:r>
      <w:r w:rsidR="00EF3D76">
        <w:t xml:space="preserve">are </w:t>
      </w:r>
      <w:r w:rsidR="00B14A34">
        <w:t xml:space="preserve">known to be </w:t>
      </w:r>
      <w:r w:rsidR="00EF3D76">
        <w:t>bi-directionally associated factors</w:t>
      </w:r>
      <w:r w:rsidR="007A46D5">
        <w:t xml:space="preserve">. </w:t>
      </w:r>
      <w:r w:rsidR="00500C34">
        <w:t>P</w:t>
      </w:r>
      <w:r w:rsidR="0036330F">
        <w:t>rolonged immobilization is a risk factor for musculoskeletal pain</w:t>
      </w:r>
      <w:r w:rsidR="00532310">
        <w:t xml:space="preserve"> </w:t>
      </w:r>
      <w:r w:rsidR="00532310">
        <w:fldChar w:fldCharType="begin" w:fldLock="1"/>
      </w:r>
      <w:r w:rsidR="005320AE">
        <w:instrText>ADDIN CSL_CITATION {"citationItems":[{"id":"ITEM-1","itemData":{"ISSN":"0008350X","PMID":"8324411","abstract":"Prolonged bed rest and immobilization inevitably lead to complications. Such complications are much easier to prevent than to treat. Musculoskeletal complications include loss of muscle strength and endurance, contractures and soft tissue changes, disuse osteoporosis, and degenerative joint disease. Cardiovascular complications include an increased heart rate, decreased cardiac reserve, orthostatic hypotension, and venous thromboembolism.","author":[{"dropping-particle":"","family":"Dittmer","given":"D. K.","non-dropping-particle":"","parse-names":false,"suffix":""},{"dropping-particle":"","family":"Teasell","given":"R.","non-dropping-particle":"","parse-names":false,"suffix":""}],"container-title":"Canadian Family Physician","id":"ITEM-1","issued":{"date-parts":[["1993","6"]]},"page":"1428-1432, 1435","title":"Complications of immobilization and bed rest. Part 1: Musculoskeletal and cardiovascular complications.","type":"article","volume":"39"},"uris":["http://www.mendeley.com/documents/?uuid=3274c76e-9a32-331c-89b4-459a83a25451"]}],"mendeley":{"formattedCitation":"[45]","plainTextFormattedCitation":"[45]","previouslyFormattedCitation":"[45]"},"properties":{"noteIndex":0},"schema":"https://github.com/citation-style-language/schema/raw/master/csl-citation.json"}</w:instrText>
      </w:r>
      <w:r w:rsidR="00532310">
        <w:fldChar w:fldCharType="separate"/>
      </w:r>
      <w:r w:rsidR="005A559A" w:rsidRPr="005A559A">
        <w:rPr>
          <w:noProof/>
        </w:rPr>
        <w:t>[45]</w:t>
      </w:r>
      <w:r w:rsidR="00532310">
        <w:fldChar w:fldCharType="end"/>
      </w:r>
      <w:r w:rsidR="00532310">
        <w:t xml:space="preserve">, </w:t>
      </w:r>
      <w:r w:rsidR="004909C1">
        <w:t>while</w:t>
      </w:r>
      <w:r w:rsidR="0036330F">
        <w:t xml:space="preserve"> older adults with chronic pain may engage in SB as a positive coping strategy that keeps them functional</w:t>
      </w:r>
      <w:r w:rsidR="00532310">
        <w:t xml:space="preserve"> </w:t>
      </w:r>
      <w:r w:rsidR="00532310">
        <w:fldChar w:fldCharType="begin" w:fldLock="1"/>
      </w:r>
      <w:r w:rsidR="005320AE">
        <w:instrText>ADDIN CSL_CITATION {"citationItems":[{"id":"ITEM-1","itemData":{"DOI":"10.3390/ijerph110100773","ISSN":"16617827","abstract":"Sedentary behavior defined as time spent non-exercising seated or reclining posture has been identified has a health risk and associated with frailty and disablement for older adults. Older adults are the most sedentary segment of society. To date no study has investigated the determinants of sedentary behavior in older adults. This study reports a qualitative investigation of the determinants of sedentary behavior, strategies and motivator to reduce sitting time by structured interviews in a group of community dwelling older women (N = 11, age 65 and over). Older women expressed the view that their sedentary behavior is mostly determined by pain which acts both as an incentive to sit and a motivator to stand up, lack of energy in the afternoon, pressure from direct social circle to sit and rest, societal and environmental typecasting that older adult are meant to sit, lack of environmental facilities to allow activity pacing. This qualitative investigation highlighted some factors that older adults consider determinants of their sedentary behavior. Some are identical to those affecting physical activity (self-efficacy, functional limitations, ageist stereotyping) but some appear specific to sedentary behavior (locus of control, pain) and should be further investigated and considered during intervention design. Tailored interventions that pay attention to the pattern of sedentary behavior of individuals appear to be supported by the views of older women on their sedentary behavior. © 2014 by the authors; licensee MDPI, Basel, Switzerland.","author":[{"dropping-particle":"","family":"Chastin","given":"Sebastien F.M.","non-dropping-particle":"","parse-names":false,"suffix":""},{"dropping-particle":"","family":"Fitzpatrick","given":"Nicole","non-dropping-particle":"","parse-names":false,"suffix":""},{"dropping-particle":"","family":"Andrews","given":"Michelle","non-dropping-particle":"","parse-names":false,"suffix":""},{"dropping-particle":"","family":"DiCroce","given":"Natalie","non-dropping-particle":"","parse-names":false,"suffix":""}],"container-title":"International Journal of Environmental Research and Public Health","id":"ITEM-1","issue":"1","issued":{"date-parts":[["2014","1","7"]]},"page":"773-791","publisher":"Multidisciplinary Digital Publishing Institute  (MDPI)","title":"Determinants of sedentary behavior, motivation, barriers and strategies to reduce sitting time in older women: A qualitative investigation","type":"article-journal","volume":"11"},"uris":["http://www.mendeley.com/documents/?uuid=d81d5982-fba2-3f38-872c-6fe374163258"]}],"mendeley":{"formattedCitation":"[39]","plainTextFormattedCitation":"[39]","previouslyFormattedCitation":"[39]"},"properties":{"noteIndex":0},"schema":"https://github.com/citation-style-language/schema/raw/master/csl-citation.json"}</w:instrText>
      </w:r>
      <w:r w:rsidR="00532310">
        <w:fldChar w:fldCharType="separate"/>
      </w:r>
      <w:r w:rsidR="005A559A" w:rsidRPr="005A559A">
        <w:rPr>
          <w:noProof/>
        </w:rPr>
        <w:t>[39]</w:t>
      </w:r>
      <w:r w:rsidR="00532310">
        <w:fldChar w:fldCharType="end"/>
      </w:r>
      <w:r w:rsidR="00532310">
        <w:t xml:space="preserve">. </w:t>
      </w:r>
      <w:r w:rsidR="00B65FCF">
        <w:t xml:space="preserve">Pain </w:t>
      </w:r>
      <w:r w:rsidR="00873F42">
        <w:t xml:space="preserve">has been associated with depression </w:t>
      </w:r>
      <w:r w:rsidR="00873F42">
        <w:fldChar w:fldCharType="begin" w:fldLock="1"/>
      </w:r>
      <w:r w:rsidR="005320AE">
        <w:instrText>ADDIN CSL_CITATION {"citationItems":[{"id":"ITEM-1","itemData":{"DOI":"10.1017/S0033291717001477","ISSN":"14698978","abstract":"Background Depression and pain are leading causes of global disability. However, there is a paucity of multinational population data assessing the association between depression and pain, particularly among low- and middle-income countries (LMICs) where both are common. Therefore, we investigated this association across 47 LMICs. Methods Community-based data on 273 952 individuals from 47 LMICs were analysed. Multivariable logistic and linear regression analyses were performed to assess the association between the International Classification of Diseases, 10th Revision depression/depression subtypes (over the past 12 months) and pain in the previous 30 days based on self-reported data. Country-wide meta-analysis adjusting for age and sex was also conducted. Results The prevalence of severe pain was 8.0, 28.2, 20.2, and 34.0% for no depression, subsyndromal depression, brief depressive episode, and depressive episode, respectively. Logistic regression adjusted for socio-demographic variables, anxiety and chronic medical conditions (arthritis, diabetes, angina, asthma) demonstrated that compared with no depression, subsyndromal depression, brief depressive episode, and depressive episode were associated with a 2.16 [95% confidence interval (CI) 1.83-2.55], 1.45 (95% CI 1.22-1.73), and 2.11 (95% CI 1.87-2.39) increase in odds of severe pain, respectively. Similar results were obtained when a continuous pain scale was used as the outcome. Depression was significantly associated with severe pain in 44/47 countries with a pooled odds ratio of 3.93 (95% CI 3.54-4.37). Conclusion Depression and severe pain are highly comorbid across LMICs, independent of anxiety and chronic medical conditions. Whether depression treatment or pain management in patients with comorbid pain and depression leads to better clinical outcome is an area for future research.","author":[{"dropping-particle":"","family":"Stubbs","given":"B.","non-dropping-particle":"","parse-names":false,"suffix":""},{"dropping-particle":"","family":"Vancampfort","given":"D.","non-dropping-particle":"","parse-names":false,"suffix":""},{"dropping-particle":"","family":"Veronese","given":"N.","non-dropping-particle":"","parse-names":false,"suffix":""},{"dropping-particle":"","family":"Thompson","given":"T.","non-dropping-particle":"","parse-names":false,"suffix":""},{"dropping-particle":"","family":"Fornaro","given":"M.","non-dropping-particle":"","parse-names":false,"suffix":""},{"dropping-particle":"","family":"Schofield","given":"P.","non-dropping-particle":"","parse-names":false,"suffix":""},{"dropping-particle":"","family":"Solmi","given":"M.","non-dropping-particle":"","parse-names":false,"suffix":""},{"dropping-particle":"","family":"Mugisha","given":"J.","non-dropping-particle":"","parse-names":false,"suffix":""},{"dropping-particle":"","family":"Carvalho","given":"A. F.","non-dropping-particle":"","parse-names":false,"suffix":""},{"dropping-particle":"","family":"Koyanagi","given":"A.","non-dropping-particle":"","parse-names":false,"suffix":""}],"container-title":"Psychological Medicine","id":"ITEM-1","issue":"16","issued":{"date-parts":[["2017","12","1"]]},"page":"2906-2917","publisher":"Cambridge University Press","title":"Depression and pain: Primary data and meta-analysis among 237 952 people across 47 low- and middle-income countries","type":"article-journal","volume":"47"},"uris":["http://www.mendeley.com/documents/?uuid=b20e7c22-4ff9-333e-9dcb-25cd928b098c"]}],"mendeley":{"formattedCitation":"[46]","plainTextFormattedCitation":"[46]","previouslyFormattedCitation":"[46]"},"properties":{"noteIndex":0},"schema":"https://github.com/citation-style-language/schema/raw/master/csl-citation.json"}</w:instrText>
      </w:r>
      <w:r w:rsidR="00873F42">
        <w:fldChar w:fldCharType="separate"/>
      </w:r>
      <w:r w:rsidR="005A559A" w:rsidRPr="005A559A">
        <w:rPr>
          <w:noProof/>
        </w:rPr>
        <w:t>[46]</w:t>
      </w:r>
      <w:r w:rsidR="00873F42">
        <w:fldChar w:fldCharType="end"/>
      </w:r>
      <w:r w:rsidR="00873F42">
        <w:t xml:space="preserve">, and </w:t>
      </w:r>
      <w:r w:rsidR="000F7B49">
        <w:t>this</w:t>
      </w:r>
      <w:r w:rsidR="00873F42">
        <w:t xml:space="preserve"> </w:t>
      </w:r>
      <w:r w:rsidR="00B65FCF">
        <w:t>may directly lower happiness levels</w:t>
      </w:r>
      <w:r w:rsidR="00873F42">
        <w:t xml:space="preserve">, </w:t>
      </w:r>
      <w:r w:rsidR="00B65FCF">
        <w:t xml:space="preserve">or it may indirectly act via </w:t>
      </w:r>
      <w:r w:rsidR="00B65FCF">
        <w:lastRenderedPageBreak/>
        <w:t xml:space="preserve">sleep problems through either changes in positive and negative states and/or via changes in dopaminergic and </w:t>
      </w:r>
      <w:proofErr w:type="spellStart"/>
      <w:r w:rsidR="00B65FCF">
        <w:t>opiodergic</w:t>
      </w:r>
      <w:proofErr w:type="spellEnd"/>
      <w:r w:rsidR="00B65FCF">
        <w:t xml:space="preserve"> signaling </w:t>
      </w:r>
      <w:r w:rsidR="00873F42">
        <w:fldChar w:fldCharType="begin" w:fldLock="1"/>
      </w:r>
      <w:r w:rsidR="005320AE">
        <w:instrText>ADDIN CSL_CITATION {"citationItems":[{"id":"ITEM-1","itemData":{"DOI":"10.1016/j.jpain.2013.08.007","ISSN":"15265900","PMID":"24290442","abstract":"Ample evidence suggests that sleep and pain are related. However, many questions remain about the direction of causality in their association, as well as mechanisms that may account for their association. The prevailing view has generally been that they are reciprocally related. The present review critically examines the recent prospective and experimental literature (2005-present) in an attempt to update the field on emergent themes pertaining to the directionality and mechanisms of the association of sleep and pain. A key trend emerging from population-based longitudinal studies is that sleep impairments reliably predict new incidents and exacerbations of chronic pain. Microlongitudinal studies employing deep subjective and objective assessments of pain and sleep support the notion that sleep impairments are a stronger, more reliable predictor of pain than pain is of sleep impairments. Recent experimental studies suggest that sleep disturbance may impair key processes that contribute to the development and maintenance of chronic pain, including endogenous pain inhibition and joint pain. Several biopsychosocial targets for future mechanistic research on sleep and pain are discussed, including dopamine and opioid systems, positive and negative affect, and sociodemographic factors. Perspective This critical review examines the recent prospective and experimental research (2005-present) on the association of sleep and pain in an attempt to identify trends suggestive of directionality and potential mechanisms. An update on this literature is needed to guide future clinical efforts to develop and augment treatments for chronic sleep disturbance and chronic pain. © 2013 by the American Pain Society.","author":[{"dropping-particle":"","family":"Finan","given":"Patrick H.","non-dropping-particle":"","parse-names":false,"suffix":""},{"dropping-particle":"","family":"Goodin","given":"Burel R.","non-dropping-particle":"","parse-names":false,"suffix":""},{"dropping-particle":"","family":"Smith","given":"Michael T.","non-dropping-particle":"","parse-names":false,"suffix":""}],"container-title":"Journal of Pain","id":"ITEM-1","issue":"12","issued":{"date-parts":[["2013","12"]]},"page":"1539-1552","publisher":"NIH Public Access","title":"The association of sleep and pain: An update and a path forward","type":"article","volume":"14"},"uris":["http://www.mendeley.com/documents/?uuid=bd763f39-17e8-3d8b-a094-64f67ca48b7c"]}],"mendeley":{"formattedCitation":"[47]","plainTextFormattedCitation":"[47]","previouslyFormattedCitation":"[47]"},"properties":{"noteIndex":0},"schema":"https://github.com/citation-style-language/schema/raw/master/csl-citation.json"}</w:instrText>
      </w:r>
      <w:r w:rsidR="00873F42">
        <w:fldChar w:fldCharType="separate"/>
      </w:r>
      <w:r w:rsidR="005A559A" w:rsidRPr="005A559A">
        <w:rPr>
          <w:noProof/>
        </w:rPr>
        <w:t>[47]</w:t>
      </w:r>
      <w:r w:rsidR="00873F42">
        <w:fldChar w:fldCharType="end"/>
      </w:r>
      <w:r w:rsidR="00873F42">
        <w:t xml:space="preserve">. </w:t>
      </w:r>
    </w:p>
    <w:p w14:paraId="3B36A86E" w14:textId="757D18F2" w:rsidR="00507ADA" w:rsidRDefault="004F6278" w:rsidP="005D3987">
      <w:pPr>
        <w:spacing w:line="480" w:lineRule="auto"/>
        <w:ind w:firstLine="720"/>
      </w:pPr>
      <w:r>
        <w:t xml:space="preserve">Around a quarter of the </w:t>
      </w:r>
      <w:r w:rsidR="00EA16F3">
        <w:t>SB</w:t>
      </w:r>
      <w:r w:rsidR="0088671B">
        <w:t>-</w:t>
      </w:r>
      <w:r w:rsidR="00EA16F3">
        <w:t>happiness</w:t>
      </w:r>
      <w:r w:rsidR="0088671B">
        <w:t xml:space="preserve"> association</w:t>
      </w:r>
      <w:r>
        <w:t xml:space="preserve"> was explained by cognitive complaints</w:t>
      </w:r>
      <w:r w:rsidR="00EA16F3">
        <w:t xml:space="preserve">. </w:t>
      </w:r>
      <w:r w:rsidR="00716E9A">
        <w:t>Although</w:t>
      </w:r>
      <w:r w:rsidR="00830A95">
        <w:t xml:space="preserve"> the influence</w:t>
      </w:r>
      <w:r w:rsidR="00BA4D5A">
        <w:t xml:space="preserve"> </w:t>
      </w:r>
      <w:r w:rsidR="00830A95">
        <w:t xml:space="preserve">of SB </w:t>
      </w:r>
      <w:r w:rsidR="000B1FCC">
        <w:t xml:space="preserve">on </w:t>
      </w:r>
      <w:r w:rsidR="00716E9A">
        <w:t>cogniti</w:t>
      </w:r>
      <w:r w:rsidR="00817B22">
        <w:t xml:space="preserve">on </w:t>
      </w:r>
      <w:r w:rsidR="00830A95">
        <w:t xml:space="preserve">is </w:t>
      </w:r>
      <w:r w:rsidR="00F3316F">
        <w:t>unclear</w:t>
      </w:r>
      <w:r w:rsidR="00873F42">
        <w:t xml:space="preserve"> </w:t>
      </w:r>
      <w:r w:rsidR="00873F42">
        <w:fldChar w:fldCharType="begin" w:fldLock="1"/>
      </w:r>
      <w:r w:rsidR="005320AE">
        <w:instrText>ADDIN CSL_CITATION {"citationItems":[{"id":"ITEM-1","itemData":{"DOI":"10.1007/s40279-019-01186-7","ISSN":"11792035","PMID":"31529300","abstract":"Background: Besides physical activity as a target for dementia prevention, sedentary behaviour is hypothesized to be a potential target in its own right. The rising number of persons with dementia and lack of any effective treatment highlight the urgency to better understand these modifiable risk factors. Therefore, we aimed to investigate whether higher levels of sedentary behaviour are associated with reduced global cognitive functioning and slower cognitive decline in older persons without dementia. Methods: We used five population cohorts from Greece, Australia, USA, Japan, and Singapore (HELIAD, PATH, SALSA, SGS, and SLAS2) from the Cohort Studies of Memory in an International Consortium. In a coordinated analysis, we assessed the relationship between sedentary behaviour and global cognitive function with the use of linear mixed growth model analysis (mean follow-up range of 2.0–8.1 years). Results: Baseline datasets combined 10,450 older adults without dementia with a mean age range between cohorts of 66.7–75.1 years. After adjusting for multiple covariates, no cross-sectional association between sedentary behaviour and cognition was found in four studies. One association was detected where more sedentary behaviour was cross-sectionally linked to higher cognition levels (SLAS2, B = 0.118 (0.075; 0.160), P &lt; 0.001). Longitudinally, there were no associations between baseline sedentary behaviour and cognitive decline (P &gt; 0.05). Conclusions: Overall, these results do not suggest an association between total sedentary time and lower global cognition in older persons without dementia at baseline or over time. We hypothesize that specific types of sedentary behaviour may differentially influence cognition which should be investigated further. For now, it is, however, too early to establish undifferentiated sedentary time as a potential effective target for minimizing cognitive decline in older adults without dementia.","author":[{"dropping-particle":"","family":"Maasakkers","given":"Carlijn M.","non-dropping-particle":"","parse-names":false,"suffix":""},{"dropping-particle":"","family":"Claassen","given":"Jurgen A.H.R.","non-dropping-particle":"","parse-names":false,"suffix":""},{"dropping-particle":"","family":"Gardiner","given":"Paul A.","non-dropping-particle":"","parse-names":false,"suffix":""},{"dropping-particle":"","family":"Olde Rikkert","given":"Marcel G.M.","non-dropping-particle":"","parse-names":false,"suffix":""},{"dropping-particle":"","family":"Lipnicki","given":"Darren M.","non-dropping-particle":"","parse-names":false,"suffix":""},{"dropping-particle":"","family":"Scarmeas","given":"Nikolaos","non-dropping-particle":"","parse-names":false,"suffix":""},{"dropping-particle":"","family":"Dardiotis","given":"Efthimios","non-dropping-particle":"","parse-names":false,"suffix":""},{"dropping-particle":"","family":"Yannakoulia","given":"Mary","non-dropping-particle":"","parse-names":false,"suffix":""},{"dropping-particle":"","family":"Anstey","given":"Kaarin J.","non-dropping-particle":"","parse-names":false,"suffix":""},{"dropping-particle":"","family":"Cherbuin","given":"Nicolas","non-dropping-particle":"","parse-names":false,"suffix":""},{"dropping-particle":"","family":"Haan","given":"Mary N.","non-dropping-particle":"","parse-names":false,"suffix":""},{"dropping-particle":"","family":"Kumagai","given":"Shuzo","non-dropping-particle":"","parse-names":false,"suffix":""},{"dropping-particle":"","family":"Narazaki","given":"Kenji","non-dropping-particle":"","parse-names":false,"suffix":""},{"dropping-particle":"","family":"Chen","given":"Tao","non-dropping-particle":"","parse-names":false,"suffix":""},{"dropping-particle":"","family":"Ng","given":"Tze Pin","non-dropping-particle":"","parse-names":false,"suffix":""},{"dropping-particle":"","family":"Gao","given":"Qi","non-dropping-particle":"","parse-names":false,"suffix":""},{"dropping-particle":"","family":"Nyunt","given":"Ma S.Z.","non-dropping-particle":"","parse-names":false,"suffix":""},{"dropping-particle":"","family":"Crawford","given":"John D.","non-dropping-particle":"","parse-names":false,"suffix":""},{"dropping-particle":"","family":"Kochan","given":"Nicole A.","non-dropping-particle":"","parse-names":false,"suffix":""},{"dropping-particle":"","family":"Makkar","given":"Steve R.","non-dropping-particle":"","parse-names":false,"suffix":""},{"dropping-particle":"","family":"Sachdev","given":"Perminder S.","non-dropping-particle":"","parse-names":false,"suffix":""},{"dropping-particle":"","family":"Thijssen","given":"Dick H.J.","non-dropping-particle":"","parse-names":false,"suffix":""},{"dropping-particle":"","family":"Melis","given":"René J.F.","non-dropping-particle":"","parse-names":false,"suffix":""}],"container-title":"Sports Medicine","id":"ITEM-1","issue":"2","issued":{"date-parts":[["2020","2","1"]]},"page":"403-413","publisher":"Springer","title":"The Association of Sedentary Behaviour and Cognitive Function in People Without Dementia: A Coordinated Analysis Across Five Cohort Studies from COSMIC","type":"article-journal","volume":"50"},"uris":["http://www.mendeley.com/documents/?uuid=e2b76c95-1911-321b-8258-ba925e34d906"]}],"mendeley":{"formattedCitation":"[48]","plainTextFormattedCitation":"[48]","previouslyFormattedCitation":"[48]"},"properties":{"noteIndex":0},"schema":"https://github.com/citation-style-language/schema/raw/master/csl-citation.json"}</w:instrText>
      </w:r>
      <w:r w:rsidR="00873F42">
        <w:fldChar w:fldCharType="separate"/>
      </w:r>
      <w:r w:rsidR="005A559A" w:rsidRPr="005A559A">
        <w:rPr>
          <w:noProof/>
        </w:rPr>
        <w:t>[48]</w:t>
      </w:r>
      <w:r w:rsidR="00873F42">
        <w:fldChar w:fldCharType="end"/>
      </w:r>
      <w:r w:rsidR="00873F42">
        <w:t xml:space="preserve">, </w:t>
      </w:r>
      <w:r w:rsidR="00716E9A">
        <w:t xml:space="preserve">SB may impair </w:t>
      </w:r>
      <w:r w:rsidR="00817B22">
        <w:t>brain health by dysregulating glycemic control, a condition that when permanent, has been associated with brain damage and cognitive dysfunction</w:t>
      </w:r>
      <w:r w:rsidR="00CA118C">
        <w:t xml:space="preserve"> </w:t>
      </w:r>
      <w:r w:rsidR="00CA118C">
        <w:fldChar w:fldCharType="begin" w:fldLock="1"/>
      </w:r>
      <w:r w:rsidR="005320AE">
        <w:instrText>ADDIN CSL_CITATION {"citationItems":[{"id":"ITEM-1","itemData":{"DOI":"10.1016/j.trci.2017.04.001","ISSN":"23528737","abstract":"Cognitive decline leading to dementia represents a global health burden. In the absence of targeted pharmacotherapy, lifestyle approaches remain the best option for slowing the onset of dementia. However, older adults spend very little time doing moderate to vigorous exercise and spend a majority of time in sedentary behavior. Sedentary behavior has been linked to poor glycemic control and increased risk of all-cause mortality. Here, we explore a potential link between sedentary behavior and brain health. We highlight the role of glycemic control in maintaining brain function and suggest that reducing and replacing sedentary behavior with intermittent light-intensity physical activity may protect against cognitive decline by reducing glycemic variability. Given that older adults find it difficult to achieve current exercise recommendations, this may be an additional practical strategy. However, more research is needed to understand the impact of poor glycemic control on brain function and whether practical interventions aimed at reducing and replacing sedentary behavior with intermittent light intensity physical activity can help slow cognitive decline.","author":[{"dropping-particle":"","family":"Wheeler","given":"Michael J.","non-dropping-particle":"","parse-names":false,"suffix":""},{"dropping-particle":"","family":"Dempsey","given":"Paddy C.","non-dropping-particle":"","parse-names":false,"suffix":""},{"dropping-particle":"","family":"Grace","given":"Megan S.","non-dropping-particle":"","parse-names":false,"suffix":""},{"dropping-particle":"","family":"Ellis","given":"Kathryn A.","non-dropping-particle":"","parse-names":false,"suffix":""},{"dropping-particle":"","family":"Gardiner","given":"Paul A.","non-dropping-particle":"","parse-names":false,"suffix":""},{"dropping-particle":"","family":"Green","given":"Daniel J.","non-dropping-particle":"","parse-names":false,"suffix":""},{"dropping-particle":"","family":"Dunstan","given":"David W.","non-dropping-particle":"","parse-names":false,"suffix":""}],"container-title":"Alzheimer's and Dementia: Translational Research and Clinical Interventions","id":"ITEM-1","issue":"3","issued":{"date-parts":[["2017","9","1"]]},"page":"291-300","publisher":"Elsevier Inc","title":"Sedentary behavior as a risk factor for cognitive decline? A focus on the influence of glycemic control in brain health","type":"article","volume":"3"},"uris":["http://www.mendeley.com/documents/?uuid=ed09b7b4-78ba-39f5-a155-72dbd1b06dae"]}],"mendeley":{"formattedCitation":"[49]","plainTextFormattedCitation":"[49]","previouslyFormattedCitation":"[49]"},"properties":{"noteIndex":0},"schema":"https://github.com/citation-style-language/schema/raw/master/csl-citation.json"}</w:instrText>
      </w:r>
      <w:r w:rsidR="00CA118C">
        <w:fldChar w:fldCharType="separate"/>
      </w:r>
      <w:r w:rsidR="005A559A" w:rsidRPr="005A559A">
        <w:rPr>
          <w:noProof/>
        </w:rPr>
        <w:t>[49]</w:t>
      </w:r>
      <w:r w:rsidR="00CA118C">
        <w:fldChar w:fldCharType="end"/>
      </w:r>
      <w:r w:rsidR="00CA118C">
        <w:t xml:space="preserve">. </w:t>
      </w:r>
      <w:r w:rsidR="0097138D">
        <w:t xml:space="preserve">In turn, cognitive complaints </w:t>
      </w:r>
      <w:r>
        <w:t xml:space="preserve">may lead to </w:t>
      </w:r>
      <w:r w:rsidR="0097138D">
        <w:t>lower levels of happiness</w:t>
      </w:r>
      <w:r w:rsidR="00B65D36">
        <w:t xml:space="preserve"> </w:t>
      </w:r>
      <w:r w:rsidR="00B65D36">
        <w:fldChar w:fldCharType="begin" w:fldLock="1"/>
      </w:r>
      <w:r w:rsidR="005320AE">
        <w:instrText>ADDIN CSL_CITATION {"citationItems":[{"id":"ITEM-1","itemData":{"DOI":"10.1111/psyg.12112","ISSN":"13463500","author":[{"dropping-particle":"","family":"Zuniga","given":"Krystle E.","non-dropping-particle":"","parse-names":false,"suffix":""},{"dropping-particle":"","family":"Mackenzie","given":"Michael J.","non-dropping-particle":"","parse-names":false,"suffix":""},{"dropping-particle":"","family":"Kramer","given":"Arthur","non-dropping-particle":"","parse-names":false,"suffix":""},{"dropping-particle":"","family":"McAuley","given":"Edward","non-dropping-particle":"","parse-names":false,"suffix":""}],"container-title":"Psychogeriatrics","id":"ITEM-1","issue":"1","issued":{"date-parts":[["2016","1"]]},"page":"20-26","title":"Subjective memory impairment and well-being in community-dwelling older adults","type":"article-journal","volume":"16"},"uris":["http://www.mendeley.com/documents/?uuid=3fdc832e-c129-36f2-9d42-f4e716938692"]}],"mendeley":{"formattedCitation":"[50]","plainTextFormattedCitation":"[50]","previouslyFormattedCitation":"[50]"},"properties":{"noteIndex":0},"schema":"https://github.com/citation-style-language/schema/raw/master/csl-citation.json"}</w:instrText>
      </w:r>
      <w:r w:rsidR="00B65D36">
        <w:fldChar w:fldCharType="separate"/>
      </w:r>
      <w:r w:rsidR="005A559A" w:rsidRPr="005A559A">
        <w:rPr>
          <w:noProof/>
        </w:rPr>
        <w:t>[50]</w:t>
      </w:r>
      <w:r w:rsidR="00B65D36">
        <w:fldChar w:fldCharType="end"/>
      </w:r>
      <w:r w:rsidR="00B65D36">
        <w:t xml:space="preserve">, </w:t>
      </w:r>
      <w:r>
        <w:t xml:space="preserve">possibly </w:t>
      </w:r>
      <w:r w:rsidR="0097138D" w:rsidRPr="00426790">
        <w:t xml:space="preserve">due to </w:t>
      </w:r>
      <w:r w:rsidR="0097138D">
        <w:t>concer</w:t>
      </w:r>
      <w:r w:rsidR="0097138D" w:rsidRPr="00426790">
        <w:t xml:space="preserve">ns about incipient dementia </w:t>
      </w:r>
      <w:r w:rsidR="00B65D36">
        <w:fldChar w:fldCharType="begin" w:fldLock="1"/>
      </w:r>
      <w:r w:rsidR="005320AE">
        <w:instrText>ADDIN CSL_CITATION {"citationItems":[{"id":"ITEM-1","itemData":{"abstract":"Elderly people's worries about their memory are mainly caused by a lack of dear and structured information. We developed an information brochure about normal forgetfulness and dementia to inform the Dutch general public The characteristics of 500 elderly people who ordered this brochure are described here. Almost 70% were, to some extent, worried about Incipient dementia. This worry was caused mainly by the problems people experienced from their forgetfulness in daily life and the occurrence of dementia in a dose relative. The results show the importance of paying more attention to hearth education activities and hearth care policy in this field. This might increase people's quality of life and also contribute to a considerable saving for the hearth care system.","author":[{"dropping-particle":"","family":"Commissaris","given":"Cj A M","non-dropping-particle":"","parse-names":false,"suffix":""},{"dropping-particle":"","family":"Jolles","given":"J","non-dropping-particle":"","parse-names":false,"suffix":""},{"dropping-particle":"","family":"Verhey","given":"F Rj","non-dropping-particle":"","parse-names":false,"suffix":""},{"dropping-particle":"","family":"Ponds","given":"R W Rm","non-dropping-particle":"","parse-names":false,"suffix":""},{"dropping-particle":"","family":"Damoiseaux","given":"V G M","non-dropping-particle":"","parse-names":false,"suffix":""},{"dropping-particle":"","family":"Kok","given":"G J","non-dropping-particle":"","parse-names":false,"suffix":""}],"container-title":"European Journal of Public Health","id":"ITEM-1","issue":"4","issued":{"date-parts":[["1996"]]},"page":"297-299","title":"Forgetfulness or dementia? Who is worried and why?","type":"article-journal","volume":"6"},"uris":["http://www.mendeley.com/documents/?uuid=3a907133-e28a-35ff-bb79-48489044e7e9"]}],"mendeley":{"formattedCitation":"[51]","plainTextFormattedCitation":"[51]","previouslyFormattedCitation":"[51]"},"properties":{"noteIndex":0},"schema":"https://github.com/citation-style-language/schema/raw/master/csl-citation.json"}</w:instrText>
      </w:r>
      <w:r w:rsidR="00B65D36">
        <w:fldChar w:fldCharType="separate"/>
      </w:r>
      <w:r w:rsidR="005A559A" w:rsidRPr="005A559A">
        <w:rPr>
          <w:noProof/>
        </w:rPr>
        <w:t>[51]</w:t>
      </w:r>
      <w:r w:rsidR="00B65D36">
        <w:fldChar w:fldCharType="end"/>
      </w:r>
      <w:r w:rsidR="00B65D36">
        <w:t xml:space="preserve">. </w:t>
      </w:r>
      <w:r>
        <w:t>Next, s</w:t>
      </w:r>
      <w:r w:rsidR="00507ADA" w:rsidRPr="00507ADA">
        <w:t>leep problems</w:t>
      </w:r>
      <w:r>
        <w:t xml:space="preserve"> also explained the SB-happiness association to a similar degree</w:t>
      </w:r>
      <w:r w:rsidR="00507ADA" w:rsidRPr="00507ADA">
        <w:t>.</w:t>
      </w:r>
      <w:r w:rsidR="00507ADA">
        <w:t xml:space="preserve"> Poor sleep may be related to higher levels of SB </w:t>
      </w:r>
      <w:r w:rsidR="00CA1EEC">
        <w:t xml:space="preserve">via </w:t>
      </w:r>
      <w:r w:rsidR="00507ADA">
        <w:t>fatigue during waking hours</w:t>
      </w:r>
      <w:r w:rsidR="00E9633F">
        <w:t xml:space="preserve"> </w:t>
      </w:r>
      <w:r w:rsidR="00E9633F">
        <w:fldChar w:fldCharType="begin" w:fldLock="1"/>
      </w:r>
      <w:r w:rsidR="005320AE">
        <w:instrText>ADDIN CSL_CITATION {"citationItems":[{"id":"ITEM-1","itemData":{"DOI":"10.1007/s12529-016-9609-0","ISSN":"1532-7558","PMID":"27830446","abstract":"PURPOSE Sedentary behavior, characterized by a sitting or reclining posture and low-energy expenditure, has been recognized as an independent health risk factor. We conducted a systematic review and meta-analysis to examine the association between sedentary behavior and sleep problems. METHOD Keyword and reference search were performed in PubMed, Cochrance Library, and Web of Science databases to identify relevant studies. The methodological quality of each study was assessed by standardized tools. The pooled estimates on the relationship between sedentary behavior and sleep problems were calculated in meta-analysis. Subgroup analyses were conducted for studies examining alternative sedentary behavior types, using self-reported or objective measures of sedentary behavior, different age groups, and assessed with different study quality levels. RESULTS Sixteen eligible studies were identified through a literature search. Meta-analysis found sedentary behavior to be associated with an increased risk of insomnia (pooled odds ratio [POR] = 1.176, 95% confidence interval [CI] = 1.014-1.364) and sleep disturbance (POR = 1.381, 95% CI = 1.282-1.488). No association between sedentary behavior and daytime sleepiness and/or poor sleep quality was observed. Except for study quality levels, no significant differences in sleep disturbance were observed across alternative sedentary behavior types, sedentary behavior measures, and age groups in subgroup analyses. CONCLUSIONS Prolonged sedentary behavior tends to be associated with an elevated risk of insomnia and sleep disturbance in the existing literature. Future studies with experimental study design and longer follow-up periods are warranted to demonstrate the long-term causal impact of sedentary behavior on sleep problems.","author":[{"dropping-particle":"","family":"Yang","given":"Yan","non-dropping-particle":"","parse-names":false,"suffix":""},{"dropping-particle":"","family":"Shin","given":"Jong Cheol","non-dropping-particle":"","parse-names":false,"suffix":""},{"dropping-particle":"","family":"Li","given":"Dongying","non-dropping-particle":"","parse-names":false,"suffix":""},{"dropping-particle":"","family":"An","given":"Ruopeng","non-dropping-particle":"","parse-names":false,"suffix":""}],"container-title":"International journal of behavioral medicine","id":"ITEM-1","issue":"4","issued":{"date-parts":[["2017","8","1"]]},"page":"481-492","publisher":"Springer New York LLC","title":"Sedentary Behavior and Sleep Problems: a Systematic Review and Meta-Analysis.","type":"article-journal","volume":"24"},"uris":["http://www.mendeley.com/documents/?uuid=86e38b9a-563b-3b3e-b3ad-e43131243682"]}],"mendeley":{"formattedCitation":"[52]","plainTextFormattedCitation":"[52]","previouslyFormattedCitation":"[52]"},"properties":{"noteIndex":0},"schema":"https://github.com/citation-style-language/schema/raw/master/csl-citation.json"}</w:instrText>
      </w:r>
      <w:r w:rsidR="00E9633F">
        <w:fldChar w:fldCharType="separate"/>
      </w:r>
      <w:r w:rsidR="005A559A" w:rsidRPr="005A559A">
        <w:rPr>
          <w:noProof/>
        </w:rPr>
        <w:t>[52]</w:t>
      </w:r>
      <w:r w:rsidR="00E9633F">
        <w:fldChar w:fldCharType="end"/>
      </w:r>
      <w:r w:rsidR="00E9633F">
        <w:t xml:space="preserve">, </w:t>
      </w:r>
      <w:r w:rsidR="00507ADA">
        <w:t xml:space="preserve">while prolonged SB may also </w:t>
      </w:r>
      <w:r w:rsidR="00CA1EEC">
        <w:t>increase risk for</w:t>
      </w:r>
      <w:r w:rsidR="00507ADA">
        <w:t xml:space="preserve"> sleep problems </w:t>
      </w:r>
      <w:r w:rsidR="00CA1EEC">
        <w:t>through</w:t>
      </w:r>
      <w:r w:rsidR="00507ADA">
        <w:t xml:space="preserve"> several mechanisms including metabolic syndrome, LED-backlit TV exposure </w:t>
      </w:r>
      <w:r w:rsidR="00CA1EEC">
        <w:t>(</w:t>
      </w:r>
      <w:r w:rsidR="00507ADA">
        <w:t>which may cause melatonin suppression</w:t>
      </w:r>
      <w:r w:rsidR="00CA1EEC">
        <w:t>)</w:t>
      </w:r>
      <w:r w:rsidR="00507ADA">
        <w:t>, and depression</w:t>
      </w:r>
      <w:r w:rsidR="00E9633F">
        <w:t xml:space="preserve"> </w:t>
      </w:r>
      <w:r w:rsidR="00E9633F">
        <w:fldChar w:fldCharType="begin" w:fldLock="1"/>
      </w:r>
      <w:r w:rsidR="005320AE">
        <w:instrText>ADDIN CSL_CITATION {"citationItems":[{"id":"ITEM-1","itemData":{"DOI":"10.1007/s12529-016-9609-0","ISSN":"1532-7558","PMID":"27830446","abstract":"PURPOSE Sedentary behavior, characterized by a sitting or reclining posture and low-energy expenditure, has been recognized as an independent health risk factor. We conducted a systematic review and meta-analysis to examine the association between sedentary behavior and sleep problems. METHOD Keyword and reference search were performed in PubMed, Cochrance Library, and Web of Science databases to identify relevant studies. The methodological quality of each study was assessed by standardized tools. The pooled estimates on the relationship between sedentary behavior and sleep problems were calculated in meta-analysis. Subgroup analyses were conducted for studies examining alternative sedentary behavior types, using self-reported or objective measures of sedentary behavior, different age groups, and assessed with different study quality levels. RESULTS Sixteen eligible studies were identified through a literature search. Meta-analysis found sedentary behavior to be associated with an increased risk of insomnia (pooled odds ratio [POR] = 1.176, 95% confidence interval [CI] = 1.014-1.364) and sleep disturbance (POR = 1.381, 95% CI = 1.282-1.488). No association between sedentary behavior and daytime sleepiness and/or poor sleep quality was observed. Except for study quality levels, no significant differences in sleep disturbance were observed across alternative sedentary behavior types, sedentary behavior measures, and age groups in subgroup analyses. CONCLUSIONS Prolonged sedentary behavior tends to be associated with an elevated risk of insomnia and sleep disturbance in the existing literature. Future studies with experimental study design and longer follow-up periods are warranted to demonstrate the long-term causal impact of sedentary behavior on sleep problems.","author":[{"dropping-particle":"","family":"Yang","given":"Yan","non-dropping-particle":"","parse-names":false,"suffix":""},{"dropping-particle":"","family":"Shin","given":"Jong Cheol","non-dropping-particle":"","parse-names":false,"suffix":""},{"dropping-particle":"","family":"Li","given":"Dongying","non-dropping-particle":"","parse-names":false,"suffix":""},{"dropping-particle":"","family":"An","given":"Ruopeng","non-dropping-particle":"","parse-names":false,"suffix":""}],"container-title":"International journal of behavioral medicine","id":"ITEM-1","issue":"4","issued":{"date-parts":[["2017","8","1"]]},"page":"481-492","publisher":"Springer New York LLC","title":"Sedentary Behavior and Sleep Problems: a Systematic Review and Meta-Analysis.","type":"article-journal","volume":"24"},"uris":["http://www.mendeley.com/documents/?uuid=86e38b9a-563b-3b3e-b3ad-e43131243682"]}],"mendeley":{"formattedCitation":"[52]","plainTextFormattedCitation":"[52]","previouslyFormattedCitation":"[52]"},"properties":{"noteIndex":0},"schema":"https://github.com/citation-style-language/schema/raw/master/csl-citation.json"}</w:instrText>
      </w:r>
      <w:r w:rsidR="00E9633F">
        <w:fldChar w:fldCharType="separate"/>
      </w:r>
      <w:r w:rsidR="005A559A" w:rsidRPr="005A559A">
        <w:rPr>
          <w:noProof/>
        </w:rPr>
        <w:t>[52]</w:t>
      </w:r>
      <w:r w:rsidR="00E9633F">
        <w:fldChar w:fldCharType="end"/>
      </w:r>
      <w:r w:rsidR="00E9633F">
        <w:t xml:space="preserve">. </w:t>
      </w:r>
      <w:r w:rsidR="00507ADA">
        <w:t xml:space="preserve"> </w:t>
      </w:r>
    </w:p>
    <w:p w14:paraId="5A257F77" w14:textId="10093D94" w:rsidR="006949DD" w:rsidRDefault="00BA6D25" w:rsidP="005D3987">
      <w:pPr>
        <w:spacing w:line="480" w:lineRule="auto"/>
        <w:rPr>
          <w:rFonts w:eastAsia="MS Mincho" w:cs="Times New Roman"/>
          <w:color w:val="141413"/>
        </w:rPr>
      </w:pPr>
      <w:r>
        <w:rPr>
          <w:bCs/>
          <w:iCs/>
        </w:rPr>
        <w:tab/>
        <w:t xml:space="preserve">There were some factors </w:t>
      </w:r>
      <w:r w:rsidR="00F273CA">
        <w:rPr>
          <w:bCs/>
          <w:iCs/>
        </w:rPr>
        <w:t xml:space="preserve">that </w:t>
      </w:r>
      <w:r>
        <w:rPr>
          <w:bCs/>
          <w:iCs/>
        </w:rPr>
        <w:t xml:space="preserve">explained a </w:t>
      </w:r>
      <w:r w:rsidR="00F273CA">
        <w:rPr>
          <w:bCs/>
          <w:iCs/>
        </w:rPr>
        <w:t xml:space="preserve">notably </w:t>
      </w:r>
      <w:r>
        <w:rPr>
          <w:bCs/>
          <w:iCs/>
        </w:rPr>
        <w:t xml:space="preserve">larger proportion of the SB-happiness association in those aged </w:t>
      </w:r>
      <w:r>
        <w:rPr>
          <w:rFonts w:cs="Times New Roman"/>
          <w:bCs/>
          <w:iCs/>
        </w:rPr>
        <w:t>≥</w:t>
      </w:r>
      <w:r>
        <w:rPr>
          <w:bCs/>
          <w:iCs/>
        </w:rPr>
        <w:t xml:space="preserve">65 years. Specifically, these were disability, mobility, and pain/discomfort but there was a particularly large difference for disability. </w:t>
      </w:r>
      <w:r w:rsidR="005A3B1A">
        <w:t xml:space="preserve">This may be due to </w:t>
      </w:r>
      <w:r w:rsidR="00402760">
        <w:t>the fact that th</w:t>
      </w:r>
      <w:r w:rsidR="005A3B1A">
        <w:t>e prevalence of disability gradually increases with advancing age</w:t>
      </w:r>
      <w:r w:rsidR="00505F5E">
        <w:t xml:space="preserve">. </w:t>
      </w:r>
      <w:r w:rsidR="00BD0A96">
        <w:t xml:space="preserve">It is </w:t>
      </w:r>
      <w:r w:rsidR="009C01FA">
        <w:t xml:space="preserve">also </w:t>
      </w:r>
      <w:r w:rsidR="00BD0A96">
        <w:t xml:space="preserve">worth noting that the association between SB and happiness remained significant after adjustment for a wide range of influential factors including physical activity. This may mean that SB has a direct effect on happiness or that there are other </w:t>
      </w:r>
      <w:r w:rsidR="00BD0A96">
        <w:rPr>
          <w:rFonts w:eastAsia="MS Mincho" w:cs="Times New Roman"/>
          <w:color w:val="141413"/>
        </w:rPr>
        <w:t>factors not assessed in the current study that may also be important for the SB-happiness association</w:t>
      </w:r>
      <w:r w:rsidR="00DB1F84">
        <w:rPr>
          <w:rFonts w:eastAsia="MS Mincho" w:cs="Times New Roman"/>
          <w:color w:val="141413"/>
        </w:rPr>
        <w:t xml:space="preserve"> (</w:t>
      </w:r>
      <w:r w:rsidR="004F6278">
        <w:rPr>
          <w:rFonts w:eastAsia="MS Mincho" w:cs="Times New Roman"/>
          <w:color w:val="141413"/>
        </w:rPr>
        <w:t xml:space="preserve">e.g., </w:t>
      </w:r>
      <w:r w:rsidR="00BD0A96">
        <w:rPr>
          <w:rFonts w:eastAsia="MS Mincho" w:cs="Times New Roman"/>
          <w:color w:val="141413"/>
        </w:rPr>
        <w:t>personality and genetic factors</w:t>
      </w:r>
      <w:r w:rsidR="00DB1F84">
        <w:rPr>
          <w:rFonts w:eastAsia="MS Mincho" w:cs="Times New Roman"/>
          <w:color w:val="141413"/>
        </w:rPr>
        <w:t xml:space="preserve">) </w:t>
      </w:r>
      <w:r w:rsidR="00BD0A96">
        <w:rPr>
          <w:rFonts w:eastAsia="MS Mincho" w:cs="Times New Roman"/>
          <w:color w:val="141413"/>
        </w:rPr>
        <w:fldChar w:fldCharType="begin" w:fldLock="1"/>
      </w:r>
      <w:r w:rsidR="005320AE">
        <w:rPr>
          <w:rFonts w:eastAsia="MS Mincho" w:cs="Times New Roman"/>
          <w:color w:val="141413"/>
        </w:rPr>
        <w:instrText>ADDIN CSL_CITATION {"citationItems":[{"id":"ITEM-1","itemData":{"DOI":"10.1006/jrpe.1996.0027","ISSN":"00926566","abstract":"In the field of subjective well-being (SWB), Mischel's (1968) critique of personality is flipped on its head: personality traits strongly predict SWB, whereas situations often have only a small influence. Thus, the field of SWB is used to explore under what circumstances personality traits are likely to be important. Because of the strong influence of traits on SWB and a resurgence of interest in the \"Big Five\" system of traits, the area offers an excellent object lesson in the pitfalls of a personality psychology that relies exclusively on trait constructs. It is shown that even when traits offer strong predictions, they do not offer a complete account of psychological phenomena. It is concluded, however, that traits can be very important organizing structures with which to initially classify and understand some important phenomena of psychology. At the same time, scientific understanding based on traits must be augmented by a process orientation and a study of relevant situational factors in order for the field of personality to remain an intellectually vigorous science. © 1996 Academic Press, Inc.","author":[{"dropping-particle":"","family":"Diener","given":"Ed","non-dropping-particle":"","parse-names":false,"suffix":""}],"container-title":"Journal of Research in Personality","id":"ITEM-1","issue":"3","issued":{"date-parts":[["1996"]]},"page":"389-399","publisher":"Academic Press Inc.","title":"Traits can be powerful, but are not enough: Lessons from subjective well-being","type":"article-journal","volume":"30"},"uris":["http://www.mendeley.com/documents/?uuid=4bf0acfc-4f84-3063-8908-71e30760f3d5"]}],"mendeley":{"formattedCitation":"[53]","plainTextFormattedCitation":"[53]","previouslyFormattedCitation":"[53]"},"properties":{"noteIndex":0},"schema":"https://github.com/citation-style-language/schema/raw/master/csl-citation.json"}</w:instrText>
      </w:r>
      <w:r w:rsidR="00BD0A96">
        <w:rPr>
          <w:rFonts w:eastAsia="MS Mincho" w:cs="Times New Roman"/>
          <w:color w:val="141413"/>
        </w:rPr>
        <w:fldChar w:fldCharType="separate"/>
      </w:r>
      <w:r w:rsidR="005A559A" w:rsidRPr="005A559A">
        <w:rPr>
          <w:rFonts w:eastAsia="MS Mincho" w:cs="Times New Roman"/>
          <w:noProof/>
          <w:color w:val="141413"/>
        </w:rPr>
        <w:t>[53]</w:t>
      </w:r>
      <w:r w:rsidR="00BD0A96">
        <w:rPr>
          <w:rFonts w:eastAsia="MS Mincho" w:cs="Times New Roman"/>
          <w:color w:val="141413"/>
        </w:rPr>
        <w:fldChar w:fldCharType="end"/>
      </w:r>
      <w:r w:rsidR="00BD0A96">
        <w:rPr>
          <w:rFonts w:eastAsia="MS Mincho" w:cs="Times New Roman"/>
          <w:color w:val="141413"/>
        </w:rPr>
        <w:t xml:space="preserve">. </w:t>
      </w:r>
    </w:p>
    <w:p w14:paraId="0450D1E3" w14:textId="4C74BB05" w:rsidR="00600576" w:rsidRPr="00E2537F" w:rsidRDefault="006949DD" w:rsidP="005D3987">
      <w:pPr>
        <w:spacing w:line="480" w:lineRule="auto"/>
        <w:rPr>
          <w:rFonts w:eastAsia="MS Mincho" w:cs="Times New Roman"/>
          <w:highlight w:val="yellow"/>
        </w:rPr>
      </w:pPr>
      <w:r>
        <w:rPr>
          <w:rFonts w:eastAsia="MS Mincho" w:cs="Times New Roman"/>
          <w:color w:val="141413"/>
        </w:rPr>
        <w:tab/>
      </w:r>
      <w:bookmarkStart w:id="1" w:name="_Hlk46733834"/>
      <w:r w:rsidRPr="0084702A">
        <w:rPr>
          <w:rFonts w:eastAsia="MS Mincho" w:cs="Times New Roman"/>
          <w:color w:val="141413"/>
        </w:rPr>
        <w:t>Lastly</w:t>
      </w:r>
      <w:r w:rsidR="00600576" w:rsidRPr="0084702A">
        <w:rPr>
          <w:rFonts w:eastAsia="MS Mincho" w:cs="Times New Roman"/>
          <w:color w:val="141413"/>
        </w:rPr>
        <w:t>, we found a</w:t>
      </w:r>
      <w:r w:rsidR="00600576" w:rsidRPr="0084702A">
        <w:rPr>
          <w:rFonts w:eastAsia="MS Mincho" w:cs="Times New Roman"/>
        </w:rPr>
        <w:t xml:space="preserve"> </w:t>
      </w:r>
      <w:r w:rsidR="0084702A">
        <w:rPr>
          <w:rFonts w:eastAsia="MS Mincho" w:cs="Times New Roman"/>
        </w:rPr>
        <w:t xml:space="preserve">high </w:t>
      </w:r>
      <w:r w:rsidR="00600576" w:rsidRPr="0084702A">
        <w:rPr>
          <w:rFonts w:eastAsia="MS Mincho" w:cs="Times New Roman"/>
        </w:rPr>
        <w:t xml:space="preserve">level of between-country heterogeneity in </w:t>
      </w:r>
      <w:r w:rsidR="00153398" w:rsidRPr="0084702A">
        <w:rPr>
          <w:rFonts w:eastAsia="MS Mincho" w:cs="Times New Roman"/>
        </w:rPr>
        <w:t>the SB-</w:t>
      </w:r>
      <w:r w:rsidR="00B509DC" w:rsidRPr="00E2537F">
        <w:rPr>
          <w:rFonts w:eastAsia="MS Mincho" w:cs="Times New Roman"/>
        </w:rPr>
        <w:t xml:space="preserve">happiness association </w:t>
      </w:r>
      <w:r w:rsidR="00B509DC" w:rsidRPr="009D7AB2">
        <w:rPr>
          <w:rFonts w:eastAsia="MS Mincho" w:cs="Times New Roman"/>
        </w:rPr>
        <w:t xml:space="preserve">with the association </w:t>
      </w:r>
      <w:r w:rsidR="00DD4914" w:rsidRPr="009D7AB2">
        <w:rPr>
          <w:rFonts w:eastAsia="MS Mincho" w:cs="Times New Roman"/>
        </w:rPr>
        <w:t xml:space="preserve">being strongest in Ghana, and a non-significant result being found in Mexico. </w:t>
      </w:r>
      <w:r w:rsidR="00B509DC" w:rsidRPr="009D7AB2">
        <w:rPr>
          <w:rFonts w:eastAsia="MS Mincho" w:cs="Times New Roman"/>
        </w:rPr>
        <w:t>Although these country-</w:t>
      </w:r>
      <w:r w:rsidR="0084702A" w:rsidRPr="009D7AB2">
        <w:rPr>
          <w:rFonts w:eastAsia="MS Mincho" w:cs="Times New Roman"/>
        </w:rPr>
        <w:t>wise</w:t>
      </w:r>
      <w:r w:rsidR="00B509DC" w:rsidRPr="009D7AB2">
        <w:rPr>
          <w:rFonts w:eastAsia="MS Mincho" w:cs="Times New Roman"/>
        </w:rPr>
        <w:t xml:space="preserve"> findings are challenging to interpret, </w:t>
      </w:r>
      <w:r w:rsidR="00186981" w:rsidRPr="009D7AB2">
        <w:rPr>
          <w:rFonts w:eastAsia="MS Mincho" w:cs="Times New Roman"/>
        </w:rPr>
        <w:t>g</w:t>
      </w:r>
      <w:r w:rsidR="00730270" w:rsidRPr="009D7AB2">
        <w:t xml:space="preserve">iven the potential importance of physical conditions in this association, </w:t>
      </w:r>
      <w:r w:rsidR="004F1E18" w:rsidRPr="009D7AB2">
        <w:t xml:space="preserve">availability of health care may </w:t>
      </w:r>
      <w:r w:rsidR="00067BFD" w:rsidRPr="009D7AB2">
        <w:lastRenderedPageBreak/>
        <w:t xml:space="preserve">partly </w:t>
      </w:r>
      <w:r w:rsidR="004F1E18" w:rsidRPr="009D7AB2">
        <w:t xml:space="preserve">explain this heterogeneity. </w:t>
      </w:r>
      <w:r w:rsidR="0084702A" w:rsidRPr="009D7AB2">
        <w:t>Indeed, the strongest association was found in Ghana in our study, and this was the country with the lowest income level, and possibly the country with the lowest level of health care</w:t>
      </w:r>
      <w:r w:rsidR="009102B4" w:rsidRPr="009D7AB2">
        <w:t>.</w:t>
      </w:r>
      <w:r w:rsidR="0084702A" w:rsidRPr="009D7AB2">
        <w:t xml:space="preserve"> </w:t>
      </w:r>
      <w:r w:rsidR="00E642F9" w:rsidRPr="009D7AB2">
        <w:t xml:space="preserve">Alternatively, </w:t>
      </w:r>
      <w:r w:rsidR="00067BFD" w:rsidRPr="009D7AB2">
        <w:t xml:space="preserve">this may also be attributable to </w:t>
      </w:r>
      <w:r w:rsidR="001C7C72" w:rsidRPr="009D7AB2">
        <w:t>cultural diversity</w:t>
      </w:r>
      <w:r w:rsidR="00E73B5D" w:rsidRPr="009D7AB2">
        <w:t xml:space="preserve"> </w:t>
      </w:r>
      <w:r w:rsidR="00067BFD" w:rsidRPr="009D7AB2">
        <w:t xml:space="preserve">as </w:t>
      </w:r>
      <w:r w:rsidR="00E642F9" w:rsidRPr="009D7AB2">
        <w:t xml:space="preserve">the construct of happiness </w:t>
      </w:r>
      <w:r w:rsidR="008608F7" w:rsidRPr="009D7AB2">
        <w:t xml:space="preserve">may not be completely consistent </w:t>
      </w:r>
      <w:r w:rsidR="00E642F9" w:rsidRPr="009D7AB2">
        <w:t xml:space="preserve">across </w:t>
      </w:r>
      <w:r w:rsidR="00392C72" w:rsidRPr="009D7AB2">
        <w:t xml:space="preserve">countries and cultures </w:t>
      </w:r>
      <w:r w:rsidR="00B962A8" w:rsidRPr="009D7AB2">
        <w:fldChar w:fldCharType="begin" w:fldLock="1"/>
      </w:r>
      <w:r w:rsidR="005320AE" w:rsidRPr="009D7AB2">
        <w:instrText>ADDIN CSL_CITATION {"citationItems":[{"id":"ITEM-1","itemData":{"DOI":"10.1016/j.copsyc.2015.10.005","ISSN":"2352-2518","PMID":"29506804","abstract":"Once believed to be universal, a growing body of research shows that both the conception and predictors of happiness vary cross-culturally. First, the meaning and importance of happiness varies both across time and between nations. Americans, for instance, tend to define happiness in terms of pleasure or enjoyment and view happiness as universally positive, whereas East Asian and Middle Eastern cultures may highlight the transient and socially disruptive nature of happiness and be ambivalent about whether it is good. Second, predictors of happiness vary between cultures. Recent work highlights new mediators (e.g., relational mobility), individual predictors (e.g., person-culture fit), societal factors (e.g., good governance and wealth), within-culture variations (e.g., at the state or city level), and interventions (e.g., practicing gratitude) that differ cross-culturally or help explain cultural differences in happiness. Though many questions remain, this review highlights how these recent advances broaden and revise our understanding of culture and happiness.","author":[{"dropping-particle":"","family":"Oishi","given":"Shigehiro","non-dropping-particle":"","parse-names":false,"suffix":""},{"dropping-particle":"","family":"Gilbert","given":"Elizabeth A","non-dropping-particle":"","parse-names":false,"suffix":""}],"container-title":"Current opinion in psychology","id":"ITEM-1","issued":{"date-parts":[["2016","4","1"]]},"page":"54-58","publisher":"Elsevier","title":"Current and future directions in culture and happiness research.","type":"article-journal","volume":"8"},"uris":["http://www.mendeley.com/documents/?uuid=63970023-01d4-3dbd-b7ae-13d7a40ef10e"]}],"mendeley":{"formattedCitation":"[54]","plainTextFormattedCitation":"[54]","previouslyFormattedCitation":"[54]"},"properties":{"noteIndex":0},"schema":"https://github.com/citation-style-language/schema/raw/master/csl-citation.json"}</w:instrText>
      </w:r>
      <w:r w:rsidR="00B962A8" w:rsidRPr="009D7AB2">
        <w:fldChar w:fldCharType="separate"/>
      </w:r>
      <w:r w:rsidR="005A559A" w:rsidRPr="009D7AB2">
        <w:rPr>
          <w:noProof/>
        </w:rPr>
        <w:t>[54]</w:t>
      </w:r>
      <w:r w:rsidR="00B962A8" w:rsidRPr="009D7AB2">
        <w:fldChar w:fldCharType="end"/>
      </w:r>
      <w:r w:rsidR="00B962A8" w:rsidRPr="009D7AB2">
        <w:t xml:space="preserve">. </w:t>
      </w:r>
      <w:r w:rsidR="00DD4914" w:rsidRPr="009D7AB2">
        <w:t xml:space="preserve">Finally, it is also possible that </w:t>
      </w:r>
      <w:r w:rsidR="0084702A" w:rsidRPr="009D7AB2">
        <w:t xml:space="preserve">the </w:t>
      </w:r>
      <w:r w:rsidR="00C25C45" w:rsidRPr="009D7AB2">
        <w:t xml:space="preserve">type and mode </w:t>
      </w:r>
      <w:r w:rsidR="0084702A" w:rsidRPr="009D7AB2">
        <w:t>of SB may differ by country. For example, in some settings, SB may mainly consist of activity that may enhance positive mental health (e.g., social gatherings)</w:t>
      </w:r>
      <w:r w:rsidR="00045ED4" w:rsidRPr="009D7AB2">
        <w:t xml:space="preserve">, and this may offset the deleterious effects of other types of SB. Future studies should explore the reason why there may be heterogeneity in the SB-happiness relationship by setting, and studies with more detailed information on the </w:t>
      </w:r>
      <w:r w:rsidR="00C25C45" w:rsidRPr="009D7AB2">
        <w:t xml:space="preserve">types and modes </w:t>
      </w:r>
      <w:r w:rsidR="00045ED4" w:rsidRPr="009D7AB2">
        <w:t>of SB are needed in this respect.</w:t>
      </w:r>
      <w:bookmarkEnd w:id="1"/>
    </w:p>
    <w:p w14:paraId="340855CB" w14:textId="2510C15C" w:rsidR="004D6116" w:rsidRPr="00457B7F" w:rsidRDefault="00E205F9" w:rsidP="005D3987">
      <w:pPr>
        <w:spacing w:line="480" w:lineRule="auto"/>
        <w:ind w:firstLine="720"/>
      </w:pPr>
      <w:r w:rsidRPr="006A5E72">
        <w:t xml:space="preserve">Present findings indicate that </w:t>
      </w:r>
      <w:r>
        <w:t xml:space="preserve">reducing SB and </w:t>
      </w:r>
      <w:r w:rsidRPr="006A5E72">
        <w:t xml:space="preserve">addressing the co-existing conditions </w:t>
      </w:r>
      <w:r>
        <w:t xml:space="preserve">among </w:t>
      </w:r>
      <w:r w:rsidR="009F01BD">
        <w:t xml:space="preserve">highly sedentary adults </w:t>
      </w:r>
      <w:r w:rsidRPr="006A5E72">
        <w:t>may enhance happiness</w:t>
      </w:r>
      <w:r>
        <w:t>.</w:t>
      </w:r>
      <w:r w:rsidR="00A342DD">
        <w:t xml:space="preserve"> </w:t>
      </w:r>
      <w:r w:rsidR="009F01BD">
        <w:t>M</w:t>
      </w:r>
      <w:r w:rsidR="009B229B">
        <w:t xml:space="preserve">ore studies </w:t>
      </w:r>
      <w:r w:rsidR="007E47AB">
        <w:t>with clinical and non-clinical population</w:t>
      </w:r>
      <w:r w:rsidR="00DB403C">
        <w:t>s</w:t>
      </w:r>
      <w:r w:rsidR="007E47AB">
        <w:t xml:space="preserve"> are needed to provide a better understanding of how addressing SB co-existing conditions may enhance happiness.</w:t>
      </w:r>
      <w:r w:rsidR="00695FA1">
        <w:t xml:space="preserve"> Furthermore, hypothesized mechanisms underlying the associations between SB and happiness are predominantly theory-based and the evidence is scarce in this r</w:t>
      </w:r>
      <w:r w:rsidR="00695FA1" w:rsidRPr="009D7AB2">
        <w:t>egard. Th</w:t>
      </w:r>
      <w:r w:rsidR="00977CEB" w:rsidRPr="009D7AB2">
        <w:t>erefore</w:t>
      </w:r>
      <w:r w:rsidR="00695FA1" w:rsidRPr="009D7AB2">
        <w:t xml:space="preserve">, future studies are needed to provide a better understanding in this area. </w:t>
      </w:r>
      <w:r w:rsidR="008719CE" w:rsidRPr="009D7AB2">
        <w:rPr>
          <w:rFonts w:eastAsia="MS Mincho" w:cs="Times New Roman"/>
          <w:color w:val="141413"/>
        </w:rPr>
        <w:t xml:space="preserve">Finally, since there is initial evidence suggesting that frequent interruptions in leisure time SB may be related to lower odds of depression/anxiety symptoms </w:t>
      </w:r>
      <w:r w:rsidR="005320AE" w:rsidRPr="009D7AB2">
        <w:rPr>
          <w:rFonts w:eastAsia="MS Mincho" w:cs="Times New Roman"/>
          <w:color w:val="141413"/>
        </w:rPr>
        <w:fldChar w:fldCharType="begin" w:fldLock="1"/>
      </w:r>
      <w:r w:rsidR="0020063A" w:rsidRPr="009D7AB2">
        <w:rPr>
          <w:rFonts w:eastAsia="MS Mincho" w:cs="Times New Roman"/>
          <w:color w:val="141413"/>
        </w:rPr>
        <w:instrText>ADDIN CSL_CITATION {"citationItems":[{"id":"ITEM-1","itemData":{"DOI":"10.1038/s41398-020-0810-1","ISSN":"21583188","PMID":"32366824","abstract":"Interruptions to time spent sitting can ameliorate detrimental metabolic-health consequences of high volumes of sedentary time, but their potential mental health benefits have not been examined. We used the Swedish Health Profile Assessment database, a general health assessment offered to all employees working for companies or organisations connected to occupational and health services. Cross-sectional analyses examined data from 40,550 employees (60% male, mean age = 42 years), collected in 2017–2019. Participants reported the proportion of time (almost always; 75% of the time; 50% of the time; 25% of the time; and almost never) usually spent in leisure-time sedentary behaviours; and, separately, the frequency (never; rarely; sometimes; often; and very often) of interruptions (every 30 min) to sedentary time. Logistic regression models assessed associations of sedentary time, and the frequency of interruptions to sedentary time, with depression/anxiety symptoms. Fully adjusted models included physical exercise. Compared to those in the lowest sedentary time category, those in the medium and high categories had 1.52 (95% confidence interval (CI) = 1.40–1.66) and 3.11 (95% CI = 2.82–3.42) higher odds of frequent depression/anxiety symptoms, respectively. Compared to those who never/rarely interrupted their sedentary time, those who reported interruptions sometimes, often and very often had 0.72 (95% CI = 0.65–0.80), 0.59 (95% CI = 0.53–0.65), and 0.53 (95% CI = 0.46–0.59) lower odds of depression/anxiety symptoms, respectively. In stratified analyses, more frequent interruptions to sedentary time were associated with lower odds of depression/anxiety symptoms, except among those in the lowest interruptions categories (never/25% of the time). More regularly interrupting sitting during leisure-time may reduce the odds of experiencing symptoms of depression and anxiety.","author":[{"dropping-particle":"","family":"Hallgren","given":"Mats","non-dropping-particle":"","parse-names":false,"suffix":""},{"dropping-particle":"","family":"Nguyen","given":"Thi Thuy Dung","non-dropping-particle":"","parse-names":false,"suffix":""},{"dropping-particle":"","family":"Owen","given":"Neville","non-dropping-particle":"","parse-names":false,"suffix":""},{"dropping-particle":"","family":"Vancampfort","given":"Davy","non-dropping-particle":"","parse-names":false,"suffix":""},{"dropping-particle":"","family":"Smith","given":"Lee","non-dropping-particle":"","parse-names":false,"suffix":""},{"dropping-particle":"","family":"Dunstan","given":"David W.","non-dropping-particle":"","parse-names":false,"suffix":""},{"dropping-particle":"","family":"Andersson","given":"Gunnar","non-dropping-particle":"","parse-names":false,"suffix":""},{"dropping-particle":"","family":"Wallin","given":"Peter","non-dropping-particle":"","parse-names":false,"suffix":""},{"dropping-particle":"","family":"Ekblom-Bak","given":"Elin","non-dropping-particle":"","parse-names":false,"suffix":""}],"container-title":"Translational Psychiatry","id":"ITEM-1","issue":"1","issued":{"date-parts":[["2020","12","1"]]},"page":"1-8","publisher":"Springer Nature","title":"Associations of interruptions to leisure-time sedentary behaviour with symptoms of depression and anxiety","type":"article-journal","volume":"10"},"uris":["http://www.mendeley.com/documents/?uuid=f5455d2f-ea79-367d-9ee1-5ab13611d198"]}],"mendeley":{"formattedCitation":"[55]","plainTextFormattedCitation":"[55]","previouslyFormattedCitation":"[55]"},"properties":{"noteIndex":0},"schema":"https://github.com/citation-style-language/schema/raw/master/csl-citation.json"}</w:instrText>
      </w:r>
      <w:r w:rsidR="005320AE" w:rsidRPr="009D7AB2">
        <w:rPr>
          <w:rFonts w:eastAsia="MS Mincho" w:cs="Times New Roman"/>
          <w:color w:val="141413"/>
        </w:rPr>
        <w:fldChar w:fldCharType="separate"/>
      </w:r>
      <w:r w:rsidR="005320AE" w:rsidRPr="009D7AB2">
        <w:rPr>
          <w:rFonts w:eastAsia="MS Mincho" w:cs="Times New Roman"/>
          <w:noProof/>
          <w:color w:val="141413"/>
        </w:rPr>
        <w:t>[55]</w:t>
      </w:r>
      <w:r w:rsidR="005320AE" w:rsidRPr="009D7AB2">
        <w:rPr>
          <w:rFonts w:eastAsia="MS Mincho" w:cs="Times New Roman"/>
          <w:color w:val="141413"/>
        </w:rPr>
        <w:fldChar w:fldCharType="end"/>
      </w:r>
      <w:r w:rsidR="008719CE" w:rsidRPr="009D7AB2">
        <w:rPr>
          <w:rFonts w:eastAsia="MS Mincho" w:cs="Times New Roman"/>
          <w:color w:val="141413"/>
        </w:rPr>
        <w:t xml:space="preserve">, ongoing research may </w:t>
      </w:r>
      <w:r w:rsidR="008719CE" w:rsidRPr="009D7AB2">
        <w:rPr>
          <w:rFonts w:eastAsia="MS Mincho"/>
          <w:color w:val="141413"/>
        </w:rPr>
        <w:t xml:space="preserve">wish to </w:t>
      </w:r>
      <w:r w:rsidR="008719CE" w:rsidRPr="009D7AB2">
        <w:rPr>
          <w:rFonts w:eastAsia="MS Mincho" w:cs="Times New Roman"/>
          <w:color w:val="141413"/>
        </w:rPr>
        <w:t xml:space="preserve">explore whether the manner in which SB </w:t>
      </w:r>
      <w:r w:rsidR="008719CE" w:rsidRPr="009D7AB2">
        <w:rPr>
          <w:rFonts w:eastAsia="MS Mincho"/>
          <w:color w:val="141413"/>
        </w:rPr>
        <w:t xml:space="preserve">accumulates </w:t>
      </w:r>
      <w:r w:rsidR="008719CE" w:rsidRPr="009D7AB2">
        <w:rPr>
          <w:rFonts w:eastAsia="MS Mincho" w:cs="Times New Roman"/>
          <w:color w:val="141413"/>
        </w:rPr>
        <w:t>(i.e., breaks and bouts) is related to happiness or positive mental health indicators.</w:t>
      </w:r>
    </w:p>
    <w:p w14:paraId="6A510FA6" w14:textId="756EE645" w:rsidR="007261E1" w:rsidRPr="00A87326" w:rsidRDefault="004C3FDD" w:rsidP="00E516C3">
      <w:pPr>
        <w:spacing w:line="480" w:lineRule="auto"/>
        <w:rPr>
          <w:rFonts w:cs="Times New Roman"/>
          <w:color w:val="000000"/>
        </w:rPr>
      </w:pPr>
      <w:r>
        <w:rPr>
          <w:b/>
          <w:i/>
        </w:rPr>
        <w:tab/>
      </w:r>
      <w:r w:rsidR="009102B4">
        <w:rPr>
          <w:bCs/>
          <w:iCs/>
        </w:rPr>
        <w:t xml:space="preserve">The study results should </w:t>
      </w:r>
      <w:r w:rsidR="000732FB">
        <w:rPr>
          <w:rFonts w:eastAsia="MS Mincho" w:cs="Times New Roman"/>
        </w:rPr>
        <w:t xml:space="preserve">be </w:t>
      </w:r>
      <w:r w:rsidR="00A31139">
        <w:rPr>
          <w:rFonts w:eastAsia="MS Mincho" w:cs="Times New Roman"/>
        </w:rPr>
        <w:t xml:space="preserve">interpreted in light of several limitations. </w:t>
      </w:r>
      <w:r w:rsidR="00A31139" w:rsidRPr="00A31139">
        <w:rPr>
          <w:rFonts w:eastAsia="MS Mincho" w:cs="Times New Roman"/>
        </w:rPr>
        <w:t xml:space="preserve">First, given the </w:t>
      </w:r>
      <w:r w:rsidR="00A31139" w:rsidRPr="009D7AB2">
        <w:rPr>
          <w:rFonts w:eastAsia="MS Mincho" w:cs="Times New Roman"/>
        </w:rPr>
        <w:t xml:space="preserve">cross-sectional nature of the study, causality and directionality of the relationships cannot be inferred. </w:t>
      </w:r>
      <w:r w:rsidR="008719CE" w:rsidRPr="009D7AB2">
        <w:rPr>
          <w:rFonts w:eastAsia="MS Mincho" w:cs="Times New Roman"/>
        </w:rPr>
        <w:t xml:space="preserve">It is worth noting that a bi-directional association is also possible for SB and happiness. </w:t>
      </w:r>
      <w:r w:rsidR="008719CE" w:rsidRPr="009D7AB2">
        <w:t>For example,</w:t>
      </w:r>
      <w:r w:rsidR="008719CE" w:rsidRPr="009D7AB2">
        <w:rPr>
          <w:rFonts w:cs="Times New Roman"/>
        </w:rPr>
        <w:t xml:space="preserve"> people who report being happy may be more prone to have a healthy lifestyle (e.g., maintain a healthy body weight, avoid smoking and excessive drinking) and be </w:t>
      </w:r>
      <w:r w:rsidR="008719CE" w:rsidRPr="009D7AB2">
        <w:rPr>
          <w:rFonts w:cs="Times New Roman"/>
        </w:rPr>
        <w:lastRenderedPageBreak/>
        <w:t>more active</w:t>
      </w:r>
      <w:r w:rsidR="0020063A" w:rsidRPr="009D7AB2">
        <w:rPr>
          <w:rFonts w:cs="Times New Roman"/>
        </w:rPr>
        <w:t xml:space="preserve"> </w:t>
      </w:r>
      <w:r w:rsidR="0020063A" w:rsidRPr="009D7AB2">
        <w:rPr>
          <w:rFonts w:cs="Times New Roman"/>
        </w:rPr>
        <w:fldChar w:fldCharType="begin" w:fldLock="1"/>
      </w:r>
      <w:r w:rsidR="00EA2513" w:rsidRPr="009D7AB2">
        <w:rPr>
          <w:rFonts w:cs="Times New Roman"/>
        </w:rPr>
        <w:instrText>ADDIN CSL_CITATION {"citationItems":[{"id":"ITEM-1","itemData":{"DOI":"10.1037/0278-6133.26.2.152","ISSN":"02786133","abstract":"Individuals have affective associations with health behaviors. In other domains such associations have been shown to influence behavior, but affective associations with health behaviors are not included in current health decision-making models. The authors examined whether affective associations with exercise predicted individuals' activity behavior and, if so, how they interfaced with other decision-making constructs to influence behavior. Adult participants (N = 433) reported their current physical activity behavior and affective associations with physical activity. Health belief model and theory of planned behavior constructs were also assessed. More positive affective associations with activity significantly predicted greater activity behavior. Moreover, the influence of the health belief model and theory of planned behavior constructs on activity behavior was mediated through affective associations. Affective associations were shown to play a central role in individuals' activity behavior, both as a mediator of the effects of cognitively based decision-making factors and as an independent predictor of activity behavior. The results suggest the need to include affective influences on behavior in formal models of health decision making and, potentially, to explore affectively based intervention routes to change behaviors. © 2007 APA, all rights reserved.","author":[{"dropping-particle":"","family":"Kiviniemi","given":"Marc T.","non-dropping-particle":"","parse-names":false,"suffix":""},{"dropping-particle":"","family":"Voss-Humke","given":"Amy M.","non-dropping-particle":"","parse-names":false,"suffix":""},{"dropping-particle":"","family":"Seifert","given":"April L.","non-dropping-particle":"","parse-names":false,"suffix":""}],"container-title":"Health Psychology","id":"ITEM-1","issue":"2","issued":{"date-parts":[["2007","3"]]},"page":"152-158","publisher":"Health Psychol","title":"How do I feel about the behavior? The interplay of affective associations with behaviors and cognitive beliefs as influences on physical activity behavior","type":"article-journal","volume":"26"},"uris":["http://www.mendeley.com/documents/?uuid=5aba81d2-2d3b-3d99-aed3-c269781059bb"]},{"id":"ITEM-2","itemData":{"DOI":"10.1007/s10902-006-9042-1","ISSN":"13894978","abstract":"Is happiness good for your health? This common notion is tested in a synthetic analysis of 30 follow-up studies on happiness and longevity. It appears that happiness does not predict longevity in sick populations, but that it does predict longevity among healthy populations So, happiness does not cure illness but it does protect against becoming ill. The effect of happiness on longevity in healthy populations is remarkably strong. The size of the effect is comparable to that of smoking or not. If so, public health can also be promoted by policies that aim at greater happiness of a greater number. That can be done by strengthening individual life-abilities and by improving the livability of the social environment. Some policies are proposed. Both ways of promoting health through happiness require more research on conditions for happiness. © 2007 Springer Science+Business Media B.V.","author":[{"dropping-particle":"","family":"Veenhoven","given":"R.","non-dropping-particle":"","parse-names":false,"suffix":""}],"container-title":"Journal of Happiness Studies","id":"ITEM-2","issue":"3","issued":{"date-parts":[["2008","9","28"]]},"page":"449-469","publisher":"Springer","title":"Healthy happiness: Effects of happiness on physical health and the consequences for preventive health care","type":"article-journal","volume":"9"},"uris":["http://www.mendeley.com/documents/?uuid=9f35ae0b-d6af-3de7-b825-401c03bf9de7"]}],"mendeley":{"formattedCitation":"[56,57]","plainTextFormattedCitation":"[56,57]","previouslyFormattedCitation":"[56,57]"},"properties":{"noteIndex":0},"schema":"https://github.com/citation-style-language/schema/raw/master/csl-citation.json"}</w:instrText>
      </w:r>
      <w:r w:rsidR="0020063A" w:rsidRPr="009D7AB2">
        <w:rPr>
          <w:rFonts w:cs="Times New Roman"/>
        </w:rPr>
        <w:fldChar w:fldCharType="separate"/>
      </w:r>
      <w:r w:rsidR="0020063A" w:rsidRPr="009D7AB2">
        <w:rPr>
          <w:rFonts w:cs="Times New Roman"/>
          <w:noProof/>
        </w:rPr>
        <w:t>[56,57]</w:t>
      </w:r>
      <w:r w:rsidR="0020063A" w:rsidRPr="009D7AB2">
        <w:rPr>
          <w:rFonts w:cs="Times New Roman"/>
        </w:rPr>
        <w:fldChar w:fldCharType="end"/>
      </w:r>
      <w:r w:rsidR="0020063A" w:rsidRPr="009D7AB2">
        <w:rPr>
          <w:rFonts w:cs="Times New Roman"/>
        </w:rPr>
        <w:t xml:space="preserve">. </w:t>
      </w:r>
      <w:r w:rsidR="008719CE" w:rsidRPr="009D7AB2">
        <w:rPr>
          <w:rFonts w:cs="Times New Roman"/>
        </w:rPr>
        <w:t>It is also possible that higher happiness levels may predict self-rated health</w:t>
      </w:r>
      <w:r w:rsidR="00EA2513" w:rsidRPr="009D7AB2">
        <w:rPr>
          <w:rFonts w:cs="Times New Roman"/>
        </w:rPr>
        <w:t xml:space="preserve"> </w:t>
      </w:r>
      <w:r w:rsidR="00EA2513" w:rsidRPr="009D7AB2">
        <w:rPr>
          <w:rFonts w:cs="Times New Roman"/>
        </w:rPr>
        <w:fldChar w:fldCharType="begin" w:fldLock="1"/>
      </w:r>
      <w:r w:rsidR="00EC2344" w:rsidRPr="009D7AB2">
        <w:rPr>
          <w:rFonts w:cs="Times New Roman"/>
        </w:rPr>
        <w:instrText>ADDIN CSL_CITATION {"citationItems":[{"id":"ITEM-1","itemData":{"DOI":"10.4278/ajhp.061023137","ISSN":"08901171","abstract":"Purpose. To examine the effect of happiness and life satisfaction on health. Design. Longitudinal data from waves 1 and 3, conducted in 2001 and 2004, respectively, of the Household Income and Labour Dynamics in Australia survey. Setting. Australia. Subjects. A total of 9981 respondents aged 18 years and older. Measures. Outcomes were self-reported health; the absence of long-term, limiting health conditions; and physical health. Happiness was assessed with the following question: \"During the past 4 weeks, have you been a happy person\"? Life, satisfaction was determined with the following question: \"All things considered, how satisfied are, you with your life\"? Analysis. We used multiple regression analysis to estimate odds ratios (ORs), beta coefficients (β), and 95 % confidence intervals (CIs) for the associations between baseline happiness or life satisfaction and health at wave 3. Results. Baseline happiness and life satisfaction both were positively associated at wave 3 with excellent, verygood, or good health (OR = 1.50, CI = 1.33-1.70, p &lt; .0001; and OR = 1.62, CI = 1.27-2.08, p &lt; .0001, respectively); with the absence of long-term, limiting health conditions (OR = 1.53, CI = 1.35-1.75, p &lt; .0001; and OR = 1.51, CI = 1.25-1.82, p &lt; .0001, respectively); and with higher physical health levels (β = .99, CI = .60-1.39, p &lt; .0001; and β = .99, CI = .20-1.78, p &lt; .0145, respectively). Conclusion. This study showed that happier people and those who were more satisfied with their lives at baseline reported better health (self-rated health; absence of limiting, long-term conditions; and physical health) at the 2-year follow-up when adjusted for baseline health and other relevant covariates. Copyright © 2008 by American Journal of Health Promotion, Inc.","author":[{"dropping-particle":"","family":"Siahpush","given":"Mohammad","non-dropping-particle":"","parse-names":false,"suffix":""},{"dropping-particle":"","family":"Spittal","given":"Matt","non-dropping-particle":"","parse-names":false,"suffix":""},{"dropping-particle":"","family":"Singh","given":"Gopal K.","non-dropping-particle":"","parse-names":false,"suffix":""}],"container-title":"American Journal of Health Promotion","id":"ITEM-1","issue":"1","issued":{"date-parts":[["2008"]]},"page":"18-26","publisher":"American Journal of Health Promotion","title":"Happiness and life satisfaction prospectively predict self-rated health, physical health, and the presence of limiting, long-term health conditions","type":"article-journal","volume":"23"},"uris":["http://www.mendeley.com/documents/?uuid=25b28f40-37de-3145-b033-0e8731dfc8f2"]}],"mendeley":{"formattedCitation":"[58]","plainTextFormattedCitation":"[58]","previouslyFormattedCitation":"[58]"},"properties":{"noteIndex":0},"schema":"https://github.com/citation-style-language/schema/raw/master/csl-citation.json"}</w:instrText>
      </w:r>
      <w:r w:rsidR="00EA2513" w:rsidRPr="009D7AB2">
        <w:rPr>
          <w:rFonts w:cs="Times New Roman"/>
        </w:rPr>
        <w:fldChar w:fldCharType="separate"/>
      </w:r>
      <w:r w:rsidR="00EA2513" w:rsidRPr="009D7AB2">
        <w:rPr>
          <w:rFonts w:cs="Times New Roman"/>
          <w:noProof/>
        </w:rPr>
        <w:t>[58]</w:t>
      </w:r>
      <w:r w:rsidR="00EA2513" w:rsidRPr="009D7AB2">
        <w:rPr>
          <w:rFonts w:cs="Times New Roman"/>
        </w:rPr>
        <w:fldChar w:fldCharType="end"/>
      </w:r>
      <w:r w:rsidR="008719CE" w:rsidRPr="009D7AB2">
        <w:rPr>
          <w:rFonts w:cs="Times New Roman"/>
        </w:rPr>
        <w:t xml:space="preserve"> via influences in immun</w:t>
      </w:r>
      <w:r w:rsidR="00743C43" w:rsidRPr="009D7AB2">
        <w:rPr>
          <w:rFonts w:cs="Times New Roman"/>
        </w:rPr>
        <w:t>e</w:t>
      </w:r>
      <w:r w:rsidR="008719CE" w:rsidRPr="009D7AB2">
        <w:rPr>
          <w:rFonts w:cs="Times New Roman"/>
        </w:rPr>
        <w:t xml:space="preserve"> systems</w:t>
      </w:r>
      <w:r w:rsidR="00EA2513" w:rsidRPr="009D7AB2">
        <w:rPr>
          <w:rFonts w:cs="Times New Roman"/>
        </w:rPr>
        <w:t xml:space="preserve"> </w:t>
      </w:r>
      <w:r w:rsidR="00EA2513" w:rsidRPr="009D7AB2">
        <w:rPr>
          <w:rFonts w:cs="Times New Roman"/>
        </w:rPr>
        <w:fldChar w:fldCharType="begin" w:fldLock="1"/>
      </w:r>
      <w:r w:rsidR="00A4667D" w:rsidRPr="009D7AB2">
        <w:rPr>
          <w:rFonts w:cs="Times New Roman"/>
        </w:rPr>
        <w:instrText>ADDIN CSL_CITATION {"citationItems":[{"id":"ITEM-1","itemData":{"DOI":"10.1097/01.psy.0000245867.92364.3c","ISSN":"00333174","PMID":"17101814","abstract":"OBJECTIVE: In an earlier study, positive emotional style (PES) was associated with resistance to the common cold and a bias to underreport (relative to objective disease markers) symptom severity. This work did not control for social and cognitive factors closely associated with PES. We replicate the original study using a different virus and controls for these alternative explanations. METHODS: One hundred ninety-three healthy volunteers ages 21 to 55 years were assessed for a PES characterized by being happy, lively, and calm; a negative emotional style (NES) characterized by being anxious, hostile, and depressed; other cognitive and social dispositions; and self-reported health. Subsequently, they were exposed by nasal drops to a rhinovirus or influenza virus and monitored in quarantine for objective signs of illness and self-reported symptoms. RESULTS: For both viruses, increased PES was associated with lower risk of developing an upper respiratory illness as defined by objective criteria (adjusted odds ratio comparing lowest with highest tertile = 2.9) and with reporting fewer symptoms than expected from concurrent objective markers of illness. These associations were independent of prechallenge virus-specific antibody, virus type, age, sex, education, race, body mass, season, and NES. They were also independent of optimism, extraversion, mastery, self-esteem, purpose, and self-reported health. CONCLUSIONS: We replicated the prospective association of PES and colds and PES and biased symptom reporting, extended those results to infection with an influenza virus, and \"ruled out\" alternative hypotheses. These results indicate that PES may play a more important role in health than previously thought. Copyright © 2006 by American Psychosomatic Society.","author":[{"dropping-particle":"","family":"Cohen","given":"Sheldon","non-dropping-particle":"","parse-names":false,"suffix":""},{"dropping-particle":"","family":"Alper","given":"Cuneyt M.","non-dropping-particle":"","parse-names":false,"suffix":""},{"dropping-particle":"","family":"Doyle","given":"William J.","non-dropping-particle":"","parse-names":false,"suffix":""},{"dropping-particle":"","family":"Treanor","given":"John J.","non-dropping-particle":"","parse-names":false,"suffix":""},{"dropping-particle":"","family":"Turner","given":"Ronald B.","non-dropping-particle":"","parse-names":false,"suffix":""}],"container-title":"Psychosomatic Medicine","id":"ITEM-1","issue":"6","issued":{"date-parts":[["2006","11"]]},"page":"809-815","publisher":"Psychosom Med","title":"Positive emotional style predicts resistance to illness after experimental exposure to rhinovirus or influenza A virus","type":"article-journal","volume":"68"},"uris":["http://www.mendeley.com/documents/?uuid=960ca23b-4a8b-3c8d-a8e3-232eb9b25cd9"]}],"mendeley":{"formattedCitation":"[59]","plainTextFormattedCitation":"[59]","previouslyFormattedCitation":"[59]"},"properties":{"noteIndex":0},"schema":"https://github.com/citation-style-language/schema/raw/master/csl-citation.json"}</w:instrText>
      </w:r>
      <w:r w:rsidR="00EA2513" w:rsidRPr="009D7AB2">
        <w:rPr>
          <w:rFonts w:cs="Times New Roman"/>
        </w:rPr>
        <w:fldChar w:fldCharType="separate"/>
      </w:r>
      <w:r w:rsidR="00EC2344" w:rsidRPr="009D7AB2">
        <w:rPr>
          <w:rFonts w:cs="Times New Roman"/>
          <w:noProof/>
        </w:rPr>
        <w:t>[59]</w:t>
      </w:r>
      <w:r w:rsidR="00EA2513" w:rsidRPr="009D7AB2">
        <w:rPr>
          <w:rFonts w:cs="Times New Roman"/>
        </w:rPr>
        <w:fldChar w:fldCharType="end"/>
      </w:r>
      <w:r w:rsidR="00EA2513" w:rsidRPr="009D7AB2">
        <w:rPr>
          <w:rFonts w:cs="Times New Roman"/>
        </w:rPr>
        <w:t xml:space="preserve">, </w:t>
      </w:r>
      <w:r w:rsidR="008719CE" w:rsidRPr="009D7AB2">
        <w:rPr>
          <w:rFonts w:cs="Times New Roman"/>
        </w:rPr>
        <w:t xml:space="preserve">which may ultimately increase movement behaviors and reduce SB levels. </w:t>
      </w:r>
      <w:r w:rsidR="00A31139" w:rsidRPr="009D7AB2">
        <w:rPr>
          <w:rFonts w:eastAsia="MS Mincho" w:cs="Times New Roman"/>
        </w:rPr>
        <w:t xml:space="preserve">Longitudinal evidence is warranted to better understand the relationship between SB and happiness, and the exact contribution of influential factors. Second, SB was assessed through self-report, </w:t>
      </w:r>
      <w:r w:rsidR="002547BD" w:rsidRPr="009D7AB2">
        <w:rPr>
          <w:rFonts w:eastAsia="MS Mincho" w:cs="Times New Roman"/>
        </w:rPr>
        <w:t xml:space="preserve">and </w:t>
      </w:r>
      <w:r w:rsidR="00A31139" w:rsidRPr="009D7AB2">
        <w:rPr>
          <w:rFonts w:eastAsia="MS Mincho" w:cs="Times New Roman"/>
        </w:rPr>
        <w:t>thus</w:t>
      </w:r>
      <w:r w:rsidR="00E619CC" w:rsidRPr="009D7AB2">
        <w:rPr>
          <w:rFonts w:eastAsia="MS Mincho" w:cs="Times New Roman"/>
        </w:rPr>
        <w:t>,</w:t>
      </w:r>
      <w:r w:rsidR="00A31139" w:rsidRPr="009D7AB2">
        <w:rPr>
          <w:rFonts w:eastAsia="MS Mincho" w:cs="Times New Roman"/>
        </w:rPr>
        <w:t xml:space="preserve"> reporting bias may exist</w:t>
      </w:r>
      <w:r w:rsidR="001975F4" w:rsidRPr="009D7AB2">
        <w:rPr>
          <w:rFonts w:eastAsia="MS Mincho" w:cs="Times New Roman"/>
        </w:rPr>
        <w:t xml:space="preserve">, especially in those participants with worse </w:t>
      </w:r>
      <w:r w:rsidR="001975F4" w:rsidRPr="009D7AB2">
        <w:t>cognitive performance and lower capacity to recall their behaviors</w:t>
      </w:r>
      <w:r w:rsidR="00A31139" w:rsidRPr="009D7AB2">
        <w:rPr>
          <w:rFonts w:eastAsia="MS Mincho" w:cs="Times New Roman"/>
        </w:rPr>
        <w:t xml:space="preserve"> </w:t>
      </w:r>
      <w:r w:rsidR="007A4743" w:rsidRPr="009D7AB2">
        <w:rPr>
          <w:rFonts w:eastAsia="MS Mincho" w:cs="Times New Roman"/>
        </w:rPr>
        <w:fldChar w:fldCharType="begin" w:fldLock="1"/>
      </w:r>
      <w:r w:rsidR="00A4667D" w:rsidRPr="009D7AB2">
        <w:rPr>
          <w:rFonts w:eastAsia="MS Mincho" w:cs="Times New Roman"/>
        </w:rPr>
        <w:instrText>ADDIN CSL_CITATION {"citationItems":[{"id":"ITEM-1","itemData":{"DOI":"10.1097/00001648-199401000-00017","ISSN":"15315487","abstract":"We assessed reproducibility of long-term recall (over periods of up to 82 years) by repeat interviews 1–3 months apart in 63 people age 65–95 years. We assessed weight, height, physical activity, smoking, reproductive factors, and consumption of alcohol, coffee, tea, milk, cheese, and fruit. Reproducibility was acceptable for most variables. Spearman rank correlation coefficients ranged from 0.95 to 0.36; kappas ranged from 0.97 to 0.35. Past physical activity was the least reproducible variable. Older age, cognitive impairment, and male gender were associated with reduced reproducibility. © 1994 Epidemiology Resources Inc.","author":[{"dropping-particle":"","family":"Cumming","given":"Robert G.","non-dropping-particle":"","parse-names":false,"suffix":""},{"dropping-particle":"","family":"Klineberg","given":"Robin J.","non-dropping-particle":"","parse-names":false,"suffix":""}],"container-title":"Epidemiology","id":"ITEM-1","issue":"1","issued":{"date-parts":[["1994"]]},"page":"116-119","publisher":"Epidemiology","title":"A study of the reproducibility of long-term recall in the elderly","type":"article-journal","volume":"5"},"uris":["http://www.mendeley.com/documents/?uuid=c60e4033-edf8-3b1b-8afe-25548a259e93"]}],"mendeley":{"formattedCitation":"[60]","plainTextFormattedCitation":"[60]","previouslyFormattedCitation":"[60]"},"properties":{"noteIndex":0},"schema":"https://github.com/citation-style-language/schema/raw/master/csl-citation.json"}</w:instrText>
      </w:r>
      <w:r w:rsidR="007A4743" w:rsidRPr="009D7AB2">
        <w:rPr>
          <w:rFonts w:eastAsia="MS Mincho" w:cs="Times New Roman"/>
        </w:rPr>
        <w:fldChar w:fldCharType="separate"/>
      </w:r>
      <w:r w:rsidR="00A4667D" w:rsidRPr="009D7AB2">
        <w:rPr>
          <w:rFonts w:eastAsia="MS Mincho" w:cs="Times New Roman"/>
          <w:noProof/>
        </w:rPr>
        <w:t>[60]</w:t>
      </w:r>
      <w:r w:rsidR="007A4743" w:rsidRPr="009D7AB2">
        <w:rPr>
          <w:rFonts w:eastAsia="MS Mincho" w:cs="Times New Roman"/>
        </w:rPr>
        <w:fldChar w:fldCharType="end"/>
      </w:r>
      <w:r w:rsidR="00FA241D">
        <w:rPr>
          <w:rFonts w:eastAsia="MS Mincho" w:cs="Times New Roman"/>
        </w:rPr>
        <w:t xml:space="preserve">. </w:t>
      </w:r>
      <w:r w:rsidR="00A31139" w:rsidRPr="009D7AB2">
        <w:rPr>
          <w:rFonts w:eastAsia="MS Mincho" w:cs="Times New Roman"/>
          <w:color w:val="141413"/>
        </w:rPr>
        <w:t>Future research</w:t>
      </w:r>
      <w:r w:rsidR="00A31139" w:rsidRPr="00A31139">
        <w:rPr>
          <w:rFonts w:eastAsia="MS Mincho" w:cs="Times New Roman"/>
          <w:color w:val="141413"/>
        </w:rPr>
        <w:t xml:space="preserve"> should employ more sophisticated methods to accurately examine</w:t>
      </w:r>
      <w:r w:rsidR="00A31139">
        <w:rPr>
          <w:rFonts w:eastAsia="MS Mincho" w:cs="Times New Roman"/>
          <w:color w:val="141413"/>
        </w:rPr>
        <w:t xml:space="preserve"> </w:t>
      </w:r>
      <w:r w:rsidR="00864BDD">
        <w:rPr>
          <w:rFonts w:eastAsia="MS Mincho" w:cs="Times New Roman"/>
          <w:color w:val="141413"/>
        </w:rPr>
        <w:t xml:space="preserve">overall patterns of </w:t>
      </w:r>
      <w:r w:rsidR="00A31139">
        <w:rPr>
          <w:rFonts w:eastAsia="MS Mincho" w:cs="Times New Roman"/>
          <w:color w:val="141413"/>
        </w:rPr>
        <w:t>SB</w:t>
      </w:r>
      <w:r w:rsidR="00864BDD">
        <w:rPr>
          <w:rFonts w:eastAsia="MS Mincho" w:cs="Times New Roman"/>
          <w:color w:val="141413"/>
        </w:rPr>
        <w:t xml:space="preserve"> </w:t>
      </w:r>
      <w:r w:rsidR="003028E9">
        <w:rPr>
          <w:rFonts w:eastAsia="MS Mincho" w:cs="Times New Roman"/>
          <w:color w:val="141413"/>
        </w:rPr>
        <w:t>in combination with self-</w:t>
      </w:r>
      <w:r w:rsidR="003028E9" w:rsidRPr="00E516C3">
        <w:rPr>
          <w:rFonts w:eastAsia="MS Mincho" w:cs="Times New Roman"/>
          <w:color w:val="141413"/>
        </w:rPr>
        <w:t xml:space="preserve">reported tools to capture domain-specific </w:t>
      </w:r>
      <w:r w:rsidR="003028E9" w:rsidRPr="00A87326">
        <w:rPr>
          <w:rFonts w:eastAsia="MS Mincho" w:cs="Times New Roman"/>
          <w:color w:val="141413"/>
        </w:rPr>
        <w:t>SB</w:t>
      </w:r>
      <w:r w:rsidR="00E25F4A" w:rsidRPr="00A87326">
        <w:rPr>
          <w:rFonts w:eastAsia="MS Mincho" w:cs="Times New Roman"/>
          <w:color w:val="141413"/>
        </w:rPr>
        <w:t xml:space="preserve">. </w:t>
      </w:r>
      <w:r w:rsidR="00C92DC3" w:rsidRPr="001B4972">
        <w:rPr>
          <w:color w:val="000000"/>
          <w:highlight w:val="yellow"/>
        </w:rPr>
        <w:t>Additionally, there is not yet a norm-referenced criterion for determining high versus low SB, and the criterion used in this study needs to be further explored</w:t>
      </w:r>
      <w:r w:rsidR="00A87326" w:rsidRPr="001B4972">
        <w:rPr>
          <w:color w:val="000000"/>
          <w:highlight w:val="yellow"/>
        </w:rPr>
        <w:t>.</w:t>
      </w:r>
      <w:r w:rsidR="00C92DC3" w:rsidRPr="00A87326" w:rsidDel="00C92DC3">
        <w:rPr>
          <w:rFonts w:eastAsia="MS Mincho" w:cs="Times New Roman"/>
          <w:highlight w:val="yellow"/>
        </w:rPr>
        <w:t xml:space="preserve"> </w:t>
      </w:r>
      <w:r w:rsidR="00A31139" w:rsidRPr="00A87326">
        <w:rPr>
          <w:rFonts w:eastAsia="MS Mincho" w:cs="Times New Roman"/>
        </w:rPr>
        <w:t>Finally</w:t>
      </w:r>
      <w:r w:rsidR="00A31139" w:rsidRPr="00E516C3">
        <w:rPr>
          <w:rFonts w:eastAsia="MS Mincho" w:cs="Times New Roman"/>
        </w:rPr>
        <w:t>, it is important to note that our mediation analysis was based on cross-sectional data and th</w:t>
      </w:r>
      <w:r w:rsidR="00CE71FD" w:rsidRPr="00E516C3">
        <w:rPr>
          <w:rFonts w:eastAsia="MS Mincho" w:cs="Times New Roman"/>
        </w:rPr>
        <w:t>erefore</w:t>
      </w:r>
      <w:r w:rsidR="00A31139" w:rsidRPr="00E516C3">
        <w:rPr>
          <w:rFonts w:eastAsia="MS Mincho" w:cs="Times New Roman"/>
        </w:rPr>
        <w:t xml:space="preserve">, it is not possible to differentiate the factors as mediators or </w:t>
      </w:r>
      <w:r w:rsidR="00A31139" w:rsidRPr="00A87326">
        <w:rPr>
          <w:rFonts w:eastAsia="MS Mincho" w:cs="Times New Roman"/>
        </w:rPr>
        <w:t>confounders</w:t>
      </w:r>
      <w:r w:rsidR="00A87326" w:rsidRPr="00A87326">
        <w:rPr>
          <w:rFonts w:eastAsia="MS Mincho" w:cs="Times New Roman"/>
        </w:rPr>
        <w:t>.</w:t>
      </w:r>
      <w:r w:rsidR="00965A81">
        <w:rPr>
          <w:rFonts w:eastAsia="MS Mincho"/>
          <w:highlight w:val="yellow"/>
        </w:rPr>
        <w:t xml:space="preserve"> Relatedly</w:t>
      </w:r>
      <w:r w:rsidR="00A87326" w:rsidRPr="001B4972">
        <w:rPr>
          <w:rFonts w:eastAsia="MS Mincho"/>
          <w:highlight w:val="yellow"/>
        </w:rPr>
        <w:t xml:space="preserve">, one should bear in mind that the mediators in this study were assessed individually. Thus, it is possible that the mediators affect one another, or there can be </w:t>
      </w:r>
      <w:r w:rsidR="00A87326" w:rsidRPr="001B4972">
        <w:rPr>
          <w:rFonts w:eastAsia="Yu Mincho"/>
          <w:color w:val="000000"/>
          <w:highlight w:val="yellow"/>
        </w:rPr>
        <w:t>interactions between the effects of the mediators on happiness.</w:t>
      </w:r>
    </w:p>
    <w:p w14:paraId="74F14236" w14:textId="267BF2D7" w:rsidR="00B4036E" w:rsidRDefault="004C3FDD" w:rsidP="005D3987">
      <w:pPr>
        <w:spacing w:line="480" w:lineRule="auto"/>
        <w:rPr>
          <w:rFonts w:eastAsia="MS Mincho" w:cs="Times New Roman"/>
          <w:color w:val="141413"/>
        </w:rPr>
      </w:pPr>
      <w:r>
        <w:rPr>
          <w:rFonts w:eastAsia="MS Mincho" w:cs="Times New Roman"/>
        </w:rPr>
        <w:tab/>
      </w:r>
      <w:r w:rsidR="00643587">
        <w:rPr>
          <w:rFonts w:cs="Times New Roman"/>
        </w:rPr>
        <w:t xml:space="preserve">In conclusion, </w:t>
      </w:r>
      <w:r w:rsidR="007B7696">
        <w:rPr>
          <w:rFonts w:cs="Times New Roman"/>
        </w:rPr>
        <w:t xml:space="preserve">high </w:t>
      </w:r>
      <w:r w:rsidR="00643587">
        <w:rPr>
          <w:rFonts w:cs="Times New Roman"/>
        </w:rPr>
        <w:t xml:space="preserve">levels </w:t>
      </w:r>
      <w:r w:rsidR="00B4036E">
        <w:rPr>
          <w:rFonts w:cs="Times New Roman"/>
        </w:rPr>
        <w:t xml:space="preserve">of </w:t>
      </w:r>
      <w:r w:rsidR="00643587">
        <w:rPr>
          <w:rFonts w:cs="Times New Roman"/>
        </w:rPr>
        <w:t xml:space="preserve">SB were significantly associated with </w:t>
      </w:r>
      <w:r w:rsidR="007B7696">
        <w:rPr>
          <w:rFonts w:cs="Times New Roman"/>
        </w:rPr>
        <w:t xml:space="preserve">lower </w:t>
      </w:r>
      <w:r w:rsidR="00643587">
        <w:rPr>
          <w:rFonts w:cs="Times New Roman"/>
        </w:rPr>
        <w:t>levels of happiness across mid</w:t>
      </w:r>
      <w:r w:rsidR="00F85E36">
        <w:rPr>
          <w:rFonts w:cs="Times New Roman"/>
        </w:rPr>
        <w:t>dle</w:t>
      </w:r>
      <w:r w:rsidR="00643587">
        <w:rPr>
          <w:rFonts w:cs="Times New Roman"/>
        </w:rPr>
        <w:t xml:space="preserve"> and late adulthood. </w:t>
      </w:r>
      <w:r w:rsidR="00B4036E">
        <w:rPr>
          <w:rFonts w:cs="Times New Roman"/>
        </w:rPr>
        <w:t>M</w:t>
      </w:r>
      <w:r w:rsidR="00643587">
        <w:rPr>
          <w:bCs/>
          <w:iCs/>
        </w:rPr>
        <w:t xml:space="preserve">obility limitations, pain </w:t>
      </w:r>
      <w:r w:rsidR="00B4036E">
        <w:rPr>
          <w:bCs/>
          <w:iCs/>
        </w:rPr>
        <w:t xml:space="preserve">and </w:t>
      </w:r>
      <w:r w:rsidR="00643587">
        <w:rPr>
          <w:bCs/>
          <w:iCs/>
        </w:rPr>
        <w:t xml:space="preserve">discomfort, cognitive complaints, </w:t>
      </w:r>
      <w:r w:rsidR="00643587">
        <w:rPr>
          <w:rFonts w:cs="Times New Roman"/>
        </w:rPr>
        <w:t xml:space="preserve">problems with sleep and energy, and disability </w:t>
      </w:r>
      <w:r w:rsidR="00B4036E">
        <w:rPr>
          <w:rFonts w:cs="Times New Roman"/>
        </w:rPr>
        <w:t>may potentially influence this relationship</w:t>
      </w:r>
      <w:r w:rsidR="00643587">
        <w:rPr>
          <w:rFonts w:cs="Times New Roman"/>
        </w:rPr>
        <w:t>. C</w:t>
      </w:r>
      <w:r w:rsidR="000732FB">
        <w:rPr>
          <w:rFonts w:eastAsia="MS Mincho" w:cs="Times New Roman"/>
          <w:color w:val="141413"/>
        </w:rPr>
        <w:t xml:space="preserve">ontext-specific SB data </w:t>
      </w:r>
      <w:r w:rsidR="00643587">
        <w:rPr>
          <w:rFonts w:eastAsia="MS Mincho" w:cs="Times New Roman"/>
          <w:color w:val="141413"/>
        </w:rPr>
        <w:t xml:space="preserve">will </w:t>
      </w:r>
      <w:r w:rsidR="000732FB">
        <w:rPr>
          <w:rFonts w:eastAsia="MS Mincho" w:cs="Times New Roman"/>
          <w:color w:val="141413"/>
        </w:rPr>
        <w:t>provide useful insights on specific domains and correlates of behavior that may be linked to happiness and overall wellbeing</w:t>
      </w:r>
      <w:r w:rsidR="00643587">
        <w:rPr>
          <w:rFonts w:eastAsia="MS Mincho" w:cs="Times New Roman"/>
          <w:color w:val="141413"/>
        </w:rPr>
        <w:t xml:space="preserve">. </w:t>
      </w:r>
    </w:p>
    <w:p w14:paraId="1053F7E9" w14:textId="034B52CF" w:rsidR="008208B1" w:rsidRDefault="008208B1" w:rsidP="005D3987">
      <w:pPr>
        <w:spacing w:line="480" w:lineRule="auto"/>
        <w:rPr>
          <w:rFonts w:eastAsia="MS Mincho" w:cs="Times New Roman"/>
          <w:color w:val="141413"/>
        </w:rPr>
      </w:pPr>
    </w:p>
    <w:p w14:paraId="09189319" w14:textId="77777777" w:rsidR="008208B1" w:rsidRDefault="008208B1" w:rsidP="001F374D">
      <w:pPr>
        <w:pStyle w:val="Heading1"/>
      </w:pPr>
      <w:r>
        <w:t xml:space="preserve">DECLARATIONS </w:t>
      </w:r>
    </w:p>
    <w:p w14:paraId="0ECFCAF3" w14:textId="77777777" w:rsidR="008208B1" w:rsidRPr="001F374D" w:rsidRDefault="008208B1" w:rsidP="001F374D">
      <w:pPr>
        <w:pStyle w:val="Heading2"/>
      </w:pPr>
      <w:r w:rsidRPr="001F374D">
        <w:t>Ethics approval and consent to participate</w:t>
      </w:r>
    </w:p>
    <w:p w14:paraId="2D69687E" w14:textId="15BA5828" w:rsidR="008208B1" w:rsidRDefault="008208B1" w:rsidP="001F374D">
      <w:pPr>
        <w:spacing w:line="480" w:lineRule="auto"/>
      </w:pPr>
      <w:r w:rsidRPr="009D134B">
        <w:t>Ethical approval to conduct the study was obtained from the ethical boards at each study site. Informed consent was obtained from all participants.</w:t>
      </w:r>
    </w:p>
    <w:p w14:paraId="28D4BD31" w14:textId="77777777" w:rsidR="008208B1" w:rsidRDefault="008208B1" w:rsidP="001F374D">
      <w:pPr>
        <w:spacing w:line="480" w:lineRule="auto"/>
      </w:pPr>
    </w:p>
    <w:p w14:paraId="5DC0B6CB" w14:textId="77777777" w:rsidR="008208B1" w:rsidRPr="001F374D" w:rsidRDefault="008208B1" w:rsidP="001F374D">
      <w:pPr>
        <w:pStyle w:val="Heading2"/>
      </w:pPr>
      <w:r w:rsidRPr="001F374D">
        <w:t>Competing interests</w:t>
      </w:r>
    </w:p>
    <w:p w14:paraId="4531774B" w14:textId="77777777" w:rsidR="008208B1" w:rsidRPr="002B65A2" w:rsidRDefault="008208B1" w:rsidP="001F374D">
      <w:pPr>
        <w:spacing w:line="480" w:lineRule="auto"/>
      </w:pPr>
      <w:r w:rsidRPr="002B65A2">
        <w:t>The authors declare that they have no competing interests</w:t>
      </w:r>
      <w:r>
        <w:t>.</w:t>
      </w:r>
    </w:p>
    <w:p w14:paraId="25BAC4B1" w14:textId="0E396675" w:rsidR="008208B1" w:rsidRDefault="008208B1" w:rsidP="001F374D">
      <w:pPr>
        <w:spacing w:line="480" w:lineRule="auto"/>
        <w:rPr>
          <w:rFonts w:eastAsia="MS Mincho"/>
          <w:color w:val="141413"/>
        </w:rPr>
      </w:pPr>
    </w:p>
    <w:p w14:paraId="187146CC" w14:textId="40D32BED" w:rsidR="008208B1" w:rsidRPr="001F374D" w:rsidRDefault="008208B1" w:rsidP="001F374D">
      <w:pPr>
        <w:pStyle w:val="Heading2"/>
      </w:pPr>
      <w:r w:rsidRPr="001F374D">
        <w:t xml:space="preserve">Funding </w:t>
      </w:r>
    </w:p>
    <w:p w14:paraId="11B4E908" w14:textId="572BE314" w:rsidR="0016643E" w:rsidRDefault="0098297A" w:rsidP="001F374D">
      <w:pPr>
        <w:spacing w:line="480" w:lineRule="auto"/>
      </w:pPr>
      <w:r w:rsidRPr="0098297A">
        <w:t>This research did not receive any specific grant from funding agencies in the public, commercial, or not-for-profit sectors.</w:t>
      </w:r>
    </w:p>
    <w:p w14:paraId="49B348C3" w14:textId="77777777" w:rsidR="001D3E07" w:rsidRDefault="001D3E07" w:rsidP="001F374D">
      <w:pPr>
        <w:spacing w:line="480" w:lineRule="auto"/>
      </w:pPr>
    </w:p>
    <w:p w14:paraId="1A71E105" w14:textId="77777777" w:rsidR="0016643E" w:rsidRPr="001F374D" w:rsidRDefault="0016643E" w:rsidP="001F374D">
      <w:pPr>
        <w:pStyle w:val="Heading2"/>
      </w:pPr>
      <w:r w:rsidRPr="001F374D">
        <w:t>Acknowledgements</w:t>
      </w:r>
    </w:p>
    <w:p w14:paraId="0C12EBD3" w14:textId="6F25E635" w:rsidR="00F85E36" w:rsidRPr="00F85E36" w:rsidRDefault="00F85E36" w:rsidP="001F374D">
      <w:pPr>
        <w:spacing w:line="480" w:lineRule="auto"/>
      </w:pPr>
      <w:r w:rsidRPr="008602F8">
        <w:t xml:space="preserve">This paper uses data from WHO’s Study on Global Ageing and Adult Health (SAGE). SAGE is supported by the U.S. National Institute on Aging through Interagency Agreements OGHA 04034785, YA1323–08-CN-0020, Y1-AG-1005–01 and through research grants R01-AG034479 and R21-AG034263. </w:t>
      </w:r>
    </w:p>
    <w:p w14:paraId="49287F25" w14:textId="77777777" w:rsidR="00F94E02" w:rsidRPr="001F374D" w:rsidRDefault="00F94E02" w:rsidP="001F374D">
      <w:pPr>
        <w:spacing w:line="480" w:lineRule="auto"/>
        <w:rPr>
          <w:b/>
          <w:bCs/>
          <w:i/>
          <w:iCs/>
        </w:rPr>
      </w:pPr>
    </w:p>
    <w:p w14:paraId="5EDF18A2" w14:textId="7CE9ABEC" w:rsidR="00F94E02" w:rsidRPr="001F374D" w:rsidRDefault="00F94E02" w:rsidP="001F374D">
      <w:pPr>
        <w:pStyle w:val="Heading2"/>
      </w:pPr>
      <w:r w:rsidRPr="001F374D">
        <w:t>Availability of data and materials</w:t>
      </w:r>
    </w:p>
    <w:p w14:paraId="2FC0E5E1" w14:textId="13E77565" w:rsidR="00F94E02" w:rsidRDefault="00F94E02" w:rsidP="001F374D">
      <w:pPr>
        <w:spacing w:line="480" w:lineRule="auto"/>
        <w:rPr>
          <w:rFonts w:eastAsia="MS Mincho"/>
          <w:color w:val="0000FF"/>
          <w:u w:val="single"/>
        </w:rPr>
      </w:pPr>
      <w:r w:rsidRPr="00F85E36">
        <w:rPr>
          <w:rFonts w:eastAsia="MS Mincho"/>
          <w:color w:val="141413"/>
        </w:rPr>
        <w:t>The dataset supporting the conclusions of</w:t>
      </w:r>
      <w:r>
        <w:rPr>
          <w:rFonts w:eastAsia="MS Mincho"/>
          <w:color w:val="141413"/>
        </w:rPr>
        <w:t xml:space="preserve"> this article is available in: </w:t>
      </w:r>
      <w:hyperlink r:id="rId11" w:history="1">
        <w:r w:rsidRPr="001F59D6">
          <w:rPr>
            <w:rStyle w:val="Hyperlink"/>
            <w:rFonts w:cs="Times New Roman"/>
          </w:rPr>
          <w:t>http://www.who.int/healthinfo/sage/en/</w:t>
        </w:r>
      </w:hyperlink>
    </w:p>
    <w:p w14:paraId="0F879155" w14:textId="77777777" w:rsidR="00F94E02" w:rsidRDefault="00F94E02" w:rsidP="001F374D">
      <w:pPr>
        <w:spacing w:line="480" w:lineRule="auto"/>
      </w:pPr>
    </w:p>
    <w:p w14:paraId="0CC7423F" w14:textId="77777777" w:rsidR="00780C36" w:rsidRPr="001F374D" w:rsidRDefault="0016643E" w:rsidP="001F374D">
      <w:pPr>
        <w:pStyle w:val="Heading2"/>
      </w:pPr>
      <w:r w:rsidRPr="001F374D">
        <w:t>Authors' contributions</w:t>
      </w:r>
    </w:p>
    <w:p w14:paraId="1C5EE807" w14:textId="5F7B004C" w:rsidR="0016643E" w:rsidRDefault="0016643E" w:rsidP="001F374D">
      <w:pPr>
        <w:spacing w:line="480" w:lineRule="auto"/>
        <w:rPr>
          <w:color w:val="212121"/>
          <w:shd w:val="clear" w:color="auto" w:fill="FFFFFF"/>
        </w:rPr>
      </w:pPr>
      <w:r w:rsidRPr="00C219BF">
        <w:rPr>
          <w:color w:val="212121"/>
          <w:shd w:val="clear" w:color="auto" w:fill="FFFFFF"/>
        </w:rPr>
        <w:t>MF and AK designed and conceptualized the study</w:t>
      </w:r>
      <w:r>
        <w:rPr>
          <w:color w:val="212121"/>
          <w:shd w:val="clear" w:color="auto" w:fill="FFFFFF"/>
        </w:rPr>
        <w:t xml:space="preserve">. MF and </w:t>
      </w:r>
      <w:r w:rsidRPr="00C219BF">
        <w:rPr>
          <w:color w:val="212121"/>
          <w:shd w:val="clear" w:color="auto" w:fill="FFFFFF"/>
        </w:rPr>
        <w:t>AK analyzed the data</w:t>
      </w:r>
      <w:r>
        <w:rPr>
          <w:color w:val="212121"/>
          <w:shd w:val="clear" w:color="auto" w:fill="FFFFFF"/>
        </w:rPr>
        <w:t xml:space="preserve">. </w:t>
      </w:r>
      <w:r w:rsidRPr="00C219BF">
        <w:rPr>
          <w:color w:val="212121"/>
          <w:shd w:val="clear" w:color="auto" w:fill="FFFFFF"/>
        </w:rPr>
        <w:t>MF,</w:t>
      </w:r>
      <w:r w:rsidRPr="00387EA5">
        <w:rPr>
          <w:color w:val="212121"/>
          <w:shd w:val="clear" w:color="auto" w:fill="FFFFFF"/>
        </w:rPr>
        <w:t xml:space="preserve"> </w:t>
      </w:r>
      <w:r>
        <w:rPr>
          <w:color w:val="212121"/>
          <w:shd w:val="clear" w:color="auto" w:fill="FFFFFF"/>
        </w:rPr>
        <w:t xml:space="preserve">BO, </w:t>
      </w:r>
      <w:r w:rsidR="00BE1AB6">
        <w:rPr>
          <w:color w:val="212121"/>
          <w:shd w:val="clear" w:color="auto" w:fill="FFFFFF"/>
        </w:rPr>
        <w:t xml:space="preserve">JMH, </w:t>
      </w:r>
      <w:r>
        <w:rPr>
          <w:color w:val="212121"/>
          <w:shd w:val="clear" w:color="auto" w:fill="FFFFFF"/>
        </w:rPr>
        <w:t xml:space="preserve">BS, </w:t>
      </w:r>
      <w:proofErr w:type="gramStart"/>
      <w:r>
        <w:rPr>
          <w:color w:val="212121"/>
          <w:shd w:val="clear" w:color="auto" w:fill="FFFFFF"/>
        </w:rPr>
        <w:t>LS</w:t>
      </w:r>
      <w:proofErr w:type="gramEnd"/>
      <w:r>
        <w:rPr>
          <w:color w:val="212121"/>
          <w:shd w:val="clear" w:color="auto" w:fill="FFFFFF"/>
        </w:rPr>
        <w:t xml:space="preserve"> and </w:t>
      </w:r>
      <w:r w:rsidRPr="00C219BF">
        <w:rPr>
          <w:color w:val="212121"/>
          <w:shd w:val="clear" w:color="auto" w:fill="FFFFFF"/>
        </w:rPr>
        <w:t>AK, interpreted the data</w:t>
      </w:r>
      <w:r>
        <w:rPr>
          <w:color w:val="212121"/>
          <w:shd w:val="clear" w:color="auto" w:fill="FFFFFF"/>
        </w:rPr>
        <w:t xml:space="preserve">. </w:t>
      </w:r>
      <w:r w:rsidRPr="00C219BF">
        <w:rPr>
          <w:color w:val="212121"/>
          <w:shd w:val="clear" w:color="auto" w:fill="FFFFFF"/>
        </w:rPr>
        <w:t xml:space="preserve">MF wrote the </w:t>
      </w:r>
      <w:r w:rsidR="008E4F23">
        <w:rPr>
          <w:color w:val="212121"/>
          <w:shd w:val="clear" w:color="auto" w:fill="FFFFFF"/>
        </w:rPr>
        <w:t xml:space="preserve">first draft of the </w:t>
      </w:r>
      <w:r w:rsidRPr="00C219BF">
        <w:rPr>
          <w:color w:val="212121"/>
          <w:shd w:val="clear" w:color="auto" w:fill="FFFFFF"/>
        </w:rPr>
        <w:t>manuscript</w:t>
      </w:r>
      <w:r>
        <w:rPr>
          <w:color w:val="212121"/>
          <w:shd w:val="clear" w:color="auto" w:fill="FFFFFF"/>
        </w:rPr>
        <w:t>. A</w:t>
      </w:r>
      <w:r w:rsidRPr="00C219BF">
        <w:rPr>
          <w:color w:val="212121"/>
          <w:shd w:val="clear" w:color="auto" w:fill="FFFFFF"/>
        </w:rPr>
        <w:t>ll authors revised the manuscript for intellectual content</w:t>
      </w:r>
      <w:r>
        <w:rPr>
          <w:color w:val="212121"/>
          <w:shd w:val="clear" w:color="auto" w:fill="FFFFFF"/>
        </w:rPr>
        <w:t xml:space="preserve"> and </w:t>
      </w:r>
      <w:r w:rsidRPr="00C219BF">
        <w:rPr>
          <w:color w:val="212121"/>
          <w:shd w:val="clear" w:color="auto" w:fill="FFFFFF"/>
        </w:rPr>
        <w:t xml:space="preserve">approved the final manuscript. </w:t>
      </w:r>
    </w:p>
    <w:p w14:paraId="4B1C518C" w14:textId="2B7581F5" w:rsidR="001F374D" w:rsidRDefault="001F374D">
      <w:pPr>
        <w:spacing w:after="160" w:line="259" w:lineRule="auto"/>
        <w:rPr>
          <w:rFonts w:eastAsia="MS Mincho"/>
          <w:color w:val="141413"/>
        </w:rPr>
      </w:pPr>
      <w:r>
        <w:rPr>
          <w:rFonts w:eastAsia="MS Mincho"/>
          <w:color w:val="141413"/>
        </w:rPr>
        <w:br w:type="page"/>
      </w:r>
    </w:p>
    <w:p w14:paraId="2D83BE4E" w14:textId="293D897E" w:rsidR="00195C2E" w:rsidRDefault="00195C2E" w:rsidP="001F374D">
      <w:pPr>
        <w:pStyle w:val="Heading1"/>
      </w:pPr>
      <w:bookmarkStart w:id="2" w:name="_Hlk36628532"/>
      <w:r>
        <w:lastRenderedPageBreak/>
        <w:t xml:space="preserve">REFERENCES </w:t>
      </w:r>
    </w:p>
    <w:bookmarkStart w:id="3" w:name="_Hlk36629003"/>
    <w:bookmarkStart w:id="4" w:name="_Hlk36628938"/>
    <w:bookmarkStart w:id="5" w:name="_Hlk36629358"/>
    <w:bookmarkEnd w:id="2"/>
    <w:p w14:paraId="786658A1" w14:textId="01DAB922" w:rsidR="00683963" w:rsidRPr="00683963" w:rsidRDefault="00192F4E" w:rsidP="00683963">
      <w:pPr>
        <w:widowControl w:val="0"/>
        <w:autoSpaceDE w:val="0"/>
        <w:autoSpaceDN w:val="0"/>
        <w:adjustRightInd w:val="0"/>
        <w:spacing w:line="480" w:lineRule="auto"/>
        <w:ind w:left="640" w:hanging="640"/>
        <w:rPr>
          <w:rFonts w:cs="Times New Roman"/>
          <w:noProof/>
        </w:rPr>
      </w:pPr>
      <w:r>
        <w:rPr>
          <w:rFonts w:eastAsia="MS Mincho" w:cs="Times New Roman"/>
          <w:color w:val="141413"/>
        </w:rPr>
        <w:fldChar w:fldCharType="begin" w:fldLock="1"/>
      </w:r>
      <w:r>
        <w:rPr>
          <w:rFonts w:eastAsia="MS Mincho" w:cs="Times New Roman"/>
          <w:color w:val="141413"/>
        </w:rPr>
        <w:instrText xml:space="preserve">ADDIN Mendeley Bibliography CSL_BIBLIOGRAPHY </w:instrText>
      </w:r>
      <w:r>
        <w:rPr>
          <w:rFonts w:eastAsia="MS Mincho" w:cs="Times New Roman"/>
          <w:color w:val="141413"/>
        </w:rPr>
        <w:fldChar w:fldCharType="separate"/>
      </w:r>
      <w:r w:rsidR="00683963" w:rsidRPr="00683963">
        <w:rPr>
          <w:rFonts w:cs="Times New Roman"/>
          <w:noProof/>
        </w:rPr>
        <w:t>[1]</w:t>
      </w:r>
      <w:r w:rsidR="00683963" w:rsidRPr="00683963">
        <w:rPr>
          <w:rFonts w:cs="Times New Roman"/>
          <w:noProof/>
        </w:rPr>
        <w:tab/>
        <w:t>M. Tremblay, Letter to the editor: Standardized use of the terms “sedentary” and “sedentary behaviours,” Appl. Physiol. Nutr. Metab. 37 (2012) 540–542. https://doi.org/10.1139/H2012-024.</w:t>
      </w:r>
    </w:p>
    <w:p w14:paraId="09630A6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w:t>
      </w:r>
      <w:r w:rsidRPr="00683963">
        <w:rPr>
          <w:rFonts w:cs="Times New Roman"/>
          <w:noProof/>
        </w:rPr>
        <w:tab/>
        <w:t>K.M. Diaz, V.J. Howard, B. Hutto, N. Colabianchi, J.E. Vena, M.M. Safford, S.N. Blair, S.P. Hooker, Patterns of sedentary behavior and mortality in U.S. middle-aged and older adults a national cohort study, Ann. Intern. Med. 167 (2017) 465–475. https://doi.org/10.7326/M17-0212.</w:t>
      </w:r>
    </w:p>
    <w:p w14:paraId="379208AD"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w:t>
      </w:r>
      <w:r w:rsidRPr="00683963">
        <w:rPr>
          <w:rFonts w:cs="Times New Roman"/>
          <w:noProof/>
        </w:rPr>
        <w:tab/>
        <w:t>J.A. Harvey, S.F.M. Chastin, D.A. Skelton, How sedentary are older people? A systematic review of the amount of sedentary behavior, J. Aging Phys. Act. 23 (2015) 471–487. https://doi.org/10.1123/japa.2014-0164.</w:t>
      </w:r>
    </w:p>
    <w:p w14:paraId="78639BBA"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w:t>
      </w:r>
      <w:r w:rsidRPr="00683963">
        <w:rPr>
          <w:rFonts w:cs="Times New Roman"/>
          <w:noProof/>
        </w:rPr>
        <w:tab/>
        <w:t>R. Patterson, E. McNamara, M. Tainio, T.H. de Sá, A.D. Smith, S.J. Sharp, P. Edwards, J. Woodcock, S. Brage, K. Wijndaele, Sedentary behaviour and risk of all-cause, cardiovascular and cancer mortality, and incident type 2 diabetes: a systematic review and dose response meta-analysis, Eur. J. Epidemiol. 33 (2018) 811–829. https://doi.org/10.1007/s10654-018-0380-1.</w:t>
      </w:r>
    </w:p>
    <w:p w14:paraId="205A2855"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w:t>
      </w:r>
      <w:r w:rsidRPr="00683963">
        <w:rPr>
          <w:rFonts w:cs="Times New Roman"/>
          <w:noProof/>
        </w:rPr>
        <w:tab/>
        <w:t>Y. Huang, L. Li, Y. Gan, C. Wang, H. Jiang, S. Cao, Z. Lu, Sedentary behaviors and risk of depression: a meta-analysis of prospective studies, Transl. Psychiatry. 10 (2020) 1–10. https://doi.org/10.1038/s41398-020-0715-z.</w:t>
      </w:r>
    </w:p>
    <w:p w14:paraId="3DC9FECD"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[6]</w:t>
      </w:r>
      <w:r w:rsidRPr="00683963">
        <w:rPr>
          <w:rFonts w:cs="Times New Roman"/>
          <w:noProof/>
        </w:rPr>
        <w:tab/>
        <w:t>Tomkins Institute » Affect Imagery Consciousness (Vol I-IV), (n.d.). https://www.tomkins.org/what-tomkins-said/books-and-articles/affect-imagery-consciousness-vol-i-iv/ (accessed July 27, 2020).</w:t>
      </w:r>
    </w:p>
    <w:p w14:paraId="0940C19D"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[7]</w:t>
      </w:r>
      <w:r w:rsidRPr="00683963">
        <w:rPr>
          <w:rFonts w:cs="Times New Roman"/>
          <w:noProof/>
        </w:rPr>
        <w:tab/>
        <w:t>A. Steptoe, A. Deaton, A.A. Stone, Subjective wellbeing, health, and ageing, Lancet. 385 (2015) 640–648. https://doi.org/10.1016/S0140-6736(13)61489-0.</w:t>
      </w:r>
    </w:p>
    <w:p w14:paraId="14504DEC"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[8]</w:t>
      </w:r>
      <w:r w:rsidRPr="00683963">
        <w:rPr>
          <w:rFonts w:cs="Times New Roman"/>
          <w:noProof/>
        </w:rPr>
        <w:tab/>
        <w:t>WHO | The happiness effect, WHO. (2011).</w:t>
      </w:r>
    </w:p>
    <w:p w14:paraId="67CA1ED0"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lastRenderedPageBreak/>
        <w:t>[9]</w:t>
      </w:r>
      <w:r w:rsidRPr="00683963">
        <w:rPr>
          <w:rFonts w:cs="Times New Roman"/>
          <w:noProof/>
        </w:rPr>
        <w:tab/>
        <w:t>E. Diener, M.Y. Chan, Happy People Live Longer: Subjective Well-Being Contributes to Health and Longevity, Appl. Psychol. Heal. Well-Being. 3 (2011) 1–43. https://doi.org/10.1111/j.1758-0854.2010.01045.x.</w:t>
      </w:r>
    </w:p>
    <w:p w14:paraId="500D07B9"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[10]</w:t>
      </w:r>
      <w:r w:rsidRPr="00683963">
        <w:rPr>
          <w:rFonts w:cs="Times New Roman"/>
          <w:noProof/>
        </w:rPr>
        <w:tab/>
        <w:t>M. Boberska, Z. Szczuka, M. Kruk, N. Knoll, J. Keller, D.H. Hohl, A. Luszczynska, Sedentary behaviours and health-related quality of life. A systematic review and meta-analysis, Health Psychol. Rev. 12 (2018) 195–210. https://doi.org/10.1080/17437199.2017.1396191.</w:t>
      </w:r>
    </w:p>
    <w:p w14:paraId="1EEE2F35"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[11]</w:t>
      </w:r>
      <w:r w:rsidRPr="00683963">
        <w:rPr>
          <w:rFonts w:cs="Times New Roman"/>
          <w:noProof/>
        </w:rPr>
        <w:tab/>
        <w:t>P.-W. Ku, K.R. Fox, L.-J. Chen, P. Chou, Physical activity, sedentary time and subjective well-being in Taiwanese older adults, Int. J. Sport Psychol. 42 (2011) 245–262.</w:t>
      </w:r>
    </w:p>
    <w:p w14:paraId="3295C66B"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[12]</w:t>
      </w:r>
      <w:r w:rsidRPr="00683963">
        <w:rPr>
          <w:rFonts w:cs="Times New Roman"/>
          <w:noProof/>
        </w:rPr>
        <w:tab/>
        <w:t>Y. Kim, E. Lee, The association between elderly people’s sedentary behaviors and their health-related quality of life: Focusing on comparing the young-old and the old-old, Health Qual. Life Outcomes. 17 (2019) 131. https://doi.org/10.1186/s12955-019-1191-0.</w:t>
      </w:r>
    </w:p>
    <w:p w14:paraId="36E9B94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[13]</w:t>
      </w:r>
      <w:r w:rsidRPr="00683963">
        <w:rPr>
          <w:rFonts w:cs="Times New Roman"/>
          <w:noProof/>
        </w:rPr>
        <w:tab/>
        <w:t>T. Balboa-Castillo, L.M. León-Muñoz, A. Graciani, F. Rodríguez-Artalejo, P. Guallar-Castillón, Longitudinal association of physical activity and sedentary behavior during leisure time with health-related quality of life in community-dwelling older adults, Health Qual. Life Outcomes. 9 (2011) 47. https://doi.org/10.1186/1477-7525-9-47.</w:t>
      </w:r>
    </w:p>
    <w:p w14:paraId="3F74F045"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[14]</w:t>
      </w:r>
      <w:r w:rsidRPr="00683963">
        <w:rPr>
          <w:rFonts w:cs="Times New Roman"/>
          <w:noProof/>
        </w:rPr>
        <w:tab/>
        <w:t>J. Withall, A. Stathi, M. Davis, J. Coulson, J.L. Thompson, K.R. Fox, Objective indicators of physical activity and sedentary time and associations with subjective well-being in adults aged 70 and over, Int. J. Environ. Res. Public Health. 11 (2014) 643–656. https://doi.org/10.3390/ijerph110100643.</w:t>
      </w:r>
    </w:p>
    <w:p w14:paraId="04325200"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[15]</w:t>
      </w:r>
      <w:r w:rsidRPr="00683963">
        <w:rPr>
          <w:rFonts w:cs="Times New Roman"/>
          <w:noProof/>
        </w:rPr>
        <w:tab/>
        <w:t xml:space="preserve">J.A. Okely, I. Čukić, R.J. Shaw, S.F. Chastin, P.M. Dall, I.J. Deary, G. Der, M.L. Dontje, D.A. Skelton, C.R. Gale, Positive and negative well-being and objectively measured sedentary behaviour in older adults: evidence from three cohorts, BMC </w:t>
      </w:r>
      <w:r w:rsidRPr="00683963">
        <w:rPr>
          <w:rFonts w:cs="Times New Roman"/>
          <w:noProof/>
        </w:rPr>
        <w:lastRenderedPageBreak/>
        <w:t>Geriatr. 19 (2019) 28. https://doi.org/10.1186/s12877-019-1026-1.</w:t>
      </w:r>
    </w:p>
    <w:p w14:paraId="19806FB1"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[16]</w:t>
      </w:r>
      <w:r w:rsidRPr="00683963">
        <w:rPr>
          <w:rFonts w:cs="Times New Roman"/>
          <w:noProof/>
        </w:rPr>
        <w:tab/>
        <w:t>(No Title), 2018. http://www.ncbi.nlm.nih.gov/pubmed/29989766 (accessed March 23, 2020).</w:t>
      </w:r>
    </w:p>
    <w:p w14:paraId="6F499AC9"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[17]</w:t>
      </w:r>
      <w:r w:rsidRPr="00683963">
        <w:rPr>
          <w:rFonts w:cs="Times New Roman"/>
          <w:noProof/>
        </w:rPr>
        <w:tab/>
        <w:t>S.J. Elliott, J. Dixon, E. Bisung, J. Kangmennaang, A GLOWING footprint: Developing an index of wellbeing for low to middle income countries, Int. J. Wellbeing. 7 (2017). https://doi.org/10.5502/ijw.v7i2.503.</w:t>
      </w:r>
    </w:p>
    <w:p w14:paraId="75C407C7"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[18]</w:t>
      </w:r>
      <w:r w:rsidRPr="00683963">
        <w:rPr>
          <w:rFonts w:cs="Times New Roman"/>
          <w:noProof/>
        </w:rPr>
        <w:tab/>
        <w:t>P. Kowal, S. Chatterji, N. Naidoo, R. Biritwum, W. Fan, R.L. Ridaura, T. Maximova, P. Arokiasamy, N. Phaswana-Mafuya, S. Williams, J. Josh Snodgrass, N. Minicuci, C. D’Este, K. Peltzer, J. Ties Boerma, A. Yawson, G. Mensah, J. Yong, Y. Guo, Y. Zheng, P. Parasuraman, H. Lhungdim, T. V. Sekher, R. Rosa, V.B. Belov, N.P. Lushkina, K. Peltzer, M. Makiwane, K. Zuma, S. Ramlagan, A. Davids, N. Mbelle, G. Matseke, M. Schneider, C. Tabane, S. Tollman, K. Kahn, N. Ng, S. Juvekar, O. Sankoh, C.Y. Debpuur, N.T.K. Chuc, F.X. Gomez-Olive, M. Hakimi, S. Hirve, S. Abdullah, A. Hodgson, C. Kyobutungi, T. Egondi, C. Mayombana, H. V. Minh, M.A. Mwanyangala, A. Razzaque, S. Wilopo, P.K. Streatfield, P. Byass, S. Wall, F. Scholten, J. Mugisha, J. Seeley, E. Kinyanda, M. Nyirenda, P. Mutevedzi, M.L. Newell, Data resource profile: The world health organization study on global ageing and adult health (SAGE), Int. J. Epidemiol. 41 (2012) 1639–1649. https://doi.org/10.1093/ije/dys210.</w:t>
      </w:r>
    </w:p>
    <w:p w14:paraId="7C6B59BF"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[19]</w:t>
      </w:r>
      <w:r w:rsidRPr="00683963">
        <w:rPr>
          <w:rFonts w:cs="Times New Roman"/>
          <w:noProof/>
        </w:rPr>
        <w:tab/>
        <w:t>F.C. Bull, T.S. Maslin, T. Armstrong, Global physical activity questionnaire (GPAQ): Nine country reliability and validity study, J. Phys. Act. Heal. 6 (2009) 790–804. https://doi.org/10.1123/jpah.6.6.790.</w:t>
      </w:r>
    </w:p>
    <w:p w14:paraId="3D5EE95A"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[20]</w:t>
      </w:r>
      <w:r w:rsidRPr="00683963">
        <w:rPr>
          <w:rFonts w:cs="Times New Roman"/>
          <w:noProof/>
        </w:rPr>
        <w:tab/>
        <w:t xml:space="preserve">B. Stubbs, D. Vancampfort, J. Firth, F.B. Schuch, M. Hallgren, L. Smith, B. Gardner, K.G. Kahl, N. Veronese, M. Solmi, A.F. Carvalho, A. Koyanagi, Relationship between sedentary behavior and depression: A mediation analysis of influential factors across </w:t>
      </w:r>
      <w:r w:rsidRPr="00683963">
        <w:rPr>
          <w:rFonts w:cs="Times New Roman"/>
          <w:noProof/>
        </w:rPr>
        <w:lastRenderedPageBreak/>
        <w:t>the lifespan among 42,469 people in low- and middle-income countries, J. Affect. Disord. 229 (2018) 231–238. https://doi.org/10.1016/j.jad.2017.12.104.</w:t>
      </w:r>
    </w:p>
    <w:p w14:paraId="7D2AE9FF"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[21]</w:t>
      </w:r>
      <w:r w:rsidRPr="00683963">
        <w:rPr>
          <w:rFonts w:cs="Times New Roman"/>
          <w:noProof/>
        </w:rPr>
        <w:tab/>
        <w:t>U. Ekelund, J. Steene-Johannessen, W.J. Brown, M.W. Fagerland, N. Owen, K.E. Powell, A. Bauman, I.M. Lee, Does physical activity attenuate, or even eliminate, the detrimental association of sitting time with mortality? A harmonised meta-analysis of data from more than 1 million men and women, Lancet. 388 (2016) 1302–1310. https://doi.org/10.1016/S0140-6736(16)30370-1.</w:t>
      </w:r>
    </w:p>
    <w:p w14:paraId="725FE6B3"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[22]</w:t>
      </w:r>
      <w:r w:rsidRPr="00683963">
        <w:rPr>
          <w:rFonts w:cs="Times New Roman"/>
          <w:noProof/>
        </w:rPr>
        <w:tab/>
        <w:t>D. Vancampfort, B. Stubbs, A. Koyanagi, Physical chronic conditions, multimorbidity and sedentary behavior amongst middle-aged and older adults in six low- and middle-income countries, Int. J. Behav. Nutr. Phys. Act. 14 (2017). https://doi.org/10.1186/s12966-017-0602-z.</w:t>
      </w:r>
    </w:p>
    <w:p w14:paraId="64226606"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[23]</w:t>
      </w:r>
      <w:r w:rsidRPr="00683963">
        <w:rPr>
          <w:rFonts w:cs="Times New Roman"/>
          <w:noProof/>
        </w:rPr>
        <w:tab/>
        <w:t>G.H. Gallup, Human Needs and Satisfactions: A Global Survey, Public Opin. Q. 40 (1976) 459. https://doi.org/10.1086/268332.</w:t>
      </w:r>
    </w:p>
    <w:p w14:paraId="16B0DDE8"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[24]</w:t>
      </w:r>
      <w:r w:rsidRPr="00683963">
        <w:rPr>
          <w:rFonts w:cs="Times New Roman"/>
          <w:noProof/>
        </w:rPr>
        <w:tab/>
        <w:t>A. Koyanagi, B. Stubbs, D. Vancampfort, Correlates of sedentary behavior in the general population: A cross-sectional study using nationally representative data from six low- and middle-income countries, PLoS One. 13 (2018) e0202222. https://doi.org/10.1371/journal.pone.0202222.</w:t>
      </w:r>
    </w:p>
    <w:p w14:paraId="1A3DCC13"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[25]</w:t>
      </w:r>
      <w:r w:rsidRPr="00683963">
        <w:rPr>
          <w:rFonts w:cs="Times New Roman"/>
          <w:noProof/>
        </w:rPr>
        <w:tab/>
        <w:t>M. Zamora-Macorra, E.F.A. de Castro, J.A. Ávila-Funes, B.S. Manrique-Espinoza, R. López-Ridaura, A.L. Sosa-Ortiz, P.L. Shields, D.S.M. del Campo, The association between social support and cognitive function in Mexican adults aged 50 and older, Arch. Gerontol. Geriatr. 68 (2017) 113–118. https://doi.org/10.1016/j.archger.2016.10.005.</w:t>
      </w:r>
    </w:p>
    <w:p w14:paraId="4FCAB09F"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[26]</w:t>
      </w:r>
      <w:r w:rsidRPr="00683963">
        <w:rPr>
          <w:rFonts w:cs="Times New Roman"/>
          <w:noProof/>
        </w:rPr>
        <w:tab/>
        <w:t xml:space="preserve">R.C. Kessler, T.B. Ustün, The World Mental Health (WMH) Survey Initiative Version of the World Health Organization (WHO) Composite International Diagnostic Interview (CIDI)., Int. J. Methods Psychiatr. Res. 13 (2004) 93–121. </w:t>
      </w:r>
      <w:r w:rsidRPr="00683963">
        <w:rPr>
          <w:rFonts w:cs="Times New Roman"/>
          <w:noProof/>
        </w:rPr>
        <w:lastRenderedPageBreak/>
        <w:t>http://www.ncbi.nlm.nih.gov/pubmed/15297906 (accessed March 19, 2019).</w:t>
      </w:r>
    </w:p>
    <w:p w14:paraId="2DE694B0"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[27]</w:t>
      </w:r>
      <w:r w:rsidRPr="00683963">
        <w:rPr>
          <w:rFonts w:cs="Times New Roman"/>
          <w:noProof/>
        </w:rPr>
        <w:tab/>
        <w:t>B. Stubbs, A. Koyanagi, M. Hallgren, J. Firth, J. Richards, F. Schuch, S. Rosenbaum, J. Mugisha, N. Veronese, J. Lahti, D. Vancampfort, Physical activity and anxiety: A perspective from the World Health Survey, J. Affect. Disord. 208 (2017) 545–552. https://doi.org/10.1016/j.jad.2016.10.028.</w:t>
      </w:r>
    </w:p>
    <w:p w14:paraId="01E2DE03"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[28]</w:t>
      </w:r>
      <w:r w:rsidRPr="00683963">
        <w:rPr>
          <w:rFonts w:cs="Times New Roman"/>
          <w:noProof/>
        </w:rPr>
        <w:tab/>
        <w:t>A. Koyanagi, M.V. Moneta, N. Garin, B. Olaya, J.L. Ayuso-Mateos, S. Chatterji, M. Leonardi, P. Sainio, A. Galas, J.M. Haro, The association between obesity and severe disability among adults aged 50 or over in nine high-income, middle-income and low-income countries: A cross-sectional study, BMJ Open. 5 (2015). https://doi.org/10.1136/bmjopen-2014-007313.</w:t>
      </w:r>
    </w:p>
    <w:p w14:paraId="776BC3CC"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[29]</w:t>
      </w:r>
      <w:r w:rsidRPr="00683963">
        <w:rPr>
          <w:rFonts w:cs="Times New Roman"/>
          <w:noProof/>
        </w:rPr>
        <w:tab/>
        <w:t>J.E. Ware, M. Kosinski, S.D. Keller, A 12-Item Short-Form Health Survey: Construction of Scales and Preliminary Tests of Reliability and Validity, Med. Care. 34 (1996) 220–233. https://doi.org/10.1097/00005650-199603000-00003.</w:t>
      </w:r>
    </w:p>
    <w:p w14:paraId="7C43577A"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[30]</w:t>
      </w:r>
      <w:r w:rsidRPr="00683963">
        <w:rPr>
          <w:rFonts w:cs="Times New Roman"/>
          <w:noProof/>
        </w:rPr>
        <w:tab/>
        <w:t>D. Feeny, W. Furlong, M. Boyle, G.W. Torrance, Multi-Attribute Health Status Classification Systems: Health Utilities Index, Pharmacoeconomics. 7 (1995) 490–502. https://doi.org/10.2165/00019053-199507060-00004.</w:t>
      </w:r>
    </w:p>
    <w:p w14:paraId="3E7FE984"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[31]</w:t>
      </w:r>
      <w:r w:rsidRPr="00683963">
        <w:rPr>
          <w:rFonts w:cs="Times New Roman"/>
          <w:noProof/>
        </w:rPr>
        <w:tab/>
        <w:t>E. Nord, EuroQol©: health-related quality of life measurement. Valuations of health states by the general public in Norway, Health Policy (New. York). 18 (1991) 25–36. https://doi.org/10.1016/0168-8510(91)90141-J.</w:t>
      </w:r>
    </w:p>
    <w:p w14:paraId="4C2E5314"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[32]</w:t>
      </w:r>
      <w:r w:rsidRPr="00683963">
        <w:rPr>
          <w:rFonts w:cs="Times New Roman"/>
          <w:noProof/>
        </w:rPr>
        <w:tab/>
        <w:t>A. Koyanagi, H. Oh, A. Stickley, J.M. Haro, J. Devylder, Risk and functional significance of psychotic experiences among individuals with depression in 44 low- and middle-income countries, Psychol. Med. 46 (2016) 2655–2665. https://doi.org/10.1017/S0033291716001422.</w:t>
      </w:r>
    </w:p>
    <w:p w14:paraId="28361636"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[33]</w:t>
      </w:r>
      <w:r w:rsidRPr="00683963">
        <w:rPr>
          <w:rFonts w:cs="Times New Roman"/>
          <w:noProof/>
        </w:rPr>
        <w:tab/>
        <w:t xml:space="preserve">D. Freeman, G. Dunn, R.M. Murray, N. Evans, R. Lister, A. Antley, M. Slater, B. Godlewska, R. Cornish, J. Williams, M. Di Simplicio, A. Igoumenou, R. Brenneisen, </w:t>
      </w:r>
      <w:r w:rsidRPr="00683963">
        <w:rPr>
          <w:rFonts w:cs="Times New Roman"/>
          <w:noProof/>
        </w:rPr>
        <w:lastRenderedPageBreak/>
        <w:t>E.M. Tunbridge, P.J. Harrison, C.J. Harmer, P. Cowen, P.D. Morrison, defeatist performance beliefs review, Schizophr. Bull. 41 (2015) 391–399. https://doi.org/10.1093/SCHBUL.</w:t>
      </w:r>
    </w:p>
    <w:p w14:paraId="3DFED754"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[34]</w:t>
      </w:r>
      <w:r w:rsidRPr="00683963">
        <w:rPr>
          <w:rFonts w:cs="Times New Roman"/>
          <w:noProof/>
        </w:rPr>
        <w:tab/>
        <w:t>R. Nuevo, S. Chatterji, E. Verdes, N. Naidoo, C. Arango, J.L. Ayuso-Mateos, The Continuum of Psychotic Symptoms in the General Population: A Cross-national Study, Schizophr. Bull. 38 (2012) 475–485. https://doi.org/10.1093/schbul/sbq099.</w:t>
      </w:r>
    </w:p>
    <w:p w14:paraId="749796D1"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[35]</w:t>
      </w:r>
      <w:r w:rsidRPr="00683963">
        <w:rPr>
          <w:rFonts w:cs="Times New Roman"/>
          <w:noProof/>
        </w:rPr>
        <w:tab/>
        <w:t>Global Physical Activity Questionnaire Analysis Guide GPAQ Analysis Guide Global Physical Activity Questionnaire (GPAQ) Analysis Guide, n.d. http://www.who.int/chp/steps/GPAQ/en/index.html (accessed March 23, 2020).</w:t>
      </w:r>
    </w:p>
    <w:p w14:paraId="7681BFF1"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[36]</w:t>
      </w:r>
      <w:r w:rsidRPr="00683963">
        <w:rPr>
          <w:rFonts w:cs="Times New Roman"/>
          <w:noProof/>
        </w:rPr>
        <w:tab/>
        <w:t>R. Breen, K.B. Karlson, A. Holm, Total, Direct, and Indirect Effects in Logit and Probit Models, Sociol. Methods Res. 42 (2013) 164–191. https://doi.org/10.1177/0049124113494572.</w:t>
      </w:r>
    </w:p>
    <w:p w14:paraId="6AAD6FAB"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[37]</w:t>
      </w:r>
      <w:r w:rsidRPr="00683963">
        <w:rPr>
          <w:rFonts w:cs="Times New Roman"/>
          <w:noProof/>
        </w:rPr>
        <w:tab/>
        <w:t>J.P.T. Higgins, S.G. Thompson, Quantifying heterogeneity in a meta-analysis, Stat. Med. 21 (2002) 1539–1558. https://doi.org/10.1002/sim.1186.</w:t>
      </w:r>
    </w:p>
    <w:p w14:paraId="1AA1DB59"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[38]</w:t>
      </w:r>
      <w:r w:rsidRPr="00683963">
        <w:rPr>
          <w:rFonts w:cs="Times New Roman"/>
          <w:noProof/>
        </w:rPr>
        <w:tab/>
        <w:t>P.W. Ku, K.R. Fox, L.J. Chen, Leisure-Time Physical Activity, Sedentary Behaviors and Subjective Well-Being in Older Adults: An Eight-Year Longitudinal Research, Soc. Indic. Res. 127 (2016) 1349–1361. https://doi.org/10.1007/s11205-015-1005-7.</w:t>
      </w:r>
    </w:p>
    <w:p w14:paraId="4E68B235"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[39]</w:t>
      </w:r>
      <w:r w:rsidRPr="00683963">
        <w:rPr>
          <w:rFonts w:cs="Times New Roman"/>
          <w:noProof/>
        </w:rPr>
        <w:tab/>
        <w:t>S.F.M. Chastin, N. Fitzpatrick, M. Andrews, N. DiCroce, Determinants of sedentary behavior, motivation, barriers and strategies to reduce sitting time in older women: A qualitative investigation, Int. J. Environ. Res. Public Health. 11 (2014) 773–791. https://doi.org/10.3390/ijerph110100773.</w:t>
      </w:r>
    </w:p>
    <w:p w14:paraId="21898308"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[40]</w:t>
      </w:r>
      <w:r w:rsidRPr="00683963">
        <w:rPr>
          <w:rFonts w:cs="Times New Roman"/>
          <w:noProof/>
        </w:rPr>
        <w:tab/>
        <w:t>T. Keeney, A.B. Fox, D.U. Jette, A. Jette, Functional Trajectories of Persons with Cardiovascular Disease in Late Life, J. Am. Geriatr. Soc. 67 (2019) 37–42. https://doi.org/10.1111/jgs.15584.</w:t>
      </w:r>
    </w:p>
    <w:p w14:paraId="33749356"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[41]</w:t>
      </w:r>
      <w:r w:rsidRPr="00683963">
        <w:rPr>
          <w:rFonts w:cs="Times New Roman"/>
          <w:noProof/>
        </w:rPr>
        <w:tab/>
        <w:t xml:space="preserve">P.C. Dempsey, C.E. Matthews, S.G. Dashti, A.R. Doherty, A. Bergouignan, E.H. Van </w:t>
      </w:r>
      <w:r w:rsidRPr="00683963">
        <w:rPr>
          <w:rFonts w:cs="Times New Roman"/>
          <w:noProof/>
        </w:rPr>
        <w:lastRenderedPageBreak/>
        <w:t>Roekel, D.W. Dunstan, N.J. Wareham, T.E. Yates, K. Wijndaele, B.M. Lynch, Sedentary behavior and chronic disease: Mechanisms and future directions, J. Phys. Act. Heal. 17 (2020) 52–61. https://doi.org/10.1123/jpah.2019-0377.</w:t>
      </w:r>
    </w:p>
    <w:p w14:paraId="1A45246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[42]</w:t>
      </w:r>
      <w:r w:rsidRPr="00683963">
        <w:rPr>
          <w:rFonts w:cs="Times New Roman"/>
          <w:noProof/>
        </w:rPr>
        <w:tab/>
        <w:t>T.E. Gildner, J.J. Snodgrass, C. Evans, P. Kowal, Associations between physical function and subjective well-being in older adults from low- and middle-income countries: Results from the Study on Global AGEing and Adult Health (SAGE), J. Aging Phys. Act. 27 (2019) 213–221. https://doi.org/10.1123/japa.2016-0359.</w:t>
      </w:r>
    </w:p>
    <w:p w14:paraId="69918AC8"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[43]</w:t>
      </w:r>
      <w:r w:rsidRPr="00683963">
        <w:rPr>
          <w:rFonts w:cs="Times New Roman"/>
          <w:noProof/>
        </w:rPr>
        <w:tab/>
        <w:t>S. MacLeod, S. Musich, K. Hawkins, K. Alsgaard, E.R. Wicker, The impact of resilience among older adults, Geriatr. Nurs. (Minneap). 37 (2016) 266–272. https://doi.org/10.1016/j.gerinurse.2016.02.014.</w:t>
      </w:r>
    </w:p>
    <w:p w14:paraId="0F8609EE"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[44]</w:t>
      </w:r>
      <w:r w:rsidRPr="00683963">
        <w:rPr>
          <w:rFonts w:cs="Times New Roman"/>
          <w:noProof/>
        </w:rPr>
        <w:tab/>
        <w:t>M. Haller, M. Hadler, How social relations and structures can produce happiness and unhappiness: An international comparative analysis, Soc. Indic. Res. 75 (2006) 169–216. https://doi.org/10.1007/s11205-004-6297-y.</w:t>
      </w:r>
    </w:p>
    <w:p w14:paraId="243798D3"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[45]</w:t>
      </w:r>
      <w:r w:rsidRPr="00683963">
        <w:rPr>
          <w:rFonts w:cs="Times New Roman"/>
          <w:noProof/>
        </w:rPr>
        <w:tab/>
        <w:t>D.K. Dittmer, R. Teasell, Complications of immobilization and bed rest. Part 1: Musculoskeletal and cardiovascular complications., Can. Fam. Physician. 39 (1993) 1428–1432, 1435.</w:t>
      </w:r>
    </w:p>
    <w:p w14:paraId="03EE9453"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[46]</w:t>
      </w:r>
      <w:r w:rsidRPr="00683963">
        <w:rPr>
          <w:rFonts w:cs="Times New Roman"/>
          <w:noProof/>
        </w:rPr>
        <w:tab/>
        <w:t>B. Stubbs, D. Vancampfort, N. Veronese, T. Thompson, M. Fornaro, P. Schofield, M. Solmi, J. Mugisha, A.F. Carvalho, A. Koyanagi, Depression and pain: Primary data and meta-analysis among 237 952 people across 47 low- and middle-income countries, Psychol. Med. 47 (2017) 2906–2917. https://doi.org/10.1017/S0033291717001477.</w:t>
      </w:r>
    </w:p>
    <w:p w14:paraId="72BCD41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[47]</w:t>
      </w:r>
      <w:r w:rsidRPr="00683963">
        <w:rPr>
          <w:rFonts w:cs="Times New Roman"/>
          <w:noProof/>
        </w:rPr>
        <w:tab/>
        <w:t>P.H. Finan, B.R. Goodin, M.T. Smith, The association of sleep and pain: An update and a path forward, J. Pain. 14 (2013) 1539–1552. https://doi.org/10.1016/j.jpain.2013.08.007.</w:t>
      </w:r>
    </w:p>
    <w:p w14:paraId="51209EEA"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[48]</w:t>
      </w:r>
      <w:r w:rsidRPr="00683963">
        <w:rPr>
          <w:rFonts w:cs="Times New Roman"/>
          <w:noProof/>
        </w:rPr>
        <w:tab/>
        <w:t xml:space="preserve">C.M. Maasakkers, J.A.H.R. Claassen, P.A. Gardiner, M.G.M. Olde Rikkert, D.M. Lipnicki, N. Scarmeas, E. Dardiotis, M. Yannakoulia, K.J. Anstey, N. Cherbuin, M.N. </w:t>
      </w:r>
      <w:r w:rsidRPr="00683963">
        <w:rPr>
          <w:rFonts w:cs="Times New Roman"/>
          <w:noProof/>
        </w:rPr>
        <w:lastRenderedPageBreak/>
        <w:t>Haan, S. Kumagai, K. Narazaki, T. Chen, T.P. Ng, Q. Gao, M.S.Z. Nyunt, J.D. Crawford, N.A. Kochan, S.R. Makkar, P.S. Sachdev, D.H.J. Thijssen, R.J.F. Melis, The Association of Sedentary Behaviour and Cognitive Function in People Without Dementia: A Coordinated Analysis Across Five Cohort Studies from COSMIC, Sport. Med. 50 (2020) 403–413. https://doi.org/10.1007/s40279-019-01186-7.</w:t>
      </w:r>
    </w:p>
    <w:p w14:paraId="6B7D51E5"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[49]</w:t>
      </w:r>
      <w:r w:rsidRPr="00683963">
        <w:rPr>
          <w:rFonts w:cs="Times New Roman"/>
          <w:noProof/>
        </w:rPr>
        <w:tab/>
        <w:t>M.J. Wheeler, P.C. Dempsey, M.S. Grace, K.A. Ellis, P.A. Gardiner, D.J. Green, D.W. Dunstan, Sedentary behavior as a risk factor for cognitive decline? A focus on the influence of glycemic control in brain health, Alzheimer’s Dement. Transl. Res. Clin. Interv. 3 (2017) 291–300. https://doi.org/10.1016/j.trci.2017.04.001.</w:t>
      </w:r>
    </w:p>
    <w:p w14:paraId="41BBA4B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[50]</w:t>
      </w:r>
      <w:r w:rsidRPr="00683963">
        <w:rPr>
          <w:rFonts w:cs="Times New Roman"/>
          <w:noProof/>
        </w:rPr>
        <w:tab/>
        <w:t>K.E. Zuniga, M.J. Mackenzie, A. Kramer, E. McAuley, Subjective memory impairment and well-being in community-dwelling older adults, Psychogeriatrics. 16 (2016) 20–26. https://doi.org/10.1111/psyg.12112.</w:t>
      </w:r>
    </w:p>
    <w:p w14:paraId="56AA06B9"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[51]</w:t>
      </w:r>
      <w:r w:rsidRPr="00683963">
        <w:rPr>
          <w:rFonts w:cs="Times New Roman"/>
          <w:noProof/>
        </w:rPr>
        <w:tab/>
        <w:t>C.A.M. Commissaris, J. Jolles, F.R. Verhey, R.W.R. Ponds, V.G.M. Damoiseaux, G.J. Kok, Forgetfulness or dementia? Who is worried and why?, Eur. J. Public Health. 6 (1996) 297–299. https://academic.oup.com/eurpub/article-abstract/6/4/297/476593 (accessed March 23, 2020).</w:t>
      </w:r>
    </w:p>
    <w:p w14:paraId="53D0BAAD"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[52]</w:t>
      </w:r>
      <w:r w:rsidRPr="00683963">
        <w:rPr>
          <w:rFonts w:cs="Times New Roman"/>
          <w:noProof/>
        </w:rPr>
        <w:tab/>
        <w:t>Y. Yang, J.C. Shin, D. Li, R. An, Sedentary Behavior and Sleep Problems: a Systematic Review and Meta-Analysis., Int. J. Behav. Med. 24 (2017) 481–492. https://doi.org/10.1007/s12529-016-9609-0.</w:t>
      </w:r>
    </w:p>
    <w:p w14:paraId="09966607"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[53]</w:t>
      </w:r>
      <w:r w:rsidRPr="00683963">
        <w:rPr>
          <w:rFonts w:cs="Times New Roman"/>
          <w:noProof/>
        </w:rPr>
        <w:tab/>
        <w:t>E. Diener, Traits can be powerful, but are not enough: Lessons from subjective well-being, J. Res. Pers. 30 (1996) 389–399. https://doi.org/10.1006/jrpe.1996.0027.</w:t>
      </w:r>
    </w:p>
    <w:p w14:paraId="69D4D296"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[54]</w:t>
      </w:r>
      <w:r w:rsidRPr="00683963">
        <w:rPr>
          <w:rFonts w:cs="Times New Roman"/>
          <w:noProof/>
        </w:rPr>
        <w:tab/>
        <w:t>S. Oishi, E.A. Gilbert, Current and future directions in culture and happiness research., Curr. Opin. Psychol. 8 (2016) 54–58. https://doi.org/10.1016/j.copsyc.2015.10.005.</w:t>
      </w:r>
    </w:p>
    <w:p w14:paraId="249FBF9A"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[55]</w:t>
      </w:r>
      <w:r w:rsidRPr="00683963">
        <w:rPr>
          <w:rFonts w:cs="Times New Roman"/>
          <w:noProof/>
        </w:rPr>
        <w:tab/>
        <w:t xml:space="preserve">M. Hallgren, T.T.D. Nguyen, N. Owen, D. Vancampfort, L. Smith, D.W. Dunstan, G. Andersson, P. Wallin, E. Ekblom-Bak, Associations of interruptions to leisure-time </w:t>
      </w:r>
      <w:r w:rsidRPr="00683963">
        <w:rPr>
          <w:rFonts w:cs="Times New Roman"/>
          <w:noProof/>
        </w:rPr>
        <w:lastRenderedPageBreak/>
        <w:t>sedentary behaviour with symptoms of depression and anxiety, Transl. Psychiatry. 10 (2020) 1–8. https://doi.org/10.1038/s41398-020-0810-1.</w:t>
      </w:r>
    </w:p>
    <w:p w14:paraId="1F863B22"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[56]</w:t>
      </w:r>
      <w:r w:rsidRPr="00683963">
        <w:rPr>
          <w:rFonts w:cs="Times New Roman"/>
          <w:noProof/>
        </w:rPr>
        <w:tab/>
        <w:t>M.T. Kiviniemi, A.M. Voss-Humke, A.L. Seifert, How do I feel about the behavior? The interplay of affective associations with behaviors and cognitive beliefs as influences on physical activity behavior, Heal. Psychol. 26 (2007) 152–158. https://doi.org/10.1037/0278-6133.26.2.152.</w:t>
      </w:r>
    </w:p>
    <w:p w14:paraId="7B974610"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[57]</w:t>
      </w:r>
      <w:r w:rsidRPr="00683963">
        <w:rPr>
          <w:rFonts w:cs="Times New Roman"/>
          <w:noProof/>
        </w:rPr>
        <w:tab/>
        <w:t>R. Veenhoven, Healthy happiness: Effects of happiness on physical health and the consequences for preventive health care, J. Happiness Stud. 9 (2008) 449–469. https://doi.org/10.1007/s10902-006-9042-1.</w:t>
      </w:r>
    </w:p>
    <w:p w14:paraId="7567D549"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[58]</w:t>
      </w:r>
      <w:r w:rsidRPr="00683963">
        <w:rPr>
          <w:rFonts w:cs="Times New Roman"/>
          <w:noProof/>
        </w:rPr>
        <w:tab/>
        <w:t>M. Siahpush, M. Spittal, G.K. Singh, Happiness and life satisfaction prospectively predict self-rated health, physical health, and the presence of limiting, long-term health conditions, Am. J. Heal. Promot. 23 (2008) 18–26. https://doi.org/10.4278/ajhp.061023137.</w:t>
      </w:r>
    </w:p>
    <w:p w14:paraId="2B6E4CEE" w14:textId="77777777" w:rsidR="00683963" w:rsidRPr="00683963" w:rsidRDefault="00683963" w:rsidP="00683963">
      <w:pPr>
        <w:widowControl w:val="0"/>
        <w:autoSpaceDE w:val="0"/>
        <w:autoSpaceDN w:val="0"/>
        <w:adjustRightInd w:val="0"/>
        <w:spacing w:line="480" w:lineRule="auto"/>
        <w:ind w:left="640" w:hanging="640"/>
        <w:rPr>
          <w:rFonts w:cs="Times New Roman"/>
          <w:noProof/>
        </w:rPr>
      </w:pPr>
      <w:r w:rsidRPr="00683963">
        <w:rPr>
          <w:rFonts w:cs="Times New Roman"/>
          <w:noProof/>
        </w:rPr>
        <w:t>[59]</w:t>
      </w:r>
      <w:r w:rsidRPr="00683963">
        <w:rPr>
          <w:rFonts w:cs="Times New Roman"/>
          <w:noProof/>
        </w:rPr>
        <w:tab/>
        <w:t>S. Cohen, C.M. Alper, W.J. Doyle, J.J. Treanor, R.B. Turner, Positive emotional style predicts resistance to illness after experimental exposure to rhinovirus or influenza A virus, Psychosom. Med. 68 (2006) 809–815. https://doi.org/10.1097/01.psy.0000245867.92364.3c.</w:t>
      </w:r>
    </w:p>
    <w:p w14:paraId="49312964" w14:textId="497B0BD7" w:rsidR="00643587" w:rsidRDefault="00683963" w:rsidP="00DC5927">
      <w:pPr>
        <w:widowControl w:val="0"/>
        <w:autoSpaceDE w:val="0"/>
        <w:autoSpaceDN w:val="0"/>
        <w:adjustRightInd w:val="0"/>
        <w:spacing w:line="480" w:lineRule="auto"/>
        <w:ind w:left="640" w:hanging="640"/>
      </w:pPr>
      <w:r w:rsidRPr="00683963">
        <w:rPr>
          <w:rFonts w:cs="Times New Roman"/>
          <w:noProof/>
        </w:rPr>
        <w:t>[60]</w:t>
      </w:r>
      <w:r w:rsidRPr="00683963">
        <w:rPr>
          <w:rFonts w:cs="Times New Roman"/>
          <w:noProof/>
        </w:rPr>
        <w:tab/>
        <w:t>R.G. Cumming, R.J. Klineberg, A study of the reproducibility of long-term recall in the elderly, Epidemiology. 5 (1994) 116–119. https://doi.org/10.1097/00001648-199401000-00017.</w:t>
      </w:r>
      <w:r w:rsidR="00192F4E">
        <w:rPr>
          <w:rFonts w:eastAsia="MS Mincho" w:cs="Times New Roman"/>
          <w:color w:val="141413"/>
        </w:rPr>
        <w:fldChar w:fldCharType="end"/>
      </w:r>
      <w:bookmarkEnd w:id="3"/>
      <w:bookmarkEnd w:id="4"/>
    </w:p>
    <w:p w14:paraId="322EAF13" w14:textId="1EFC5E93" w:rsidR="00D85EDA" w:rsidRDefault="001F374D" w:rsidP="001F374D">
      <w:pPr>
        <w:spacing w:after="160" w:line="259" w:lineRule="auto"/>
        <w:sectPr w:rsidR="00D85EDA" w:rsidSect="00BE0DF3">
          <w:pgSz w:w="11906" w:h="16838"/>
          <w:pgMar w:top="1440" w:right="1440" w:bottom="1440" w:left="1440" w:header="708" w:footer="708" w:gutter="0"/>
          <w:cols w:space="708"/>
          <w:docGrid w:linePitch="360"/>
        </w:sectPr>
      </w:pPr>
      <w:r>
        <w:br w:type="page"/>
      </w:r>
    </w:p>
    <w:bookmarkEnd w:id="5"/>
    <w:p w14:paraId="0E4C9CF8" w14:textId="2C2E88BF" w:rsidR="007423CE" w:rsidRDefault="007423CE" w:rsidP="007423CE">
      <w:pPr>
        <w:pStyle w:val="Heading1"/>
      </w:pPr>
      <w:r>
        <w:lastRenderedPageBreak/>
        <w:t>Table 1</w:t>
      </w:r>
    </w:p>
    <w:tbl>
      <w:tblPr>
        <w:tblW w:w="4316" w:type="pct"/>
        <w:tblLayout w:type="fixed"/>
        <w:tblLook w:val="04A0" w:firstRow="1" w:lastRow="0" w:firstColumn="1" w:lastColumn="0" w:noHBand="0" w:noVBand="1"/>
      </w:tblPr>
      <w:tblGrid>
        <w:gridCol w:w="2967"/>
        <w:gridCol w:w="3129"/>
        <w:gridCol w:w="2348"/>
        <w:gridCol w:w="2034"/>
        <w:gridCol w:w="1717"/>
        <w:gridCol w:w="1098"/>
      </w:tblGrid>
      <w:tr w:rsidR="00D85EDA" w:rsidRPr="00891772" w14:paraId="1DFC6B54" w14:textId="77777777" w:rsidTr="00A41C7A">
        <w:trPr>
          <w:trHeight w:val="69"/>
        </w:trPr>
        <w:tc>
          <w:tcPr>
            <w:tcW w:w="5000" w:type="pct"/>
            <w:gridSpan w:val="6"/>
            <w:tcBorders>
              <w:bottom w:val="single" w:sz="4" w:space="0" w:color="auto"/>
            </w:tcBorders>
            <w:shd w:val="clear" w:color="auto" w:fill="auto"/>
            <w:noWrap/>
            <w:vAlign w:val="center"/>
          </w:tcPr>
          <w:p w14:paraId="4C3EBD99" w14:textId="516627A3" w:rsidR="001F374D" w:rsidRPr="001F374D" w:rsidRDefault="001F374D" w:rsidP="001F374D">
            <w:pPr>
              <w:pStyle w:val="Heading1"/>
            </w:pPr>
            <w:proofErr w:type="spellStart"/>
            <w:r>
              <w:t>S</w:t>
            </w:r>
            <w:r w:rsidR="00D85EDA" w:rsidRPr="001F374D">
              <w:t>ample</w:t>
            </w:r>
            <w:proofErr w:type="spellEnd"/>
            <w:r w:rsidR="00D85EDA" w:rsidRPr="001F374D">
              <w:t xml:space="preserve"> </w:t>
            </w:r>
            <w:proofErr w:type="spellStart"/>
            <w:r w:rsidR="00D85EDA" w:rsidRPr="001F374D">
              <w:t>characteristics</w:t>
            </w:r>
            <w:proofErr w:type="spellEnd"/>
            <w:r w:rsidR="00D85EDA" w:rsidRPr="001F374D">
              <w:t xml:space="preserve"> (</w:t>
            </w:r>
            <w:proofErr w:type="spellStart"/>
            <w:r w:rsidR="00D85EDA" w:rsidRPr="001F374D">
              <w:t>overall</w:t>
            </w:r>
            <w:proofErr w:type="spellEnd"/>
            <w:r w:rsidR="00D85EDA" w:rsidRPr="001F374D">
              <w:t xml:space="preserve"> and </w:t>
            </w:r>
            <w:proofErr w:type="spellStart"/>
            <w:r w:rsidR="00D85EDA" w:rsidRPr="001F374D">
              <w:t>by</w:t>
            </w:r>
            <w:proofErr w:type="spellEnd"/>
            <w:r w:rsidR="00D85EDA" w:rsidRPr="001F374D">
              <w:t xml:space="preserve"> </w:t>
            </w:r>
            <w:proofErr w:type="spellStart"/>
            <w:r w:rsidR="00D85EDA" w:rsidRPr="001F374D">
              <w:t>sedentary</w:t>
            </w:r>
            <w:proofErr w:type="spellEnd"/>
            <w:r w:rsidR="00D85EDA" w:rsidRPr="001F374D">
              <w:t xml:space="preserve"> </w:t>
            </w:r>
            <w:proofErr w:type="spellStart"/>
            <w:r w:rsidR="00D85EDA" w:rsidRPr="001F374D">
              <w:t>behavior</w:t>
            </w:r>
            <w:proofErr w:type="spellEnd"/>
            <w:r w:rsidR="00D85EDA" w:rsidRPr="001F374D">
              <w:t xml:space="preserve"> </w:t>
            </w:r>
            <w:proofErr w:type="spellStart"/>
            <w:r w:rsidR="00D85EDA" w:rsidRPr="001F374D">
              <w:t>levels</w:t>
            </w:r>
            <w:proofErr w:type="spellEnd"/>
            <w:r w:rsidR="00D85EDA" w:rsidRPr="001F374D">
              <w:t>)</w:t>
            </w:r>
          </w:p>
        </w:tc>
      </w:tr>
      <w:tr w:rsidR="00D85EDA" w:rsidRPr="00927C23" w14:paraId="6D005240" w14:textId="77777777" w:rsidTr="00A41C7A">
        <w:trPr>
          <w:trHeight w:val="69"/>
        </w:trPr>
        <w:tc>
          <w:tcPr>
            <w:tcW w:w="1116" w:type="pct"/>
            <w:shd w:val="clear" w:color="auto" w:fill="auto"/>
            <w:noWrap/>
            <w:vAlign w:val="center"/>
          </w:tcPr>
          <w:p w14:paraId="77AE39B3" w14:textId="77777777" w:rsidR="00D85EDA" w:rsidRPr="004353BB" w:rsidRDefault="00D85EDA" w:rsidP="005D3987">
            <w:pPr>
              <w:rPr>
                <w:rFonts w:eastAsia="Times New Roman" w:cs="Times New Roman"/>
                <w:b/>
                <w:color w:val="000000"/>
                <w:sz w:val="22"/>
                <w:szCs w:val="22"/>
                <w:lang w:val="en-GB"/>
              </w:rPr>
            </w:pPr>
          </w:p>
        </w:tc>
        <w:tc>
          <w:tcPr>
            <w:tcW w:w="1177" w:type="pct"/>
          </w:tcPr>
          <w:p w14:paraId="71E86D1A" w14:textId="77777777" w:rsidR="00D85EDA" w:rsidRPr="004353BB" w:rsidRDefault="00D85EDA" w:rsidP="005D3987">
            <w:pPr>
              <w:rPr>
                <w:rFonts w:eastAsia="Times New Roman" w:cs="Times New Roman"/>
                <w:b/>
                <w:color w:val="000000"/>
                <w:sz w:val="22"/>
                <w:szCs w:val="22"/>
                <w:lang w:val="en-GB"/>
              </w:rPr>
            </w:pPr>
          </w:p>
        </w:tc>
        <w:tc>
          <w:tcPr>
            <w:tcW w:w="883" w:type="pct"/>
          </w:tcPr>
          <w:p w14:paraId="7CAE7FFE" w14:textId="0C075EDC" w:rsidR="00D85EDA" w:rsidRPr="009907A4" w:rsidRDefault="00D85EDA" w:rsidP="005D3987">
            <w:pPr>
              <w:rPr>
                <w:rFonts w:eastAsia="Times New Roman" w:cs="Times New Roman"/>
                <w:b/>
                <w:color w:val="000000"/>
                <w:sz w:val="22"/>
                <w:szCs w:val="22"/>
                <w:lang w:val="en-GB"/>
              </w:rPr>
            </w:pPr>
            <w:r w:rsidRPr="009907A4">
              <w:rPr>
                <w:rFonts w:eastAsia="Times New Roman" w:cs="Times New Roman"/>
                <w:b/>
                <w:color w:val="000000"/>
                <w:sz w:val="22"/>
                <w:szCs w:val="22"/>
                <w:lang w:val="en-GB"/>
              </w:rPr>
              <w:t>Overall</w:t>
            </w:r>
            <w:r w:rsidR="00E04AE8" w:rsidRPr="009907A4">
              <w:rPr>
                <w:rFonts w:eastAsia="Times New Roman" w:cs="Times New Roman"/>
                <w:b/>
                <w:color w:val="000000"/>
                <w:sz w:val="22"/>
                <w:szCs w:val="22"/>
                <w:lang w:val="en-GB"/>
              </w:rPr>
              <w:t xml:space="preserve"> (n=34129)</w:t>
            </w:r>
          </w:p>
        </w:tc>
        <w:tc>
          <w:tcPr>
            <w:tcW w:w="1411" w:type="pct"/>
            <w:gridSpan w:val="2"/>
            <w:shd w:val="clear" w:color="auto" w:fill="auto"/>
            <w:noWrap/>
            <w:vAlign w:val="center"/>
          </w:tcPr>
          <w:p w14:paraId="4D7135B9" w14:textId="77777777" w:rsidR="00D85EDA" w:rsidRPr="009907A4" w:rsidRDefault="00D85EDA" w:rsidP="005D3987">
            <w:pPr>
              <w:rPr>
                <w:rFonts w:eastAsia="Times New Roman" w:cs="Times New Roman"/>
                <w:b/>
                <w:color w:val="000000"/>
                <w:sz w:val="22"/>
                <w:szCs w:val="22"/>
                <w:lang w:val="en-GB"/>
              </w:rPr>
            </w:pPr>
            <w:r w:rsidRPr="009907A4">
              <w:rPr>
                <w:rFonts w:eastAsia="Times New Roman" w:cs="Times New Roman"/>
                <w:b/>
                <w:color w:val="000000"/>
                <w:sz w:val="22"/>
                <w:szCs w:val="22"/>
                <w:lang w:val="en-GB"/>
              </w:rPr>
              <w:t xml:space="preserve">High SB ≥8hrs/day  </w:t>
            </w:r>
          </w:p>
        </w:tc>
        <w:tc>
          <w:tcPr>
            <w:tcW w:w="413" w:type="pct"/>
          </w:tcPr>
          <w:p w14:paraId="0B26DD31" w14:textId="77777777" w:rsidR="00D85EDA" w:rsidRPr="004353BB" w:rsidRDefault="00D85EDA" w:rsidP="005D3987">
            <w:pPr>
              <w:rPr>
                <w:rFonts w:eastAsia="Times New Roman" w:cs="Times New Roman"/>
                <w:b/>
                <w:color w:val="000000"/>
                <w:sz w:val="22"/>
                <w:szCs w:val="22"/>
                <w:lang w:val="en-GB"/>
              </w:rPr>
            </w:pPr>
          </w:p>
        </w:tc>
      </w:tr>
      <w:tr w:rsidR="00D85EDA" w:rsidRPr="00927C23" w14:paraId="45380636" w14:textId="77777777" w:rsidTr="00D85EDA">
        <w:trPr>
          <w:trHeight w:val="24"/>
        </w:trPr>
        <w:tc>
          <w:tcPr>
            <w:tcW w:w="1116" w:type="pct"/>
            <w:tcBorders>
              <w:bottom w:val="double" w:sz="4" w:space="0" w:color="auto"/>
            </w:tcBorders>
            <w:shd w:val="clear" w:color="auto" w:fill="auto"/>
            <w:noWrap/>
            <w:vAlign w:val="center"/>
          </w:tcPr>
          <w:p w14:paraId="40605CF5" w14:textId="77777777" w:rsidR="00D85EDA" w:rsidRPr="00C00BE7" w:rsidRDefault="00D85EDA" w:rsidP="005D3987">
            <w:pPr>
              <w:rPr>
                <w:rFonts w:eastAsia="Times New Roman" w:cs="Times New Roman"/>
                <w:color w:val="000000"/>
                <w:sz w:val="22"/>
                <w:szCs w:val="22"/>
                <w:lang w:val="en-GB"/>
              </w:rPr>
            </w:pPr>
            <w:r w:rsidRPr="004353BB">
              <w:rPr>
                <w:rFonts w:eastAsia="Times New Roman" w:cs="Times New Roman"/>
                <w:b/>
                <w:color w:val="000000"/>
                <w:sz w:val="22"/>
                <w:szCs w:val="22"/>
                <w:lang w:val="en-GB"/>
              </w:rPr>
              <w:t>Characteristic</w:t>
            </w:r>
          </w:p>
        </w:tc>
        <w:tc>
          <w:tcPr>
            <w:tcW w:w="1177" w:type="pct"/>
            <w:tcBorders>
              <w:bottom w:val="double" w:sz="4" w:space="0" w:color="auto"/>
            </w:tcBorders>
          </w:tcPr>
          <w:p w14:paraId="4BDAF8A6" w14:textId="77777777" w:rsidR="00D85EDA" w:rsidRPr="00927C23" w:rsidRDefault="00D85EDA" w:rsidP="005D3987">
            <w:pPr>
              <w:rPr>
                <w:rFonts w:eastAsia="Times New Roman" w:cs="Times New Roman"/>
                <w:color w:val="000000"/>
                <w:sz w:val="22"/>
                <w:szCs w:val="22"/>
                <w:lang w:val="en-GB"/>
              </w:rPr>
            </w:pPr>
          </w:p>
        </w:tc>
        <w:tc>
          <w:tcPr>
            <w:tcW w:w="883" w:type="pct"/>
            <w:tcBorders>
              <w:bottom w:val="double" w:sz="4" w:space="0" w:color="auto"/>
            </w:tcBorders>
          </w:tcPr>
          <w:p w14:paraId="2A81C362" w14:textId="77777777" w:rsidR="00D85EDA" w:rsidRPr="009907A4" w:rsidRDefault="00D85EDA" w:rsidP="005D3987">
            <w:pPr>
              <w:rPr>
                <w:rFonts w:eastAsia="Times New Roman" w:cs="Times New Roman"/>
                <w:color w:val="000000"/>
                <w:sz w:val="22"/>
                <w:szCs w:val="22"/>
                <w:lang w:val="en-GB"/>
              </w:rPr>
            </w:pPr>
            <w:r w:rsidRPr="009907A4">
              <w:rPr>
                <w:rFonts w:eastAsia="Times New Roman" w:cs="Times New Roman"/>
                <w:b/>
                <w:color w:val="000000"/>
                <w:sz w:val="22"/>
                <w:szCs w:val="22"/>
                <w:lang w:val="en-GB"/>
              </w:rPr>
              <w:t>% or mean (SD)</w:t>
            </w:r>
          </w:p>
        </w:tc>
        <w:tc>
          <w:tcPr>
            <w:tcW w:w="765" w:type="pct"/>
            <w:tcBorders>
              <w:bottom w:val="double" w:sz="4" w:space="0" w:color="auto"/>
            </w:tcBorders>
            <w:shd w:val="clear" w:color="auto" w:fill="auto"/>
            <w:noWrap/>
            <w:vAlign w:val="center"/>
          </w:tcPr>
          <w:p w14:paraId="4F316097" w14:textId="30A5EC44" w:rsidR="00D85EDA" w:rsidRPr="009907A4" w:rsidRDefault="00D85EDA" w:rsidP="005D3987">
            <w:pPr>
              <w:rPr>
                <w:rFonts w:eastAsia="Times New Roman" w:cs="Times New Roman"/>
                <w:color w:val="000000"/>
                <w:sz w:val="22"/>
                <w:szCs w:val="22"/>
                <w:lang w:val="en-GB"/>
              </w:rPr>
            </w:pPr>
            <w:r w:rsidRPr="009907A4">
              <w:rPr>
                <w:rFonts w:eastAsia="Times New Roman" w:cs="Times New Roman"/>
                <w:b/>
                <w:color w:val="000000"/>
                <w:sz w:val="22"/>
                <w:szCs w:val="22"/>
                <w:lang w:val="en-GB"/>
              </w:rPr>
              <w:t xml:space="preserve">No </w:t>
            </w:r>
            <w:r w:rsidR="00E04AE8" w:rsidRPr="009907A4">
              <w:rPr>
                <w:rFonts w:eastAsia="Times New Roman" w:cs="Times New Roman"/>
                <w:b/>
                <w:color w:val="000000"/>
                <w:sz w:val="22"/>
                <w:szCs w:val="22"/>
                <w:lang w:val="en-GB"/>
              </w:rPr>
              <w:t>(N=30302)</w:t>
            </w:r>
          </w:p>
        </w:tc>
        <w:tc>
          <w:tcPr>
            <w:tcW w:w="646" w:type="pct"/>
            <w:tcBorders>
              <w:bottom w:val="double" w:sz="4" w:space="0" w:color="auto"/>
            </w:tcBorders>
            <w:shd w:val="clear" w:color="auto" w:fill="auto"/>
            <w:vAlign w:val="center"/>
          </w:tcPr>
          <w:p w14:paraId="34536077" w14:textId="633A795D" w:rsidR="00D85EDA" w:rsidRPr="009907A4" w:rsidRDefault="00D85EDA" w:rsidP="005D3987">
            <w:pPr>
              <w:rPr>
                <w:rFonts w:eastAsia="Times New Roman" w:cs="Times New Roman"/>
                <w:color w:val="000000"/>
                <w:sz w:val="22"/>
                <w:szCs w:val="22"/>
                <w:lang w:val="en-GB"/>
              </w:rPr>
            </w:pPr>
            <w:r w:rsidRPr="009907A4">
              <w:rPr>
                <w:rFonts w:eastAsia="Times New Roman" w:cs="Times New Roman"/>
                <w:b/>
                <w:color w:val="000000"/>
                <w:sz w:val="22"/>
                <w:szCs w:val="22"/>
                <w:lang w:val="en-GB"/>
              </w:rPr>
              <w:t>Yes</w:t>
            </w:r>
            <w:r w:rsidR="00E04AE8" w:rsidRPr="009907A4">
              <w:rPr>
                <w:rFonts w:eastAsia="Times New Roman" w:cs="Times New Roman"/>
                <w:b/>
                <w:color w:val="000000"/>
                <w:sz w:val="22"/>
                <w:szCs w:val="22"/>
                <w:lang w:val="en-GB"/>
              </w:rPr>
              <w:t xml:space="preserve"> (n=2996)</w:t>
            </w:r>
          </w:p>
        </w:tc>
        <w:tc>
          <w:tcPr>
            <w:tcW w:w="413" w:type="pct"/>
            <w:tcBorders>
              <w:bottom w:val="double" w:sz="4" w:space="0" w:color="auto"/>
            </w:tcBorders>
          </w:tcPr>
          <w:p w14:paraId="7DA88660" w14:textId="77777777" w:rsidR="00D85EDA" w:rsidRPr="00927C23" w:rsidRDefault="00D85EDA" w:rsidP="005D3987">
            <w:pPr>
              <w:rPr>
                <w:rFonts w:eastAsia="Times New Roman" w:cs="Times New Roman"/>
                <w:color w:val="000000"/>
                <w:sz w:val="22"/>
                <w:szCs w:val="22"/>
                <w:lang w:val="en-GB"/>
              </w:rPr>
            </w:pPr>
            <w:r w:rsidRPr="004353BB">
              <w:rPr>
                <w:rFonts w:eastAsia="Times New Roman" w:cs="Times New Roman"/>
                <w:b/>
                <w:color w:val="000000"/>
                <w:sz w:val="22"/>
                <w:szCs w:val="22"/>
                <w:lang w:val="en-GB"/>
              </w:rPr>
              <w:t>p value</w:t>
            </w:r>
          </w:p>
        </w:tc>
      </w:tr>
      <w:tr w:rsidR="00D85EDA" w:rsidRPr="00927C23" w14:paraId="05174E82" w14:textId="77777777" w:rsidTr="00D85EDA">
        <w:trPr>
          <w:trHeight w:val="24"/>
        </w:trPr>
        <w:tc>
          <w:tcPr>
            <w:tcW w:w="1116" w:type="pct"/>
            <w:tcBorders>
              <w:top w:val="double" w:sz="4" w:space="0" w:color="auto"/>
            </w:tcBorders>
            <w:shd w:val="clear" w:color="auto" w:fill="auto"/>
            <w:noWrap/>
            <w:vAlign w:val="center"/>
          </w:tcPr>
          <w:p w14:paraId="115330D8" w14:textId="77777777" w:rsidR="00D85EDA" w:rsidRPr="00927C23" w:rsidRDefault="00D85EDA" w:rsidP="005D3987">
            <w:pPr>
              <w:rPr>
                <w:rFonts w:eastAsia="Times New Roman" w:cs="Times New Roman"/>
                <w:color w:val="000000"/>
                <w:sz w:val="22"/>
                <w:szCs w:val="22"/>
                <w:lang w:val="en-GB"/>
              </w:rPr>
            </w:pPr>
            <w:r w:rsidRPr="00C00BE7">
              <w:rPr>
                <w:rFonts w:eastAsia="Times New Roman" w:cs="Times New Roman"/>
                <w:color w:val="000000"/>
                <w:sz w:val="22"/>
                <w:szCs w:val="22"/>
                <w:lang w:val="en-GB"/>
              </w:rPr>
              <w:t>Age</w:t>
            </w:r>
            <w:r>
              <w:rPr>
                <w:rFonts w:eastAsia="Times New Roman" w:cs="Times New Roman"/>
                <w:color w:val="000000"/>
                <w:sz w:val="22"/>
                <w:szCs w:val="22"/>
                <w:lang w:val="en-GB"/>
              </w:rPr>
              <w:t xml:space="preserve"> (years)</w:t>
            </w:r>
          </w:p>
        </w:tc>
        <w:tc>
          <w:tcPr>
            <w:tcW w:w="1177" w:type="pct"/>
            <w:tcBorders>
              <w:top w:val="double" w:sz="4" w:space="0" w:color="auto"/>
            </w:tcBorders>
          </w:tcPr>
          <w:p w14:paraId="3F857F2C" w14:textId="77777777" w:rsidR="00D85EDA" w:rsidRPr="00927C23" w:rsidRDefault="00D85EDA" w:rsidP="005D3987">
            <w:pPr>
              <w:rPr>
                <w:rFonts w:eastAsia="Times New Roman" w:cs="Times New Roman"/>
                <w:color w:val="000000"/>
                <w:sz w:val="22"/>
                <w:szCs w:val="22"/>
                <w:lang w:val="en-GB"/>
              </w:rPr>
            </w:pPr>
          </w:p>
        </w:tc>
        <w:tc>
          <w:tcPr>
            <w:tcW w:w="883" w:type="pct"/>
            <w:tcBorders>
              <w:top w:val="double" w:sz="4" w:space="0" w:color="auto"/>
            </w:tcBorders>
          </w:tcPr>
          <w:p w14:paraId="7F6C975E" w14:textId="77777777" w:rsidR="00D85EDA" w:rsidRPr="00A300EA" w:rsidRDefault="00D85EDA" w:rsidP="005D3987">
            <w:pPr>
              <w:rPr>
                <w:rFonts w:eastAsia="Times New Roman" w:cs="Times New Roman"/>
                <w:color w:val="000000"/>
                <w:sz w:val="22"/>
                <w:szCs w:val="22"/>
                <w:lang w:val="en-GB"/>
              </w:rPr>
            </w:pPr>
            <w:r w:rsidRPr="00A300EA">
              <w:rPr>
                <w:rFonts w:eastAsia="Times New Roman" w:cs="Times New Roman"/>
                <w:color w:val="000000"/>
                <w:sz w:val="22"/>
                <w:szCs w:val="22"/>
                <w:lang w:val="en-GB"/>
              </w:rPr>
              <w:t>62.4 (16.0)</w:t>
            </w:r>
          </w:p>
        </w:tc>
        <w:tc>
          <w:tcPr>
            <w:tcW w:w="765" w:type="pct"/>
            <w:tcBorders>
              <w:top w:val="double" w:sz="4" w:space="0" w:color="auto"/>
            </w:tcBorders>
            <w:shd w:val="clear" w:color="auto" w:fill="auto"/>
            <w:noWrap/>
            <w:vAlign w:val="center"/>
          </w:tcPr>
          <w:p w14:paraId="03F7EFEE" w14:textId="77777777" w:rsidR="00D85EDA" w:rsidRPr="00A300EA" w:rsidRDefault="00D85EDA" w:rsidP="005D3987">
            <w:pPr>
              <w:rPr>
                <w:rFonts w:eastAsia="Times New Roman" w:cs="Times New Roman"/>
                <w:color w:val="000000"/>
                <w:sz w:val="22"/>
                <w:szCs w:val="22"/>
                <w:lang w:val="en-GB"/>
              </w:rPr>
            </w:pPr>
            <w:r w:rsidRPr="00A300EA">
              <w:rPr>
                <w:rFonts w:eastAsia="Times New Roman" w:cs="Times New Roman"/>
                <w:color w:val="000000"/>
                <w:sz w:val="22"/>
                <w:szCs w:val="22"/>
                <w:lang w:val="en-GB"/>
              </w:rPr>
              <w:t>61.8 (15.5)</w:t>
            </w:r>
          </w:p>
        </w:tc>
        <w:tc>
          <w:tcPr>
            <w:tcW w:w="646" w:type="pct"/>
            <w:tcBorders>
              <w:top w:val="double" w:sz="4" w:space="0" w:color="auto"/>
            </w:tcBorders>
            <w:shd w:val="clear" w:color="auto" w:fill="auto"/>
            <w:noWrap/>
            <w:vAlign w:val="center"/>
          </w:tcPr>
          <w:p w14:paraId="59BC3DD3" w14:textId="77777777" w:rsidR="00D85EDA" w:rsidRPr="00A300EA" w:rsidRDefault="00D85EDA" w:rsidP="005D3987">
            <w:pPr>
              <w:rPr>
                <w:rFonts w:eastAsia="Times New Roman" w:cs="Times New Roman"/>
                <w:color w:val="000000"/>
                <w:sz w:val="22"/>
                <w:szCs w:val="22"/>
                <w:lang w:val="en-GB"/>
              </w:rPr>
            </w:pPr>
            <w:r w:rsidRPr="00A300EA">
              <w:rPr>
                <w:rFonts w:eastAsia="Times New Roman" w:cs="Times New Roman"/>
                <w:color w:val="000000"/>
                <w:sz w:val="22"/>
                <w:szCs w:val="22"/>
                <w:lang w:val="en-GB"/>
              </w:rPr>
              <w:t>66.8 (17.5)</w:t>
            </w:r>
          </w:p>
        </w:tc>
        <w:tc>
          <w:tcPr>
            <w:tcW w:w="413" w:type="pct"/>
            <w:tcBorders>
              <w:top w:val="double" w:sz="4" w:space="0" w:color="auto"/>
            </w:tcBorders>
          </w:tcPr>
          <w:p w14:paraId="259CA29E" w14:textId="77777777" w:rsidR="00D85EDA" w:rsidRPr="00A300EA" w:rsidRDefault="00D85EDA" w:rsidP="005D3987">
            <w:pPr>
              <w:rPr>
                <w:rFonts w:eastAsia="Times New Roman" w:cs="Times New Roman"/>
                <w:color w:val="000000"/>
                <w:sz w:val="22"/>
                <w:szCs w:val="22"/>
                <w:lang w:val="en-GB"/>
              </w:rPr>
            </w:pPr>
            <w:r w:rsidRPr="00A300EA">
              <w:rPr>
                <w:rFonts w:eastAsia="Times New Roman" w:cs="Times New Roman"/>
                <w:color w:val="000000"/>
                <w:sz w:val="22"/>
                <w:szCs w:val="22"/>
                <w:lang w:val="en-GB"/>
              </w:rPr>
              <w:t>&lt;0.001</w:t>
            </w:r>
          </w:p>
        </w:tc>
      </w:tr>
      <w:tr w:rsidR="00D85EDA" w:rsidRPr="00927C23" w14:paraId="00548587" w14:textId="77777777" w:rsidTr="00D85EDA">
        <w:trPr>
          <w:trHeight w:val="72"/>
        </w:trPr>
        <w:tc>
          <w:tcPr>
            <w:tcW w:w="1116" w:type="pct"/>
            <w:shd w:val="clear" w:color="auto" w:fill="auto"/>
            <w:noWrap/>
            <w:vAlign w:val="center"/>
          </w:tcPr>
          <w:p w14:paraId="6A2B9329" w14:textId="77777777" w:rsidR="00D85EDA" w:rsidRPr="00927C23" w:rsidRDefault="00D85EDA" w:rsidP="005D3987">
            <w:pPr>
              <w:rPr>
                <w:rFonts w:eastAsia="Times New Roman" w:cs="Times New Roman"/>
                <w:color w:val="000000"/>
                <w:sz w:val="22"/>
                <w:szCs w:val="22"/>
                <w:lang w:val="en-GB"/>
              </w:rPr>
            </w:pPr>
            <w:r w:rsidRPr="00C00BE7">
              <w:rPr>
                <w:rFonts w:eastAsia="Times New Roman" w:cs="Times New Roman"/>
                <w:color w:val="000000"/>
                <w:sz w:val="22"/>
                <w:szCs w:val="22"/>
                <w:lang w:val="en-GB"/>
              </w:rPr>
              <w:t>Sex</w:t>
            </w:r>
          </w:p>
        </w:tc>
        <w:tc>
          <w:tcPr>
            <w:tcW w:w="1177" w:type="pct"/>
          </w:tcPr>
          <w:p w14:paraId="24B9861B"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Female</w:t>
            </w:r>
          </w:p>
        </w:tc>
        <w:tc>
          <w:tcPr>
            <w:tcW w:w="883" w:type="pct"/>
          </w:tcPr>
          <w:p w14:paraId="7C5A7719" w14:textId="77777777" w:rsidR="00D85EDA" w:rsidRPr="001C6E0C" w:rsidRDefault="00D85EDA" w:rsidP="005D3987">
            <w:pPr>
              <w:rPr>
                <w:rFonts w:eastAsia="Times New Roman" w:cs="Times New Roman"/>
                <w:color w:val="000000"/>
                <w:sz w:val="22"/>
                <w:szCs w:val="22"/>
                <w:lang w:val="en-GB"/>
              </w:rPr>
            </w:pPr>
            <w:r w:rsidRPr="001C6E0C">
              <w:rPr>
                <w:rFonts w:eastAsia="Times New Roman" w:cs="Times New Roman"/>
                <w:color w:val="000000"/>
                <w:sz w:val="22"/>
                <w:szCs w:val="22"/>
                <w:lang w:val="en-GB"/>
              </w:rPr>
              <w:t>5</w:t>
            </w:r>
            <w:r>
              <w:rPr>
                <w:rFonts w:eastAsia="Times New Roman" w:cs="Times New Roman"/>
                <w:color w:val="000000"/>
                <w:sz w:val="22"/>
                <w:szCs w:val="22"/>
                <w:lang w:val="en-GB"/>
              </w:rPr>
              <w:t>1.9</w:t>
            </w:r>
          </w:p>
        </w:tc>
        <w:tc>
          <w:tcPr>
            <w:tcW w:w="765" w:type="pct"/>
            <w:shd w:val="clear" w:color="auto" w:fill="auto"/>
            <w:noWrap/>
            <w:vAlign w:val="center"/>
          </w:tcPr>
          <w:p w14:paraId="3597EA40" w14:textId="77777777" w:rsidR="00D85EDA" w:rsidRPr="001C6E0C" w:rsidRDefault="00D85EDA" w:rsidP="005D3987">
            <w:pPr>
              <w:rPr>
                <w:rFonts w:eastAsia="Times New Roman" w:cs="Times New Roman"/>
                <w:color w:val="000000"/>
                <w:sz w:val="22"/>
                <w:szCs w:val="22"/>
                <w:lang w:val="en-GB"/>
              </w:rPr>
            </w:pPr>
            <w:r w:rsidRPr="001C6E0C">
              <w:rPr>
                <w:rFonts w:eastAsia="Times New Roman" w:cs="Times New Roman"/>
                <w:color w:val="000000"/>
                <w:sz w:val="22"/>
                <w:szCs w:val="22"/>
                <w:lang w:val="en-GB"/>
              </w:rPr>
              <w:t>5</w:t>
            </w:r>
            <w:r>
              <w:rPr>
                <w:rFonts w:eastAsia="Times New Roman" w:cs="Times New Roman"/>
                <w:color w:val="000000"/>
                <w:sz w:val="22"/>
                <w:szCs w:val="22"/>
                <w:lang w:val="en-GB"/>
              </w:rPr>
              <w:t>1.6</w:t>
            </w:r>
          </w:p>
        </w:tc>
        <w:tc>
          <w:tcPr>
            <w:tcW w:w="646" w:type="pct"/>
            <w:shd w:val="clear" w:color="auto" w:fill="auto"/>
            <w:noWrap/>
            <w:vAlign w:val="center"/>
          </w:tcPr>
          <w:p w14:paraId="20026FF2" w14:textId="77777777" w:rsidR="00D85EDA" w:rsidRPr="001C6E0C" w:rsidRDefault="00D85EDA" w:rsidP="005D3987">
            <w:pPr>
              <w:rPr>
                <w:rFonts w:eastAsia="Times New Roman" w:cs="Times New Roman"/>
                <w:color w:val="000000"/>
                <w:sz w:val="22"/>
                <w:szCs w:val="22"/>
                <w:lang w:val="en-GB"/>
              </w:rPr>
            </w:pPr>
            <w:r w:rsidRPr="001C6E0C">
              <w:rPr>
                <w:rFonts w:eastAsia="Times New Roman" w:cs="Times New Roman"/>
                <w:color w:val="000000"/>
                <w:sz w:val="22"/>
                <w:szCs w:val="22"/>
                <w:lang w:val="en-GB"/>
              </w:rPr>
              <w:t>54.</w:t>
            </w:r>
            <w:r>
              <w:rPr>
                <w:rFonts w:eastAsia="Times New Roman" w:cs="Times New Roman"/>
                <w:color w:val="000000"/>
                <w:sz w:val="22"/>
                <w:szCs w:val="22"/>
                <w:lang w:val="en-GB"/>
              </w:rPr>
              <w:t>9</w:t>
            </w:r>
          </w:p>
        </w:tc>
        <w:tc>
          <w:tcPr>
            <w:tcW w:w="413" w:type="pct"/>
          </w:tcPr>
          <w:p w14:paraId="188D5076" w14:textId="77777777" w:rsidR="00D85EDA" w:rsidRPr="001C6E0C" w:rsidRDefault="00D85EDA" w:rsidP="005D3987">
            <w:pPr>
              <w:rPr>
                <w:rFonts w:eastAsia="Times New Roman" w:cs="Times New Roman"/>
                <w:color w:val="000000"/>
                <w:sz w:val="22"/>
                <w:szCs w:val="22"/>
                <w:lang w:val="en-GB"/>
              </w:rPr>
            </w:pPr>
            <w:r w:rsidRPr="001C6E0C">
              <w:rPr>
                <w:rFonts w:eastAsia="Times New Roman" w:cs="Times New Roman"/>
                <w:color w:val="000000"/>
                <w:sz w:val="22"/>
                <w:szCs w:val="22"/>
                <w:lang w:val="en-GB"/>
              </w:rPr>
              <w:t>0</w:t>
            </w:r>
            <w:r>
              <w:rPr>
                <w:rFonts w:eastAsia="Times New Roman" w:cs="Times New Roman"/>
                <w:color w:val="000000"/>
                <w:sz w:val="22"/>
                <w:szCs w:val="22"/>
                <w:lang w:val="en-GB"/>
              </w:rPr>
              <w:t>.04</w:t>
            </w:r>
          </w:p>
        </w:tc>
      </w:tr>
      <w:tr w:rsidR="00D85EDA" w:rsidRPr="00927C23" w14:paraId="2ABB93AE" w14:textId="77777777" w:rsidTr="00D85EDA">
        <w:trPr>
          <w:trHeight w:val="69"/>
        </w:trPr>
        <w:tc>
          <w:tcPr>
            <w:tcW w:w="1116" w:type="pct"/>
            <w:shd w:val="clear" w:color="auto" w:fill="auto"/>
            <w:noWrap/>
            <w:vAlign w:val="center"/>
          </w:tcPr>
          <w:p w14:paraId="45934A88" w14:textId="77777777" w:rsidR="00D85EDA" w:rsidRPr="00927C23" w:rsidRDefault="00D85EDA" w:rsidP="005D3987">
            <w:pPr>
              <w:rPr>
                <w:rFonts w:eastAsia="Times New Roman" w:cs="Times New Roman"/>
                <w:color w:val="000000"/>
                <w:sz w:val="22"/>
                <w:szCs w:val="22"/>
                <w:lang w:val="en-GB"/>
              </w:rPr>
            </w:pPr>
            <w:r w:rsidRPr="00C00BE7">
              <w:rPr>
                <w:rFonts w:eastAsia="Times New Roman" w:cs="Times New Roman"/>
                <w:color w:val="000000"/>
                <w:sz w:val="22"/>
                <w:szCs w:val="22"/>
                <w:lang w:val="en-GB"/>
              </w:rPr>
              <w:t>Education</w:t>
            </w:r>
            <w:r>
              <w:rPr>
                <w:rFonts w:eastAsia="Times New Roman" w:cs="Times New Roman"/>
                <w:color w:val="000000"/>
                <w:sz w:val="22"/>
                <w:szCs w:val="22"/>
                <w:lang w:val="en-GB"/>
              </w:rPr>
              <w:t xml:space="preserve"> (years)</w:t>
            </w:r>
          </w:p>
        </w:tc>
        <w:tc>
          <w:tcPr>
            <w:tcW w:w="1177" w:type="pct"/>
          </w:tcPr>
          <w:p w14:paraId="3E9F2FFB" w14:textId="77777777" w:rsidR="00D85EDA" w:rsidRPr="00927C23" w:rsidRDefault="00D85EDA" w:rsidP="005D3987">
            <w:pPr>
              <w:rPr>
                <w:rFonts w:eastAsia="Times New Roman" w:cs="Times New Roman"/>
                <w:color w:val="000000"/>
                <w:sz w:val="22"/>
                <w:szCs w:val="22"/>
                <w:lang w:val="en-GB"/>
              </w:rPr>
            </w:pPr>
          </w:p>
        </w:tc>
        <w:tc>
          <w:tcPr>
            <w:tcW w:w="883" w:type="pct"/>
          </w:tcPr>
          <w:p w14:paraId="7C00799C" w14:textId="77777777" w:rsidR="00D85EDA" w:rsidRPr="00057C30" w:rsidRDefault="00D85EDA" w:rsidP="005D3987">
            <w:pPr>
              <w:rPr>
                <w:rFonts w:eastAsia="Times New Roman" w:cs="Times New Roman"/>
                <w:color w:val="000000"/>
                <w:sz w:val="22"/>
                <w:szCs w:val="22"/>
                <w:lang w:val="en-GB"/>
              </w:rPr>
            </w:pPr>
            <w:r w:rsidRPr="00057C30">
              <w:rPr>
                <w:rFonts w:eastAsia="Times New Roman" w:cs="Times New Roman"/>
                <w:color w:val="000000"/>
                <w:sz w:val="22"/>
                <w:szCs w:val="22"/>
                <w:lang w:val="en-GB"/>
              </w:rPr>
              <w:t>6.0 (8.9)</w:t>
            </w:r>
          </w:p>
        </w:tc>
        <w:tc>
          <w:tcPr>
            <w:tcW w:w="765" w:type="pct"/>
            <w:shd w:val="clear" w:color="auto" w:fill="auto"/>
            <w:noWrap/>
            <w:vAlign w:val="center"/>
          </w:tcPr>
          <w:p w14:paraId="3946562D" w14:textId="77777777" w:rsidR="00D85EDA" w:rsidRPr="00057C30" w:rsidRDefault="00D85EDA" w:rsidP="005D3987">
            <w:pPr>
              <w:rPr>
                <w:rFonts w:eastAsia="Times New Roman" w:cs="Times New Roman"/>
                <w:color w:val="000000"/>
                <w:sz w:val="22"/>
                <w:szCs w:val="22"/>
                <w:lang w:val="en-GB"/>
              </w:rPr>
            </w:pPr>
            <w:r w:rsidRPr="00057C30">
              <w:rPr>
                <w:rFonts w:eastAsia="Times New Roman" w:cs="Times New Roman"/>
                <w:color w:val="000000"/>
                <w:sz w:val="22"/>
                <w:szCs w:val="22"/>
                <w:lang w:val="en-GB"/>
              </w:rPr>
              <w:t>5.9 (8.9)</w:t>
            </w:r>
          </w:p>
        </w:tc>
        <w:tc>
          <w:tcPr>
            <w:tcW w:w="646" w:type="pct"/>
            <w:shd w:val="clear" w:color="auto" w:fill="auto"/>
            <w:noWrap/>
            <w:vAlign w:val="center"/>
          </w:tcPr>
          <w:p w14:paraId="5A64C39A" w14:textId="77777777" w:rsidR="00D85EDA" w:rsidRPr="00057C30" w:rsidRDefault="00D85EDA" w:rsidP="005D3987">
            <w:pPr>
              <w:rPr>
                <w:rFonts w:eastAsia="Times New Roman" w:cs="Times New Roman"/>
                <w:color w:val="000000"/>
                <w:sz w:val="22"/>
                <w:szCs w:val="22"/>
                <w:lang w:val="en-GB"/>
              </w:rPr>
            </w:pPr>
            <w:r w:rsidRPr="00057C30">
              <w:rPr>
                <w:rFonts w:eastAsia="Times New Roman" w:cs="Times New Roman"/>
                <w:color w:val="000000"/>
                <w:sz w:val="22"/>
                <w:szCs w:val="22"/>
                <w:lang w:val="en-GB"/>
              </w:rPr>
              <w:t>6.7 (8.3)</w:t>
            </w:r>
          </w:p>
        </w:tc>
        <w:tc>
          <w:tcPr>
            <w:tcW w:w="413" w:type="pct"/>
          </w:tcPr>
          <w:p w14:paraId="66B0E12E" w14:textId="77777777" w:rsidR="00D85EDA" w:rsidRPr="00057C30" w:rsidRDefault="00D85EDA" w:rsidP="005D3987">
            <w:pPr>
              <w:rPr>
                <w:rFonts w:eastAsia="Times New Roman" w:cs="Times New Roman"/>
                <w:color w:val="000000"/>
                <w:sz w:val="22"/>
                <w:szCs w:val="22"/>
                <w:lang w:val="en-GB"/>
              </w:rPr>
            </w:pPr>
            <w:r w:rsidRPr="00057C30">
              <w:rPr>
                <w:rFonts w:eastAsia="Times New Roman" w:cs="Times New Roman"/>
                <w:color w:val="000000"/>
                <w:sz w:val="22"/>
                <w:szCs w:val="22"/>
                <w:lang w:val="en-GB"/>
              </w:rPr>
              <w:t>0.001</w:t>
            </w:r>
          </w:p>
        </w:tc>
      </w:tr>
      <w:tr w:rsidR="00D85EDA" w:rsidRPr="00927C23" w14:paraId="05967BCA" w14:textId="77777777" w:rsidTr="00D85EDA">
        <w:trPr>
          <w:trHeight w:val="69"/>
        </w:trPr>
        <w:tc>
          <w:tcPr>
            <w:tcW w:w="1116" w:type="pct"/>
            <w:shd w:val="clear" w:color="auto" w:fill="auto"/>
            <w:noWrap/>
            <w:vAlign w:val="center"/>
          </w:tcPr>
          <w:p w14:paraId="791D3840"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Wealth</w:t>
            </w:r>
          </w:p>
        </w:tc>
        <w:tc>
          <w:tcPr>
            <w:tcW w:w="1177" w:type="pct"/>
            <w:vAlign w:val="center"/>
          </w:tcPr>
          <w:p w14:paraId="7103D85F"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Poorest</w:t>
            </w:r>
          </w:p>
        </w:tc>
        <w:tc>
          <w:tcPr>
            <w:tcW w:w="883" w:type="pct"/>
          </w:tcPr>
          <w:p w14:paraId="3B90AEB8"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17.1</w:t>
            </w:r>
          </w:p>
        </w:tc>
        <w:tc>
          <w:tcPr>
            <w:tcW w:w="765" w:type="pct"/>
            <w:shd w:val="clear" w:color="auto" w:fill="auto"/>
            <w:noWrap/>
            <w:vAlign w:val="center"/>
          </w:tcPr>
          <w:p w14:paraId="388BAC93"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16.6</w:t>
            </w:r>
          </w:p>
        </w:tc>
        <w:tc>
          <w:tcPr>
            <w:tcW w:w="646" w:type="pct"/>
            <w:shd w:val="clear" w:color="auto" w:fill="auto"/>
            <w:noWrap/>
            <w:vAlign w:val="center"/>
          </w:tcPr>
          <w:p w14:paraId="6168542C"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20.7</w:t>
            </w:r>
          </w:p>
        </w:tc>
        <w:tc>
          <w:tcPr>
            <w:tcW w:w="413" w:type="pct"/>
          </w:tcPr>
          <w:p w14:paraId="7A7214D7"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0.01</w:t>
            </w:r>
          </w:p>
        </w:tc>
      </w:tr>
      <w:tr w:rsidR="00D85EDA" w:rsidRPr="00927C23" w14:paraId="0DF8B52A" w14:textId="77777777" w:rsidTr="00D85EDA">
        <w:trPr>
          <w:trHeight w:val="69"/>
        </w:trPr>
        <w:tc>
          <w:tcPr>
            <w:tcW w:w="1116" w:type="pct"/>
            <w:shd w:val="clear" w:color="auto" w:fill="auto"/>
            <w:noWrap/>
            <w:vAlign w:val="center"/>
          </w:tcPr>
          <w:p w14:paraId="79179546" w14:textId="77777777" w:rsidR="00D85EDA" w:rsidRDefault="00D85EDA" w:rsidP="005D3987">
            <w:pPr>
              <w:rPr>
                <w:rFonts w:eastAsia="Times New Roman" w:cs="Times New Roman"/>
                <w:color w:val="000000"/>
                <w:sz w:val="22"/>
                <w:szCs w:val="22"/>
                <w:lang w:val="en-GB"/>
              </w:rPr>
            </w:pPr>
          </w:p>
        </w:tc>
        <w:tc>
          <w:tcPr>
            <w:tcW w:w="1177" w:type="pct"/>
            <w:vAlign w:val="center"/>
          </w:tcPr>
          <w:p w14:paraId="18C694AB"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Poorer</w:t>
            </w:r>
          </w:p>
        </w:tc>
        <w:tc>
          <w:tcPr>
            <w:tcW w:w="883" w:type="pct"/>
          </w:tcPr>
          <w:p w14:paraId="15422FE0"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18.9</w:t>
            </w:r>
          </w:p>
        </w:tc>
        <w:tc>
          <w:tcPr>
            <w:tcW w:w="765" w:type="pct"/>
            <w:shd w:val="clear" w:color="auto" w:fill="auto"/>
            <w:noWrap/>
            <w:vAlign w:val="center"/>
          </w:tcPr>
          <w:p w14:paraId="2733705B"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18.5</w:t>
            </w:r>
          </w:p>
        </w:tc>
        <w:tc>
          <w:tcPr>
            <w:tcW w:w="646" w:type="pct"/>
            <w:shd w:val="clear" w:color="auto" w:fill="auto"/>
            <w:noWrap/>
            <w:vAlign w:val="center"/>
          </w:tcPr>
          <w:p w14:paraId="7B6A0D93"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21.7</w:t>
            </w:r>
          </w:p>
        </w:tc>
        <w:tc>
          <w:tcPr>
            <w:tcW w:w="413" w:type="pct"/>
          </w:tcPr>
          <w:p w14:paraId="2E97BB49" w14:textId="77777777" w:rsidR="00D85EDA" w:rsidRPr="001C6E0C" w:rsidRDefault="00D85EDA" w:rsidP="005D3987">
            <w:pPr>
              <w:rPr>
                <w:rFonts w:eastAsia="Times New Roman" w:cs="Times New Roman"/>
                <w:color w:val="000000"/>
                <w:sz w:val="22"/>
                <w:szCs w:val="22"/>
                <w:lang w:val="en-GB"/>
              </w:rPr>
            </w:pPr>
          </w:p>
        </w:tc>
      </w:tr>
      <w:tr w:rsidR="00D85EDA" w:rsidRPr="00927C23" w14:paraId="3F1CF256" w14:textId="77777777" w:rsidTr="00D85EDA">
        <w:trPr>
          <w:trHeight w:val="69"/>
        </w:trPr>
        <w:tc>
          <w:tcPr>
            <w:tcW w:w="1116" w:type="pct"/>
            <w:shd w:val="clear" w:color="auto" w:fill="auto"/>
            <w:noWrap/>
            <w:vAlign w:val="center"/>
          </w:tcPr>
          <w:p w14:paraId="194AD757" w14:textId="77777777" w:rsidR="00D85EDA" w:rsidRDefault="00D85EDA" w:rsidP="005D3987">
            <w:pPr>
              <w:rPr>
                <w:rFonts w:eastAsia="Times New Roman" w:cs="Times New Roman"/>
                <w:color w:val="000000"/>
                <w:sz w:val="22"/>
                <w:szCs w:val="22"/>
                <w:lang w:val="en-GB"/>
              </w:rPr>
            </w:pPr>
          </w:p>
        </w:tc>
        <w:tc>
          <w:tcPr>
            <w:tcW w:w="1177" w:type="pct"/>
            <w:vAlign w:val="center"/>
          </w:tcPr>
          <w:p w14:paraId="6733D83B"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Middle</w:t>
            </w:r>
          </w:p>
        </w:tc>
        <w:tc>
          <w:tcPr>
            <w:tcW w:w="883" w:type="pct"/>
          </w:tcPr>
          <w:p w14:paraId="4AFB2F0B"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19.5</w:t>
            </w:r>
          </w:p>
        </w:tc>
        <w:tc>
          <w:tcPr>
            <w:tcW w:w="765" w:type="pct"/>
            <w:shd w:val="clear" w:color="auto" w:fill="auto"/>
            <w:noWrap/>
            <w:vAlign w:val="center"/>
          </w:tcPr>
          <w:p w14:paraId="21488A25"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19.6</w:t>
            </w:r>
          </w:p>
        </w:tc>
        <w:tc>
          <w:tcPr>
            <w:tcW w:w="646" w:type="pct"/>
            <w:shd w:val="clear" w:color="auto" w:fill="auto"/>
            <w:noWrap/>
            <w:vAlign w:val="center"/>
          </w:tcPr>
          <w:p w14:paraId="76E87C6A"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19.1</w:t>
            </w:r>
          </w:p>
        </w:tc>
        <w:tc>
          <w:tcPr>
            <w:tcW w:w="413" w:type="pct"/>
          </w:tcPr>
          <w:p w14:paraId="4FF9D994" w14:textId="77777777" w:rsidR="00D85EDA" w:rsidRPr="001C6E0C" w:rsidRDefault="00D85EDA" w:rsidP="005D3987">
            <w:pPr>
              <w:rPr>
                <w:rFonts w:eastAsia="Times New Roman" w:cs="Times New Roman"/>
                <w:color w:val="000000"/>
                <w:sz w:val="22"/>
                <w:szCs w:val="22"/>
                <w:lang w:val="en-GB"/>
              </w:rPr>
            </w:pPr>
          </w:p>
        </w:tc>
      </w:tr>
      <w:tr w:rsidR="00D85EDA" w:rsidRPr="00927C23" w14:paraId="05EA68B7" w14:textId="77777777" w:rsidTr="00D85EDA">
        <w:trPr>
          <w:trHeight w:val="69"/>
        </w:trPr>
        <w:tc>
          <w:tcPr>
            <w:tcW w:w="1116" w:type="pct"/>
            <w:shd w:val="clear" w:color="auto" w:fill="auto"/>
            <w:noWrap/>
            <w:vAlign w:val="center"/>
          </w:tcPr>
          <w:p w14:paraId="5489927A" w14:textId="77777777" w:rsidR="00D85EDA" w:rsidRDefault="00D85EDA" w:rsidP="005D3987">
            <w:pPr>
              <w:rPr>
                <w:rFonts w:eastAsia="Times New Roman" w:cs="Times New Roman"/>
                <w:color w:val="000000"/>
                <w:sz w:val="22"/>
                <w:szCs w:val="22"/>
                <w:lang w:val="en-GB"/>
              </w:rPr>
            </w:pPr>
          </w:p>
        </w:tc>
        <w:tc>
          <w:tcPr>
            <w:tcW w:w="1177" w:type="pct"/>
            <w:vAlign w:val="center"/>
          </w:tcPr>
          <w:p w14:paraId="3CC525DE"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Richer</w:t>
            </w:r>
          </w:p>
        </w:tc>
        <w:tc>
          <w:tcPr>
            <w:tcW w:w="883" w:type="pct"/>
          </w:tcPr>
          <w:p w14:paraId="724A7D6D"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21.4</w:t>
            </w:r>
          </w:p>
        </w:tc>
        <w:tc>
          <w:tcPr>
            <w:tcW w:w="765" w:type="pct"/>
            <w:shd w:val="clear" w:color="auto" w:fill="auto"/>
            <w:noWrap/>
            <w:vAlign w:val="center"/>
          </w:tcPr>
          <w:p w14:paraId="2EBABF40"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21.8</w:t>
            </w:r>
          </w:p>
        </w:tc>
        <w:tc>
          <w:tcPr>
            <w:tcW w:w="646" w:type="pct"/>
            <w:shd w:val="clear" w:color="auto" w:fill="auto"/>
            <w:noWrap/>
            <w:vAlign w:val="center"/>
          </w:tcPr>
          <w:p w14:paraId="4D47CF71"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18.0</w:t>
            </w:r>
          </w:p>
        </w:tc>
        <w:tc>
          <w:tcPr>
            <w:tcW w:w="413" w:type="pct"/>
          </w:tcPr>
          <w:p w14:paraId="56EE100B" w14:textId="77777777" w:rsidR="00D85EDA" w:rsidRPr="001C6E0C" w:rsidRDefault="00D85EDA" w:rsidP="005D3987">
            <w:pPr>
              <w:rPr>
                <w:rFonts w:eastAsia="Times New Roman" w:cs="Times New Roman"/>
                <w:color w:val="000000"/>
                <w:sz w:val="22"/>
                <w:szCs w:val="22"/>
                <w:lang w:val="en-GB"/>
              </w:rPr>
            </w:pPr>
          </w:p>
        </w:tc>
      </w:tr>
      <w:tr w:rsidR="00D85EDA" w:rsidRPr="00927C23" w14:paraId="2E20066F" w14:textId="77777777" w:rsidTr="00D85EDA">
        <w:trPr>
          <w:trHeight w:val="69"/>
        </w:trPr>
        <w:tc>
          <w:tcPr>
            <w:tcW w:w="1116" w:type="pct"/>
            <w:shd w:val="clear" w:color="auto" w:fill="auto"/>
            <w:noWrap/>
            <w:vAlign w:val="center"/>
          </w:tcPr>
          <w:p w14:paraId="0CBFEB7B" w14:textId="77777777" w:rsidR="00D85EDA" w:rsidRPr="00927C23" w:rsidRDefault="00D85EDA" w:rsidP="005D3987">
            <w:pPr>
              <w:rPr>
                <w:rFonts w:eastAsia="Times New Roman" w:cs="Times New Roman"/>
                <w:color w:val="000000"/>
                <w:sz w:val="22"/>
                <w:szCs w:val="22"/>
                <w:lang w:val="en-GB"/>
              </w:rPr>
            </w:pPr>
          </w:p>
        </w:tc>
        <w:tc>
          <w:tcPr>
            <w:tcW w:w="1177" w:type="pct"/>
            <w:vAlign w:val="center"/>
          </w:tcPr>
          <w:p w14:paraId="39B98D99"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Richest</w:t>
            </w:r>
          </w:p>
        </w:tc>
        <w:tc>
          <w:tcPr>
            <w:tcW w:w="883" w:type="pct"/>
          </w:tcPr>
          <w:p w14:paraId="1E79FE1A"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23.2</w:t>
            </w:r>
          </w:p>
        </w:tc>
        <w:tc>
          <w:tcPr>
            <w:tcW w:w="765" w:type="pct"/>
            <w:shd w:val="clear" w:color="auto" w:fill="auto"/>
            <w:noWrap/>
            <w:vAlign w:val="center"/>
          </w:tcPr>
          <w:p w14:paraId="4915E4EA"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23.5</w:t>
            </w:r>
          </w:p>
        </w:tc>
        <w:tc>
          <w:tcPr>
            <w:tcW w:w="646" w:type="pct"/>
            <w:shd w:val="clear" w:color="auto" w:fill="auto"/>
            <w:noWrap/>
            <w:vAlign w:val="center"/>
          </w:tcPr>
          <w:p w14:paraId="67FBCB0F" w14:textId="77777777" w:rsidR="00D85EDA" w:rsidRPr="001C6E0C"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20.5</w:t>
            </w:r>
          </w:p>
        </w:tc>
        <w:tc>
          <w:tcPr>
            <w:tcW w:w="413" w:type="pct"/>
          </w:tcPr>
          <w:p w14:paraId="41A9E76D" w14:textId="77777777" w:rsidR="00D85EDA" w:rsidRPr="001C6E0C" w:rsidRDefault="00D85EDA" w:rsidP="005D3987">
            <w:pPr>
              <w:rPr>
                <w:rFonts w:eastAsia="Times New Roman" w:cs="Times New Roman"/>
                <w:color w:val="000000"/>
                <w:sz w:val="22"/>
                <w:szCs w:val="22"/>
                <w:lang w:val="en-GB"/>
              </w:rPr>
            </w:pPr>
          </w:p>
        </w:tc>
      </w:tr>
      <w:tr w:rsidR="00D85EDA" w:rsidRPr="00927C23" w14:paraId="69618E1F" w14:textId="77777777" w:rsidTr="00D85EDA">
        <w:trPr>
          <w:trHeight w:val="144"/>
        </w:trPr>
        <w:tc>
          <w:tcPr>
            <w:tcW w:w="1116" w:type="pct"/>
            <w:shd w:val="clear" w:color="auto" w:fill="auto"/>
            <w:noWrap/>
            <w:vAlign w:val="center"/>
          </w:tcPr>
          <w:p w14:paraId="1DA38EE4"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Marital status</w:t>
            </w:r>
          </w:p>
        </w:tc>
        <w:tc>
          <w:tcPr>
            <w:tcW w:w="1177" w:type="pct"/>
          </w:tcPr>
          <w:p w14:paraId="26AD8E02" w14:textId="77777777" w:rsidR="00D85EDA" w:rsidRPr="00927C23"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Married/cohabiting</w:t>
            </w:r>
          </w:p>
        </w:tc>
        <w:tc>
          <w:tcPr>
            <w:tcW w:w="883" w:type="pct"/>
          </w:tcPr>
          <w:p w14:paraId="6B2D99A6"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75.8</w:t>
            </w:r>
          </w:p>
        </w:tc>
        <w:tc>
          <w:tcPr>
            <w:tcW w:w="765" w:type="pct"/>
            <w:shd w:val="clear" w:color="auto" w:fill="auto"/>
            <w:noWrap/>
            <w:vAlign w:val="center"/>
          </w:tcPr>
          <w:p w14:paraId="4F6C549D"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77.2</w:t>
            </w:r>
          </w:p>
        </w:tc>
        <w:tc>
          <w:tcPr>
            <w:tcW w:w="646" w:type="pct"/>
            <w:shd w:val="clear" w:color="auto" w:fill="auto"/>
            <w:noWrap/>
            <w:vAlign w:val="center"/>
          </w:tcPr>
          <w:p w14:paraId="09F6E6AD"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64.0</w:t>
            </w:r>
          </w:p>
        </w:tc>
        <w:tc>
          <w:tcPr>
            <w:tcW w:w="413" w:type="pct"/>
          </w:tcPr>
          <w:p w14:paraId="5FFC33F1"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5DCC4176" w14:textId="77777777" w:rsidTr="00D85EDA">
        <w:trPr>
          <w:trHeight w:val="144"/>
        </w:trPr>
        <w:tc>
          <w:tcPr>
            <w:tcW w:w="1116" w:type="pct"/>
            <w:shd w:val="clear" w:color="auto" w:fill="auto"/>
            <w:noWrap/>
            <w:vAlign w:val="center"/>
          </w:tcPr>
          <w:p w14:paraId="5E9638D7" w14:textId="77777777" w:rsidR="00D85EDA" w:rsidRPr="00556742" w:rsidRDefault="00D85EDA" w:rsidP="005D3987">
            <w:pPr>
              <w:rPr>
                <w:rFonts w:eastAsia="Times New Roman" w:cs="Times New Roman"/>
                <w:color w:val="000000"/>
                <w:sz w:val="22"/>
                <w:szCs w:val="22"/>
                <w:lang w:val="en-GB"/>
              </w:rPr>
            </w:pPr>
          </w:p>
        </w:tc>
        <w:tc>
          <w:tcPr>
            <w:tcW w:w="1177" w:type="pct"/>
          </w:tcPr>
          <w:p w14:paraId="440F7A6E"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Never married</w:t>
            </w:r>
          </w:p>
        </w:tc>
        <w:tc>
          <w:tcPr>
            <w:tcW w:w="883" w:type="pct"/>
          </w:tcPr>
          <w:p w14:paraId="20D89E23"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1.7</w:t>
            </w:r>
          </w:p>
        </w:tc>
        <w:tc>
          <w:tcPr>
            <w:tcW w:w="765" w:type="pct"/>
            <w:shd w:val="clear" w:color="auto" w:fill="auto"/>
            <w:noWrap/>
            <w:vAlign w:val="center"/>
          </w:tcPr>
          <w:p w14:paraId="313765D4"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1.7</w:t>
            </w:r>
          </w:p>
        </w:tc>
        <w:tc>
          <w:tcPr>
            <w:tcW w:w="646" w:type="pct"/>
            <w:shd w:val="clear" w:color="auto" w:fill="auto"/>
            <w:noWrap/>
            <w:vAlign w:val="center"/>
          </w:tcPr>
          <w:p w14:paraId="354A49F0"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2.2</w:t>
            </w:r>
          </w:p>
        </w:tc>
        <w:tc>
          <w:tcPr>
            <w:tcW w:w="413" w:type="pct"/>
          </w:tcPr>
          <w:p w14:paraId="7E034072" w14:textId="77777777" w:rsidR="00D85EDA" w:rsidRPr="007E58A0" w:rsidRDefault="00D85EDA" w:rsidP="005D3987">
            <w:pPr>
              <w:rPr>
                <w:rFonts w:eastAsia="Times New Roman" w:cs="Times New Roman"/>
                <w:color w:val="000000"/>
                <w:sz w:val="22"/>
                <w:szCs w:val="22"/>
                <w:highlight w:val="yellow"/>
                <w:lang w:val="en-GB"/>
              </w:rPr>
            </w:pPr>
          </w:p>
        </w:tc>
      </w:tr>
      <w:tr w:rsidR="00D85EDA" w:rsidRPr="00927C23" w14:paraId="5E5DC04D" w14:textId="77777777" w:rsidTr="00D85EDA">
        <w:trPr>
          <w:trHeight w:val="144"/>
        </w:trPr>
        <w:tc>
          <w:tcPr>
            <w:tcW w:w="1116" w:type="pct"/>
            <w:shd w:val="clear" w:color="auto" w:fill="auto"/>
            <w:noWrap/>
            <w:vAlign w:val="center"/>
          </w:tcPr>
          <w:p w14:paraId="7FF82301" w14:textId="77777777" w:rsidR="00D85EDA" w:rsidRPr="00556742" w:rsidRDefault="00D85EDA" w:rsidP="005D3987">
            <w:pPr>
              <w:rPr>
                <w:rFonts w:eastAsia="Times New Roman" w:cs="Times New Roman"/>
                <w:color w:val="000000"/>
                <w:sz w:val="22"/>
                <w:szCs w:val="22"/>
                <w:lang w:val="en-GB"/>
              </w:rPr>
            </w:pPr>
          </w:p>
        </w:tc>
        <w:tc>
          <w:tcPr>
            <w:tcW w:w="1177" w:type="pct"/>
          </w:tcPr>
          <w:p w14:paraId="6D63E714"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Separated/divorced/widowed</w:t>
            </w:r>
          </w:p>
        </w:tc>
        <w:tc>
          <w:tcPr>
            <w:tcW w:w="883" w:type="pct"/>
          </w:tcPr>
          <w:p w14:paraId="2CA4E513"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22.5</w:t>
            </w:r>
          </w:p>
        </w:tc>
        <w:tc>
          <w:tcPr>
            <w:tcW w:w="765" w:type="pct"/>
            <w:shd w:val="clear" w:color="auto" w:fill="auto"/>
            <w:noWrap/>
            <w:vAlign w:val="center"/>
          </w:tcPr>
          <w:p w14:paraId="4CF4D8A7"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21.1</w:t>
            </w:r>
          </w:p>
        </w:tc>
        <w:tc>
          <w:tcPr>
            <w:tcW w:w="646" w:type="pct"/>
            <w:shd w:val="clear" w:color="auto" w:fill="auto"/>
            <w:noWrap/>
            <w:vAlign w:val="center"/>
          </w:tcPr>
          <w:p w14:paraId="682854D5" w14:textId="77777777" w:rsidR="00D85EDA" w:rsidRPr="00870302" w:rsidRDefault="00D85EDA" w:rsidP="005D3987">
            <w:pPr>
              <w:rPr>
                <w:rFonts w:eastAsia="Times New Roman" w:cs="Times New Roman"/>
                <w:color w:val="000000"/>
                <w:sz w:val="22"/>
                <w:szCs w:val="22"/>
                <w:lang w:val="en-GB"/>
              </w:rPr>
            </w:pPr>
            <w:r w:rsidRPr="00870302">
              <w:rPr>
                <w:rFonts w:eastAsia="Times New Roman" w:cs="Times New Roman"/>
                <w:color w:val="000000"/>
                <w:sz w:val="22"/>
                <w:szCs w:val="22"/>
                <w:lang w:val="en-GB"/>
              </w:rPr>
              <w:t>33.8</w:t>
            </w:r>
          </w:p>
        </w:tc>
        <w:tc>
          <w:tcPr>
            <w:tcW w:w="413" w:type="pct"/>
          </w:tcPr>
          <w:p w14:paraId="6E4B6B3C" w14:textId="77777777" w:rsidR="00D85EDA" w:rsidRPr="007E58A0" w:rsidRDefault="00D85EDA" w:rsidP="005D3987">
            <w:pPr>
              <w:rPr>
                <w:rFonts w:eastAsia="Times New Roman" w:cs="Times New Roman"/>
                <w:color w:val="000000"/>
                <w:sz w:val="22"/>
                <w:szCs w:val="22"/>
                <w:highlight w:val="yellow"/>
                <w:lang w:val="en-GB"/>
              </w:rPr>
            </w:pPr>
          </w:p>
        </w:tc>
      </w:tr>
      <w:tr w:rsidR="00D85EDA" w:rsidRPr="00927C23" w14:paraId="426298DC" w14:textId="77777777" w:rsidTr="00D85EDA">
        <w:trPr>
          <w:trHeight w:val="300"/>
        </w:trPr>
        <w:tc>
          <w:tcPr>
            <w:tcW w:w="1116" w:type="pct"/>
            <w:shd w:val="clear" w:color="auto" w:fill="auto"/>
            <w:noWrap/>
            <w:vAlign w:val="center"/>
          </w:tcPr>
          <w:p w14:paraId="4DA72C34"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Unemployed</w:t>
            </w:r>
          </w:p>
        </w:tc>
        <w:tc>
          <w:tcPr>
            <w:tcW w:w="1177" w:type="pct"/>
          </w:tcPr>
          <w:p w14:paraId="2157A5C1"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3A7E8EF1"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57.3</w:t>
            </w:r>
          </w:p>
        </w:tc>
        <w:tc>
          <w:tcPr>
            <w:tcW w:w="765" w:type="pct"/>
            <w:shd w:val="clear" w:color="auto" w:fill="auto"/>
            <w:noWrap/>
            <w:vAlign w:val="center"/>
          </w:tcPr>
          <w:p w14:paraId="243E8560"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55.7</w:t>
            </w:r>
          </w:p>
        </w:tc>
        <w:tc>
          <w:tcPr>
            <w:tcW w:w="646" w:type="pct"/>
            <w:shd w:val="clear" w:color="auto" w:fill="auto"/>
            <w:noWrap/>
            <w:vAlign w:val="center"/>
          </w:tcPr>
          <w:p w14:paraId="0D8F74D7" w14:textId="77777777" w:rsidR="00D85EDA" w:rsidRPr="00420CA8" w:rsidRDefault="00D85EDA" w:rsidP="005D3987">
            <w:pPr>
              <w:rPr>
                <w:rFonts w:eastAsia="Times New Roman" w:cs="Times New Roman"/>
                <w:color w:val="000000"/>
                <w:sz w:val="22"/>
                <w:szCs w:val="22"/>
                <w:lang w:val="en-GB"/>
              </w:rPr>
            </w:pPr>
            <w:r w:rsidRPr="00420CA8">
              <w:rPr>
                <w:rFonts w:eastAsia="Times New Roman" w:cs="Times New Roman"/>
                <w:color w:val="000000"/>
                <w:sz w:val="22"/>
                <w:szCs w:val="22"/>
                <w:lang w:val="en-GB"/>
              </w:rPr>
              <w:t>70.9</w:t>
            </w:r>
          </w:p>
        </w:tc>
        <w:tc>
          <w:tcPr>
            <w:tcW w:w="413" w:type="pct"/>
          </w:tcPr>
          <w:p w14:paraId="53822216"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276B0132" w14:textId="77777777" w:rsidTr="00D85EDA">
        <w:trPr>
          <w:trHeight w:val="300"/>
        </w:trPr>
        <w:tc>
          <w:tcPr>
            <w:tcW w:w="1116" w:type="pct"/>
            <w:shd w:val="clear" w:color="auto" w:fill="auto"/>
            <w:noWrap/>
            <w:vAlign w:val="center"/>
          </w:tcPr>
          <w:p w14:paraId="5B8EF4DB"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 xml:space="preserve">Setting </w:t>
            </w:r>
          </w:p>
        </w:tc>
        <w:tc>
          <w:tcPr>
            <w:tcW w:w="1177" w:type="pct"/>
          </w:tcPr>
          <w:p w14:paraId="16545399"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Urban</w:t>
            </w:r>
          </w:p>
        </w:tc>
        <w:tc>
          <w:tcPr>
            <w:tcW w:w="883" w:type="pct"/>
          </w:tcPr>
          <w:p w14:paraId="3C17C67C" w14:textId="77777777" w:rsidR="00D85EDA" w:rsidRPr="00BF5269" w:rsidRDefault="00D85EDA" w:rsidP="005D3987">
            <w:pPr>
              <w:rPr>
                <w:rFonts w:eastAsia="Times New Roman" w:cs="Times New Roman"/>
                <w:color w:val="000000"/>
                <w:sz w:val="22"/>
                <w:szCs w:val="22"/>
                <w:lang w:val="en-GB"/>
              </w:rPr>
            </w:pPr>
            <w:r w:rsidRPr="00BF5269">
              <w:rPr>
                <w:rFonts w:eastAsia="Times New Roman" w:cs="Times New Roman"/>
                <w:color w:val="000000"/>
                <w:sz w:val="22"/>
                <w:szCs w:val="22"/>
                <w:lang w:val="en-GB"/>
              </w:rPr>
              <w:t>46.0</w:t>
            </w:r>
          </w:p>
        </w:tc>
        <w:tc>
          <w:tcPr>
            <w:tcW w:w="765" w:type="pct"/>
            <w:shd w:val="clear" w:color="auto" w:fill="auto"/>
            <w:noWrap/>
            <w:vAlign w:val="center"/>
          </w:tcPr>
          <w:p w14:paraId="77265BD5" w14:textId="77777777" w:rsidR="00D85EDA" w:rsidRPr="00BF5269" w:rsidRDefault="00D85EDA" w:rsidP="005D3987">
            <w:pPr>
              <w:rPr>
                <w:rFonts w:eastAsia="Times New Roman" w:cs="Times New Roman"/>
                <w:color w:val="000000"/>
                <w:sz w:val="22"/>
                <w:szCs w:val="22"/>
                <w:lang w:val="en-GB"/>
              </w:rPr>
            </w:pPr>
            <w:r w:rsidRPr="00BF5269">
              <w:rPr>
                <w:rFonts w:eastAsia="Times New Roman" w:cs="Times New Roman"/>
                <w:color w:val="000000"/>
                <w:sz w:val="22"/>
                <w:szCs w:val="22"/>
                <w:lang w:val="en-GB"/>
              </w:rPr>
              <w:t>45.4</w:t>
            </w:r>
          </w:p>
        </w:tc>
        <w:tc>
          <w:tcPr>
            <w:tcW w:w="646" w:type="pct"/>
            <w:shd w:val="clear" w:color="auto" w:fill="auto"/>
            <w:noWrap/>
            <w:vAlign w:val="center"/>
          </w:tcPr>
          <w:p w14:paraId="159E03F3" w14:textId="77777777" w:rsidR="00D85EDA" w:rsidRPr="00BF5269" w:rsidRDefault="00D85EDA" w:rsidP="005D3987">
            <w:pPr>
              <w:rPr>
                <w:rFonts w:eastAsia="Times New Roman" w:cs="Times New Roman"/>
                <w:color w:val="000000"/>
                <w:sz w:val="22"/>
                <w:szCs w:val="22"/>
                <w:lang w:val="en-GB"/>
              </w:rPr>
            </w:pPr>
            <w:r w:rsidRPr="00BF5269">
              <w:rPr>
                <w:rFonts w:eastAsia="Times New Roman" w:cs="Times New Roman"/>
                <w:color w:val="000000"/>
                <w:sz w:val="22"/>
                <w:szCs w:val="22"/>
                <w:lang w:val="en-GB"/>
              </w:rPr>
              <w:t>51.5</w:t>
            </w:r>
          </w:p>
        </w:tc>
        <w:tc>
          <w:tcPr>
            <w:tcW w:w="413" w:type="pct"/>
          </w:tcPr>
          <w:p w14:paraId="6A0A47A2" w14:textId="77777777" w:rsidR="00D85EDA" w:rsidRPr="00BF5269" w:rsidRDefault="00D85EDA" w:rsidP="005D3987">
            <w:pPr>
              <w:rPr>
                <w:rFonts w:eastAsia="Times New Roman" w:cs="Times New Roman"/>
                <w:color w:val="000000"/>
                <w:sz w:val="22"/>
                <w:szCs w:val="22"/>
                <w:lang w:val="en-GB"/>
              </w:rPr>
            </w:pPr>
            <w:r w:rsidRPr="00BF5269">
              <w:rPr>
                <w:rFonts w:eastAsia="Times New Roman" w:cs="Times New Roman"/>
                <w:color w:val="000000"/>
                <w:sz w:val="22"/>
                <w:szCs w:val="22"/>
                <w:lang w:val="en-GB"/>
              </w:rPr>
              <w:t>0.04</w:t>
            </w:r>
          </w:p>
        </w:tc>
      </w:tr>
      <w:tr w:rsidR="00D85EDA" w:rsidRPr="00927C23" w14:paraId="6C83FEDB" w14:textId="77777777" w:rsidTr="00D85EDA">
        <w:trPr>
          <w:trHeight w:val="300"/>
        </w:trPr>
        <w:tc>
          <w:tcPr>
            <w:tcW w:w="1116" w:type="pct"/>
            <w:shd w:val="clear" w:color="auto" w:fill="auto"/>
            <w:noWrap/>
            <w:vAlign w:val="center"/>
          </w:tcPr>
          <w:p w14:paraId="4F19B1DB"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 xml:space="preserve">Smoking </w:t>
            </w:r>
          </w:p>
        </w:tc>
        <w:tc>
          <w:tcPr>
            <w:tcW w:w="1177" w:type="pct"/>
          </w:tcPr>
          <w:p w14:paraId="27C8FE78"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64D70840"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35.0</w:t>
            </w:r>
          </w:p>
        </w:tc>
        <w:tc>
          <w:tcPr>
            <w:tcW w:w="765" w:type="pct"/>
            <w:shd w:val="clear" w:color="auto" w:fill="auto"/>
            <w:noWrap/>
            <w:vAlign w:val="center"/>
          </w:tcPr>
          <w:p w14:paraId="2864641B"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35.3</w:t>
            </w:r>
          </w:p>
        </w:tc>
        <w:tc>
          <w:tcPr>
            <w:tcW w:w="646" w:type="pct"/>
            <w:shd w:val="clear" w:color="auto" w:fill="auto"/>
            <w:noWrap/>
            <w:vAlign w:val="center"/>
          </w:tcPr>
          <w:p w14:paraId="2E612605"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32.6</w:t>
            </w:r>
          </w:p>
        </w:tc>
        <w:tc>
          <w:tcPr>
            <w:tcW w:w="413" w:type="pct"/>
          </w:tcPr>
          <w:p w14:paraId="5FFC48DC"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0.20</w:t>
            </w:r>
          </w:p>
        </w:tc>
      </w:tr>
      <w:tr w:rsidR="00D85EDA" w:rsidRPr="00927C23" w14:paraId="0D2C5649" w14:textId="77777777" w:rsidTr="00D85EDA">
        <w:trPr>
          <w:trHeight w:val="300"/>
        </w:trPr>
        <w:tc>
          <w:tcPr>
            <w:tcW w:w="1116" w:type="pct"/>
            <w:shd w:val="clear" w:color="auto" w:fill="auto"/>
            <w:noWrap/>
            <w:vAlign w:val="center"/>
          </w:tcPr>
          <w:p w14:paraId="1ED4F6B8"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Alcohol consumption</w:t>
            </w:r>
          </w:p>
        </w:tc>
        <w:tc>
          <w:tcPr>
            <w:tcW w:w="1177" w:type="pct"/>
          </w:tcPr>
          <w:p w14:paraId="6B09BEB1"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6FE581F0"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18.6</w:t>
            </w:r>
          </w:p>
        </w:tc>
        <w:tc>
          <w:tcPr>
            <w:tcW w:w="765" w:type="pct"/>
            <w:shd w:val="clear" w:color="auto" w:fill="auto"/>
            <w:noWrap/>
            <w:vAlign w:val="center"/>
          </w:tcPr>
          <w:p w14:paraId="52B6B4EB"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18.5</w:t>
            </w:r>
          </w:p>
        </w:tc>
        <w:tc>
          <w:tcPr>
            <w:tcW w:w="646" w:type="pct"/>
            <w:shd w:val="clear" w:color="auto" w:fill="auto"/>
            <w:noWrap/>
            <w:vAlign w:val="center"/>
          </w:tcPr>
          <w:p w14:paraId="46478864"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19.1</w:t>
            </w:r>
          </w:p>
        </w:tc>
        <w:tc>
          <w:tcPr>
            <w:tcW w:w="413" w:type="pct"/>
          </w:tcPr>
          <w:p w14:paraId="4148492F"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0.75</w:t>
            </w:r>
          </w:p>
        </w:tc>
      </w:tr>
      <w:tr w:rsidR="00D85EDA" w:rsidRPr="00927C23" w14:paraId="46D9F11E" w14:textId="77777777" w:rsidTr="00D85EDA">
        <w:trPr>
          <w:trHeight w:val="300"/>
        </w:trPr>
        <w:tc>
          <w:tcPr>
            <w:tcW w:w="1116" w:type="pct"/>
            <w:shd w:val="clear" w:color="auto" w:fill="auto"/>
            <w:noWrap/>
            <w:vAlign w:val="center"/>
          </w:tcPr>
          <w:p w14:paraId="78F6E98F"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 xml:space="preserve">Social cohesion </w:t>
            </w:r>
            <w:proofErr w:type="spellStart"/>
            <w:r w:rsidRPr="00556742">
              <w:rPr>
                <w:rFonts w:eastAsia="Times New Roman" w:cs="Times New Roman"/>
                <w:color w:val="000000"/>
                <w:sz w:val="22"/>
                <w:szCs w:val="22"/>
                <w:lang w:val="en-GB"/>
              </w:rPr>
              <w:t>index</w:t>
            </w:r>
            <w:r w:rsidRPr="00556742">
              <w:rPr>
                <w:rFonts w:eastAsia="Times New Roman" w:cs="Times New Roman"/>
                <w:color w:val="000000"/>
                <w:sz w:val="22"/>
                <w:szCs w:val="22"/>
                <w:vertAlign w:val="superscript"/>
                <w:lang w:val="en-GB"/>
              </w:rPr>
              <w:t>a</w:t>
            </w:r>
            <w:proofErr w:type="spellEnd"/>
          </w:p>
        </w:tc>
        <w:tc>
          <w:tcPr>
            <w:tcW w:w="1177" w:type="pct"/>
          </w:tcPr>
          <w:p w14:paraId="336B183F" w14:textId="77777777" w:rsidR="00D85EDA" w:rsidRPr="00556742" w:rsidRDefault="00D85EDA" w:rsidP="005D3987">
            <w:pPr>
              <w:rPr>
                <w:rFonts w:eastAsia="Times New Roman" w:cs="Times New Roman"/>
                <w:color w:val="000000"/>
                <w:sz w:val="22"/>
                <w:szCs w:val="22"/>
                <w:lang w:val="en-GB"/>
              </w:rPr>
            </w:pPr>
          </w:p>
        </w:tc>
        <w:tc>
          <w:tcPr>
            <w:tcW w:w="883" w:type="pct"/>
          </w:tcPr>
          <w:p w14:paraId="2E8E081F" w14:textId="77777777" w:rsidR="00D85EDA" w:rsidRPr="002E3FDD"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21.3 (23.3)</w:t>
            </w:r>
          </w:p>
        </w:tc>
        <w:tc>
          <w:tcPr>
            <w:tcW w:w="765" w:type="pct"/>
            <w:shd w:val="clear" w:color="auto" w:fill="auto"/>
            <w:noWrap/>
            <w:vAlign w:val="center"/>
          </w:tcPr>
          <w:p w14:paraId="19DA61EF" w14:textId="77777777" w:rsidR="00D85EDA" w:rsidRPr="002E3FDD"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22.0 (23.5)</w:t>
            </w:r>
          </w:p>
        </w:tc>
        <w:tc>
          <w:tcPr>
            <w:tcW w:w="646" w:type="pct"/>
            <w:shd w:val="clear" w:color="auto" w:fill="auto"/>
            <w:noWrap/>
            <w:vAlign w:val="center"/>
          </w:tcPr>
          <w:p w14:paraId="69EBCB0A" w14:textId="77777777" w:rsidR="00D85EDA" w:rsidRPr="002E3FDD"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17.1 (19.8)</w:t>
            </w:r>
          </w:p>
        </w:tc>
        <w:tc>
          <w:tcPr>
            <w:tcW w:w="413" w:type="pct"/>
          </w:tcPr>
          <w:p w14:paraId="15D927D6" w14:textId="77777777" w:rsidR="00D85EDA" w:rsidRPr="002E3FDD" w:rsidRDefault="00D85EDA" w:rsidP="005D3987">
            <w:pPr>
              <w:rPr>
                <w:rFonts w:eastAsia="Times New Roman" w:cs="Times New Roman"/>
                <w:color w:val="000000"/>
                <w:sz w:val="22"/>
                <w:szCs w:val="22"/>
                <w:lang w:val="en-GB"/>
              </w:rPr>
            </w:pPr>
            <w:r w:rsidRPr="00EC3E75">
              <w:rPr>
                <w:rFonts w:eastAsia="Times New Roman" w:cs="Times New Roman"/>
                <w:color w:val="000000"/>
                <w:sz w:val="22"/>
                <w:szCs w:val="22"/>
                <w:lang w:val="en-GB"/>
              </w:rPr>
              <w:t>&lt;0.001</w:t>
            </w:r>
          </w:p>
        </w:tc>
      </w:tr>
      <w:tr w:rsidR="00D85EDA" w:rsidRPr="00927C23" w14:paraId="03AE4515" w14:textId="77777777" w:rsidTr="00D85EDA">
        <w:trPr>
          <w:trHeight w:val="69"/>
        </w:trPr>
        <w:tc>
          <w:tcPr>
            <w:tcW w:w="1116" w:type="pct"/>
            <w:shd w:val="clear" w:color="auto" w:fill="auto"/>
            <w:noWrap/>
            <w:vAlign w:val="center"/>
          </w:tcPr>
          <w:p w14:paraId="3203E477"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Depression</w:t>
            </w:r>
          </w:p>
        </w:tc>
        <w:tc>
          <w:tcPr>
            <w:tcW w:w="1177" w:type="pct"/>
          </w:tcPr>
          <w:p w14:paraId="5A607787"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41D66F21"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6.1</w:t>
            </w:r>
          </w:p>
        </w:tc>
        <w:tc>
          <w:tcPr>
            <w:tcW w:w="765" w:type="pct"/>
            <w:shd w:val="clear" w:color="auto" w:fill="auto"/>
            <w:noWrap/>
            <w:vAlign w:val="center"/>
          </w:tcPr>
          <w:p w14:paraId="5A720CD8"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5.8</w:t>
            </w:r>
          </w:p>
        </w:tc>
        <w:tc>
          <w:tcPr>
            <w:tcW w:w="646" w:type="pct"/>
            <w:shd w:val="clear" w:color="auto" w:fill="auto"/>
            <w:noWrap/>
            <w:vAlign w:val="center"/>
          </w:tcPr>
          <w:p w14:paraId="64639BB9"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8.7</w:t>
            </w:r>
          </w:p>
        </w:tc>
        <w:tc>
          <w:tcPr>
            <w:tcW w:w="413" w:type="pct"/>
          </w:tcPr>
          <w:p w14:paraId="5C59FF91" w14:textId="77777777" w:rsidR="00D85EDA" w:rsidRPr="002E3FDD" w:rsidRDefault="00D85EDA" w:rsidP="005D3987">
            <w:pPr>
              <w:rPr>
                <w:rFonts w:eastAsia="Times New Roman" w:cs="Times New Roman"/>
                <w:color w:val="000000"/>
                <w:sz w:val="22"/>
                <w:szCs w:val="22"/>
                <w:lang w:val="en-GB"/>
              </w:rPr>
            </w:pPr>
            <w:r w:rsidRPr="002E3FDD">
              <w:rPr>
                <w:rFonts w:eastAsia="Times New Roman" w:cs="Times New Roman"/>
                <w:color w:val="000000"/>
                <w:sz w:val="22"/>
                <w:szCs w:val="22"/>
                <w:lang w:val="en-GB"/>
              </w:rPr>
              <w:t>0.002</w:t>
            </w:r>
          </w:p>
        </w:tc>
      </w:tr>
      <w:tr w:rsidR="00D85EDA" w:rsidRPr="00927C23" w14:paraId="62749A2F" w14:textId="77777777" w:rsidTr="00D85EDA">
        <w:trPr>
          <w:trHeight w:val="69"/>
        </w:trPr>
        <w:tc>
          <w:tcPr>
            <w:tcW w:w="1116" w:type="pct"/>
            <w:shd w:val="clear" w:color="auto" w:fill="auto"/>
            <w:noWrap/>
            <w:vAlign w:val="center"/>
          </w:tcPr>
          <w:p w14:paraId="4F9CDD37"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Anxiety</w:t>
            </w:r>
          </w:p>
        </w:tc>
        <w:tc>
          <w:tcPr>
            <w:tcW w:w="1177" w:type="pct"/>
          </w:tcPr>
          <w:p w14:paraId="4FDF75B9"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4AB425E1"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8.1</w:t>
            </w:r>
          </w:p>
        </w:tc>
        <w:tc>
          <w:tcPr>
            <w:tcW w:w="765" w:type="pct"/>
            <w:shd w:val="clear" w:color="auto" w:fill="auto"/>
            <w:noWrap/>
            <w:vAlign w:val="center"/>
          </w:tcPr>
          <w:p w14:paraId="7C1E0340"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7.5</w:t>
            </w:r>
          </w:p>
        </w:tc>
        <w:tc>
          <w:tcPr>
            <w:tcW w:w="646" w:type="pct"/>
            <w:shd w:val="clear" w:color="auto" w:fill="auto"/>
            <w:noWrap/>
            <w:vAlign w:val="center"/>
          </w:tcPr>
          <w:p w14:paraId="266F9847"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13.6</w:t>
            </w:r>
          </w:p>
        </w:tc>
        <w:tc>
          <w:tcPr>
            <w:tcW w:w="413" w:type="pct"/>
          </w:tcPr>
          <w:p w14:paraId="2231902C"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0E6FDC65" w14:textId="77777777" w:rsidTr="00D85EDA">
        <w:trPr>
          <w:trHeight w:val="130"/>
        </w:trPr>
        <w:tc>
          <w:tcPr>
            <w:tcW w:w="1116" w:type="pct"/>
            <w:shd w:val="clear" w:color="auto" w:fill="auto"/>
            <w:noWrap/>
            <w:vAlign w:val="center"/>
          </w:tcPr>
          <w:p w14:paraId="2E4BF1BD"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Obesity</w:t>
            </w:r>
          </w:p>
        </w:tc>
        <w:tc>
          <w:tcPr>
            <w:tcW w:w="1177" w:type="pct"/>
          </w:tcPr>
          <w:p w14:paraId="3285B262" w14:textId="77777777" w:rsidR="00D85EDA" w:rsidRPr="00556742" w:rsidRDefault="00D85EDA" w:rsidP="005D3987">
            <w:pPr>
              <w:rPr>
                <w:rFonts w:eastAsia="Times New Roman" w:cs="Times New Roman"/>
                <w:color w:val="000000"/>
                <w:sz w:val="22"/>
                <w:szCs w:val="22"/>
                <w:lang w:val="en-GB"/>
              </w:rPr>
            </w:pPr>
            <w:r w:rsidRPr="00556742">
              <w:rPr>
                <w:rFonts w:eastAsia="Times New Roman" w:cs="Times New Roman"/>
                <w:color w:val="000000"/>
                <w:sz w:val="22"/>
                <w:szCs w:val="22"/>
                <w:lang w:val="en-GB"/>
              </w:rPr>
              <w:t>Yes</w:t>
            </w:r>
          </w:p>
        </w:tc>
        <w:tc>
          <w:tcPr>
            <w:tcW w:w="883" w:type="pct"/>
          </w:tcPr>
          <w:p w14:paraId="4E192175"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11.3</w:t>
            </w:r>
          </w:p>
        </w:tc>
        <w:tc>
          <w:tcPr>
            <w:tcW w:w="765" w:type="pct"/>
            <w:shd w:val="clear" w:color="auto" w:fill="auto"/>
            <w:noWrap/>
            <w:vAlign w:val="center"/>
          </w:tcPr>
          <w:p w14:paraId="352566C3"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10.5</w:t>
            </w:r>
          </w:p>
        </w:tc>
        <w:tc>
          <w:tcPr>
            <w:tcW w:w="646" w:type="pct"/>
            <w:shd w:val="clear" w:color="auto" w:fill="auto"/>
            <w:noWrap/>
            <w:vAlign w:val="center"/>
          </w:tcPr>
          <w:p w14:paraId="76E417D6"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17.9</w:t>
            </w:r>
          </w:p>
        </w:tc>
        <w:tc>
          <w:tcPr>
            <w:tcW w:w="413" w:type="pct"/>
          </w:tcPr>
          <w:p w14:paraId="27735425"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563430E8" w14:textId="77777777" w:rsidTr="00D85EDA">
        <w:trPr>
          <w:trHeight w:val="69"/>
        </w:trPr>
        <w:tc>
          <w:tcPr>
            <w:tcW w:w="1116" w:type="pct"/>
            <w:shd w:val="clear" w:color="auto" w:fill="auto"/>
            <w:noWrap/>
            <w:vAlign w:val="center"/>
          </w:tcPr>
          <w:p w14:paraId="7466D712" w14:textId="77777777" w:rsidR="00D85EDA" w:rsidRDefault="00D85EDA" w:rsidP="005D3987">
            <w:pPr>
              <w:rPr>
                <w:rFonts w:eastAsia="Times New Roman" w:cs="Times New Roman"/>
                <w:color w:val="000000"/>
                <w:sz w:val="22"/>
                <w:szCs w:val="22"/>
                <w:lang w:val="en-GB"/>
              </w:rPr>
            </w:pPr>
            <w:r>
              <w:rPr>
                <w:rFonts w:eastAsia="Times New Roman" w:cs="Times New Roman"/>
                <w:color w:val="000000"/>
                <w:sz w:val="22"/>
                <w:szCs w:val="22"/>
                <w:lang w:val="en-GB"/>
              </w:rPr>
              <w:t>Disability</w:t>
            </w:r>
          </w:p>
        </w:tc>
        <w:tc>
          <w:tcPr>
            <w:tcW w:w="1177" w:type="pct"/>
          </w:tcPr>
          <w:p w14:paraId="2855B936" w14:textId="77777777" w:rsidR="00D85EDA" w:rsidRDefault="00D85EDA" w:rsidP="005D3987">
            <w:pPr>
              <w:rPr>
                <w:rFonts w:eastAsia="Times New Roman" w:cs="Times New Roman"/>
                <w:color w:val="000000"/>
                <w:sz w:val="22"/>
                <w:szCs w:val="22"/>
                <w:highlight w:val="yellow"/>
                <w:lang w:val="en-GB"/>
              </w:rPr>
            </w:pPr>
            <w:r w:rsidRPr="00514FA2">
              <w:rPr>
                <w:rFonts w:eastAsia="Times New Roman" w:cs="Times New Roman"/>
                <w:color w:val="000000"/>
                <w:sz w:val="22"/>
                <w:szCs w:val="22"/>
                <w:lang w:val="en-GB"/>
              </w:rPr>
              <w:t>Yes</w:t>
            </w:r>
          </w:p>
        </w:tc>
        <w:tc>
          <w:tcPr>
            <w:tcW w:w="883" w:type="pct"/>
          </w:tcPr>
          <w:p w14:paraId="7BAF2734"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7.2</w:t>
            </w:r>
          </w:p>
        </w:tc>
        <w:tc>
          <w:tcPr>
            <w:tcW w:w="765" w:type="pct"/>
            <w:shd w:val="clear" w:color="auto" w:fill="auto"/>
            <w:noWrap/>
            <w:vAlign w:val="center"/>
          </w:tcPr>
          <w:p w14:paraId="097FE6E3"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5.8</w:t>
            </w:r>
          </w:p>
        </w:tc>
        <w:tc>
          <w:tcPr>
            <w:tcW w:w="646" w:type="pct"/>
            <w:shd w:val="clear" w:color="auto" w:fill="auto"/>
            <w:noWrap/>
            <w:vAlign w:val="center"/>
          </w:tcPr>
          <w:p w14:paraId="0AC942A6" w14:textId="77777777" w:rsidR="00D85EDA" w:rsidRPr="00BA6A95" w:rsidRDefault="00D85EDA" w:rsidP="005D3987">
            <w:pPr>
              <w:rPr>
                <w:rFonts w:eastAsia="Times New Roman" w:cs="Times New Roman"/>
                <w:color w:val="000000"/>
                <w:sz w:val="22"/>
                <w:szCs w:val="22"/>
                <w:lang w:val="en-GB"/>
              </w:rPr>
            </w:pPr>
            <w:r w:rsidRPr="00BA6A95">
              <w:rPr>
                <w:rFonts w:eastAsia="Times New Roman" w:cs="Times New Roman"/>
                <w:color w:val="000000"/>
                <w:sz w:val="22"/>
                <w:szCs w:val="22"/>
                <w:lang w:val="en-GB"/>
              </w:rPr>
              <w:t>18.1</w:t>
            </w:r>
          </w:p>
        </w:tc>
        <w:tc>
          <w:tcPr>
            <w:tcW w:w="413" w:type="pct"/>
          </w:tcPr>
          <w:p w14:paraId="660E85E9"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5789B832" w14:textId="77777777" w:rsidTr="00D85EDA">
        <w:trPr>
          <w:trHeight w:val="69"/>
        </w:trPr>
        <w:tc>
          <w:tcPr>
            <w:tcW w:w="1116" w:type="pct"/>
            <w:shd w:val="clear" w:color="auto" w:fill="auto"/>
            <w:noWrap/>
            <w:vAlign w:val="center"/>
          </w:tcPr>
          <w:p w14:paraId="2B451863" w14:textId="77777777" w:rsidR="00D85EDA" w:rsidRPr="00927C23" w:rsidRDefault="00D85EDA" w:rsidP="005D3987">
            <w:pPr>
              <w:rPr>
                <w:rFonts w:eastAsia="Times New Roman" w:cs="Times New Roman"/>
                <w:color w:val="000000"/>
                <w:sz w:val="22"/>
                <w:szCs w:val="22"/>
                <w:lang w:val="en-GB"/>
              </w:rPr>
            </w:pPr>
            <w:proofErr w:type="spellStart"/>
            <w:r w:rsidRPr="00C00BE7">
              <w:rPr>
                <w:rFonts w:eastAsia="Times New Roman" w:cs="Times New Roman"/>
                <w:color w:val="000000"/>
                <w:sz w:val="22"/>
                <w:szCs w:val="22"/>
                <w:lang w:val="en-GB"/>
              </w:rPr>
              <w:t>Mobility</w:t>
            </w:r>
            <w:r w:rsidRPr="006B55F9">
              <w:rPr>
                <w:rFonts w:eastAsia="Times New Roman" w:cs="Times New Roman"/>
                <w:color w:val="000000"/>
                <w:sz w:val="22"/>
                <w:szCs w:val="22"/>
                <w:vertAlign w:val="superscript"/>
                <w:lang w:val="en-GB"/>
              </w:rPr>
              <w:t>b</w:t>
            </w:r>
            <w:proofErr w:type="spellEnd"/>
          </w:p>
        </w:tc>
        <w:tc>
          <w:tcPr>
            <w:tcW w:w="1177" w:type="pct"/>
          </w:tcPr>
          <w:p w14:paraId="14C55B38" w14:textId="77777777" w:rsidR="00D85EDA" w:rsidRPr="00927C23" w:rsidRDefault="00D85EDA" w:rsidP="005D3987">
            <w:pPr>
              <w:rPr>
                <w:rFonts w:eastAsia="Times New Roman" w:cs="Times New Roman"/>
                <w:color w:val="000000"/>
                <w:sz w:val="22"/>
                <w:szCs w:val="22"/>
                <w:lang w:val="en-GB"/>
              </w:rPr>
            </w:pPr>
          </w:p>
        </w:tc>
        <w:tc>
          <w:tcPr>
            <w:tcW w:w="883" w:type="pct"/>
          </w:tcPr>
          <w:p w14:paraId="7249313B" w14:textId="77777777" w:rsidR="00D85EDA" w:rsidRPr="007E58A0" w:rsidRDefault="00D85EDA" w:rsidP="005D3987">
            <w:pPr>
              <w:rPr>
                <w:rFonts w:eastAsia="Times New Roman" w:cs="Times New Roman"/>
                <w:color w:val="000000"/>
                <w:sz w:val="22"/>
                <w:szCs w:val="22"/>
                <w:highlight w:val="yellow"/>
                <w:lang w:val="en-GB"/>
              </w:rPr>
            </w:pPr>
            <w:r w:rsidRPr="004C4D60">
              <w:rPr>
                <w:rFonts w:eastAsia="Times New Roman" w:cs="Times New Roman"/>
                <w:color w:val="000000"/>
                <w:sz w:val="22"/>
                <w:szCs w:val="22"/>
                <w:lang w:val="en-GB"/>
              </w:rPr>
              <w:t>3.3 (4.7)</w:t>
            </w:r>
          </w:p>
        </w:tc>
        <w:tc>
          <w:tcPr>
            <w:tcW w:w="765" w:type="pct"/>
            <w:shd w:val="clear" w:color="auto" w:fill="auto"/>
            <w:noWrap/>
            <w:vAlign w:val="center"/>
          </w:tcPr>
          <w:p w14:paraId="7CF2A5FB"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3.1 (4.6)</w:t>
            </w:r>
          </w:p>
        </w:tc>
        <w:tc>
          <w:tcPr>
            <w:tcW w:w="646" w:type="pct"/>
            <w:shd w:val="clear" w:color="auto" w:fill="auto"/>
            <w:noWrap/>
            <w:vAlign w:val="center"/>
          </w:tcPr>
          <w:p w14:paraId="03D690A3"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4.8 (4.5)</w:t>
            </w:r>
          </w:p>
        </w:tc>
        <w:tc>
          <w:tcPr>
            <w:tcW w:w="413" w:type="pct"/>
          </w:tcPr>
          <w:p w14:paraId="597779D5"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320F5EF3" w14:textId="77777777" w:rsidTr="00D85EDA">
        <w:trPr>
          <w:trHeight w:val="72"/>
        </w:trPr>
        <w:tc>
          <w:tcPr>
            <w:tcW w:w="1116" w:type="pct"/>
            <w:shd w:val="clear" w:color="auto" w:fill="auto"/>
            <w:noWrap/>
            <w:vAlign w:val="center"/>
          </w:tcPr>
          <w:p w14:paraId="596C2B82" w14:textId="77777777" w:rsidR="00D85EDA" w:rsidRPr="00927C23" w:rsidRDefault="00D85EDA" w:rsidP="005D3987">
            <w:pPr>
              <w:rPr>
                <w:rFonts w:eastAsia="Times New Roman" w:cs="Times New Roman"/>
                <w:color w:val="000000"/>
                <w:sz w:val="22"/>
                <w:szCs w:val="22"/>
                <w:lang w:val="en-GB"/>
              </w:rPr>
            </w:pPr>
            <w:r w:rsidRPr="00C00BE7">
              <w:rPr>
                <w:rFonts w:eastAsia="Times New Roman" w:cs="Times New Roman"/>
                <w:color w:val="000000"/>
                <w:sz w:val="22"/>
                <w:szCs w:val="22"/>
                <w:lang w:val="en-GB"/>
              </w:rPr>
              <w:t xml:space="preserve">Pain and </w:t>
            </w:r>
            <w:proofErr w:type="spellStart"/>
            <w:r w:rsidRPr="00C00BE7">
              <w:rPr>
                <w:rFonts w:eastAsia="Times New Roman" w:cs="Times New Roman"/>
                <w:color w:val="000000"/>
                <w:sz w:val="22"/>
                <w:szCs w:val="22"/>
                <w:lang w:val="en-GB"/>
              </w:rPr>
              <w:t>discomfort</w:t>
            </w:r>
            <w:r w:rsidRPr="006B55F9">
              <w:rPr>
                <w:rFonts w:eastAsia="Times New Roman" w:cs="Times New Roman"/>
                <w:color w:val="000000"/>
                <w:sz w:val="22"/>
                <w:szCs w:val="22"/>
                <w:vertAlign w:val="superscript"/>
                <w:lang w:val="en-GB"/>
              </w:rPr>
              <w:t>b</w:t>
            </w:r>
            <w:proofErr w:type="spellEnd"/>
          </w:p>
        </w:tc>
        <w:tc>
          <w:tcPr>
            <w:tcW w:w="1177" w:type="pct"/>
          </w:tcPr>
          <w:p w14:paraId="25CDEFCC" w14:textId="77777777" w:rsidR="00D85EDA" w:rsidRPr="00927C23" w:rsidRDefault="00D85EDA" w:rsidP="005D3987">
            <w:pPr>
              <w:rPr>
                <w:rFonts w:eastAsia="Times New Roman" w:cs="Times New Roman"/>
                <w:color w:val="000000"/>
                <w:sz w:val="22"/>
                <w:szCs w:val="22"/>
                <w:lang w:val="en-GB"/>
              </w:rPr>
            </w:pPr>
          </w:p>
        </w:tc>
        <w:tc>
          <w:tcPr>
            <w:tcW w:w="883" w:type="pct"/>
          </w:tcPr>
          <w:p w14:paraId="68752938" w14:textId="77777777" w:rsidR="00D85EDA" w:rsidRPr="007E58A0" w:rsidRDefault="00D85EDA" w:rsidP="005D3987">
            <w:pPr>
              <w:rPr>
                <w:rFonts w:eastAsia="Times New Roman" w:cs="Times New Roman"/>
                <w:color w:val="000000"/>
                <w:sz w:val="22"/>
                <w:szCs w:val="22"/>
                <w:highlight w:val="yellow"/>
                <w:lang w:val="en-GB"/>
              </w:rPr>
            </w:pPr>
            <w:r w:rsidRPr="00CA7B96">
              <w:rPr>
                <w:rFonts w:eastAsia="Times New Roman" w:cs="Times New Roman"/>
                <w:color w:val="000000"/>
                <w:sz w:val="22"/>
                <w:szCs w:val="22"/>
                <w:lang w:val="en-GB"/>
              </w:rPr>
              <w:t>3.0 (4.5)</w:t>
            </w:r>
          </w:p>
        </w:tc>
        <w:tc>
          <w:tcPr>
            <w:tcW w:w="765" w:type="pct"/>
            <w:shd w:val="clear" w:color="auto" w:fill="auto"/>
            <w:noWrap/>
            <w:vAlign w:val="center"/>
          </w:tcPr>
          <w:p w14:paraId="71BB2773"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2.9 (4.5)</w:t>
            </w:r>
          </w:p>
        </w:tc>
        <w:tc>
          <w:tcPr>
            <w:tcW w:w="646" w:type="pct"/>
            <w:shd w:val="clear" w:color="auto" w:fill="auto"/>
            <w:noWrap/>
            <w:vAlign w:val="center"/>
          </w:tcPr>
          <w:p w14:paraId="33E56C60"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4.0 (4.2)</w:t>
            </w:r>
          </w:p>
        </w:tc>
        <w:tc>
          <w:tcPr>
            <w:tcW w:w="413" w:type="pct"/>
          </w:tcPr>
          <w:p w14:paraId="037B739F"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510AE10B" w14:textId="77777777" w:rsidTr="00D85EDA">
        <w:trPr>
          <w:trHeight w:val="300"/>
        </w:trPr>
        <w:tc>
          <w:tcPr>
            <w:tcW w:w="1116" w:type="pct"/>
            <w:shd w:val="clear" w:color="auto" w:fill="auto"/>
            <w:noWrap/>
            <w:vAlign w:val="center"/>
          </w:tcPr>
          <w:p w14:paraId="12BA4EFF" w14:textId="77777777" w:rsidR="00D85EDA" w:rsidRPr="00927C23" w:rsidRDefault="00D85EDA" w:rsidP="005D3987">
            <w:pPr>
              <w:rPr>
                <w:rFonts w:eastAsia="Times New Roman" w:cs="Times New Roman"/>
                <w:color w:val="000000"/>
                <w:sz w:val="22"/>
                <w:szCs w:val="22"/>
                <w:lang w:val="en-GB"/>
              </w:rPr>
            </w:pPr>
            <w:r w:rsidRPr="00C00BE7">
              <w:rPr>
                <w:rFonts w:eastAsia="Times New Roman" w:cs="Times New Roman"/>
                <w:color w:val="000000"/>
                <w:sz w:val="22"/>
                <w:szCs w:val="22"/>
                <w:lang w:val="en-GB"/>
              </w:rPr>
              <w:t xml:space="preserve">Sleep and </w:t>
            </w:r>
            <w:proofErr w:type="spellStart"/>
            <w:r w:rsidRPr="00C00BE7">
              <w:rPr>
                <w:rFonts w:eastAsia="Times New Roman" w:cs="Times New Roman"/>
                <w:color w:val="000000"/>
                <w:sz w:val="22"/>
                <w:szCs w:val="22"/>
                <w:lang w:val="en-GB"/>
              </w:rPr>
              <w:t>energy</w:t>
            </w:r>
            <w:r w:rsidRPr="006B55F9">
              <w:rPr>
                <w:rFonts w:eastAsia="Times New Roman" w:cs="Times New Roman"/>
                <w:color w:val="000000"/>
                <w:sz w:val="22"/>
                <w:szCs w:val="22"/>
                <w:vertAlign w:val="superscript"/>
                <w:lang w:val="en-GB"/>
              </w:rPr>
              <w:t>b</w:t>
            </w:r>
            <w:proofErr w:type="spellEnd"/>
          </w:p>
        </w:tc>
        <w:tc>
          <w:tcPr>
            <w:tcW w:w="1177" w:type="pct"/>
          </w:tcPr>
          <w:p w14:paraId="10754164" w14:textId="77777777" w:rsidR="00D85EDA" w:rsidRPr="00927C23" w:rsidRDefault="00D85EDA" w:rsidP="005D3987">
            <w:pPr>
              <w:rPr>
                <w:rFonts w:eastAsia="Times New Roman" w:cs="Times New Roman"/>
                <w:color w:val="000000"/>
                <w:sz w:val="22"/>
                <w:szCs w:val="22"/>
                <w:lang w:val="en-GB"/>
              </w:rPr>
            </w:pPr>
          </w:p>
        </w:tc>
        <w:tc>
          <w:tcPr>
            <w:tcW w:w="883" w:type="pct"/>
          </w:tcPr>
          <w:p w14:paraId="7D5A4801" w14:textId="77777777" w:rsidR="00D85EDA" w:rsidRPr="00520611" w:rsidRDefault="00D85EDA" w:rsidP="005D3987">
            <w:pPr>
              <w:rPr>
                <w:rFonts w:eastAsia="Times New Roman" w:cs="Times New Roman"/>
                <w:color w:val="000000"/>
                <w:sz w:val="22"/>
                <w:szCs w:val="22"/>
                <w:lang w:val="en-GB"/>
              </w:rPr>
            </w:pPr>
            <w:r w:rsidRPr="00520611">
              <w:rPr>
                <w:rFonts w:eastAsia="Times New Roman" w:cs="Times New Roman"/>
                <w:color w:val="000000"/>
                <w:sz w:val="22"/>
                <w:szCs w:val="22"/>
                <w:lang w:val="en-GB"/>
              </w:rPr>
              <w:t>2.7 (4.5)</w:t>
            </w:r>
          </w:p>
        </w:tc>
        <w:tc>
          <w:tcPr>
            <w:tcW w:w="765" w:type="pct"/>
            <w:shd w:val="clear" w:color="auto" w:fill="auto"/>
            <w:noWrap/>
            <w:vAlign w:val="center"/>
          </w:tcPr>
          <w:p w14:paraId="0B8954CA"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2.6 (4.5)</w:t>
            </w:r>
          </w:p>
        </w:tc>
        <w:tc>
          <w:tcPr>
            <w:tcW w:w="646" w:type="pct"/>
            <w:shd w:val="clear" w:color="auto" w:fill="auto"/>
            <w:noWrap/>
            <w:vAlign w:val="center"/>
          </w:tcPr>
          <w:p w14:paraId="2E8677C4"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3.7 (4.4)</w:t>
            </w:r>
          </w:p>
        </w:tc>
        <w:tc>
          <w:tcPr>
            <w:tcW w:w="413" w:type="pct"/>
          </w:tcPr>
          <w:p w14:paraId="77AD5E63"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33153BDF" w14:textId="77777777" w:rsidTr="00D85EDA">
        <w:trPr>
          <w:trHeight w:val="69"/>
        </w:trPr>
        <w:tc>
          <w:tcPr>
            <w:tcW w:w="1116" w:type="pct"/>
            <w:shd w:val="clear" w:color="auto" w:fill="auto"/>
            <w:noWrap/>
            <w:vAlign w:val="center"/>
          </w:tcPr>
          <w:p w14:paraId="29683E2F" w14:textId="77777777" w:rsidR="00D85EDA" w:rsidRPr="00927C23" w:rsidRDefault="00D85EDA" w:rsidP="005D3987">
            <w:pPr>
              <w:rPr>
                <w:rFonts w:eastAsia="Times New Roman" w:cs="Times New Roman"/>
                <w:color w:val="000000"/>
                <w:sz w:val="22"/>
                <w:szCs w:val="22"/>
                <w:lang w:val="en-GB"/>
              </w:rPr>
            </w:pPr>
            <w:proofErr w:type="spellStart"/>
            <w:r w:rsidRPr="00C00BE7">
              <w:rPr>
                <w:rFonts w:eastAsia="Times New Roman" w:cs="Times New Roman"/>
                <w:color w:val="000000"/>
                <w:sz w:val="22"/>
                <w:szCs w:val="22"/>
                <w:lang w:val="en-GB"/>
              </w:rPr>
              <w:t>Cognition</w:t>
            </w:r>
            <w:r w:rsidRPr="006B55F9">
              <w:rPr>
                <w:rFonts w:eastAsia="Times New Roman" w:cs="Times New Roman"/>
                <w:color w:val="000000"/>
                <w:sz w:val="22"/>
                <w:szCs w:val="22"/>
                <w:vertAlign w:val="superscript"/>
                <w:lang w:val="en-GB"/>
              </w:rPr>
              <w:t>b</w:t>
            </w:r>
            <w:proofErr w:type="spellEnd"/>
          </w:p>
        </w:tc>
        <w:tc>
          <w:tcPr>
            <w:tcW w:w="1177" w:type="pct"/>
          </w:tcPr>
          <w:p w14:paraId="1F266D17" w14:textId="77777777" w:rsidR="00D85EDA" w:rsidRPr="00927C23" w:rsidRDefault="00D85EDA" w:rsidP="005D3987">
            <w:pPr>
              <w:rPr>
                <w:rFonts w:eastAsia="Times New Roman" w:cs="Times New Roman"/>
                <w:color w:val="000000"/>
                <w:sz w:val="22"/>
                <w:szCs w:val="22"/>
                <w:lang w:val="en-GB"/>
              </w:rPr>
            </w:pPr>
          </w:p>
        </w:tc>
        <w:tc>
          <w:tcPr>
            <w:tcW w:w="883" w:type="pct"/>
          </w:tcPr>
          <w:p w14:paraId="2033C0EE" w14:textId="77777777" w:rsidR="00D85EDA" w:rsidRPr="00520611" w:rsidRDefault="00D85EDA" w:rsidP="005D3987">
            <w:pPr>
              <w:rPr>
                <w:rFonts w:eastAsia="Times New Roman" w:cs="Times New Roman"/>
                <w:color w:val="000000"/>
                <w:sz w:val="22"/>
                <w:szCs w:val="22"/>
                <w:lang w:val="en-GB"/>
              </w:rPr>
            </w:pPr>
            <w:r w:rsidRPr="00520611">
              <w:rPr>
                <w:rFonts w:eastAsia="Times New Roman" w:cs="Times New Roman"/>
                <w:color w:val="000000"/>
                <w:sz w:val="22"/>
                <w:szCs w:val="22"/>
                <w:lang w:val="en-GB"/>
              </w:rPr>
              <w:t>3.1 (4.6)</w:t>
            </w:r>
          </w:p>
        </w:tc>
        <w:tc>
          <w:tcPr>
            <w:tcW w:w="765" w:type="pct"/>
            <w:shd w:val="clear" w:color="auto" w:fill="auto"/>
            <w:noWrap/>
            <w:vAlign w:val="center"/>
          </w:tcPr>
          <w:p w14:paraId="7C7D3F6D"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2.9 (4.6)</w:t>
            </w:r>
          </w:p>
        </w:tc>
        <w:tc>
          <w:tcPr>
            <w:tcW w:w="646" w:type="pct"/>
            <w:shd w:val="clear" w:color="auto" w:fill="auto"/>
            <w:noWrap/>
            <w:vAlign w:val="center"/>
          </w:tcPr>
          <w:p w14:paraId="6BF7380C" w14:textId="77777777" w:rsidR="00D85EDA" w:rsidRPr="00F166BE" w:rsidRDefault="00D85EDA" w:rsidP="005D3987">
            <w:pPr>
              <w:rPr>
                <w:rFonts w:eastAsia="Times New Roman" w:cs="Times New Roman"/>
                <w:color w:val="000000"/>
                <w:sz w:val="22"/>
                <w:szCs w:val="22"/>
                <w:lang w:val="en-GB"/>
              </w:rPr>
            </w:pPr>
            <w:r w:rsidRPr="00F166BE">
              <w:rPr>
                <w:rFonts w:eastAsia="Times New Roman" w:cs="Times New Roman"/>
                <w:color w:val="000000"/>
                <w:sz w:val="22"/>
                <w:szCs w:val="22"/>
                <w:lang w:val="en-GB"/>
              </w:rPr>
              <w:t>4.1 (4.4)</w:t>
            </w:r>
          </w:p>
        </w:tc>
        <w:tc>
          <w:tcPr>
            <w:tcW w:w="413" w:type="pct"/>
          </w:tcPr>
          <w:p w14:paraId="062E2384" w14:textId="77777777" w:rsidR="00D85EDA" w:rsidRPr="007E58A0" w:rsidRDefault="00D85EDA"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D85EDA" w:rsidRPr="00927C23" w14:paraId="4816B2F7" w14:textId="77777777" w:rsidTr="009D7F29">
        <w:trPr>
          <w:trHeight w:val="69"/>
        </w:trPr>
        <w:tc>
          <w:tcPr>
            <w:tcW w:w="1116" w:type="pct"/>
            <w:shd w:val="clear" w:color="auto" w:fill="auto"/>
            <w:noWrap/>
            <w:vAlign w:val="center"/>
          </w:tcPr>
          <w:p w14:paraId="12D3D069" w14:textId="2B9F3C1E" w:rsidR="00D85EDA" w:rsidRPr="00D85EDA" w:rsidRDefault="009D7F29" w:rsidP="005D3987">
            <w:pPr>
              <w:rPr>
                <w:rFonts w:eastAsia="Times New Roman" w:cs="Times New Roman"/>
                <w:color w:val="000000"/>
                <w:sz w:val="22"/>
                <w:szCs w:val="22"/>
                <w:highlight w:val="yellow"/>
                <w:lang w:val="en-GB"/>
              </w:rPr>
            </w:pPr>
            <w:r w:rsidRPr="009D7F29">
              <w:rPr>
                <w:rFonts w:eastAsia="Times New Roman" w:cs="Times New Roman"/>
                <w:color w:val="000000"/>
                <w:sz w:val="22"/>
                <w:szCs w:val="22"/>
                <w:lang w:val="en-GB"/>
              </w:rPr>
              <w:t>Physical activity</w:t>
            </w:r>
          </w:p>
        </w:tc>
        <w:tc>
          <w:tcPr>
            <w:tcW w:w="1177" w:type="pct"/>
          </w:tcPr>
          <w:p w14:paraId="62EF10A1" w14:textId="4201F75F" w:rsidR="00D85EDA"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Low</w:t>
            </w:r>
          </w:p>
        </w:tc>
        <w:tc>
          <w:tcPr>
            <w:tcW w:w="883" w:type="pct"/>
          </w:tcPr>
          <w:p w14:paraId="085DCB15" w14:textId="37CD2928" w:rsidR="00D85EDA"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28.1</w:t>
            </w:r>
          </w:p>
        </w:tc>
        <w:tc>
          <w:tcPr>
            <w:tcW w:w="765" w:type="pct"/>
            <w:shd w:val="clear" w:color="auto" w:fill="auto"/>
            <w:noWrap/>
            <w:vAlign w:val="center"/>
          </w:tcPr>
          <w:p w14:paraId="114488E6" w14:textId="6B9D1CD2" w:rsidR="00D85EDA"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25.9</w:t>
            </w:r>
          </w:p>
        </w:tc>
        <w:tc>
          <w:tcPr>
            <w:tcW w:w="646" w:type="pct"/>
            <w:shd w:val="clear" w:color="auto" w:fill="auto"/>
            <w:noWrap/>
            <w:vAlign w:val="center"/>
          </w:tcPr>
          <w:p w14:paraId="0D448FBD" w14:textId="783E7AA4" w:rsidR="00D85EDA"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45.5</w:t>
            </w:r>
          </w:p>
        </w:tc>
        <w:tc>
          <w:tcPr>
            <w:tcW w:w="413" w:type="pct"/>
          </w:tcPr>
          <w:p w14:paraId="1A4AF145" w14:textId="77777777" w:rsidR="00D85EDA" w:rsidRPr="00D85EDA" w:rsidRDefault="00D85EDA" w:rsidP="005D3987">
            <w:pPr>
              <w:rPr>
                <w:rFonts w:eastAsia="Times New Roman" w:cs="Times New Roman"/>
                <w:color w:val="000000"/>
                <w:sz w:val="22"/>
                <w:szCs w:val="22"/>
                <w:highlight w:val="yellow"/>
                <w:lang w:val="en-GB"/>
              </w:rPr>
            </w:pPr>
          </w:p>
        </w:tc>
      </w:tr>
      <w:tr w:rsidR="009D7F29" w:rsidRPr="00927C23" w14:paraId="5DB32649" w14:textId="77777777" w:rsidTr="00A41C7A">
        <w:trPr>
          <w:trHeight w:val="69"/>
        </w:trPr>
        <w:tc>
          <w:tcPr>
            <w:tcW w:w="1116" w:type="pct"/>
            <w:shd w:val="clear" w:color="auto" w:fill="auto"/>
            <w:noWrap/>
            <w:vAlign w:val="center"/>
          </w:tcPr>
          <w:p w14:paraId="7B006CB9" w14:textId="77777777" w:rsidR="009D7F29" w:rsidRPr="009D7F29" w:rsidRDefault="009D7F29" w:rsidP="005D3987">
            <w:pPr>
              <w:rPr>
                <w:rFonts w:eastAsia="Times New Roman" w:cs="Times New Roman"/>
                <w:color w:val="000000"/>
                <w:sz w:val="22"/>
                <w:szCs w:val="22"/>
                <w:lang w:val="en-GB"/>
              </w:rPr>
            </w:pPr>
          </w:p>
        </w:tc>
        <w:tc>
          <w:tcPr>
            <w:tcW w:w="1177" w:type="pct"/>
          </w:tcPr>
          <w:p w14:paraId="5A57E5C0" w14:textId="109E8D56"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Moderate</w:t>
            </w:r>
          </w:p>
        </w:tc>
        <w:tc>
          <w:tcPr>
            <w:tcW w:w="883" w:type="pct"/>
          </w:tcPr>
          <w:p w14:paraId="7915C9FE" w14:textId="545D2261"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22.8</w:t>
            </w:r>
          </w:p>
        </w:tc>
        <w:tc>
          <w:tcPr>
            <w:tcW w:w="765" w:type="pct"/>
            <w:shd w:val="clear" w:color="auto" w:fill="auto"/>
            <w:noWrap/>
            <w:vAlign w:val="center"/>
          </w:tcPr>
          <w:p w14:paraId="53F30DE8" w14:textId="0E4E5BFC"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23.2</w:t>
            </w:r>
          </w:p>
        </w:tc>
        <w:tc>
          <w:tcPr>
            <w:tcW w:w="646" w:type="pct"/>
            <w:shd w:val="clear" w:color="auto" w:fill="auto"/>
            <w:noWrap/>
            <w:vAlign w:val="center"/>
          </w:tcPr>
          <w:p w14:paraId="2E696835" w14:textId="3ED28634"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19.4</w:t>
            </w:r>
          </w:p>
        </w:tc>
        <w:tc>
          <w:tcPr>
            <w:tcW w:w="413" w:type="pct"/>
          </w:tcPr>
          <w:p w14:paraId="1CCF7473" w14:textId="2D3BFA9F" w:rsidR="009D7F29" w:rsidRPr="00D85EDA" w:rsidRDefault="009D7F29" w:rsidP="005D3987">
            <w:pPr>
              <w:rPr>
                <w:rFonts w:eastAsia="Times New Roman" w:cs="Times New Roman"/>
                <w:color w:val="000000"/>
                <w:sz w:val="22"/>
                <w:szCs w:val="22"/>
                <w:highlight w:val="yellow"/>
                <w:lang w:val="en-GB"/>
              </w:rPr>
            </w:pPr>
            <w:r w:rsidRPr="00EC3E75">
              <w:rPr>
                <w:rFonts w:eastAsia="Times New Roman" w:cs="Times New Roman"/>
                <w:color w:val="000000"/>
                <w:sz w:val="22"/>
                <w:szCs w:val="22"/>
                <w:lang w:val="en-GB"/>
              </w:rPr>
              <w:t>&lt;0.001</w:t>
            </w:r>
          </w:p>
        </w:tc>
      </w:tr>
      <w:tr w:rsidR="009D7F29" w:rsidRPr="00927C23" w14:paraId="53D7E707" w14:textId="77777777" w:rsidTr="00A41C7A">
        <w:trPr>
          <w:trHeight w:val="69"/>
        </w:trPr>
        <w:tc>
          <w:tcPr>
            <w:tcW w:w="1116" w:type="pct"/>
            <w:tcBorders>
              <w:bottom w:val="single" w:sz="4" w:space="0" w:color="auto"/>
            </w:tcBorders>
            <w:shd w:val="clear" w:color="auto" w:fill="auto"/>
            <w:noWrap/>
            <w:vAlign w:val="center"/>
          </w:tcPr>
          <w:p w14:paraId="7AEC43ED" w14:textId="77777777" w:rsidR="009D7F29" w:rsidRPr="009D7F29" w:rsidRDefault="009D7F29" w:rsidP="005D3987">
            <w:pPr>
              <w:rPr>
                <w:rFonts w:eastAsia="Times New Roman" w:cs="Times New Roman"/>
                <w:color w:val="000000"/>
                <w:sz w:val="22"/>
                <w:szCs w:val="22"/>
                <w:lang w:val="en-GB"/>
              </w:rPr>
            </w:pPr>
          </w:p>
        </w:tc>
        <w:tc>
          <w:tcPr>
            <w:tcW w:w="1177" w:type="pct"/>
            <w:tcBorders>
              <w:bottom w:val="single" w:sz="4" w:space="0" w:color="auto"/>
            </w:tcBorders>
          </w:tcPr>
          <w:p w14:paraId="54F6E81D" w14:textId="6C778229"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High</w:t>
            </w:r>
          </w:p>
        </w:tc>
        <w:tc>
          <w:tcPr>
            <w:tcW w:w="883" w:type="pct"/>
            <w:tcBorders>
              <w:bottom w:val="single" w:sz="4" w:space="0" w:color="auto"/>
            </w:tcBorders>
          </w:tcPr>
          <w:p w14:paraId="1F3374AF" w14:textId="365027D0"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49.2</w:t>
            </w:r>
          </w:p>
        </w:tc>
        <w:tc>
          <w:tcPr>
            <w:tcW w:w="765" w:type="pct"/>
            <w:tcBorders>
              <w:bottom w:val="single" w:sz="4" w:space="0" w:color="auto"/>
            </w:tcBorders>
            <w:shd w:val="clear" w:color="auto" w:fill="auto"/>
            <w:noWrap/>
            <w:vAlign w:val="center"/>
          </w:tcPr>
          <w:p w14:paraId="14101061" w14:textId="32480FCD"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50.9</w:t>
            </w:r>
          </w:p>
        </w:tc>
        <w:tc>
          <w:tcPr>
            <w:tcW w:w="646" w:type="pct"/>
            <w:tcBorders>
              <w:bottom w:val="single" w:sz="4" w:space="0" w:color="auto"/>
            </w:tcBorders>
            <w:shd w:val="clear" w:color="auto" w:fill="auto"/>
            <w:noWrap/>
            <w:vAlign w:val="center"/>
          </w:tcPr>
          <w:p w14:paraId="4751128F" w14:textId="77D4DCF4" w:rsidR="009D7F29" w:rsidRPr="009D7F29" w:rsidRDefault="009D7F29" w:rsidP="005D3987">
            <w:pPr>
              <w:rPr>
                <w:rFonts w:eastAsia="Times New Roman" w:cs="Times New Roman"/>
                <w:color w:val="000000"/>
                <w:sz w:val="22"/>
                <w:szCs w:val="22"/>
                <w:lang w:val="en-GB"/>
              </w:rPr>
            </w:pPr>
            <w:r w:rsidRPr="009D7F29">
              <w:rPr>
                <w:rFonts w:eastAsia="Times New Roman" w:cs="Times New Roman"/>
                <w:color w:val="000000"/>
                <w:sz w:val="22"/>
                <w:szCs w:val="22"/>
                <w:lang w:val="en-GB"/>
              </w:rPr>
              <w:t>35.2</w:t>
            </w:r>
          </w:p>
        </w:tc>
        <w:tc>
          <w:tcPr>
            <w:tcW w:w="413" w:type="pct"/>
            <w:tcBorders>
              <w:bottom w:val="single" w:sz="4" w:space="0" w:color="auto"/>
            </w:tcBorders>
          </w:tcPr>
          <w:p w14:paraId="0C41D012" w14:textId="77777777" w:rsidR="009D7F29" w:rsidRPr="00D85EDA" w:rsidRDefault="009D7F29" w:rsidP="005D3987">
            <w:pPr>
              <w:rPr>
                <w:rFonts w:eastAsia="Times New Roman" w:cs="Times New Roman"/>
                <w:color w:val="000000"/>
                <w:sz w:val="22"/>
                <w:szCs w:val="22"/>
                <w:highlight w:val="yellow"/>
                <w:lang w:val="en-GB"/>
              </w:rPr>
            </w:pPr>
          </w:p>
        </w:tc>
      </w:tr>
    </w:tbl>
    <w:p w14:paraId="50A6A756" w14:textId="62E6AC79" w:rsidR="00D85EDA" w:rsidRDefault="00D85EDA" w:rsidP="005D3987">
      <w:pPr>
        <w:rPr>
          <w:rFonts w:cs="Times New Roman"/>
          <w:sz w:val="20"/>
          <w:szCs w:val="20"/>
        </w:rPr>
      </w:pPr>
      <w:r w:rsidRPr="00170648">
        <w:rPr>
          <w:rFonts w:cs="Times New Roman"/>
          <w:sz w:val="20"/>
          <w:szCs w:val="20"/>
        </w:rPr>
        <w:t xml:space="preserve">Data are </w:t>
      </w:r>
      <w:r w:rsidR="009F1F67">
        <w:rPr>
          <w:rFonts w:cs="Times New Roman"/>
          <w:sz w:val="20"/>
          <w:szCs w:val="20"/>
        </w:rPr>
        <w:t>percentage unless otherwise stated.</w:t>
      </w:r>
    </w:p>
    <w:p w14:paraId="246E7977" w14:textId="211819B4" w:rsidR="00D85EDA" w:rsidRPr="00F8091C" w:rsidRDefault="00D85EDA" w:rsidP="005D3987">
      <w:pPr>
        <w:rPr>
          <w:rFonts w:cs="Times New Roman"/>
          <w:sz w:val="20"/>
          <w:szCs w:val="20"/>
        </w:rPr>
      </w:pPr>
      <w:r>
        <w:rPr>
          <w:rFonts w:cs="Times New Roman"/>
          <w:sz w:val="20"/>
          <w:szCs w:val="20"/>
        </w:rPr>
        <w:t xml:space="preserve">Abbreviation: </w:t>
      </w:r>
      <w:r w:rsidR="002D2F45">
        <w:rPr>
          <w:rFonts w:cs="Times New Roman"/>
          <w:sz w:val="20"/>
          <w:szCs w:val="20"/>
        </w:rPr>
        <w:t xml:space="preserve">SD Standard deviation; </w:t>
      </w:r>
      <w:r>
        <w:rPr>
          <w:rFonts w:cs="Times New Roman"/>
          <w:sz w:val="20"/>
          <w:szCs w:val="20"/>
        </w:rPr>
        <w:t>SB sedentary behavior</w:t>
      </w:r>
    </w:p>
    <w:p w14:paraId="3D36A14C" w14:textId="77777777" w:rsidR="00D85EDA" w:rsidRDefault="00D85EDA" w:rsidP="005D3987">
      <w:pPr>
        <w:rPr>
          <w:rFonts w:cs="Times New Roman"/>
          <w:sz w:val="20"/>
          <w:szCs w:val="20"/>
        </w:rPr>
      </w:pPr>
      <w:proofErr w:type="spellStart"/>
      <w:r w:rsidRPr="006B55F9">
        <w:rPr>
          <w:rFonts w:cs="Times New Roman"/>
          <w:sz w:val="20"/>
          <w:szCs w:val="20"/>
          <w:vertAlign w:val="superscript"/>
        </w:rPr>
        <w:t>a</w:t>
      </w:r>
      <w:proofErr w:type="spellEnd"/>
      <w:r>
        <w:rPr>
          <w:rFonts w:cs="Times New Roman"/>
          <w:sz w:val="20"/>
          <w:szCs w:val="20"/>
          <w:vertAlign w:val="superscript"/>
        </w:rPr>
        <w:t xml:space="preserve"> </w:t>
      </w:r>
      <w:proofErr w:type="gramStart"/>
      <w:r>
        <w:rPr>
          <w:rFonts w:cs="Times New Roman"/>
          <w:sz w:val="20"/>
          <w:szCs w:val="20"/>
        </w:rPr>
        <w:t>The</w:t>
      </w:r>
      <w:proofErr w:type="gramEnd"/>
      <w:r>
        <w:rPr>
          <w:rFonts w:cs="Times New Roman"/>
          <w:sz w:val="20"/>
          <w:szCs w:val="20"/>
        </w:rPr>
        <w:t xml:space="preserve"> social cohesion index ranged from 0-100 with higher scores representing higher levels of social cohesion.</w:t>
      </w:r>
    </w:p>
    <w:p w14:paraId="73D6BCFE" w14:textId="0B539E8F" w:rsidR="00D85EDA" w:rsidRDefault="00D85EDA" w:rsidP="005D3987">
      <w:pPr>
        <w:rPr>
          <w:rFonts w:cs="Times New Roman"/>
          <w:sz w:val="20"/>
          <w:szCs w:val="20"/>
        </w:rPr>
      </w:pPr>
      <w:r w:rsidRPr="009516F4">
        <w:rPr>
          <w:rFonts w:cs="Times New Roman"/>
          <w:sz w:val="20"/>
          <w:szCs w:val="20"/>
          <w:vertAlign w:val="superscript"/>
        </w:rPr>
        <w:t>b</w:t>
      </w:r>
      <w:r>
        <w:rPr>
          <w:rFonts w:cs="Times New Roman"/>
          <w:sz w:val="20"/>
          <w:szCs w:val="20"/>
          <w:vertAlign w:val="superscript"/>
        </w:rPr>
        <w:t xml:space="preserve"> </w:t>
      </w:r>
      <w:r>
        <w:rPr>
          <w:rFonts w:cs="Times New Roman"/>
          <w:sz w:val="20"/>
          <w:szCs w:val="20"/>
        </w:rPr>
        <w:t>Scores ranged from 0-10 with higher scores representing worse health status.</w:t>
      </w:r>
    </w:p>
    <w:p w14:paraId="57F471C9" w14:textId="35459726" w:rsidR="007423CE" w:rsidRPr="007423CE" w:rsidRDefault="007423CE" w:rsidP="007423CE">
      <w:pPr>
        <w:spacing w:after="160" w:line="259" w:lineRule="auto"/>
        <w:rPr>
          <w:rFonts w:cs="Times New Roman"/>
          <w:sz w:val="20"/>
          <w:szCs w:val="20"/>
        </w:rPr>
        <w:sectPr w:rsidR="007423CE" w:rsidRPr="007423CE" w:rsidSect="00D85EDA">
          <w:pgSz w:w="16840" w:h="11900" w:orient="landscape"/>
          <w:pgMar w:top="720" w:right="720" w:bottom="720" w:left="720" w:header="720" w:footer="720" w:gutter="0"/>
          <w:cols w:space="720"/>
          <w:docGrid w:linePitch="360"/>
        </w:sectPr>
      </w:pPr>
      <w:r>
        <w:rPr>
          <w:rFonts w:cs="Times New Roman"/>
          <w:sz w:val="20"/>
          <w:szCs w:val="20"/>
        </w:rPr>
        <w:br w:type="page"/>
      </w:r>
    </w:p>
    <w:p w14:paraId="0BBFDADA" w14:textId="7225250F" w:rsidR="007423CE" w:rsidRDefault="007423CE" w:rsidP="007423CE">
      <w:pPr>
        <w:pStyle w:val="Heading1"/>
      </w:pPr>
      <w:r>
        <w:lastRenderedPageBreak/>
        <w:t>Table 2</w:t>
      </w:r>
    </w:p>
    <w:tbl>
      <w:tblPr>
        <w:tblW w:w="11320" w:type="dxa"/>
        <w:tblLook w:val="04A0" w:firstRow="1" w:lastRow="0" w:firstColumn="1" w:lastColumn="0" w:noHBand="0" w:noVBand="1"/>
      </w:tblPr>
      <w:tblGrid>
        <w:gridCol w:w="2020"/>
        <w:gridCol w:w="2340"/>
        <w:gridCol w:w="2500"/>
        <w:gridCol w:w="2260"/>
        <w:gridCol w:w="2200"/>
      </w:tblGrid>
      <w:tr w:rsidR="00C90A84" w:rsidRPr="00C90A84" w14:paraId="4073FD7C" w14:textId="77777777" w:rsidTr="00C90A84">
        <w:trPr>
          <w:trHeight w:val="620"/>
        </w:trPr>
        <w:tc>
          <w:tcPr>
            <w:tcW w:w="11320" w:type="dxa"/>
            <w:gridSpan w:val="5"/>
            <w:tcBorders>
              <w:top w:val="nil"/>
              <w:left w:val="nil"/>
              <w:bottom w:val="single" w:sz="4" w:space="0" w:color="auto"/>
              <w:right w:val="nil"/>
            </w:tcBorders>
            <w:shd w:val="clear" w:color="auto" w:fill="auto"/>
            <w:vAlign w:val="center"/>
            <w:hideMark/>
          </w:tcPr>
          <w:p w14:paraId="05559CFB" w14:textId="3AB578C3" w:rsidR="00C90A84" w:rsidRPr="00C90A84" w:rsidRDefault="00C90A84" w:rsidP="00C90A84">
            <w:pPr>
              <w:rPr>
                <w:rFonts w:eastAsia="Times New Roman" w:cs="Times New Roman"/>
                <w:color w:val="000000"/>
                <w:lang w:eastAsia="ja-JP"/>
              </w:rPr>
            </w:pPr>
            <w:r w:rsidRPr="00C90A84">
              <w:rPr>
                <w:rFonts w:eastAsia="Times New Roman" w:cs="Times New Roman"/>
                <w:color w:val="000000"/>
                <w:lang w:eastAsia="ja-JP"/>
              </w:rPr>
              <w:t xml:space="preserve">Association between sedentary </w:t>
            </w:r>
            <w:proofErr w:type="spellStart"/>
            <w:r w:rsidRPr="00C90A84">
              <w:rPr>
                <w:rFonts w:eastAsia="Times New Roman" w:cs="Times New Roman"/>
                <w:color w:val="000000"/>
                <w:lang w:eastAsia="ja-JP"/>
              </w:rPr>
              <w:t>behaviour</w:t>
            </w:r>
            <w:proofErr w:type="spellEnd"/>
            <w:r w:rsidRPr="00C90A84">
              <w:rPr>
                <w:rFonts w:eastAsia="Times New Roman" w:cs="Times New Roman"/>
                <w:color w:val="000000"/>
                <w:lang w:eastAsia="ja-JP"/>
              </w:rPr>
              <w:t xml:space="preserve"> (hours/day) and happiness estimated by multivariable ordinal logistic regression</w:t>
            </w:r>
          </w:p>
        </w:tc>
      </w:tr>
      <w:tr w:rsidR="00C90A84" w:rsidRPr="00C90A84" w14:paraId="6E214685" w14:textId="77777777" w:rsidTr="00A41C7A">
        <w:trPr>
          <w:trHeight w:val="77"/>
        </w:trPr>
        <w:tc>
          <w:tcPr>
            <w:tcW w:w="2020" w:type="dxa"/>
            <w:tcBorders>
              <w:top w:val="nil"/>
              <w:left w:val="nil"/>
              <w:bottom w:val="nil"/>
              <w:right w:val="nil"/>
            </w:tcBorders>
            <w:shd w:val="clear" w:color="auto" w:fill="auto"/>
            <w:vAlign w:val="center"/>
            <w:hideMark/>
          </w:tcPr>
          <w:p w14:paraId="3CD04FA5"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 </w:t>
            </w:r>
          </w:p>
        </w:tc>
        <w:tc>
          <w:tcPr>
            <w:tcW w:w="2340" w:type="dxa"/>
            <w:tcBorders>
              <w:top w:val="nil"/>
              <w:left w:val="nil"/>
              <w:bottom w:val="nil"/>
              <w:right w:val="nil"/>
            </w:tcBorders>
            <w:shd w:val="clear" w:color="auto" w:fill="auto"/>
            <w:vAlign w:val="center"/>
            <w:hideMark/>
          </w:tcPr>
          <w:p w14:paraId="1E8C3F5D"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Model 1</w:t>
            </w:r>
          </w:p>
        </w:tc>
        <w:tc>
          <w:tcPr>
            <w:tcW w:w="2500" w:type="dxa"/>
            <w:tcBorders>
              <w:top w:val="nil"/>
              <w:left w:val="nil"/>
              <w:bottom w:val="nil"/>
              <w:right w:val="nil"/>
            </w:tcBorders>
            <w:shd w:val="clear" w:color="auto" w:fill="auto"/>
            <w:vAlign w:val="center"/>
            <w:hideMark/>
          </w:tcPr>
          <w:p w14:paraId="0567A523"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Model 2</w:t>
            </w:r>
          </w:p>
        </w:tc>
        <w:tc>
          <w:tcPr>
            <w:tcW w:w="2260" w:type="dxa"/>
            <w:tcBorders>
              <w:top w:val="nil"/>
              <w:left w:val="nil"/>
              <w:bottom w:val="nil"/>
              <w:right w:val="nil"/>
            </w:tcBorders>
            <w:shd w:val="clear" w:color="auto" w:fill="auto"/>
            <w:vAlign w:val="center"/>
            <w:hideMark/>
          </w:tcPr>
          <w:p w14:paraId="7436D4BA"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Model 3</w:t>
            </w:r>
          </w:p>
        </w:tc>
        <w:tc>
          <w:tcPr>
            <w:tcW w:w="2200" w:type="dxa"/>
            <w:tcBorders>
              <w:top w:val="nil"/>
              <w:left w:val="nil"/>
              <w:bottom w:val="nil"/>
              <w:right w:val="nil"/>
            </w:tcBorders>
            <w:shd w:val="clear" w:color="auto" w:fill="auto"/>
            <w:vAlign w:val="center"/>
            <w:hideMark/>
          </w:tcPr>
          <w:p w14:paraId="768BD96E" w14:textId="77777777" w:rsidR="00C90A84" w:rsidRPr="00C90A84" w:rsidRDefault="00C90A84" w:rsidP="00C90A84">
            <w:pPr>
              <w:rPr>
                <w:rFonts w:eastAsia="Times New Roman" w:cs="Times New Roman"/>
                <w:color w:val="000000"/>
                <w:sz w:val="22"/>
                <w:szCs w:val="22"/>
                <w:lang w:eastAsia="ja-JP"/>
              </w:rPr>
            </w:pPr>
            <w:r w:rsidRPr="00C90A84">
              <w:rPr>
                <w:rFonts w:eastAsia="MS Mincho" w:cs="Times New Roman"/>
                <w:color w:val="000000"/>
                <w:sz w:val="22"/>
                <w:szCs w:val="22"/>
                <w:lang w:eastAsia="ja-JP"/>
              </w:rPr>
              <w:t>Model 4</w:t>
            </w:r>
          </w:p>
        </w:tc>
      </w:tr>
      <w:tr w:rsidR="00C90A84" w:rsidRPr="00C90A84" w14:paraId="2B5F7990" w14:textId="77777777" w:rsidTr="00A41C7A">
        <w:trPr>
          <w:trHeight w:val="190"/>
        </w:trPr>
        <w:tc>
          <w:tcPr>
            <w:tcW w:w="2020" w:type="dxa"/>
            <w:tcBorders>
              <w:top w:val="nil"/>
              <w:left w:val="nil"/>
              <w:bottom w:val="double" w:sz="6" w:space="0" w:color="auto"/>
              <w:right w:val="nil"/>
            </w:tcBorders>
            <w:shd w:val="clear" w:color="auto" w:fill="auto"/>
            <w:vAlign w:val="center"/>
            <w:hideMark/>
          </w:tcPr>
          <w:p w14:paraId="0D9B5C5F"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Sample</w:t>
            </w:r>
          </w:p>
        </w:tc>
        <w:tc>
          <w:tcPr>
            <w:tcW w:w="2340" w:type="dxa"/>
            <w:tcBorders>
              <w:top w:val="nil"/>
              <w:left w:val="nil"/>
              <w:bottom w:val="double" w:sz="6" w:space="0" w:color="auto"/>
              <w:right w:val="nil"/>
            </w:tcBorders>
            <w:shd w:val="clear" w:color="auto" w:fill="auto"/>
            <w:vAlign w:val="center"/>
            <w:hideMark/>
          </w:tcPr>
          <w:p w14:paraId="1C336C53"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OR [95%]</w:t>
            </w:r>
          </w:p>
        </w:tc>
        <w:tc>
          <w:tcPr>
            <w:tcW w:w="2500" w:type="dxa"/>
            <w:tcBorders>
              <w:top w:val="nil"/>
              <w:left w:val="nil"/>
              <w:bottom w:val="double" w:sz="6" w:space="0" w:color="auto"/>
              <w:right w:val="nil"/>
            </w:tcBorders>
            <w:shd w:val="clear" w:color="auto" w:fill="auto"/>
            <w:vAlign w:val="center"/>
            <w:hideMark/>
          </w:tcPr>
          <w:p w14:paraId="7BCF6E63"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OR [95%CI]</w:t>
            </w:r>
          </w:p>
        </w:tc>
        <w:tc>
          <w:tcPr>
            <w:tcW w:w="2260" w:type="dxa"/>
            <w:tcBorders>
              <w:top w:val="nil"/>
              <w:left w:val="nil"/>
              <w:bottom w:val="double" w:sz="6" w:space="0" w:color="auto"/>
              <w:right w:val="nil"/>
            </w:tcBorders>
            <w:shd w:val="clear" w:color="auto" w:fill="auto"/>
            <w:vAlign w:val="center"/>
            <w:hideMark/>
          </w:tcPr>
          <w:p w14:paraId="5FCABBAE"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OR [95%CI]</w:t>
            </w:r>
          </w:p>
        </w:tc>
        <w:tc>
          <w:tcPr>
            <w:tcW w:w="2200" w:type="dxa"/>
            <w:tcBorders>
              <w:top w:val="nil"/>
              <w:left w:val="nil"/>
              <w:bottom w:val="double" w:sz="6" w:space="0" w:color="auto"/>
              <w:right w:val="nil"/>
            </w:tcBorders>
            <w:shd w:val="clear" w:color="auto" w:fill="auto"/>
            <w:vAlign w:val="center"/>
            <w:hideMark/>
          </w:tcPr>
          <w:p w14:paraId="7F8EFBD1"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OR [95%CI]</w:t>
            </w:r>
          </w:p>
        </w:tc>
      </w:tr>
      <w:tr w:rsidR="00C90A84" w:rsidRPr="00C90A84" w14:paraId="64D32AAE" w14:textId="77777777" w:rsidTr="00A41C7A">
        <w:trPr>
          <w:trHeight w:val="163"/>
        </w:trPr>
        <w:tc>
          <w:tcPr>
            <w:tcW w:w="2020" w:type="dxa"/>
            <w:tcBorders>
              <w:top w:val="nil"/>
              <w:left w:val="nil"/>
              <w:bottom w:val="nil"/>
              <w:right w:val="nil"/>
            </w:tcBorders>
            <w:shd w:val="clear" w:color="auto" w:fill="auto"/>
            <w:vAlign w:val="center"/>
            <w:hideMark/>
          </w:tcPr>
          <w:p w14:paraId="08C74DE0"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 xml:space="preserve">Overall    </w:t>
            </w:r>
          </w:p>
        </w:tc>
        <w:tc>
          <w:tcPr>
            <w:tcW w:w="2340" w:type="dxa"/>
            <w:tcBorders>
              <w:top w:val="nil"/>
              <w:left w:val="nil"/>
              <w:bottom w:val="nil"/>
              <w:right w:val="nil"/>
            </w:tcBorders>
            <w:shd w:val="clear" w:color="auto" w:fill="auto"/>
            <w:vAlign w:val="center"/>
            <w:hideMark/>
          </w:tcPr>
          <w:p w14:paraId="61034591"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0.93 [0.91, 0.95]***</w:t>
            </w:r>
          </w:p>
        </w:tc>
        <w:tc>
          <w:tcPr>
            <w:tcW w:w="2500" w:type="dxa"/>
            <w:tcBorders>
              <w:top w:val="nil"/>
              <w:left w:val="nil"/>
              <w:bottom w:val="nil"/>
              <w:right w:val="nil"/>
            </w:tcBorders>
            <w:shd w:val="clear" w:color="auto" w:fill="auto"/>
            <w:vAlign w:val="center"/>
            <w:hideMark/>
          </w:tcPr>
          <w:p w14:paraId="5590B88C"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0.93 [0.91, 0.95]***</w:t>
            </w:r>
          </w:p>
        </w:tc>
        <w:tc>
          <w:tcPr>
            <w:tcW w:w="2260" w:type="dxa"/>
            <w:tcBorders>
              <w:top w:val="nil"/>
              <w:left w:val="nil"/>
              <w:bottom w:val="nil"/>
              <w:right w:val="nil"/>
            </w:tcBorders>
            <w:shd w:val="clear" w:color="auto" w:fill="auto"/>
            <w:vAlign w:val="center"/>
            <w:hideMark/>
          </w:tcPr>
          <w:p w14:paraId="2C04A9C7"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0.96 [0.94, 0.98]***</w:t>
            </w:r>
          </w:p>
        </w:tc>
        <w:tc>
          <w:tcPr>
            <w:tcW w:w="2200" w:type="dxa"/>
            <w:tcBorders>
              <w:top w:val="nil"/>
              <w:left w:val="nil"/>
              <w:bottom w:val="nil"/>
              <w:right w:val="nil"/>
            </w:tcBorders>
            <w:shd w:val="clear" w:color="auto" w:fill="auto"/>
            <w:vAlign w:val="center"/>
            <w:hideMark/>
          </w:tcPr>
          <w:p w14:paraId="49F205BE"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0.96 [0.94, 0.98]***</w:t>
            </w:r>
          </w:p>
        </w:tc>
      </w:tr>
      <w:tr w:rsidR="00C90A84" w:rsidRPr="00C90A84" w14:paraId="0FC666E3" w14:textId="77777777" w:rsidTr="00A41C7A">
        <w:trPr>
          <w:trHeight w:val="67"/>
        </w:trPr>
        <w:tc>
          <w:tcPr>
            <w:tcW w:w="2020" w:type="dxa"/>
            <w:tcBorders>
              <w:top w:val="nil"/>
              <w:left w:val="nil"/>
              <w:bottom w:val="nil"/>
              <w:right w:val="nil"/>
            </w:tcBorders>
            <w:shd w:val="clear" w:color="auto" w:fill="auto"/>
            <w:vAlign w:val="center"/>
            <w:hideMark/>
          </w:tcPr>
          <w:p w14:paraId="14193B31"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Age 50-64 years</w:t>
            </w:r>
          </w:p>
        </w:tc>
        <w:tc>
          <w:tcPr>
            <w:tcW w:w="2340" w:type="dxa"/>
            <w:tcBorders>
              <w:top w:val="nil"/>
              <w:left w:val="nil"/>
              <w:bottom w:val="nil"/>
              <w:right w:val="nil"/>
            </w:tcBorders>
            <w:shd w:val="clear" w:color="auto" w:fill="auto"/>
            <w:vAlign w:val="center"/>
            <w:hideMark/>
          </w:tcPr>
          <w:p w14:paraId="27008272"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0.94 [0.92, 0.97]***</w:t>
            </w:r>
          </w:p>
        </w:tc>
        <w:tc>
          <w:tcPr>
            <w:tcW w:w="2500" w:type="dxa"/>
            <w:tcBorders>
              <w:top w:val="nil"/>
              <w:left w:val="nil"/>
              <w:bottom w:val="nil"/>
              <w:right w:val="nil"/>
            </w:tcBorders>
            <w:shd w:val="clear" w:color="auto" w:fill="auto"/>
            <w:vAlign w:val="center"/>
            <w:hideMark/>
          </w:tcPr>
          <w:p w14:paraId="5999195E" w14:textId="77777777" w:rsidR="00C90A84" w:rsidRPr="00C90A84" w:rsidRDefault="00C90A84" w:rsidP="00C90A84">
            <w:pPr>
              <w:rPr>
                <w:rFonts w:eastAsia="Times New Roman" w:cs="Times New Roman"/>
                <w:color w:val="000000"/>
                <w:sz w:val="22"/>
                <w:szCs w:val="22"/>
                <w:lang w:eastAsia="ja-JP"/>
              </w:rPr>
            </w:pPr>
            <w:r w:rsidRPr="00C90A84">
              <w:rPr>
                <w:rFonts w:eastAsia="MS Mincho" w:cs="Times New Roman"/>
                <w:color w:val="000000"/>
                <w:sz w:val="22"/>
                <w:szCs w:val="22"/>
                <w:lang w:eastAsia="ja-JP"/>
              </w:rPr>
              <w:t>0.94 [0.91, 0.96]***</w:t>
            </w:r>
          </w:p>
        </w:tc>
        <w:tc>
          <w:tcPr>
            <w:tcW w:w="2260" w:type="dxa"/>
            <w:tcBorders>
              <w:top w:val="nil"/>
              <w:left w:val="nil"/>
              <w:bottom w:val="nil"/>
              <w:right w:val="nil"/>
            </w:tcBorders>
            <w:shd w:val="clear" w:color="auto" w:fill="auto"/>
            <w:vAlign w:val="center"/>
            <w:hideMark/>
          </w:tcPr>
          <w:p w14:paraId="616F0FB3"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0.96 [0.94, 0.99]*</w:t>
            </w:r>
          </w:p>
        </w:tc>
        <w:tc>
          <w:tcPr>
            <w:tcW w:w="2200" w:type="dxa"/>
            <w:tcBorders>
              <w:top w:val="nil"/>
              <w:left w:val="nil"/>
              <w:bottom w:val="nil"/>
              <w:right w:val="nil"/>
            </w:tcBorders>
            <w:shd w:val="clear" w:color="auto" w:fill="auto"/>
            <w:vAlign w:val="center"/>
            <w:hideMark/>
          </w:tcPr>
          <w:p w14:paraId="7CBA3D16" w14:textId="77777777" w:rsidR="00C90A84" w:rsidRPr="00C90A84" w:rsidRDefault="00C90A84" w:rsidP="00C90A84">
            <w:pPr>
              <w:rPr>
                <w:rFonts w:eastAsia="Times New Roman" w:cs="Times New Roman"/>
                <w:color w:val="000000"/>
                <w:sz w:val="22"/>
                <w:szCs w:val="22"/>
                <w:lang w:eastAsia="ja-JP"/>
              </w:rPr>
            </w:pPr>
            <w:r w:rsidRPr="00C90A84">
              <w:rPr>
                <w:rFonts w:eastAsia="MS Mincho" w:cs="Times New Roman"/>
                <w:color w:val="000000"/>
                <w:sz w:val="22"/>
                <w:szCs w:val="22"/>
                <w:lang w:eastAsia="ja-JP"/>
              </w:rPr>
              <w:t>0.96 [0.93, 0.99]*</w:t>
            </w:r>
          </w:p>
        </w:tc>
      </w:tr>
      <w:tr w:rsidR="00C90A84" w:rsidRPr="00C90A84" w14:paraId="5BEBBCA0" w14:textId="77777777" w:rsidTr="00A41C7A">
        <w:trPr>
          <w:trHeight w:val="88"/>
        </w:trPr>
        <w:tc>
          <w:tcPr>
            <w:tcW w:w="2020" w:type="dxa"/>
            <w:tcBorders>
              <w:top w:val="nil"/>
              <w:left w:val="nil"/>
              <w:bottom w:val="single" w:sz="4" w:space="0" w:color="auto"/>
              <w:right w:val="nil"/>
            </w:tcBorders>
            <w:shd w:val="clear" w:color="auto" w:fill="auto"/>
            <w:vAlign w:val="center"/>
            <w:hideMark/>
          </w:tcPr>
          <w:p w14:paraId="4965C989"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Age ≥ 65 years</w:t>
            </w:r>
          </w:p>
        </w:tc>
        <w:tc>
          <w:tcPr>
            <w:tcW w:w="2340" w:type="dxa"/>
            <w:tcBorders>
              <w:top w:val="nil"/>
              <w:left w:val="nil"/>
              <w:bottom w:val="single" w:sz="4" w:space="0" w:color="auto"/>
              <w:right w:val="nil"/>
            </w:tcBorders>
            <w:shd w:val="clear" w:color="auto" w:fill="auto"/>
            <w:vAlign w:val="center"/>
            <w:hideMark/>
          </w:tcPr>
          <w:p w14:paraId="60F17A03"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0.92 [0.90, 0.95]***</w:t>
            </w:r>
          </w:p>
        </w:tc>
        <w:tc>
          <w:tcPr>
            <w:tcW w:w="2500" w:type="dxa"/>
            <w:tcBorders>
              <w:top w:val="nil"/>
              <w:left w:val="nil"/>
              <w:bottom w:val="single" w:sz="4" w:space="0" w:color="auto"/>
              <w:right w:val="nil"/>
            </w:tcBorders>
            <w:shd w:val="clear" w:color="auto" w:fill="auto"/>
            <w:vAlign w:val="center"/>
            <w:hideMark/>
          </w:tcPr>
          <w:p w14:paraId="2AE2BEDA" w14:textId="77777777" w:rsidR="00C90A84" w:rsidRPr="00C90A84" w:rsidRDefault="00C90A84" w:rsidP="00C90A84">
            <w:pPr>
              <w:rPr>
                <w:rFonts w:eastAsia="Times New Roman" w:cs="Times New Roman"/>
                <w:color w:val="000000"/>
                <w:sz w:val="22"/>
                <w:szCs w:val="22"/>
                <w:lang w:eastAsia="ja-JP"/>
              </w:rPr>
            </w:pPr>
            <w:r w:rsidRPr="00C90A84">
              <w:rPr>
                <w:rFonts w:eastAsia="MS Mincho" w:cs="Times New Roman"/>
                <w:color w:val="000000"/>
                <w:sz w:val="22"/>
                <w:szCs w:val="22"/>
                <w:lang w:eastAsia="ja-JP"/>
              </w:rPr>
              <w:t>0.93 [0.91, 0.95]***</w:t>
            </w:r>
          </w:p>
        </w:tc>
        <w:tc>
          <w:tcPr>
            <w:tcW w:w="2260" w:type="dxa"/>
            <w:tcBorders>
              <w:top w:val="nil"/>
              <w:left w:val="nil"/>
              <w:bottom w:val="single" w:sz="4" w:space="0" w:color="auto"/>
              <w:right w:val="nil"/>
            </w:tcBorders>
            <w:shd w:val="clear" w:color="auto" w:fill="auto"/>
            <w:vAlign w:val="center"/>
            <w:hideMark/>
          </w:tcPr>
          <w:p w14:paraId="57C06B0A" w14:textId="77777777" w:rsidR="00C90A84" w:rsidRPr="00C90A84" w:rsidRDefault="00C90A84" w:rsidP="00C90A84">
            <w:pPr>
              <w:rPr>
                <w:rFonts w:eastAsia="Times New Roman" w:cs="Times New Roman"/>
                <w:color w:val="000000"/>
                <w:sz w:val="22"/>
                <w:szCs w:val="22"/>
                <w:lang w:eastAsia="ja-JP"/>
              </w:rPr>
            </w:pPr>
            <w:r w:rsidRPr="00C90A84">
              <w:rPr>
                <w:rFonts w:eastAsia="Times New Roman" w:cs="Times New Roman"/>
                <w:color w:val="000000"/>
                <w:sz w:val="22"/>
                <w:szCs w:val="22"/>
                <w:lang w:val="en-GB" w:eastAsia="ja-JP"/>
              </w:rPr>
              <w:t>0.97 [0.94, 0.99]**</w:t>
            </w:r>
          </w:p>
        </w:tc>
        <w:tc>
          <w:tcPr>
            <w:tcW w:w="2200" w:type="dxa"/>
            <w:tcBorders>
              <w:top w:val="nil"/>
              <w:left w:val="nil"/>
              <w:bottom w:val="single" w:sz="4" w:space="0" w:color="auto"/>
              <w:right w:val="nil"/>
            </w:tcBorders>
            <w:shd w:val="clear" w:color="auto" w:fill="auto"/>
            <w:vAlign w:val="center"/>
            <w:hideMark/>
          </w:tcPr>
          <w:p w14:paraId="0BD7412B" w14:textId="77777777" w:rsidR="00C90A84" w:rsidRPr="00C90A84" w:rsidRDefault="00C90A84" w:rsidP="00C90A84">
            <w:pPr>
              <w:rPr>
                <w:rFonts w:eastAsia="Times New Roman" w:cs="Times New Roman"/>
                <w:color w:val="000000"/>
                <w:sz w:val="22"/>
                <w:szCs w:val="22"/>
                <w:lang w:eastAsia="ja-JP"/>
              </w:rPr>
            </w:pPr>
            <w:r w:rsidRPr="00C90A84">
              <w:rPr>
                <w:rFonts w:eastAsia="MS Mincho" w:cs="Times New Roman"/>
                <w:color w:val="000000"/>
                <w:sz w:val="22"/>
                <w:szCs w:val="22"/>
                <w:lang w:eastAsia="ja-JP"/>
              </w:rPr>
              <w:t>0.97 [0.94, 0.99]*</w:t>
            </w:r>
          </w:p>
        </w:tc>
      </w:tr>
    </w:tbl>
    <w:p w14:paraId="25E0641D" w14:textId="77777777" w:rsidR="001A3B71" w:rsidRDefault="001A3B71" w:rsidP="001A3B71">
      <w:pPr>
        <w:rPr>
          <w:rFonts w:eastAsia="MS Mincho" w:cs="Times New Roman"/>
          <w:sz w:val="20"/>
          <w:szCs w:val="20"/>
        </w:rPr>
      </w:pPr>
      <w:r w:rsidRPr="00836344">
        <w:rPr>
          <w:rFonts w:cs="Times New Roman"/>
          <w:sz w:val="20"/>
          <w:szCs w:val="20"/>
        </w:rPr>
        <w:t>Abbreviation: OR Odds ratio; CI Confidence interval</w:t>
      </w:r>
    </w:p>
    <w:p w14:paraId="2C6D6568" w14:textId="77777777" w:rsidR="001A3B71" w:rsidRDefault="001A3B71" w:rsidP="001A3B71">
      <w:pPr>
        <w:rPr>
          <w:rFonts w:eastAsia="MS Mincho" w:cs="Times New Roman"/>
          <w:sz w:val="20"/>
          <w:szCs w:val="20"/>
        </w:rPr>
      </w:pPr>
      <w:r>
        <w:rPr>
          <w:rFonts w:eastAsia="MS Mincho" w:cs="Times New Roman"/>
          <w:sz w:val="20"/>
          <w:szCs w:val="20"/>
        </w:rPr>
        <w:t xml:space="preserve">Model 1 is adjusted for </w:t>
      </w:r>
      <w:r w:rsidRPr="009B5A4F">
        <w:rPr>
          <w:rFonts w:eastAsia="MS Mincho" w:cs="Times New Roman"/>
          <w:sz w:val="20"/>
          <w:szCs w:val="20"/>
        </w:rPr>
        <w:t>ad</w:t>
      </w:r>
      <w:r>
        <w:rPr>
          <w:rFonts w:eastAsia="MS Mincho" w:cs="Times New Roman"/>
          <w:sz w:val="20"/>
          <w:szCs w:val="20"/>
        </w:rPr>
        <w:t xml:space="preserve">justed for age, sex, and country. </w:t>
      </w:r>
    </w:p>
    <w:p w14:paraId="7BD81B72" w14:textId="77777777" w:rsidR="001A3B71" w:rsidRDefault="001A3B71" w:rsidP="001A3B71">
      <w:pPr>
        <w:rPr>
          <w:rFonts w:eastAsia="MS Mincho" w:cs="Times New Roman"/>
          <w:sz w:val="20"/>
          <w:szCs w:val="20"/>
        </w:rPr>
      </w:pPr>
      <w:r>
        <w:rPr>
          <w:rFonts w:eastAsia="MS Mincho" w:cs="Times New Roman"/>
          <w:sz w:val="20"/>
          <w:szCs w:val="20"/>
        </w:rPr>
        <w:t xml:space="preserve">Model 2 is adjusted for variables in Model 1 and </w:t>
      </w:r>
      <w:r w:rsidRPr="009B5A4F">
        <w:rPr>
          <w:rFonts w:eastAsia="MS Mincho" w:cs="Times New Roman"/>
          <w:sz w:val="20"/>
          <w:szCs w:val="20"/>
        </w:rPr>
        <w:t>education, wealth, marital status, employment status, and setting</w:t>
      </w:r>
      <w:r>
        <w:rPr>
          <w:rFonts w:eastAsia="MS Mincho" w:cs="Times New Roman"/>
          <w:sz w:val="20"/>
          <w:szCs w:val="20"/>
        </w:rPr>
        <w:t xml:space="preserve">. </w:t>
      </w:r>
    </w:p>
    <w:p w14:paraId="2CA1EE5C" w14:textId="77777777" w:rsidR="001A3B71" w:rsidRDefault="001A3B71" w:rsidP="001A3B71">
      <w:pPr>
        <w:rPr>
          <w:rFonts w:eastAsia="MS Mincho" w:cs="Times New Roman"/>
          <w:sz w:val="20"/>
          <w:szCs w:val="20"/>
        </w:rPr>
      </w:pPr>
      <w:r>
        <w:rPr>
          <w:rFonts w:eastAsia="MS Mincho" w:cs="Times New Roman"/>
          <w:sz w:val="20"/>
          <w:szCs w:val="20"/>
        </w:rPr>
        <w:t xml:space="preserve">Model 3 is adjusted for variables in Model 2 and </w:t>
      </w:r>
      <w:r w:rsidRPr="009B5A4F">
        <w:rPr>
          <w:rFonts w:eastAsia="MS Mincho" w:cs="Times New Roman"/>
          <w:sz w:val="20"/>
          <w:szCs w:val="20"/>
        </w:rPr>
        <w:t>smoking, alcohol consumption, social cohesion, depression, anxiety, obesity, disability, mobility, pain/discomfort, sleep/energy, and cognition</w:t>
      </w:r>
      <w:r>
        <w:rPr>
          <w:rFonts w:eastAsia="MS Mincho" w:cs="Times New Roman"/>
          <w:sz w:val="20"/>
          <w:szCs w:val="20"/>
        </w:rPr>
        <w:t xml:space="preserve">. </w:t>
      </w:r>
    </w:p>
    <w:p w14:paraId="5B420255" w14:textId="77777777" w:rsidR="001A3B71" w:rsidRPr="00E575B7" w:rsidRDefault="001A3B71" w:rsidP="001A3B71">
      <w:pPr>
        <w:rPr>
          <w:rFonts w:eastAsia="MS Mincho" w:cs="Times New Roman"/>
          <w:sz w:val="20"/>
          <w:szCs w:val="20"/>
        </w:rPr>
      </w:pPr>
      <w:r>
        <w:rPr>
          <w:rFonts w:eastAsia="MS Mincho" w:cs="Times New Roman"/>
          <w:sz w:val="20"/>
          <w:szCs w:val="20"/>
        </w:rPr>
        <w:t xml:space="preserve">Model 4 is adjusted for variables in Model 3 and physical activity </w:t>
      </w:r>
      <w:r w:rsidRPr="009B5A4F">
        <w:rPr>
          <w:rFonts w:eastAsia="MS Mincho" w:cs="Times New Roman"/>
          <w:sz w:val="20"/>
          <w:szCs w:val="20"/>
        </w:rPr>
        <w:t>(fully adjusted model).</w:t>
      </w:r>
    </w:p>
    <w:p w14:paraId="0E605897" w14:textId="77777777" w:rsidR="001A3B71" w:rsidRDefault="001A3B71" w:rsidP="001A3B71">
      <w:pPr>
        <w:rPr>
          <w:rFonts w:eastAsia="MS Mincho" w:cs="Times New Roman"/>
          <w:sz w:val="20"/>
          <w:szCs w:val="20"/>
        </w:rPr>
      </w:pPr>
      <w:r w:rsidRPr="00E575B7">
        <w:rPr>
          <w:rFonts w:eastAsia="MS Mincho" w:cs="Times New Roman"/>
          <w:sz w:val="20"/>
          <w:szCs w:val="20"/>
        </w:rPr>
        <w:t>*p&lt;0.05; **p&lt;0.01; ***p&lt;0.001.</w:t>
      </w:r>
    </w:p>
    <w:p w14:paraId="702BC10A" w14:textId="77777777" w:rsidR="00D85EDA" w:rsidRPr="00A7399D" w:rsidRDefault="00D85EDA" w:rsidP="005D3987">
      <w:pPr>
        <w:spacing w:line="480" w:lineRule="auto"/>
        <w:rPr>
          <w:rFonts w:eastAsia="MS Mincho" w:cs="Times New Roman"/>
          <w:sz w:val="22"/>
          <w:szCs w:val="22"/>
        </w:rPr>
      </w:pPr>
    </w:p>
    <w:p w14:paraId="5999865B" w14:textId="77777777" w:rsidR="00D85EDA" w:rsidRDefault="00D85EDA" w:rsidP="005D3987">
      <w:pPr>
        <w:spacing w:line="480" w:lineRule="auto"/>
        <w:rPr>
          <w:rFonts w:eastAsia="MS Mincho" w:cs="Times New Roman"/>
          <w:sz w:val="20"/>
          <w:szCs w:val="20"/>
        </w:rPr>
      </w:pPr>
    </w:p>
    <w:p w14:paraId="71C43649" w14:textId="77777777" w:rsidR="00D85EDA" w:rsidRDefault="00D85EDA" w:rsidP="005D3987">
      <w:pPr>
        <w:spacing w:line="480" w:lineRule="auto"/>
        <w:rPr>
          <w:rFonts w:eastAsia="MS Mincho" w:cs="Times New Roman"/>
          <w:sz w:val="20"/>
          <w:szCs w:val="20"/>
        </w:rPr>
      </w:pPr>
    </w:p>
    <w:p w14:paraId="0F637793" w14:textId="77777777" w:rsidR="00D85EDA" w:rsidRDefault="00D85EDA" w:rsidP="005D3987">
      <w:pPr>
        <w:spacing w:line="480" w:lineRule="auto"/>
        <w:rPr>
          <w:rFonts w:eastAsia="MS Mincho" w:cs="Times New Roman"/>
          <w:sz w:val="20"/>
          <w:szCs w:val="20"/>
        </w:rPr>
      </w:pPr>
    </w:p>
    <w:p w14:paraId="75EEE8FD" w14:textId="77777777" w:rsidR="00D85EDA" w:rsidRDefault="00D85EDA" w:rsidP="005D3987">
      <w:pPr>
        <w:spacing w:line="480" w:lineRule="auto"/>
        <w:rPr>
          <w:rFonts w:eastAsia="MS Mincho" w:cs="Times New Roman"/>
          <w:sz w:val="20"/>
          <w:szCs w:val="20"/>
        </w:rPr>
      </w:pPr>
    </w:p>
    <w:p w14:paraId="696D20A7" w14:textId="77777777" w:rsidR="00D85EDA" w:rsidRDefault="00D85EDA" w:rsidP="005D3987">
      <w:pPr>
        <w:spacing w:line="480" w:lineRule="auto"/>
        <w:rPr>
          <w:rFonts w:eastAsia="MS Mincho" w:cs="Times New Roman"/>
          <w:sz w:val="20"/>
          <w:szCs w:val="20"/>
        </w:rPr>
      </w:pPr>
    </w:p>
    <w:p w14:paraId="1A8A927E" w14:textId="77777777" w:rsidR="00D85EDA" w:rsidRDefault="00D85EDA" w:rsidP="005D3987">
      <w:pPr>
        <w:spacing w:line="480" w:lineRule="auto"/>
        <w:rPr>
          <w:rFonts w:eastAsia="MS Mincho" w:cs="Times New Roman"/>
          <w:sz w:val="20"/>
          <w:szCs w:val="20"/>
        </w:rPr>
      </w:pPr>
    </w:p>
    <w:p w14:paraId="5122ADDC" w14:textId="77777777" w:rsidR="00D85EDA" w:rsidRDefault="00D85EDA" w:rsidP="005D3987">
      <w:pPr>
        <w:spacing w:line="480" w:lineRule="auto"/>
        <w:rPr>
          <w:rFonts w:eastAsia="MS Mincho" w:cs="Times New Roman"/>
          <w:sz w:val="20"/>
          <w:szCs w:val="20"/>
        </w:rPr>
      </w:pPr>
    </w:p>
    <w:p w14:paraId="3A74B2B4" w14:textId="77777777" w:rsidR="00D85EDA" w:rsidRDefault="00D85EDA" w:rsidP="005D3987">
      <w:pPr>
        <w:spacing w:line="480" w:lineRule="auto"/>
        <w:rPr>
          <w:rFonts w:eastAsia="MS Mincho" w:cs="Times New Roman"/>
          <w:sz w:val="20"/>
          <w:szCs w:val="20"/>
        </w:rPr>
      </w:pPr>
    </w:p>
    <w:p w14:paraId="29F87ECE" w14:textId="77777777" w:rsidR="00D85EDA" w:rsidRDefault="00D85EDA" w:rsidP="005D3987">
      <w:pPr>
        <w:spacing w:line="480" w:lineRule="auto"/>
        <w:rPr>
          <w:rFonts w:eastAsia="MS Mincho" w:cs="Times New Roman"/>
          <w:sz w:val="20"/>
          <w:szCs w:val="20"/>
        </w:rPr>
      </w:pPr>
    </w:p>
    <w:p w14:paraId="189F4879" w14:textId="77777777" w:rsidR="00D85EDA" w:rsidRDefault="00D85EDA" w:rsidP="005D3987">
      <w:pPr>
        <w:spacing w:line="480" w:lineRule="auto"/>
        <w:rPr>
          <w:rFonts w:eastAsia="MS Mincho" w:cs="Times New Roman"/>
          <w:sz w:val="20"/>
          <w:szCs w:val="20"/>
        </w:rPr>
      </w:pPr>
    </w:p>
    <w:p w14:paraId="31ABF62A" w14:textId="77777777" w:rsidR="00D85EDA" w:rsidRDefault="00D85EDA" w:rsidP="005D3987">
      <w:pPr>
        <w:spacing w:line="480" w:lineRule="auto"/>
        <w:rPr>
          <w:rFonts w:eastAsia="MS Mincho" w:cs="Times New Roman"/>
          <w:sz w:val="20"/>
          <w:szCs w:val="20"/>
        </w:rPr>
      </w:pPr>
    </w:p>
    <w:p w14:paraId="2D0F898B" w14:textId="77777777" w:rsidR="00D85EDA" w:rsidRDefault="00D85EDA" w:rsidP="005D3987">
      <w:pPr>
        <w:spacing w:line="480" w:lineRule="auto"/>
        <w:rPr>
          <w:rFonts w:eastAsia="MS Mincho" w:cs="Times New Roman"/>
          <w:sz w:val="20"/>
          <w:szCs w:val="20"/>
        </w:rPr>
      </w:pPr>
    </w:p>
    <w:p w14:paraId="2965BED8" w14:textId="4CC9D540" w:rsidR="00D85EDA" w:rsidRPr="00E575B7" w:rsidRDefault="00D85EDA" w:rsidP="005D3987">
      <w:pPr>
        <w:spacing w:line="480" w:lineRule="auto"/>
        <w:rPr>
          <w:rFonts w:eastAsia="MS Mincho" w:cs="Times New Roman"/>
          <w:sz w:val="20"/>
          <w:szCs w:val="20"/>
        </w:rPr>
        <w:sectPr w:rsidR="00D85EDA" w:rsidRPr="00E575B7" w:rsidSect="00D85EDA">
          <w:pgSz w:w="16840" w:h="11900" w:orient="landscape"/>
          <w:pgMar w:top="720" w:right="720" w:bottom="720" w:left="720" w:header="720" w:footer="720" w:gutter="0"/>
          <w:cols w:space="720"/>
          <w:docGrid w:linePitch="360"/>
        </w:sectPr>
      </w:pPr>
    </w:p>
    <w:p w14:paraId="585CB5A9" w14:textId="57F2ECA0" w:rsidR="007423CE" w:rsidRDefault="007423CE" w:rsidP="007423CE">
      <w:pPr>
        <w:pStyle w:val="Heading1"/>
      </w:pPr>
      <w:r>
        <w:lastRenderedPageBreak/>
        <w:t>Table 3</w:t>
      </w:r>
    </w:p>
    <w:tbl>
      <w:tblPr>
        <w:tblW w:w="0" w:type="auto"/>
        <w:tblLook w:val="04A0" w:firstRow="1" w:lastRow="0" w:firstColumn="1" w:lastColumn="0" w:noHBand="0" w:noVBand="1"/>
      </w:tblPr>
      <w:tblGrid>
        <w:gridCol w:w="2117"/>
        <w:gridCol w:w="1249"/>
        <w:gridCol w:w="1628"/>
        <w:gridCol w:w="889"/>
        <w:gridCol w:w="1628"/>
        <w:gridCol w:w="889"/>
        <w:gridCol w:w="1628"/>
        <w:gridCol w:w="889"/>
        <w:gridCol w:w="1348"/>
      </w:tblGrid>
      <w:tr w:rsidR="00432465" w:rsidRPr="00432465" w14:paraId="7FD9579E" w14:textId="77777777" w:rsidTr="008602F8">
        <w:trPr>
          <w:trHeight w:val="67"/>
        </w:trPr>
        <w:tc>
          <w:tcPr>
            <w:tcW w:w="0" w:type="auto"/>
            <w:gridSpan w:val="9"/>
            <w:tcBorders>
              <w:top w:val="nil"/>
              <w:left w:val="nil"/>
              <w:bottom w:val="nil"/>
              <w:right w:val="nil"/>
            </w:tcBorders>
            <w:shd w:val="clear" w:color="auto" w:fill="auto"/>
            <w:vAlign w:val="center"/>
            <w:hideMark/>
          </w:tcPr>
          <w:p w14:paraId="00E8D8FF" w14:textId="1D6CA313" w:rsidR="00432465" w:rsidRPr="00432465" w:rsidRDefault="00432465" w:rsidP="00432465">
            <w:pPr>
              <w:rPr>
                <w:rFonts w:eastAsia="Times New Roman" w:cs="Times New Roman"/>
                <w:b/>
                <w:bCs/>
                <w:color w:val="000000"/>
                <w:lang w:eastAsia="ja-JP"/>
              </w:rPr>
            </w:pPr>
            <w:r w:rsidRPr="00432465">
              <w:rPr>
                <w:rFonts w:eastAsia="Times New Roman" w:cs="Times New Roman"/>
                <w:color w:val="000000"/>
                <w:lang w:val="en-GB" w:eastAsia="ja-JP"/>
              </w:rPr>
              <w:t>Mediators in the association between high sedentary behaviour (hours/day) and happiness</w:t>
            </w:r>
          </w:p>
        </w:tc>
      </w:tr>
      <w:tr w:rsidR="00432465" w:rsidRPr="00432465" w14:paraId="207DDB25" w14:textId="77777777" w:rsidTr="008602F8">
        <w:trPr>
          <w:trHeight w:val="57"/>
        </w:trPr>
        <w:tc>
          <w:tcPr>
            <w:tcW w:w="0" w:type="auto"/>
            <w:tcBorders>
              <w:top w:val="single" w:sz="4" w:space="0" w:color="auto"/>
              <w:left w:val="nil"/>
              <w:bottom w:val="nil"/>
              <w:right w:val="nil"/>
            </w:tcBorders>
            <w:shd w:val="clear" w:color="auto" w:fill="auto"/>
            <w:noWrap/>
            <w:vAlign w:val="center"/>
            <w:hideMark/>
          </w:tcPr>
          <w:p w14:paraId="5003565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 </w:t>
            </w:r>
          </w:p>
        </w:tc>
        <w:tc>
          <w:tcPr>
            <w:tcW w:w="0" w:type="auto"/>
            <w:tcBorders>
              <w:top w:val="single" w:sz="4" w:space="0" w:color="auto"/>
              <w:left w:val="nil"/>
              <w:bottom w:val="nil"/>
              <w:right w:val="nil"/>
            </w:tcBorders>
            <w:shd w:val="clear" w:color="auto" w:fill="auto"/>
            <w:vAlign w:val="center"/>
            <w:hideMark/>
          </w:tcPr>
          <w:p w14:paraId="2B13217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 </w:t>
            </w:r>
          </w:p>
        </w:tc>
        <w:tc>
          <w:tcPr>
            <w:tcW w:w="0" w:type="auto"/>
            <w:gridSpan w:val="2"/>
            <w:tcBorders>
              <w:top w:val="single" w:sz="4" w:space="0" w:color="auto"/>
              <w:left w:val="nil"/>
              <w:bottom w:val="nil"/>
              <w:right w:val="nil"/>
            </w:tcBorders>
            <w:shd w:val="clear" w:color="auto" w:fill="auto"/>
            <w:noWrap/>
            <w:vAlign w:val="center"/>
            <w:hideMark/>
          </w:tcPr>
          <w:p w14:paraId="17F89DD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Total effect</w:t>
            </w:r>
          </w:p>
        </w:tc>
        <w:tc>
          <w:tcPr>
            <w:tcW w:w="0" w:type="auto"/>
            <w:gridSpan w:val="2"/>
            <w:tcBorders>
              <w:top w:val="single" w:sz="4" w:space="0" w:color="auto"/>
              <w:left w:val="nil"/>
              <w:bottom w:val="nil"/>
              <w:right w:val="nil"/>
            </w:tcBorders>
            <w:shd w:val="clear" w:color="auto" w:fill="auto"/>
            <w:noWrap/>
            <w:vAlign w:val="center"/>
            <w:hideMark/>
          </w:tcPr>
          <w:p w14:paraId="37CCFEE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Direct effect</w:t>
            </w:r>
          </w:p>
        </w:tc>
        <w:tc>
          <w:tcPr>
            <w:tcW w:w="0" w:type="auto"/>
            <w:gridSpan w:val="2"/>
            <w:tcBorders>
              <w:top w:val="single" w:sz="4" w:space="0" w:color="auto"/>
              <w:left w:val="nil"/>
              <w:bottom w:val="nil"/>
              <w:right w:val="nil"/>
            </w:tcBorders>
            <w:shd w:val="clear" w:color="auto" w:fill="auto"/>
            <w:noWrap/>
            <w:vAlign w:val="center"/>
            <w:hideMark/>
          </w:tcPr>
          <w:p w14:paraId="4E5ABE2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Indirect effect</w:t>
            </w:r>
          </w:p>
        </w:tc>
        <w:tc>
          <w:tcPr>
            <w:tcW w:w="0" w:type="auto"/>
            <w:tcBorders>
              <w:top w:val="single" w:sz="4" w:space="0" w:color="auto"/>
              <w:left w:val="nil"/>
              <w:bottom w:val="nil"/>
              <w:right w:val="nil"/>
            </w:tcBorders>
            <w:shd w:val="clear" w:color="auto" w:fill="auto"/>
            <w:noWrap/>
            <w:vAlign w:val="center"/>
            <w:hideMark/>
          </w:tcPr>
          <w:p w14:paraId="0A3EA64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 </w:t>
            </w:r>
          </w:p>
        </w:tc>
      </w:tr>
      <w:tr w:rsidR="006A2D54" w:rsidRPr="00432465" w14:paraId="7C504EB4" w14:textId="77777777" w:rsidTr="008602F8">
        <w:trPr>
          <w:trHeight w:val="67"/>
        </w:trPr>
        <w:tc>
          <w:tcPr>
            <w:tcW w:w="0" w:type="auto"/>
            <w:tcBorders>
              <w:top w:val="nil"/>
              <w:left w:val="nil"/>
              <w:bottom w:val="double" w:sz="6" w:space="0" w:color="auto"/>
              <w:right w:val="nil"/>
            </w:tcBorders>
            <w:shd w:val="clear" w:color="auto" w:fill="auto"/>
            <w:noWrap/>
            <w:vAlign w:val="center"/>
            <w:hideMark/>
          </w:tcPr>
          <w:p w14:paraId="174CDCC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Mediators</w:t>
            </w:r>
          </w:p>
        </w:tc>
        <w:tc>
          <w:tcPr>
            <w:tcW w:w="0" w:type="auto"/>
            <w:tcBorders>
              <w:top w:val="nil"/>
              <w:left w:val="nil"/>
              <w:bottom w:val="double" w:sz="6" w:space="0" w:color="auto"/>
              <w:right w:val="nil"/>
            </w:tcBorders>
            <w:shd w:val="clear" w:color="auto" w:fill="auto"/>
            <w:vAlign w:val="center"/>
            <w:hideMark/>
          </w:tcPr>
          <w:p w14:paraId="7ABDA86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Age (years)</w:t>
            </w:r>
          </w:p>
        </w:tc>
        <w:tc>
          <w:tcPr>
            <w:tcW w:w="0" w:type="auto"/>
            <w:tcBorders>
              <w:top w:val="nil"/>
              <w:left w:val="nil"/>
              <w:bottom w:val="double" w:sz="6" w:space="0" w:color="auto"/>
              <w:right w:val="nil"/>
            </w:tcBorders>
            <w:shd w:val="clear" w:color="auto" w:fill="auto"/>
            <w:noWrap/>
            <w:vAlign w:val="center"/>
            <w:hideMark/>
          </w:tcPr>
          <w:p w14:paraId="58F39FB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OR [95%CI]</w:t>
            </w:r>
          </w:p>
        </w:tc>
        <w:tc>
          <w:tcPr>
            <w:tcW w:w="0" w:type="auto"/>
            <w:tcBorders>
              <w:top w:val="nil"/>
              <w:left w:val="nil"/>
              <w:bottom w:val="double" w:sz="6" w:space="0" w:color="auto"/>
              <w:right w:val="nil"/>
            </w:tcBorders>
            <w:shd w:val="clear" w:color="auto" w:fill="auto"/>
            <w:noWrap/>
            <w:vAlign w:val="center"/>
            <w:hideMark/>
          </w:tcPr>
          <w:p w14:paraId="1543E16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P-value</w:t>
            </w:r>
          </w:p>
        </w:tc>
        <w:tc>
          <w:tcPr>
            <w:tcW w:w="0" w:type="auto"/>
            <w:tcBorders>
              <w:top w:val="nil"/>
              <w:left w:val="nil"/>
              <w:bottom w:val="double" w:sz="6" w:space="0" w:color="auto"/>
              <w:right w:val="nil"/>
            </w:tcBorders>
            <w:shd w:val="clear" w:color="auto" w:fill="auto"/>
            <w:noWrap/>
            <w:vAlign w:val="center"/>
            <w:hideMark/>
          </w:tcPr>
          <w:p w14:paraId="682B6B7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OR [95%CI]</w:t>
            </w:r>
          </w:p>
        </w:tc>
        <w:tc>
          <w:tcPr>
            <w:tcW w:w="0" w:type="auto"/>
            <w:tcBorders>
              <w:top w:val="nil"/>
              <w:left w:val="nil"/>
              <w:bottom w:val="double" w:sz="6" w:space="0" w:color="auto"/>
              <w:right w:val="nil"/>
            </w:tcBorders>
            <w:shd w:val="clear" w:color="auto" w:fill="auto"/>
            <w:noWrap/>
            <w:vAlign w:val="center"/>
            <w:hideMark/>
          </w:tcPr>
          <w:p w14:paraId="64C754E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P-value</w:t>
            </w:r>
          </w:p>
        </w:tc>
        <w:tc>
          <w:tcPr>
            <w:tcW w:w="0" w:type="auto"/>
            <w:tcBorders>
              <w:top w:val="nil"/>
              <w:left w:val="nil"/>
              <w:bottom w:val="double" w:sz="6" w:space="0" w:color="auto"/>
              <w:right w:val="nil"/>
            </w:tcBorders>
            <w:shd w:val="clear" w:color="auto" w:fill="auto"/>
            <w:noWrap/>
            <w:vAlign w:val="center"/>
            <w:hideMark/>
          </w:tcPr>
          <w:p w14:paraId="4E1202F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OR [95%CI]</w:t>
            </w:r>
          </w:p>
        </w:tc>
        <w:tc>
          <w:tcPr>
            <w:tcW w:w="0" w:type="auto"/>
            <w:tcBorders>
              <w:top w:val="nil"/>
              <w:left w:val="nil"/>
              <w:bottom w:val="double" w:sz="6" w:space="0" w:color="auto"/>
              <w:right w:val="nil"/>
            </w:tcBorders>
            <w:shd w:val="clear" w:color="auto" w:fill="auto"/>
            <w:noWrap/>
            <w:vAlign w:val="center"/>
            <w:hideMark/>
          </w:tcPr>
          <w:p w14:paraId="24092CD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P-value</w:t>
            </w:r>
          </w:p>
        </w:tc>
        <w:tc>
          <w:tcPr>
            <w:tcW w:w="0" w:type="auto"/>
            <w:tcBorders>
              <w:top w:val="nil"/>
              <w:left w:val="nil"/>
              <w:bottom w:val="double" w:sz="6" w:space="0" w:color="auto"/>
              <w:right w:val="nil"/>
            </w:tcBorders>
            <w:shd w:val="clear" w:color="auto" w:fill="auto"/>
            <w:noWrap/>
            <w:vAlign w:val="center"/>
            <w:hideMark/>
          </w:tcPr>
          <w:p w14:paraId="0F098C1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Mediated %</w:t>
            </w:r>
            <w:r w:rsidRPr="00432465">
              <w:rPr>
                <w:rFonts w:eastAsia="Times New Roman" w:cs="Times New Roman"/>
                <w:color w:val="000000"/>
                <w:sz w:val="22"/>
                <w:szCs w:val="22"/>
                <w:vertAlign w:val="superscript"/>
                <w:lang w:val="en-GB" w:eastAsia="ja-JP"/>
              </w:rPr>
              <w:t>a</w:t>
            </w:r>
          </w:p>
        </w:tc>
      </w:tr>
      <w:tr w:rsidR="006A2D54" w:rsidRPr="00432465" w14:paraId="05A48D17" w14:textId="77777777" w:rsidTr="008602F8">
        <w:trPr>
          <w:trHeight w:val="22"/>
        </w:trPr>
        <w:tc>
          <w:tcPr>
            <w:tcW w:w="0" w:type="auto"/>
            <w:tcBorders>
              <w:top w:val="nil"/>
              <w:left w:val="nil"/>
              <w:bottom w:val="nil"/>
              <w:right w:val="nil"/>
            </w:tcBorders>
            <w:shd w:val="clear" w:color="auto" w:fill="auto"/>
            <w:noWrap/>
            <w:vAlign w:val="center"/>
            <w:hideMark/>
          </w:tcPr>
          <w:p w14:paraId="2FE8555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Smoking</w:t>
            </w:r>
          </w:p>
        </w:tc>
        <w:tc>
          <w:tcPr>
            <w:tcW w:w="0" w:type="auto"/>
            <w:tcBorders>
              <w:top w:val="nil"/>
              <w:left w:val="nil"/>
              <w:bottom w:val="nil"/>
              <w:right w:val="nil"/>
            </w:tcBorders>
            <w:shd w:val="clear" w:color="auto" w:fill="auto"/>
            <w:vAlign w:val="center"/>
            <w:hideMark/>
          </w:tcPr>
          <w:p w14:paraId="7F1FA1E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7B941CC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7C21A95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269F90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2683184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E460427" w14:textId="0D30AE90"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2F1A08C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0.388</w:t>
            </w:r>
          </w:p>
        </w:tc>
        <w:tc>
          <w:tcPr>
            <w:tcW w:w="0" w:type="auto"/>
            <w:tcBorders>
              <w:top w:val="nil"/>
              <w:left w:val="nil"/>
              <w:bottom w:val="nil"/>
              <w:right w:val="nil"/>
            </w:tcBorders>
            <w:shd w:val="clear" w:color="auto" w:fill="auto"/>
            <w:noWrap/>
            <w:vAlign w:val="center"/>
            <w:hideMark/>
          </w:tcPr>
          <w:p w14:paraId="14CFDED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26C29395" w14:textId="77777777" w:rsidTr="008602F8">
        <w:trPr>
          <w:trHeight w:val="67"/>
        </w:trPr>
        <w:tc>
          <w:tcPr>
            <w:tcW w:w="0" w:type="auto"/>
            <w:tcBorders>
              <w:top w:val="nil"/>
              <w:left w:val="nil"/>
              <w:bottom w:val="nil"/>
              <w:right w:val="nil"/>
            </w:tcBorders>
            <w:shd w:val="clear" w:color="auto" w:fill="auto"/>
            <w:noWrap/>
            <w:vAlign w:val="center"/>
            <w:hideMark/>
          </w:tcPr>
          <w:p w14:paraId="14C55A90"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72300A6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380CAF58" w14:textId="39E31BF5"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59AFA23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1EE798F" w14:textId="7D18D3EE"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74BA468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930923E" w14:textId="671B9AEF"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47672F4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0.871</w:t>
            </w:r>
          </w:p>
        </w:tc>
        <w:tc>
          <w:tcPr>
            <w:tcW w:w="0" w:type="auto"/>
            <w:tcBorders>
              <w:top w:val="nil"/>
              <w:left w:val="nil"/>
              <w:bottom w:val="nil"/>
              <w:right w:val="nil"/>
            </w:tcBorders>
            <w:shd w:val="clear" w:color="auto" w:fill="auto"/>
            <w:noWrap/>
            <w:vAlign w:val="center"/>
            <w:hideMark/>
          </w:tcPr>
          <w:p w14:paraId="5C8CF5E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11737F87" w14:textId="77777777" w:rsidTr="008602F8">
        <w:trPr>
          <w:trHeight w:val="67"/>
        </w:trPr>
        <w:tc>
          <w:tcPr>
            <w:tcW w:w="0" w:type="auto"/>
            <w:tcBorders>
              <w:top w:val="nil"/>
              <w:left w:val="nil"/>
              <w:bottom w:val="nil"/>
              <w:right w:val="nil"/>
            </w:tcBorders>
            <w:shd w:val="clear" w:color="auto" w:fill="auto"/>
            <w:noWrap/>
            <w:vAlign w:val="center"/>
            <w:hideMark/>
          </w:tcPr>
          <w:p w14:paraId="11A48DDA"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70E2AC0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42EF4FF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71DC215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4F788D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4749FE6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CB225EF" w14:textId="6DC58964"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5966449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0.491</w:t>
            </w:r>
          </w:p>
        </w:tc>
        <w:tc>
          <w:tcPr>
            <w:tcW w:w="0" w:type="auto"/>
            <w:tcBorders>
              <w:top w:val="nil"/>
              <w:left w:val="nil"/>
              <w:bottom w:val="nil"/>
              <w:right w:val="nil"/>
            </w:tcBorders>
            <w:shd w:val="clear" w:color="auto" w:fill="auto"/>
            <w:noWrap/>
            <w:vAlign w:val="center"/>
            <w:hideMark/>
          </w:tcPr>
          <w:p w14:paraId="436193E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597DBEF8" w14:textId="77777777" w:rsidTr="008602F8">
        <w:trPr>
          <w:trHeight w:val="67"/>
        </w:trPr>
        <w:tc>
          <w:tcPr>
            <w:tcW w:w="0" w:type="auto"/>
            <w:tcBorders>
              <w:top w:val="nil"/>
              <w:left w:val="nil"/>
              <w:bottom w:val="nil"/>
              <w:right w:val="nil"/>
            </w:tcBorders>
            <w:shd w:val="clear" w:color="auto" w:fill="auto"/>
            <w:noWrap/>
            <w:vAlign w:val="center"/>
            <w:hideMark/>
          </w:tcPr>
          <w:p w14:paraId="16F00E8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Alcohol consumption</w:t>
            </w:r>
          </w:p>
        </w:tc>
        <w:tc>
          <w:tcPr>
            <w:tcW w:w="0" w:type="auto"/>
            <w:tcBorders>
              <w:top w:val="nil"/>
              <w:left w:val="nil"/>
              <w:bottom w:val="nil"/>
              <w:right w:val="nil"/>
            </w:tcBorders>
            <w:shd w:val="clear" w:color="auto" w:fill="auto"/>
            <w:vAlign w:val="center"/>
            <w:hideMark/>
          </w:tcPr>
          <w:p w14:paraId="1269F22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057BF3A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7F3FF31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35D788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43E564F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25EA7ED" w14:textId="734FE135"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145D0D4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0.805</w:t>
            </w:r>
          </w:p>
        </w:tc>
        <w:tc>
          <w:tcPr>
            <w:tcW w:w="0" w:type="auto"/>
            <w:tcBorders>
              <w:top w:val="nil"/>
              <w:left w:val="nil"/>
              <w:bottom w:val="nil"/>
              <w:right w:val="nil"/>
            </w:tcBorders>
            <w:shd w:val="clear" w:color="auto" w:fill="auto"/>
            <w:noWrap/>
            <w:vAlign w:val="center"/>
            <w:hideMark/>
          </w:tcPr>
          <w:p w14:paraId="50D3695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7CEA7738" w14:textId="77777777" w:rsidTr="008602F8">
        <w:trPr>
          <w:trHeight w:val="67"/>
        </w:trPr>
        <w:tc>
          <w:tcPr>
            <w:tcW w:w="0" w:type="auto"/>
            <w:tcBorders>
              <w:top w:val="nil"/>
              <w:left w:val="nil"/>
              <w:bottom w:val="nil"/>
              <w:right w:val="nil"/>
            </w:tcBorders>
            <w:shd w:val="clear" w:color="auto" w:fill="auto"/>
            <w:noWrap/>
            <w:vAlign w:val="center"/>
            <w:hideMark/>
          </w:tcPr>
          <w:p w14:paraId="4814140C"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4551F60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7458A3C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078F70A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4E126B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6C96D38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13CEF53" w14:textId="0A0CF90F"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49B63FE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0.066</w:t>
            </w:r>
          </w:p>
        </w:tc>
        <w:tc>
          <w:tcPr>
            <w:tcW w:w="0" w:type="auto"/>
            <w:tcBorders>
              <w:top w:val="nil"/>
              <w:left w:val="nil"/>
              <w:bottom w:val="nil"/>
              <w:right w:val="nil"/>
            </w:tcBorders>
            <w:shd w:val="clear" w:color="auto" w:fill="auto"/>
            <w:noWrap/>
            <w:vAlign w:val="center"/>
            <w:hideMark/>
          </w:tcPr>
          <w:p w14:paraId="6FBE91C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002577B8" w14:textId="77777777" w:rsidTr="008602F8">
        <w:trPr>
          <w:trHeight w:val="67"/>
        </w:trPr>
        <w:tc>
          <w:tcPr>
            <w:tcW w:w="0" w:type="auto"/>
            <w:tcBorders>
              <w:top w:val="nil"/>
              <w:left w:val="nil"/>
              <w:bottom w:val="nil"/>
              <w:right w:val="nil"/>
            </w:tcBorders>
            <w:shd w:val="clear" w:color="auto" w:fill="auto"/>
            <w:noWrap/>
            <w:vAlign w:val="center"/>
            <w:hideMark/>
          </w:tcPr>
          <w:p w14:paraId="49ECA4F1"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1680864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5BACD5C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1092B1D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6BCC6C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7322223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F88AAF1" w14:textId="32A612E2"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3912DAA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0.069</w:t>
            </w:r>
          </w:p>
        </w:tc>
        <w:tc>
          <w:tcPr>
            <w:tcW w:w="0" w:type="auto"/>
            <w:tcBorders>
              <w:top w:val="nil"/>
              <w:left w:val="nil"/>
              <w:bottom w:val="nil"/>
              <w:right w:val="nil"/>
            </w:tcBorders>
            <w:shd w:val="clear" w:color="auto" w:fill="auto"/>
            <w:noWrap/>
            <w:vAlign w:val="center"/>
            <w:hideMark/>
          </w:tcPr>
          <w:p w14:paraId="235B49A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3B0C0012" w14:textId="77777777" w:rsidTr="008602F8">
        <w:trPr>
          <w:trHeight w:val="67"/>
        </w:trPr>
        <w:tc>
          <w:tcPr>
            <w:tcW w:w="0" w:type="auto"/>
            <w:tcBorders>
              <w:top w:val="nil"/>
              <w:left w:val="nil"/>
              <w:bottom w:val="nil"/>
              <w:right w:val="nil"/>
            </w:tcBorders>
            <w:shd w:val="clear" w:color="auto" w:fill="auto"/>
            <w:noWrap/>
            <w:vAlign w:val="center"/>
            <w:hideMark/>
          </w:tcPr>
          <w:p w14:paraId="386E7E7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Social cohesion</w:t>
            </w:r>
          </w:p>
        </w:tc>
        <w:tc>
          <w:tcPr>
            <w:tcW w:w="0" w:type="auto"/>
            <w:tcBorders>
              <w:top w:val="nil"/>
              <w:left w:val="nil"/>
              <w:bottom w:val="nil"/>
              <w:right w:val="nil"/>
            </w:tcBorders>
            <w:shd w:val="clear" w:color="auto" w:fill="auto"/>
            <w:vAlign w:val="center"/>
            <w:hideMark/>
          </w:tcPr>
          <w:p w14:paraId="01F6BD6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71CBF6C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38C7D1A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4C36AB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37E1769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F8EB08E" w14:textId="26762F2C"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0018188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0.013</w:t>
            </w:r>
          </w:p>
        </w:tc>
        <w:tc>
          <w:tcPr>
            <w:tcW w:w="0" w:type="auto"/>
            <w:tcBorders>
              <w:top w:val="nil"/>
              <w:left w:val="nil"/>
              <w:bottom w:val="nil"/>
              <w:right w:val="nil"/>
            </w:tcBorders>
            <w:shd w:val="clear" w:color="auto" w:fill="auto"/>
            <w:noWrap/>
            <w:vAlign w:val="center"/>
            <w:hideMark/>
          </w:tcPr>
          <w:p w14:paraId="377267F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4.3</w:t>
            </w:r>
          </w:p>
        </w:tc>
      </w:tr>
      <w:tr w:rsidR="006A2D54" w:rsidRPr="00432465" w14:paraId="3A681B63" w14:textId="77777777" w:rsidTr="008602F8">
        <w:trPr>
          <w:trHeight w:val="67"/>
        </w:trPr>
        <w:tc>
          <w:tcPr>
            <w:tcW w:w="0" w:type="auto"/>
            <w:tcBorders>
              <w:top w:val="nil"/>
              <w:left w:val="nil"/>
              <w:bottom w:val="nil"/>
              <w:right w:val="nil"/>
            </w:tcBorders>
            <w:shd w:val="clear" w:color="auto" w:fill="auto"/>
            <w:noWrap/>
            <w:vAlign w:val="center"/>
            <w:hideMark/>
          </w:tcPr>
          <w:p w14:paraId="566B8BA1"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76D8783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69883F20" w14:textId="58B4579A"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2AEA9F8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5F7671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7F39F3A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D445C60" w14:textId="53E5D959"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7298B68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79E2E6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10.8</w:t>
            </w:r>
          </w:p>
        </w:tc>
      </w:tr>
      <w:tr w:rsidR="006A2D54" w:rsidRPr="00432465" w14:paraId="7AF6EA10" w14:textId="77777777" w:rsidTr="008602F8">
        <w:trPr>
          <w:trHeight w:val="67"/>
        </w:trPr>
        <w:tc>
          <w:tcPr>
            <w:tcW w:w="0" w:type="auto"/>
            <w:tcBorders>
              <w:top w:val="nil"/>
              <w:left w:val="nil"/>
              <w:bottom w:val="nil"/>
              <w:right w:val="nil"/>
            </w:tcBorders>
            <w:shd w:val="clear" w:color="auto" w:fill="auto"/>
            <w:noWrap/>
            <w:vAlign w:val="center"/>
            <w:hideMark/>
          </w:tcPr>
          <w:p w14:paraId="46EF6E3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6A65331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4765C8C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26D468D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DC5CA5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[0.92,0.95]</w:t>
            </w:r>
          </w:p>
        </w:tc>
        <w:tc>
          <w:tcPr>
            <w:tcW w:w="0" w:type="auto"/>
            <w:tcBorders>
              <w:top w:val="nil"/>
              <w:left w:val="nil"/>
              <w:bottom w:val="nil"/>
              <w:right w:val="nil"/>
            </w:tcBorders>
            <w:shd w:val="clear" w:color="auto" w:fill="auto"/>
            <w:noWrap/>
            <w:vAlign w:val="center"/>
            <w:hideMark/>
          </w:tcPr>
          <w:p w14:paraId="67EFDF6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859E83A" w14:textId="33D0065F"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2C2EDE4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D12F2B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7.0</w:t>
            </w:r>
          </w:p>
        </w:tc>
      </w:tr>
      <w:tr w:rsidR="006A2D54" w:rsidRPr="00432465" w14:paraId="47D26B6A" w14:textId="77777777" w:rsidTr="008602F8">
        <w:trPr>
          <w:trHeight w:val="67"/>
        </w:trPr>
        <w:tc>
          <w:tcPr>
            <w:tcW w:w="0" w:type="auto"/>
            <w:tcBorders>
              <w:top w:val="nil"/>
              <w:left w:val="nil"/>
              <w:bottom w:val="nil"/>
              <w:right w:val="nil"/>
            </w:tcBorders>
            <w:shd w:val="clear" w:color="auto" w:fill="auto"/>
            <w:noWrap/>
            <w:vAlign w:val="center"/>
            <w:hideMark/>
          </w:tcPr>
          <w:p w14:paraId="6D7E6AD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Depression</w:t>
            </w:r>
          </w:p>
        </w:tc>
        <w:tc>
          <w:tcPr>
            <w:tcW w:w="0" w:type="auto"/>
            <w:tcBorders>
              <w:top w:val="nil"/>
              <w:left w:val="nil"/>
              <w:bottom w:val="nil"/>
              <w:right w:val="nil"/>
            </w:tcBorders>
            <w:shd w:val="clear" w:color="auto" w:fill="auto"/>
            <w:vAlign w:val="center"/>
            <w:hideMark/>
          </w:tcPr>
          <w:p w14:paraId="25D66E4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2E51C3C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11D1952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053881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0F9846B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FDE10C8" w14:textId="4E913896"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65369FD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0.019</w:t>
            </w:r>
          </w:p>
        </w:tc>
        <w:tc>
          <w:tcPr>
            <w:tcW w:w="0" w:type="auto"/>
            <w:tcBorders>
              <w:top w:val="nil"/>
              <w:left w:val="nil"/>
              <w:bottom w:val="nil"/>
              <w:right w:val="nil"/>
            </w:tcBorders>
            <w:shd w:val="clear" w:color="auto" w:fill="auto"/>
            <w:noWrap/>
            <w:vAlign w:val="center"/>
            <w:hideMark/>
          </w:tcPr>
          <w:p w14:paraId="7BA0185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8.2</w:t>
            </w:r>
          </w:p>
        </w:tc>
      </w:tr>
      <w:tr w:rsidR="006A2D54" w:rsidRPr="00432465" w14:paraId="3B875875" w14:textId="77777777" w:rsidTr="008602F8">
        <w:trPr>
          <w:trHeight w:val="67"/>
        </w:trPr>
        <w:tc>
          <w:tcPr>
            <w:tcW w:w="0" w:type="auto"/>
            <w:tcBorders>
              <w:top w:val="nil"/>
              <w:left w:val="nil"/>
              <w:bottom w:val="nil"/>
              <w:right w:val="nil"/>
            </w:tcBorders>
            <w:shd w:val="clear" w:color="auto" w:fill="auto"/>
            <w:noWrap/>
            <w:vAlign w:val="center"/>
            <w:hideMark/>
          </w:tcPr>
          <w:p w14:paraId="6E6FA922"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4CB85F3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582956C9" w14:textId="1991815E"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44F3316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0BA910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505AD99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85A4F18" w14:textId="3434B6AC"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4B99325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0.017</w:t>
            </w:r>
          </w:p>
        </w:tc>
        <w:tc>
          <w:tcPr>
            <w:tcW w:w="0" w:type="auto"/>
            <w:tcBorders>
              <w:top w:val="nil"/>
              <w:left w:val="nil"/>
              <w:bottom w:val="nil"/>
              <w:right w:val="nil"/>
            </w:tcBorders>
            <w:shd w:val="clear" w:color="auto" w:fill="auto"/>
            <w:noWrap/>
            <w:vAlign w:val="center"/>
            <w:hideMark/>
          </w:tcPr>
          <w:p w14:paraId="4F2E3A8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6.9</w:t>
            </w:r>
          </w:p>
        </w:tc>
      </w:tr>
      <w:tr w:rsidR="006A2D54" w:rsidRPr="00432465" w14:paraId="4AFCE7B0" w14:textId="77777777" w:rsidTr="008602F8">
        <w:trPr>
          <w:trHeight w:val="67"/>
        </w:trPr>
        <w:tc>
          <w:tcPr>
            <w:tcW w:w="0" w:type="auto"/>
            <w:tcBorders>
              <w:top w:val="nil"/>
              <w:left w:val="nil"/>
              <w:bottom w:val="nil"/>
              <w:right w:val="nil"/>
            </w:tcBorders>
            <w:shd w:val="clear" w:color="auto" w:fill="auto"/>
            <w:noWrap/>
            <w:vAlign w:val="center"/>
            <w:hideMark/>
          </w:tcPr>
          <w:p w14:paraId="52594211"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45485D8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04396F6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[0.91,0.94]</w:t>
            </w:r>
          </w:p>
        </w:tc>
        <w:tc>
          <w:tcPr>
            <w:tcW w:w="0" w:type="auto"/>
            <w:tcBorders>
              <w:top w:val="nil"/>
              <w:left w:val="nil"/>
              <w:bottom w:val="nil"/>
              <w:right w:val="nil"/>
            </w:tcBorders>
            <w:shd w:val="clear" w:color="auto" w:fill="auto"/>
            <w:noWrap/>
            <w:vAlign w:val="center"/>
            <w:hideMark/>
          </w:tcPr>
          <w:p w14:paraId="2A733DA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20FE4F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[0.92,0.95]</w:t>
            </w:r>
          </w:p>
        </w:tc>
        <w:tc>
          <w:tcPr>
            <w:tcW w:w="0" w:type="auto"/>
            <w:tcBorders>
              <w:top w:val="nil"/>
              <w:left w:val="nil"/>
              <w:bottom w:val="nil"/>
              <w:right w:val="nil"/>
            </w:tcBorders>
            <w:shd w:val="clear" w:color="auto" w:fill="auto"/>
            <w:noWrap/>
            <w:vAlign w:val="center"/>
            <w:hideMark/>
          </w:tcPr>
          <w:p w14:paraId="56D08AC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96928CC" w14:textId="6550B8B4"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724EE38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77BFF4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7.5</w:t>
            </w:r>
          </w:p>
        </w:tc>
      </w:tr>
      <w:tr w:rsidR="006A2D54" w:rsidRPr="00432465" w14:paraId="322F369E" w14:textId="77777777" w:rsidTr="008602F8">
        <w:trPr>
          <w:trHeight w:val="67"/>
        </w:trPr>
        <w:tc>
          <w:tcPr>
            <w:tcW w:w="0" w:type="auto"/>
            <w:tcBorders>
              <w:top w:val="nil"/>
              <w:left w:val="nil"/>
              <w:bottom w:val="nil"/>
              <w:right w:val="nil"/>
            </w:tcBorders>
            <w:shd w:val="clear" w:color="auto" w:fill="auto"/>
            <w:noWrap/>
            <w:vAlign w:val="center"/>
            <w:hideMark/>
          </w:tcPr>
          <w:p w14:paraId="63511AC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Anxiety</w:t>
            </w:r>
          </w:p>
        </w:tc>
        <w:tc>
          <w:tcPr>
            <w:tcW w:w="0" w:type="auto"/>
            <w:tcBorders>
              <w:top w:val="nil"/>
              <w:left w:val="nil"/>
              <w:bottom w:val="nil"/>
              <w:right w:val="nil"/>
            </w:tcBorders>
            <w:shd w:val="clear" w:color="auto" w:fill="auto"/>
            <w:vAlign w:val="center"/>
            <w:hideMark/>
          </w:tcPr>
          <w:p w14:paraId="397E692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419554A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18DDC08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E2F821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[0.92,0.96]</w:t>
            </w:r>
          </w:p>
        </w:tc>
        <w:tc>
          <w:tcPr>
            <w:tcW w:w="0" w:type="auto"/>
            <w:tcBorders>
              <w:top w:val="nil"/>
              <w:left w:val="nil"/>
              <w:bottom w:val="nil"/>
              <w:right w:val="nil"/>
            </w:tcBorders>
            <w:shd w:val="clear" w:color="auto" w:fill="auto"/>
            <w:noWrap/>
            <w:vAlign w:val="center"/>
            <w:hideMark/>
          </w:tcPr>
          <w:p w14:paraId="4F9E62A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A3C7B24" w14:textId="64CAB186"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4D4CC3F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0.005</w:t>
            </w:r>
          </w:p>
        </w:tc>
        <w:tc>
          <w:tcPr>
            <w:tcW w:w="0" w:type="auto"/>
            <w:tcBorders>
              <w:top w:val="nil"/>
              <w:left w:val="nil"/>
              <w:bottom w:val="nil"/>
              <w:right w:val="nil"/>
            </w:tcBorders>
            <w:shd w:val="clear" w:color="auto" w:fill="auto"/>
            <w:noWrap/>
            <w:vAlign w:val="center"/>
            <w:hideMark/>
          </w:tcPr>
          <w:p w14:paraId="15066A7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7.8</w:t>
            </w:r>
          </w:p>
        </w:tc>
      </w:tr>
      <w:tr w:rsidR="006A2D54" w:rsidRPr="00432465" w14:paraId="51A9FEE3" w14:textId="77777777" w:rsidTr="008602F8">
        <w:trPr>
          <w:trHeight w:val="67"/>
        </w:trPr>
        <w:tc>
          <w:tcPr>
            <w:tcW w:w="0" w:type="auto"/>
            <w:tcBorders>
              <w:top w:val="nil"/>
              <w:left w:val="nil"/>
              <w:bottom w:val="nil"/>
              <w:right w:val="nil"/>
            </w:tcBorders>
            <w:shd w:val="clear" w:color="auto" w:fill="auto"/>
            <w:noWrap/>
            <w:vAlign w:val="center"/>
            <w:hideMark/>
          </w:tcPr>
          <w:p w14:paraId="584F07A4"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6AE4F9E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6D546FF4" w14:textId="7E1CC57E"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5B57DDD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4E6B19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3136B21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A5AC87E" w14:textId="4F093D3E"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[0.98,1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27CA3CB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0.002</w:t>
            </w:r>
          </w:p>
        </w:tc>
        <w:tc>
          <w:tcPr>
            <w:tcW w:w="0" w:type="auto"/>
            <w:tcBorders>
              <w:top w:val="nil"/>
              <w:left w:val="nil"/>
              <w:bottom w:val="nil"/>
              <w:right w:val="nil"/>
            </w:tcBorders>
            <w:shd w:val="clear" w:color="auto" w:fill="auto"/>
            <w:noWrap/>
            <w:vAlign w:val="center"/>
            <w:hideMark/>
          </w:tcPr>
          <w:p w14:paraId="148872D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12.6</w:t>
            </w:r>
          </w:p>
        </w:tc>
      </w:tr>
      <w:tr w:rsidR="006A2D54" w:rsidRPr="00432465" w14:paraId="0365333E" w14:textId="77777777" w:rsidTr="008602F8">
        <w:trPr>
          <w:trHeight w:val="67"/>
        </w:trPr>
        <w:tc>
          <w:tcPr>
            <w:tcW w:w="0" w:type="auto"/>
            <w:tcBorders>
              <w:top w:val="nil"/>
              <w:left w:val="nil"/>
              <w:bottom w:val="nil"/>
              <w:right w:val="nil"/>
            </w:tcBorders>
            <w:shd w:val="clear" w:color="auto" w:fill="auto"/>
            <w:noWrap/>
            <w:vAlign w:val="center"/>
            <w:hideMark/>
          </w:tcPr>
          <w:p w14:paraId="01A43C6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14AF2C5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1F45D4E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5505CDE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AB9755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[0.92,0.95]</w:t>
            </w:r>
          </w:p>
        </w:tc>
        <w:tc>
          <w:tcPr>
            <w:tcW w:w="0" w:type="auto"/>
            <w:tcBorders>
              <w:top w:val="nil"/>
              <w:left w:val="nil"/>
              <w:bottom w:val="nil"/>
              <w:right w:val="nil"/>
            </w:tcBorders>
            <w:shd w:val="clear" w:color="auto" w:fill="auto"/>
            <w:noWrap/>
            <w:vAlign w:val="center"/>
            <w:hideMark/>
          </w:tcPr>
          <w:p w14:paraId="17D77F5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13D2CA8" w14:textId="307F4C04"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62E7132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5D5BA9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10.0</w:t>
            </w:r>
          </w:p>
        </w:tc>
      </w:tr>
      <w:tr w:rsidR="006A2D54" w:rsidRPr="00432465" w14:paraId="71E6F0BA" w14:textId="77777777" w:rsidTr="008602F8">
        <w:trPr>
          <w:trHeight w:val="67"/>
        </w:trPr>
        <w:tc>
          <w:tcPr>
            <w:tcW w:w="0" w:type="auto"/>
            <w:tcBorders>
              <w:top w:val="nil"/>
              <w:left w:val="nil"/>
              <w:bottom w:val="nil"/>
              <w:right w:val="nil"/>
            </w:tcBorders>
            <w:shd w:val="clear" w:color="auto" w:fill="auto"/>
            <w:noWrap/>
            <w:vAlign w:val="center"/>
            <w:hideMark/>
          </w:tcPr>
          <w:p w14:paraId="5C6B7DF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Obesity</w:t>
            </w:r>
          </w:p>
        </w:tc>
        <w:tc>
          <w:tcPr>
            <w:tcW w:w="0" w:type="auto"/>
            <w:tcBorders>
              <w:top w:val="nil"/>
              <w:left w:val="nil"/>
              <w:bottom w:val="nil"/>
              <w:right w:val="nil"/>
            </w:tcBorders>
            <w:shd w:val="clear" w:color="auto" w:fill="auto"/>
            <w:vAlign w:val="center"/>
            <w:hideMark/>
          </w:tcPr>
          <w:p w14:paraId="22CBEED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0496182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0D29618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78FCF0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[0.91,0.97]</w:t>
            </w:r>
          </w:p>
        </w:tc>
        <w:tc>
          <w:tcPr>
            <w:tcW w:w="0" w:type="auto"/>
            <w:tcBorders>
              <w:top w:val="nil"/>
              <w:left w:val="nil"/>
              <w:bottom w:val="nil"/>
              <w:right w:val="nil"/>
            </w:tcBorders>
            <w:shd w:val="clear" w:color="auto" w:fill="auto"/>
            <w:noWrap/>
            <w:vAlign w:val="center"/>
            <w:hideMark/>
          </w:tcPr>
          <w:p w14:paraId="330584C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5C476B9" w14:textId="5B0C2BC9"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0D0B97A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0.114</w:t>
            </w:r>
          </w:p>
        </w:tc>
        <w:tc>
          <w:tcPr>
            <w:tcW w:w="0" w:type="auto"/>
            <w:tcBorders>
              <w:top w:val="nil"/>
              <w:left w:val="nil"/>
              <w:bottom w:val="nil"/>
              <w:right w:val="nil"/>
            </w:tcBorders>
            <w:shd w:val="clear" w:color="auto" w:fill="auto"/>
            <w:noWrap/>
            <w:vAlign w:val="center"/>
            <w:hideMark/>
          </w:tcPr>
          <w:p w14:paraId="10C5089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07991236" w14:textId="77777777" w:rsidTr="008602F8">
        <w:trPr>
          <w:trHeight w:val="67"/>
        </w:trPr>
        <w:tc>
          <w:tcPr>
            <w:tcW w:w="0" w:type="auto"/>
            <w:tcBorders>
              <w:top w:val="nil"/>
              <w:left w:val="nil"/>
              <w:bottom w:val="nil"/>
              <w:right w:val="nil"/>
            </w:tcBorders>
            <w:shd w:val="clear" w:color="auto" w:fill="auto"/>
            <w:noWrap/>
            <w:vAlign w:val="center"/>
            <w:hideMark/>
          </w:tcPr>
          <w:p w14:paraId="43ADFD0A"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04D1510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6D1D948A" w14:textId="30D16484"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0.92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,0.94]</w:t>
            </w:r>
          </w:p>
        </w:tc>
        <w:tc>
          <w:tcPr>
            <w:tcW w:w="0" w:type="auto"/>
            <w:tcBorders>
              <w:top w:val="nil"/>
              <w:left w:val="nil"/>
              <w:bottom w:val="nil"/>
              <w:right w:val="nil"/>
            </w:tcBorders>
            <w:shd w:val="clear" w:color="auto" w:fill="auto"/>
            <w:noWrap/>
            <w:vAlign w:val="center"/>
            <w:hideMark/>
          </w:tcPr>
          <w:p w14:paraId="22D851A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FC1D760" w14:textId="3C874932"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0.92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2A7057F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2EA78C4" w14:textId="69A7106B"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6827C43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0.135</w:t>
            </w:r>
          </w:p>
        </w:tc>
        <w:tc>
          <w:tcPr>
            <w:tcW w:w="0" w:type="auto"/>
            <w:tcBorders>
              <w:top w:val="nil"/>
              <w:left w:val="nil"/>
              <w:bottom w:val="nil"/>
              <w:right w:val="nil"/>
            </w:tcBorders>
            <w:shd w:val="clear" w:color="auto" w:fill="auto"/>
            <w:noWrap/>
            <w:vAlign w:val="center"/>
            <w:hideMark/>
          </w:tcPr>
          <w:p w14:paraId="589FDAC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2EDEF014" w14:textId="77777777" w:rsidTr="008602F8">
        <w:trPr>
          <w:trHeight w:val="67"/>
        </w:trPr>
        <w:tc>
          <w:tcPr>
            <w:tcW w:w="0" w:type="auto"/>
            <w:tcBorders>
              <w:top w:val="nil"/>
              <w:left w:val="nil"/>
              <w:bottom w:val="nil"/>
              <w:right w:val="nil"/>
            </w:tcBorders>
            <w:shd w:val="clear" w:color="auto" w:fill="auto"/>
            <w:noWrap/>
            <w:vAlign w:val="center"/>
            <w:hideMark/>
          </w:tcPr>
          <w:p w14:paraId="165C5625"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6F61899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0BE7DF3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596A07F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3C1165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31826EC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3E1A9F4" w14:textId="7A86B244"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3341DCA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0.029</w:t>
            </w:r>
          </w:p>
        </w:tc>
        <w:tc>
          <w:tcPr>
            <w:tcW w:w="0" w:type="auto"/>
            <w:tcBorders>
              <w:top w:val="nil"/>
              <w:left w:val="nil"/>
              <w:bottom w:val="nil"/>
              <w:right w:val="nil"/>
            </w:tcBorders>
            <w:shd w:val="clear" w:color="auto" w:fill="auto"/>
            <w:noWrap/>
            <w:vAlign w:val="center"/>
            <w:hideMark/>
          </w:tcPr>
          <w:p w14:paraId="00BB5CA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2.6</w:t>
            </w:r>
          </w:p>
        </w:tc>
      </w:tr>
      <w:tr w:rsidR="006A2D54" w:rsidRPr="00432465" w14:paraId="4D34D5DA" w14:textId="77777777" w:rsidTr="008602F8">
        <w:trPr>
          <w:trHeight w:val="67"/>
        </w:trPr>
        <w:tc>
          <w:tcPr>
            <w:tcW w:w="0" w:type="auto"/>
            <w:tcBorders>
              <w:top w:val="nil"/>
              <w:left w:val="nil"/>
              <w:bottom w:val="nil"/>
              <w:right w:val="nil"/>
            </w:tcBorders>
            <w:shd w:val="clear" w:color="auto" w:fill="auto"/>
            <w:noWrap/>
            <w:vAlign w:val="center"/>
            <w:hideMark/>
          </w:tcPr>
          <w:p w14:paraId="39ACEE9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Disability</w:t>
            </w:r>
          </w:p>
        </w:tc>
        <w:tc>
          <w:tcPr>
            <w:tcW w:w="0" w:type="auto"/>
            <w:tcBorders>
              <w:top w:val="nil"/>
              <w:left w:val="nil"/>
              <w:bottom w:val="nil"/>
              <w:right w:val="nil"/>
            </w:tcBorders>
            <w:shd w:val="clear" w:color="auto" w:fill="auto"/>
            <w:vAlign w:val="center"/>
            <w:hideMark/>
          </w:tcPr>
          <w:p w14:paraId="3A499BC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34E970E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7A9CA7A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6D7AC4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7AF9AD2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774D7A8" w14:textId="57778190"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3882394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0.035</w:t>
            </w:r>
          </w:p>
        </w:tc>
        <w:tc>
          <w:tcPr>
            <w:tcW w:w="0" w:type="auto"/>
            <w:tcBorders>
              <w:top w:val="nil"/>
              <w:left w:val="nil"/>
              <w:bottom w:val="nil"/>
              <w:right w:val="nil"/>
            </w:tcBorders>
            <w:shd w:val="clear" w:color="auto" w:fill="auto"/>
            <w:noWrap/>
            <w:vAlign w:val="center"/>
            <w:hideMark/>
          </w:tcPr>
          <w:p w14:paraId="76DB115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3.2</w:t>
            </w:r>
          </w:p>
        </w:tc>
      </w:tr>
      <w:tr w:rsidR="006A2D54" w:rsidRPr="00432465" w14:paraId="0CB52945" w14:textId="77777777" w:rsidTr="008602F8">
        <w:trPr>
          <w:trHeight w:val="67"/>
        </w:trPr>
        <w:tc>
          <w:tcPr>
            <w:tcW w:w="0" w:type="auto"/>
            <w:tcBorders>
              <w:top w:val="nil"/>
              <w:left w:val="nil"/>
              <w:bottom w:val="nil"/>
              <w:right w:val="nil"/>
            </w:tcBorders>
            <w:shd w:val="clear" w:color="auto" w:fill="auto"/>
            <w:noWrap/>
            <w:vAlign w:val="center"/>
            <w:hideMark/>
          </w:tcPr>
          <w:p w14:paraId="7EFCDC4A"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459C09C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0E2F0928" w14:textId="6C09EB99"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3D7F076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D4C5D1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[0.92,0.97]</w:t>
            </w:r>
          </w:p>
        </w:tc>
        <w:tc>
          <w:tcPr>
            <w:tcW w:w="0" w:type="auto"/>
            <w:tcBorders>
              <w:top w:val="nil"/>
              <w:left w:val="nil"/>
              <w:bottom w:val="nil"/>
              <w:right w:val="nil"/>
            </w:tcBorders>
            <w:shd w:val="clear" w:color="auto" w:fill="auto"/>
            <w:noWrap/>
            <w:vAlign w:val="center"/>
            <w:hideMark/>
          </w:tcPr>
          <w:p w14:paraId="059B8D8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B903B0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[0.97,0.99]</w:t>
            </w:r>
          </w:p>
        </w:tc>
        <w:tc>
          <w:tcPr>
            <w:tcW w:w="0" w:type="auto"/>
            <w:tcBorders>
              <w:top w:val="nil"/>
              <w:left w:val="nil"/>
              <w:bottom w:val="nil"/>
              <w:right w:val="nil"/>
            </w:tcBorders>
            <w:shd w:val="clear" w:color="auto" w:fill="auto"/>
            <w:noWrap/>
            <w:vAlign w:val="center"/>
            <w:hideMark/>
          </w:tcPr>
          <w:p w14:paraId="2736032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E23565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25.9</w:t>
            </w:r>
          </w:p>
        </w:tc>
      </w:tr>
      <w:tr w:rsidR="006A2D54" w:rsidRPr="00432465" w14:paraId="112F674C" w14:textId="77777777" w:rsidTr="008602F8">
        <w:trPr>
          <w:trHeight w:val="67"/>
        </w:trPr>
        <w:tc>
          <w:tcPr>
            <w:tcW w:w="0" w:type="auto"/>
            <w:tcBorders>
              <w:top w:val="nil"/>
              <w:left w:val="nil"/>
              <w:bottom w:val="nil"/>
              <w:right w:val="nil"/>
            </w:tcBorders>
            <w:shd w:val="clear" w:color="auto" w:fill="auto"/>
            <w:noWrap/>
            <w:vAlign w:val="center"/>
            <w:hideMark/>
          </w:tcPr>
          <w:p w14:paraId="1CFCFCBB"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3078626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15640CC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[0.91,0.94]</w:t>
            </w:r>
          </w:p>
        </w:tc>
        <w:tc>
          <w:tcPr>
            <w:tcW w:w="0" w:type="auto"/>
            <w:tcBorders>
              <w:top w:val="nil"/>
              <w:left w:val="nil"/>
              <w:bottom w:val="nil"/>
              <w:right w:val="nil"/>
            </w:tcBorders>
            <w:shd w:val="clear" w:color="auto" w:fill="auto"/>
            <w:noWrap/>
            <w:vAlign w:val="center"/>
            <w:hideMark/>
          </w:tcPr>
          <w:p w14:paraId="3A4AA50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CA8DD1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[0.92,0.96]</w:t>
            </w:r>
          </w:p>
        </w:tc>
        <w:tc>
          <w:tcPr>
            <w:tcW w:w="0" w:type="auto"/>
            <w:tcBorders>
              <w:top w:val="nil"/>
              <w:left w:val="nil"/>
              <w:bottom w:val="nil"/>
              <w:right w:val="nil"/>
            </w:tcBorders>
            <w:shd w:val="clear" w:color="auto" w:fill="auto"/>
            <w:noWrap/>
            <w:vAlign w:val="center"/>
            <w:hideMark/>
          </w:tcPr>
          <w:p w14:paraId="5537CC3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8A2780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[0.99,0.99]</w:t>
            </w:r>
          </w:p>
        </w:tc>
        <w:tc>
          <w:tcPr>
            <w:tcW w:w="0" w:type="auto"/>
            <w:tcBorders>
              <w:top w:val="nil"/>
              <w:left w:val="nil"/>
              <w:bottom w:val="nil"/>
              <w:right w:val="nil"/>
            </w:tcBorders>
            <w:shd w:val="clear" w:color="auto" w:fill="auto"/>
            <w:noWrap/>
            <w:vAlign w:val="center"/>
            <w:hideMark/>
          </w:tcPr>
          <w:p w14:paraId="6BE29B4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F6BAF4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14.6</w:t>
            </w:r>
          </w:p>
        </w:tc>
      </w:tr>
      <w:tr w:rsidR="006A2D54" w:rsidRPr="00432465" w14:paraId="49E1EDE0" w14:textId="77777777" w:rsidTr="008602F8">
        <w:trPr>
          <w:trHeight w:val="67"/>
        </w:trPr>
        <w:tc>
          <w:tcPr>
            <w:tcW w:w="0" w:type="auto"/>
            <w:tcBorders>
              <w:top w:val="nil"/>
              <w:left w:val="nil"/>
              <w:bottom w:val="nil"/>
              <w:right w:val="nil"/>
            </w:tcBorders>
            <w:shd w:val="clear" w:color="auto" w:fill="auto"/>
            <w:noWrap/>
            <w:vAlign w:val="center"/>
            <w:hideMark/>
          </w:tcPr>
          <w:p w14:paraId="629A8CD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Mobility</w:t>
            </w:r>
          </w:p>
        </w:tc>
        <w:tc>
          <w:tcPr>
            <w:tcW w:w="0" w:type="auto"/>
            <w:tcBorders>
              <w:top w:val="nil"/>
              <w:left w:val="nil"/>
              <w:bottom w:val="nil"/>
              <w:right w:val="nil"/>
            </w:tcBorders>
            <w:shd w:val="clear" w:color="auto" w:fill="auto"/>
            <w:vAlign w:val="center"/>
            <w:hideMark/>
          </w:tcPr>
          <w:p w14:paraId="5E1B450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57347E6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13E2133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30881C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[0.93,0.98]</w:t>
            </w:r>
          </w:p>
        </w:tc>
        <w:tc>
          <w:tcPr>
            <w:tcW w:w="0" w:type="auto"/>
            <w:tcBorders>
              <w:top w:val="nil"/>
              <w:left w:val="nil"/>
              <w:bottom w:val="nil"/>
              <w:right w:val="nil"/>
            </w:tcBorders>
            <w:shd w:val="clear" w:color="auto" w:fill="auto"/>
            <w:noWrap/>
            <w:vAlign w:val="center"/>
            <w:hideMark/>
          </w:tcPr>
          <w:p w14:paraId="58682DE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FB5B2A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[0.97,0.98]</w:t>
            </w:r>
          </w:p>
        </w:tc>
        <w:tc>
          <w:tcPr>
            <w:tcW w:w="0" w:type="auto"/>
            <w:tcBorders>
              <w:top w:val="nil"/>
              <w:left w:val="nil"/>
              <w:bottom w:val="nil"/>
              <w:right w:val="nil"/>
            </w:tcBorders>
            <w:shd w:val="clear" w:color="auto" w:fill="auto"/>
            <w:noWrap/>
            <w:vAlign w:val="center"/>
            <w:hideMark/>
          </w:tcPr>
          <w:p w14:paraId="6892E82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6E0672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29.9</w:t>
            </w:r>
          </w:p>
        </w:tc>
      </w:tr>
      <w:tr w:rsidR="006A2D54" w:rsidRPr="00432465" w14:paraId="7492A211" w14:textId="77777777" w:rsidTr="008602F8">
        <w:trPr>
          <w:trHeight w:val="67"/>
        </w:trPr>
        <w:tc>
          <w:tcPr>
            <w:tcW w:w="0" w:type="auto"/>
            <w:tcBorders>
              <w:top w:val="nil"/>
              <w:left w:val="nil"/>
              <w:bottom w:val="nil"/>
              <w:right w:val="nil"/>
            </w:tcBorders>
            <w:shd w:val="clear" w:color="auto" w:fill="auto"/>
            <w:noWrap/>
            <w:vAlign w:val="center"/>
            <w:hideMark/>
          </w:tcPr>
          <w:p w14:paraId="7B6F98BE"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0343A03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54664D19" w14:textId="53A05001"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0.92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73A8A03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717FAB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0.96 [0.94,0.99]</w:t>
            </w:r>
          </w:p>
        </w:tc>
        <w:tc>
          <w:tcPr>
            <w:tcW w:w="0" w:type="auto"/>
            <w:tcBorders>
              <w:top w:val="nil"/>
              <w:left w:val="nil"/>
              <w:bottom w:val="nil"/>
              <w:right w:val="nil"/>
            </w:tcBorders>
            <w:shd w:val="clear" w:color="auto" w:fill="auto"/>
            <w:noWrap/>
            <w:vAlign w:val="center"/>
            <w:hideMark/>
          </w:tcPr>
          <w:p w14:paraId="5DF9D49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0.005</w:t>
            </w:r>
          </w:p>
        </w:tc>
        <w:tc>
          <w:tcPr>
            <w:tcW w:w="0" w:type="auto"/>
            <w:tcBorders>
              <w:top w:val="nil"/>
              <w:left w:val="nil"/>
              <w:bottom w:val="nil"/>
              <w:right w:val="nil"/>
            </w:tcBorders>
            <w:shd w:val="clear" w:color="auto" w:fill="auto"/>
            <w:noWrap/>
            <w:vAlign w:val="center"/>
            <w:hideMark/>
          </w:tcPr>
          <w:p w14:paraId="545D485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0.96 [0.95,0.97]</w:t>
            </w:r>
          </w:p>
        </w:tc>
        <w:tc>
          <w:tcPr>
            <w:tcW w:w="0" w:type="auto"/>
            <w:tcBorders>
              <w:top w:val="nil"/>
              <w:left w:val="nil"/>
              <w:bottom w:val="nil"/>
              <w:right w:val="nil"/>
            </w:tcBorders>
            <w:shd w:val="clear" w:color="auto" w:fill="auto"/>
            <w:noWrap/>
            <w:vAlign w:val="center"/>
            <w:hideMark/>
          </w:tcPr>
          <w:p w14:paraId="19AE421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D2A8DE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51.3</w:t>
            </w:r>
          </w:p>
        </w:tc>
      </w:tr>
      <w:tr w:rsidR="006A2D54" w:rsidRPr="00432465" w14:paraId="4637F6C2" w14:textId="77777777" w:rsidTr="008602F8">
        <w:trPr>
          <w:trHeight w:val="67"/>
        </w:trPr>
        <w:tc>
          <w:tcPr>
            <w:tcW w:w="0" w:type="auto"/>
            <w:tcBorders>
              <w:top w:val="nil"/>
              <w:left w:val="nil"/>
              <w:bottom w:val="nil"/>
              <w:right w:val="nil"/>
            </w:tcBorders>
            <w:shd w:val="clear" w:color="auto" w:fill="auto"/>
            <w:noWrap/>
            <w:vAlign w:val="center"/>
            <w:hideMark/>
          </w:tcPr>
          <w:p w14:paraId="38606D7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66557CC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78A0976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[0.91,0.94]</w:t>
            </w:r>
          </w:p>
        </w:tc>
        <w:tc>
          <w:tcPr>
            <w:tcW w:w="0" w:type="auto"/>
            <w:tcBorders>
              <w:top w:val="nil"/>
              <w:left w:val="nil"/>
              <w:bottom w:val="nil"/>
              <w:right w:val="nil"/>
            </w:tcBorders>
            <w:shd w:val="clear" w:color="auto" w:fill="auto"/>
            <w:noWrap/>
            <w:vAlign w:val="center"/>
            <w:hideMark/>
          </w:tcPr>
          <w:p w14:paraId="43DC9A8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121776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[0.94,0.97]</w:t>
            </w:r>
          </w:p>
        </w:tc>
        <w:tc>
          <w:tcPr>
            <w:tcW w:w="0" w:type="auto"/>
            <w:tcBorders>
              <w:top w:val="nil"/>
              <w:left w:val="nil"/>
              <w:bottom w:val="nil"/>
              <w:right w:val="nil"/>
            </w:tcBorders>
            <w:shd w:val="clear" w:color="auto" w:fill="auto"/>
            <w:noWrap/>
            <w:vAlign w:val="center"/>
            <w:hideMark/>
          </w:tcPr>
          <w:p w14:paraId="7BEF5B8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897161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0.97 [0.97,0.98]</w:t>
            </w:r>
          </w:p>
        </w:tc>
        <w:tc>
          <w:tcPr>
            <w:tcW w:w="0" w:type="auto"/>
            <w:tcBorders>
              <w:top w:val="nil"/>
              <w:left w:val="nil"/>
              <w:bottom w:val="nil"/>
              <w:right w:val="nil"/>
            </w:tcBorders>
            <w:shd w:val="clear" w:color="auto" w:fill="auto"/>
            <w:noWrap/>
            <w:vAlign w:val="center"/>
            <w:hideMark/>
          </w:tcPr>
          <w:p w14:paraId="47378A2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8BD036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38.8</w:t>
            </w:r>
          </w:p>
        </w:tc>
      </w:tr>
      <w:tr w:rsidR="006A2D54" w:rsidRPr="00432465" w14:paraId="34AF5C66" w14:textId="77777777" w:rsidTr="008602F8">
        <w:trPr>
          <w:trHeight w:val="67"/>
        </w:trPr>
        <w:tc>
          <w:tcPr>
            <w:tcW w:w="0" w:type="auto"/>
            <w:tcBorders>
              <w:top w:val="nil"/>
              <w:left w:val="nil"/>
              <w:bottom w:val="nil"/>
              <w:right w:val="nil"/>
            </w:tcBorders>
            <w:shd w:val="clear" w:color="auto" w:fill="auto"/>
            <w:noWrap/>
            <w:vAlign w:val="center"/>
            <w:hideMark/>
          </w:tcPr>
          <w:p w14:paraId="6C024BB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Pain/discomfort</w:t>
            </w:r>
          </w:p>
        </w:tc>
        <w:tc>
          <w:tcPr>
            <w:tcW w:w="0" w:type="auto"/>
            <w:tcBorders>
              <w:top w:val="nil"/>
              <w:left w:val="nil"/>
              <w:bottom w:val="nil"/>
              <w:right w:val="nil"/>
            </w:tcBorders>
            <w:shd w:val="clear" w:color="auto" w:fill="auto"/>
            <w:vAlign w:val="center"/>
            <w:hideMark/>
          </w:tcPr>
          <w:p w14:paraId="2F2074A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0B278F7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07B7CAE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0EFF7B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[0.92,0.97]</w:t>
            </w:r>
          </w:p>
        </w:tc>
        <w:tc>
          <w:tcPr>
            <w:tcW w:w="0" w:type="auto"/>
            <w:tcBorders>
              <w:top w:val="nil"/>
              <w:left w:val="nil"/>
              <w:bottom w:val="nil"/>
              <w:right w:val="nil"/>
            </w:tcBorders>
            <w:shd w:val="clear" w:color="auto" w:fill="auto"/>
            <w:noWrap/>
            <w:vAlign w:val="center"/>
            <w:hideMark/>
          </w:tcPr>
          <w:p w14:paraId="00FF856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5AE347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[0.98,0.99]</w:t>
            </w:r>
          </w:p>
        </w:tc>
        <w:tc>
          <w:tcPr>
            <w:tcW w:w="0" w:type="auto"/>
            <w:tcBorders>
              <w:top w:val="nil"/>
              <w:left w:val="nil"/>
              <w:bottom w:val="nil"/>
              <w:right w:val="nil"/>
            </w:tcBorders>
            <w:shd w:val="clear" w:color="auto" w:fill="auto"/>
            <w:noWrap/>
            <w:vAlign w:val="center"/>
            <w:hideMark/>
          </w:tcPr>
          <w:p w14:paraId="671F5D7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952B32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17.6</w:t>
            </w:r>
          </w:p>
        </w:tc>
      </w:tr>
      <w:tr w:rsidR="006A2D54" w:rsidRPr="00432465" w14:paraId="48995711" w14:textId="77777777" w:rsidTr="008602F8">
        <w:trPr>
          <w:trHeight w:val="67"/>
        </w:trPr>
        <w:tc>
          <w:tcPr>
            <w:tcW w:w="0" w:type="auto"/>
            <w:tcBorders>
              <w:top w:val="nil"/>
              <w:left w:val="nil"/>
              <w:bottom w:val="nil"/>
              <w:right w:val="nil"/>
            </w:tcBorders>
            <w:shd w:val="clear" w:color="auto" w:fill="auto"/>
            <w:noWrap/>
            <w:vAlign w:val="center"/>
            <w:hideMark/>
          </w:tcPr>
          <w:p w14:paraId="4678733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15EA089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4E582E05" w14:textId="482A2748"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27EA534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6388AB7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[0.92,0.97]</w:t>
            </w:r>
          </w:p>
        </w:tc>
        <w:tc>
          <w:tcPr>
            <w:tcW w:w="0" w:type="auto"/>
            <w:tcBorders>
              <w:top w:val="nil"/>
              <w:left w:val="nil"/>
              <w:bottom w:val="nil"/>
              <w:right w:val="nil"/>
            </w:tcBorders>
            <w:shd w:val="clear" w:color="auto" w:fill="auto"/>
            <w:noWrap/>
            <w:vAlign w:val="center"/>
            <w:hideMark/>
          </w:tcPr>
          <w:p w14:paraId="0D27FA8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1C3139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[0.97,0.98]</w:t>
            </w:r>
          </w:p>
        </w:tc>
        <w:tc>
          <w:tcPr>
            <w:tcW w:w="0" w:type="auto"/>
            <w:tcBorders>
              <w:top w:val="nil"/>
              <w:left w:val="nil"/>
              <w:bottom w:val="nil"/>
              <w:right w:val="nil"/>
            </w:tcBorders>
            <w:shd w:val="clear" w:color="auto" w:fill="auto"/>
            <w:noWrap/>
            <w:vAlign w:val="center"/>
            <w:hideMark/>
          </w:tcPr>
          <w:p w14:paraId="43D4509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3239F0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31.4</w:t>
            </w:r>
          </w:p>
        </w:tc>
      </w:tr>
      <w:tr w:rsidR="006A2D54" w:rsidRPr="00432465" w14:paraId="1F2B9624" w14:textId="77777777" w:rsidTr="008602F8">
        <w:trPr>
          <w:trHeight w:val="67"/>
        </w:trPr>
        <w:tc>
          <w:tcPr>
            <w:tcW w:w="0" w:type="auto"/>
            <w:tcBorders>
              <w:top w:val="nil"/>
              <w:left w:val="nil"/>
              <w:bottom w:val="nil"/>
              <w:right w:val="nil"/>
            </w:tcBorders>
            <w:shd w:val="clear" w:color="auto" w:fill="auto"/>
            <w:noWrap/>
            <w:vAlign w:val="center"/>
            <w:hideMark/>
          </w:tcPr>
          <w:p w14:paraId="3DADFA7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566FB36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1641508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62BB1F0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FA28DD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[0.93,0.96]</w:t>
            </w:r>
          </w:p>
        </w:tc>
        <w:tc>
          <w:tcPr>
            <w:tcW w:w="0" w:type="auto"/>
            <w:tcBorders>
              <w:top w:val="nil"/>
              <w:left w:val="nil"/>
              <w:bottom w:val="nil"/>
              <w:right w:val="nil"/>
            </w:tcBorders>
            <w:shd w:val="clear" w:color="auto" w:fill="auto"/>
            <w:noWrap/>
            <w:vAlign w:val="center"/>
            <w:hideMark/>
          </w:tcPr>
          <w:p w14:paraId="5A2918D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5AB143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[0.98,0.99]</w:t>
            </w:r>
          </w:p>
        </w:tc>
        <w:tc>
          <w:tcPr>
            <w:tcW w:w="0" w:type="auto"/>
            <w:tcBorders>
              <w:top w:val="nil"/>
              <w:left w:val="nil"/>
              <w:bottom w:val="nil"/>
              <w:right w:val="nil"/>
            </w:tcBorders>
            <w:shd w:val="clear" w:color="auto" w:fill="auto"/>
            <w:noWrap/>
            <w:vAlign w:val="center"/>
            <w:hideMark/>
          </w:tcPr>
          <w:p w14:paraId="3F32BA6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826AF9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23.6</w:t>
            </w:r>
          </w:p>
        </w:tc>
      </w:tr>
      <w:tr w:rsidR="006A2D54" w:rsidRPr="00432465" w14:paraId="3B3BFF1B" w14:textId="77777777" w:rsidTr="008602F8">
        <w:trPr>
          <w:trHeight w:val="67"/>
        </w:trPr>
        <w:tc>
          <w:tcPr>
            <w:tcW w:w="0" w:type="auto"/>
            <w:tcBorders>
              <w:top w:val="nil"/>
              <w:left w:val="nil"/>
              <w:bottom w:val="nil"/>
              <w:right w:val="nil"/>
            </w:tcBorders>
            <w:shd w:val="clear" w:color="auto" w:fill="auto"/>
            <w:noWrap/>
            <w:vAlign w:val="center"/>
            <w:hideMark/>
          </w:tcPr>
          <w:p w14:paraId="662BABD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Sleep/energy</w:t>
            </w:r>
          </w:p>
        </w:tc>
        <w:tc>
          <w:tcPr>
            <w:tcW w:w="0" w:type="auto"/>
            <w:tcBorders>
              <w:top w:val="nil"/>
              <w:left w:val="nil"/>
              <w:bottom w:val="nil"/>
              <w:right w:val="nil"/>
            </w:tcBorders>
            <w:shd w:val="clear" w:color="auto" w:fill="auto"/>
            <w:vAlign w:val="center"/>
            <w:hideMark/>
          </w:tcPr>
          <w:p w14:paraId="346BF28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2C44115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4A5915F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6AC476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[0.92,0.97]</w:t>
            </w:r>
          </w:p>
        </w:tc>
        <w:tc>
          <w:tcPr>
            <w:tcW w:w="0" w:type="auto"/>
            <w:tcBorders>
              <w:top w:val="nil"/>
              <w:left w:val="nil"/>
              <w:bottom w:val="nil"/>
              <w:right w:val="nil"/>
            </w:tcBorders>
            <w:shd w:val="clear" w:color="auto" w:fill="auto"/>
            <w:noWrap/>
            <w:vAlign w:val="center"/>
            <w:hideMark/>
          </w:tcPr>
          <w:p w14:paraId="2A3CD7E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B3347F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[0.98,0.99]</w:t>
            </w:r>
          </w:p>
        </w:tc>
        <w:tc>
          <w:tcPr>
            <w:tcW w:w="0" w:type="auto"/>
            <w:tcBorders>
              <w:top w:val="nil"/>
              <w:left w:val="nil"/>
              <w:bottom w:val="nil"/>
              <w:right w:val="nil"/>
            </w:tcBorders>
            <w:shd w:val="clear" w:color="auto" w:fill="auto"/>
            <w:noWrap/>
            <w:vAlign w:val="center"/>
            <w:hideMark/>
          </w:tcPr>
          <w:p w14:paraId="795D2F3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6E9325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23.0</w:t>
            </w:r>
          </w:p>
        </w:tc>
      </w:tr>
      <w:tr w:rsidR="006A2D54" w:rsidRPr="00432465" w14:paraId="1A729670" w14:textId="77777777" w:rsidTr="008602F8">
        <w:trPr>
          <w:trHeight w:val="67"/>
        </w:trPr>
        <w:tc>
          <w:tcPr>
            <w:tcW w:w="0" w:type="auto"/>
            <w:tcBorders>
              <w:top w:val="nil"/>
              <w:left w:val="nil"/>
              <w:bottom w:val="nil"/>
              <w:right w:val="nil"/>
            </w:tcBorders>
            <w:shd w:val="clear" w:color="auto" w:fill="auto"/>
            <w:noWrap/>
            <w:vAlign w:val="center"/>
            <w:hideMark/>
          </w:tcPr>
          <w:p w14:paraId="07B672B3"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7D5ADFD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224B333F" w14:textId="1431C4BC"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0.92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39F9CB6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EFE291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[0.91,0.97]</w:t>
            </w:r>
          </w:p>
        </w:tc>
        <w:tc>
          <w:tcPr>
            <w:tcW w:w="0" w:type="auto"/>
            <w:tcBorders>
              <w:top w:val="nil"/>
              <w:left w:val="nil"/>
              <w:bottom w:val="nil"/>
              <w:right w:val="nil"/>
            </w:tcBorders>
            <w:shd w:val="clear" w:color="auto" w:fill="auto"/>
            <w:noWrap/>
            <w:vAlign w:val="center"/>
            <w:hideMark/>
          </w:tcPr>
          <w:p w14:paraId="377BCB1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32B533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[0.98,0.99]</w:t>
            </w:r>
          </w:p>
        </w:tc>
        <w:tc>
          <w:tcPr>
            <w:tcW w:w="0" w:type="auto"/>
            <w:tcBorders>
              <w:top w:val="nil"/>
              <w:left w:val="nil"/>
              <w:bottom w:val="nil"/>
              <w:right w:val="nil"/>
            </w:tcBorders>
            <w:shd w:val="clear" w:color="auto" w:fill="auto"/>
            <w:noWrap/>
            <w:vAlign w:val="center"/>
            <w:hideMark/>
          </w:tcPr>
          <w:p w14:paraId="5023B28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485C21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21.4</w:t>
            </w:r>
          </w:p>
        </w:tc>
      </w:tr>
      <w:tr w:rsidR="006A2D54" w:rsidRPr="00432465" w14:paraId="3FCD8C72" w14:textId="77777777" w:rsidTr="008602F8">
        <w:trPr>
          <w:trHeight w:val="67"/>
        </w:trPr>
        <w:tc>
          <w:tcPr>
            <w:tcW w:w="0" w:type="auto"/>
            <w:tcBorders>
              <w:top w:val="nil"/>
              <w:left w:val="nil"/>
              <w:bottom w:val="nil"/>
              <w:right w:val="nil"/>
            </w:tcBorders>
            <w:shd w:val="clear" w:color="auto" w:fill="auto"/>
            <w:noWrap/>
            <w:vAlign w:val="center"/>
            <w:hideMark/>
          </w:tcPr>
          <w:p w14:paraId="39020A20"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1E4B336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45FF149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[0.91,0.94]</w:t>
            </w:r>
          </w:p>
        </w:tc>
        <w:tc>
          <w:tcPr>
            <w:tcW w:w="0" w:type="auto"/>
            <w:tcBorders>
              <w:top w:val="nil"/>
              <w:left w:val="nil"/>
              <w:bottom w:val="nil"/>
              <w:right w:val="nil"/>
            </w:tcBorders>
            <w:shd w:val="clear" w:color="auto" w:fill="auto"/>
            <w:noWrap/>
            <w:vAlign w:val="center"/>
            <w:hideMark/>
          </w:tcPr>
          <w:p w14:paraId="65C4A99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4ABA29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[0.93,0.96]</w:t>
            </w:r>
          </w:p>
        </w:tc>
        <w:tc>
          <w:tcPr>
            <w:tcW w:w="0" w:type="auto"/>
            <w:tcBorders>
              <w:top w:val="nil"/>
              <w:left w:val="nil"/>
              <w:bottom w:val="nil"/>
              <w:right w:val="nil"/>
            </w:tcBorders>
            <w:shd w:val="clear" w:color="auto" w:fill="auto"/>
            <w:noWrap/>
            <w:vAlign w:val="center"/>
            <w:hideMark/>
          </w:tcPr>
          <w:p w14:paraId="078910F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305C773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[0.98,0.99]</w:t>
            </w:r>
          </w:p>
        </w:tc>
        <w:tc>
          <w:tcPr>
            <w:tcW w:w="0" w:type="auto"/>
            <w:tcBorders>
              <w:top w:val="nil"/>
              <w:left w:val="nil"/>
              <w:bottom w:val="nil"/>
              <w:right w:val="nil"/>
            </w:tcBorders>
            <w:shd w:val="clear" w:color="auto" w:fill="auto"/>
            <w:noWrap/>
            <w:vAlign w:val="center"/>
            <w:hideMark/>
          </w:tcPr>
          <w:p w14:paraId="6657897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741BBC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21.8</w:t>
            </w:r>
          </w:p>
        </w:tc>
      </w:tr>
      <w:tr w:rsidR="006A2D54" w:rsidRPr="00432465" w14:paraId="0D9D3AE8" w14:textId="77777777" w:rsidTr="008602F8">
        <w:trPr>
          <w:trHeight w:val="67"/>
        </w:trPr>
        <w:tc>
          <w:tcPr>
            <w:tcW w:w="0" w:type="auto"/>
            <w:tcBorders>
              <w:top w:val="nil"/>
              <w:left w:val="nil"/>
              <w:bottom w:val="nil"/>
              <w:right w:val="nil"/>
            </w:tcBorders>
            <w:shd w:val="clear" w:color="auto" w:fill="auto"/>
            <w:noWrap/>
            <w:vAlign w:val="center"/>
            <w:hideMark/>
          </w:tcPr>
          <w:p w14:paraId="4B91D25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Cognition</w:t>
            </w:r>
          </w:p>
        </w:tc>
        <w:tc>
          <w:tcPr>
            <w:tcW w:w="0" w:type="auto"/>
            <w:tcBorders>
              <w:top w:val="nil"/>
              <w:left w:val="nil"/>
              <w:bottom w:val="nil"/>
              <w:right w:val="nil"/>
            </w:tcBorders>
            <w:shd w:val="clear" w:color="auto" w:fill="auto"/>
            <w:vAlign w:val="center"/>
            <w:hideMark/>
          </w:tcPr>
          <w:p w14:paraId="3440620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24FC6B8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02B5BF2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17251D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[0.92,0.97]</w:t>
            </w:r>
          </w:p>
        </w:tc>
        <w:tc>
          <w:tcPr>
            <w:tcW w:w="0" w:type="auto"/>
            <w:tcBorders>
              <w:top w:val="nil"/>
              <w:left w:val="nil"/>
              <w:bottom w:val="nil"/>
              <w:right w:val="nil"/>
            </w:tcBorders>
            <w:shd w:val="clear" w:color="auto" w:fill="auto"/>
            <w:noWrap/>
            <w:vAlign w:val="center"/>
            <w:hideMark/>
          </w:tcPr>
          <w:p w14:paraId="69B9B04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13AD174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[0.98,0.99]</w:t>
            </w:r>
          </w:p>
        </w:tc>
        <w:tc>
          <w:tcPr>
            <w:tcW w:w="0" w:type="auto"/>
            <w:tcBorders>
              <w:top w:val="nil"/>
              <w:left w:val="nil"/>
              <w:bottom w:val="nil"/>
              <w:right w:val="nil"/>
            </w:tcBorders>
            <w:shd w:val="clear" w:color="auto" w:fill="auto"/>
            <w:noWrap/>
            <w:vAlign w:val="center"/>
            <w:hideMark/>
          </w:tcPr>
          <w:p w14:paraId="72628CB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9BDB38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21.7</w:t>
            </w:r>
          </w:p>
        </w:tc>
      </w:tr>
      <w:tr w:rsidR="006A2D54" w:rsidRPr="00432465" w14:paraId="14C810F3" w14:textId="77777777" w:rsidTr="008602F8">
        <w:trPr>
          <w:trHeight w:val="67"/>
        </w:trPr>
        <w:tc>
          <w:tcPr>
            <w:tcW w:w="0" w:type="auto"/>
            <w:tcBorders>
              <w:top w:val="nil"/>
              <w:left w:val="nil"/>
              <w:bottom w:val="nil"/>
              <w:right w:val="nil"/>
            </w:tcBorders>
            <w:shd w:val="clear" w:color="auto" w:fill="auto"/>
            <w:noWrap/>
            <w:vAlign w:val="center"/>
            <w:hideMark/>
          </w:tcPr>
          <w:p w14:paraId="63E9893B"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11428A0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40B70AF6" w14:textId="689022A3"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w:t>
            </w:r>
            <w:r w:rsidR="006A2D54">
              <w:rPr>
                <w:rFonts w:eastAsia="Times New Roman" w:cs="Times New Roman"/>
                <w:color w:val="000000"/>
                <w:sz w:val="22"/>
                <w:szCs w:val="22"/>
                <w:lang w:eastAsia="ja-JP"/>
              </w:rPr>
              <w:t>0</w:t>
            </w:r>
            <w:r w:rsidRPr="00432465">
              <w:rPr>
                <w:rFonts w:eastAsia="Times New Roman" w:cs="Times New Roman"/>
                <w:color w:val="000000"/>
                <w:sz w:val="22"/>
                <w:szCs w:val="22"/>
                <w:lang w:eastAsia="ja-JP"/>
              </w:rPr>
              <w:t>,0.95]</w:t>
            </w:r>
          </w:p>
        </w:tc>
        <w:tc>
          <w:tcPr>
            <w:tcW w:w="0" w:type="auto"/>
            <w:tcBorders>
              <w:top w:val="nil"/>
              <w:left w:val="nil"/>
              <w:bottom w:val="nil"/>
              <w:right w:val="nil"/>
            </w:tcBorders>
            <w:shd w:val="clear" w:color="auto" w:fill="auto"/>
            <w:noWrap/>
            <w:vAlign w:val="center"/>
            <w:hideMark/>
          </w:tcPr>
          <w:p w14:paraId="492C4AF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344F07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[0.93,0.98]</w:t>
            </w:r>
          </w:p>
        </w:tc>
        <w:tc>
          <w:tcPr>
            <w:tcW w:w="0" w:type="auto"/>
            <w:tcBorders>
              <w:top w:val="nil"/>
              <w:left w:val="nil"/>
              <w:bottom w:val="nil"/>
              <w:right w:val="nil"/>
            </w:tcBorders>
            <w:shd w:val="clear" w:color="auto" w:fill="auto"/>
            <w:noWrap/>
            <w:vAlign w:val="center"/>
            <w:hideMark/>
          </w:tcPr>
          <w:p w14:paraId="46CB214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9C7DB1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0.97 [0.97,0.98]</w:t>
            </w:r>
          </w:p>
        </w:tc>
        <w:tc>
          <w:tcPr>
            <w:tcW w:w="0" w:type="auto"/>
            <w:tcBorders>
              <w:top w:val="nil"/>
              <w:left w:val="nil"/>
              <w:bottom w:val="nil"/>
              <w:right w:val="nil"/>
            </w:tcBorders>
            <w:shd w:val="clear" w:color="auto" w:fill="auto"/>
            <w:noWrap/>
            <w:vAlign w:val="center"/>
            <w:hideMark/>
          </w:tcPr>
          <w:p w14:paraId="032D9DD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80DCEE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34.8</w:t>
            </w:r>
          </w:p>
        </w:tc>
      </w:tr>
      <w:tr w:rsidR="006A2D54" w:rsidRPr="00432465" w14:paraId="1CCCDD44" w14:textId="77777777" w:rsidTr="008602F8">
        <w:trPr>
          <w:trHeight w:val="67"/>
        </w:trPr>
        <w:tc>
          <w:tcPr>
            <w:tcW w:w="0" w:type="auto"/>
            <w:tcBorders>
              <w:top w:val="nil"/>
              <w:left w:val="nil"/>
              <w:bottom w:val="nil"/>
              <w:right w:val="nil"/>
            </w:tcBorders>
            <w:shd w:val="clear" w:color="auto" w:fill="auto"/>
            <w:noWrap/>
            <w:vAlign w:val="center"/>
            <w:hideMark/>
          </w:tcPr>
          <w:p w14:paraId="5A3F033F"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3E6C75B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nil"/>
              <w:right w:val="nil"/>
            </w:tcBorders>
            <w:shd w:val="clear" w:color="auto" w:fill="auto"/>
            <w:noWrap/>
            <w:vAlign w:val="center"/>
            <w:hideMark/>
          </w:tcPr>
          <w:p w14:paraId="61EBFBB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352565D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76C0BD5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0.95 [0.93,0.96]</w:t>
            </w:r>
          </w:p>
        </w:tc>
        <w:tc>
          <w:tcPr>
            <w:tcW w:w="0" w:type="auto"/>
            <w:tcBorders>
              <w:top w:val="nil"/>
              <w:left w:val="nil"/>
              <w:bottom w:val="nil"/>
              <w:right w:val="nil"/>
            </w:tcBorders>
            <w:shd w:val="clear" w:color="auto" w:fill="auto"/>
            <w:noWrap/>
            <w:vAlign w:val="center"/>
            <w:hideMark/>
          </w:tcPr>
          <w:p w14:paraId="5B2BF94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107412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0.98 [0.98,0.98]</w:t>
            </w:r>
          </w:p>
        </w:tc>
        <w:tc>
          <w:tcPr>
            <w:tcW w:w="0" w:type="auto"/>
            <w:tcBorders>
              <w:top w:val="nil"/>
              <w:left w:val="nil"/>
              <w:bottom w:val="nil"/>
              <w:right w:val="nil"/>
            </w:tcBorders>
            <w:shd w:val="clear" w:color="auto" w:fill="auto"/>
            <w:noWrap/>
            <w:vAlign w:val="center"/>
            <w:hideMark/>
          </w:tcPr>
          <w:p w14:paraId="4E5B7AF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68A257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27.3</w:t>
            </w:r>
          </w:p>
        </w:tc>
      </w:tr>
      <w:tr w:rsidR="006A2D54" w:rsidRPr="00432465" w14:paraId="1311C6A7" w14:textId="77777777" w:rsidTr="008602F8">
        <w:trPr>
          <w:trHeight w:val="67"/>
        </w:trPr>
        <w:tc>
          <w:tcPr>
            <w:tcW w:w="0" w:type="auto"/>
            <w:tcBorders>
              <w:top w:val="nil"/>
              <w:left w:val="nil"/>
              <w:bottom w:val="nil"/>
              <w:right w:val="nil"/>
            </w:tcBorders>
            <w:shd w:val="clear" w:color="auto" w:fill="auto"/>
            <w:noWrap/>
            <w:vAlign w:val="center"/>
            <w:hideMark/>
          </w:tcPr>
          <w:p w14:paraId="7A513DA9" w14:textId="77777777" w:rsidR="00432465" w:rsidRPr="00432465" w:rsidRDefault="00432465" w:rsidP="00432465">
            <w:pPr>
              <w:rPr>
                <w:rFonts w:eastAsia="Times New Roman" w:cs="Times New Roman"/>
                <w:color w:val="000000"/>
                <w:lang w:eastAsia="ja-JP"/>
              </w:rPr>
            </w:pPr>
            <w:r w:rsidRPr="00432465">
              <w:rPr>
                <w:rFonts w:eastAsia="Times New Roman" w:cs="Times New Roman"/>
                <w:color w:val="000000"/>
                <w:lang w:eastAsia="ja-JP"/>
              </w:rPr>
              <w:t>Physical activity</w:t>
            </w:r>
          </w:p>
        </w:tc>
        <w:tc>
          <w:tcPr>
            <w:tcW w:w="0" w:type="auto"/>
            <w:tcBorders>
              <w:top w:val="nil"/>
              <w:left w:val="nil"/>
              <w:bottom w:val="nil"/>
              <w:right w:val="nil"/>
            </w:tcBorders>
            <w:shd w:val="clear" w:color="auto" w:fill="auto"/>
            <w:vAlign w:val="center"/>
            <w:hideMark/>
          </w:tcPr>
          <w:p w14:paraId="19B772EF"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50-64</w:t>
            </w:r>
          </w:p>
        </w:tc>
        <w:tc>
          <w:tcPr>
            <w:tcW w:w="0" w:type="auto"/>
            <w:tcBorders>
              <w:top w:val="nil"/>
              <w:left w:val="nil"/>
              <w:bottom w:val="nil"/>
              <w:right w:val="nil"/>
            </w:tcBorders>
            <w:shd w:val="clear" w:color="auto" w:fill="auto"/>
            <w:noWrap/>
            <w:vAlign w:val="center"/>
            <w:hideMark/>
          </w:tcPr>
          <w:p w14:paraId="2DC0FC1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5F93B9D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414D9C3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[0.91,0.96]</w:t>
            </w:r>
          </w:p>
        </w:tc>
        <w:tc>
          <w:tcPr>
            <w:tcW w:w="0" w:type="auto"/>
            <w:tcBorders>
              <w:top w:val="nil"/>
              <w:left w:val="nil"/>
              <w:bottom w:val="nil"/>
              <w:right w:val="nil"/>
            </w:tcBorders>
            <w:shd w:val="clear" w:color="auto" w:fill="auto"/>
            <w:noWrap/>
            <w:vAlign w:val="center"/>
            <w:hideMark/>
          </w:tcPr>
          <w:p w14:paraId="596EB069"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0672A276" w14:textId="0811BEC3"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76CF3512"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0.914</w:t>
            </w:r>
          </w:p>
        </w:tc>
        <w:tc>
          <w:tcPr>
            <w:tcW w:w="0" w:type="auto"/>
            <w:tcBorders>
              <w:top w:val="nil"/>
              <w:left w:val="nil"/>
              <w:bottom w:val="nil"/>
              <w:right w:val="nil"/>
            </w:tcBorders>
            <w:shd w:val="clear" w:color="auto" w:fill="auto"/>
            <w:noWrap/>
            <w:vAlign w:val="center"/>
            <w:hideMark/>
          </w:tcPr>
          <w:p w14:paraId="0633FA3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NA</w:t>
            </w:r>
          </w:p>
        </w:tc>
      </w:tr>
      <w:tr w:rsidR="006A2D54" w:rsidRPr="00432465" w14:paraId="50FCB502" w14:textId="77777777" w:rsidTr="008602F8">
        <w:trPr>
          <w:trHeight w:val="67"/>
        </w:trPr>
        <w:tc>
          <w:tcPr>
            <w:tcW w:w="0" w:type="auto"/>
            <w:tcBorders>
              <w:top w:val="nil"/>
              <w:left w:val="nil"/>
              <w:bottom w:val="nil"/>
              <w:right w:val="nil"/>
            </w:tcBorders>
            <w:shd w:val="clear" w:color="auto" w:fill="auto"/>
            <w:noWrap/>
            <w:vAlign w:val="center"/>
            <w:hideMark/>
          </w:tcPr>
          <w:p w14:paraId="2BFEA586" w14:textId="77777777" w:rsidR="00432465" w:rsidRPr="00432465" w:rsidRDefault="00432465" w:rsidP="00432465">
            <w:pPr>
              <w:rPr>
                <w:rFonts w:eastAsia="Times New Roman" w:cs="Times New Roman"/>
                <w:color w:val="000000"/>
                <w:sz w:val="22"/>
                <w:szCs w:val="22"/>
                <w:lang w:eastAsia="ja-JP"/>
              </w:rPr>
            </w:pPr>
          </w:p>
        </w:tc>
        <w:tc>
          <w:tcPr>
            <w:tcW w:w="0" w:type="auto"/>
            <w:tcBorders>
              <w:top w:val="nil"/>
              <w:left w:val="nil"/>
              <w:bottom w:val="nil"/>
              <w:right w:val="nil"/>
            </w:tcBorders>
            <w:shd w:val="clear" w:color="auto" w:fill="auto"/>
            <w:vAlign w:val="center"/>
            <w:hideMark/>
          </w:tcPr>
          <w:p w14:paraId="6320C9A3"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≥65</w:t>
            </w:r>
          </w:p>
        </w:tc>
        <w:tc>
          <w:tcPr>
            <w:tcW w:w="0" w:type="auto"/>
            <w:tcBorders>
              <w:top w:val="nil"/>
              <w:left w:val="nil"/>
              <w:bottom w:val="nil"/>
              <w:right w:val="nil"/>
            </w:tcBorders>
            <w:shd w:val="clear" w:color="auto" w:fill="auto"/>
            <w:noWrap/>
            <w:vAlign w:val="center"/>
            <w:hideMark/>
          </w:tcPr>
          <w:p w14:paraId="7BE468C0"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nil"/>
              <w:right w:val="nil"/>
            </w:tcBorders>
            <w:shd w:val="clear" w:color="auto" w:fill="auto"/>
            <w:noWrap/>
            <w:vAlign w:val="center"/>
            <w:hideMark/>
          </w:tcPr>
          <w:p w14:paraId="0493753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28050611"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0.94 [0.91,0.96]</w:t>
            </w:r>
          </w:p>
        </w:tc>
        <w:tc>
          <w:tcPr>
            <w:tcW w:w="0" w:type="auto"/>
            <w:tcBorders>
              <w:top w:val="nil"/>
              <w:left w:val="nil"/>
              <w:bottom w:val="nil"/>
              <w:right w:val="nil"/>
            </w:tcBorders>
            <w:shd w:val="clear" w:color="auto" w:fill="auto"/>
            <w:noWrap/>
            <w:vAlign w:val="center"/>
            <w:hideMark/>
          </w:tcPr>
          <w:p w14:paraId="63C68567"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nil"/>
              <w:right w:val="nil"/>
            </w:tcBorders>
            <w:shd w:val="clear" w:color="auto" w:fill="auto"/>
            <w:noWrap/>
            <w:vAlign w:val="center"/>
            <w:hideMark/>
          </w:tcPr>
          <w:p w14:paraId="51F8A858" w14:textId="2BCFE67A"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0.99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nil"/>
              <w:right w:val="nil"/>
            </w:tcBorders>
            <w:shd w:val="clear" w:color="auto" w:fill="auto"/>
            <w:noWrap/>
            <w:vAlign w:val="center"/>
            <w:hideMark/>
          </w:tcPr>
          <w:p w14:paraId="4B5F0F56"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0.001</w:t>
            </w:r>
          </w:p>
        </w:tc>
        <w:tc>
          <w:tcPr>
            <w:tcW w:w="0" w:type="auto"/>
            <w:tcBorders>
              <w:top w:val="nil"/>
              <w:left w:val="nil"/>
              <w:bottom w:val="nil"/>
              <w:right w:val="nil"/>
            </w:tcBorders>
            <w:shd w:val="clear" w:color="auto" w:fill="auto"/>
            <w:noWrap/>
            <w:vAlign w:val="center"/>
            <w:hideMark/>
          </w:tcPr>
          <w:p w14:paraId="18DC2824"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12.5</w:t>
            </w:r>
          </w:p>
        </w:tc>
      </w:tr>
      <w:tr w:rsidR="006A2D54" w:rsidRPr="00432465" w14:paraId="04B9D9C3" w14:textId="77777777" w:rsidTr="008602F8">
        <w:trPr>
          <w:trHeight w:val="67"/>
        </w:trPr>
        <w:tc>
          <w:tcPr>
            <w:tcW w:w="0" w:type="auto"/>
            <w:tcBorders>
              <w:top w:val="nil"/>
              <w:left w:val="nil"/>
              <w:bottom w:val="single" w:sz="4" w:space="0" w:color="auto"/>
              <w:right w:val="nil"/>
            </w:tcBorders>
            <w:shd w:val="clear" w:color="auto" w:fill="auto"/>
            <w:noWrap/>
            <w:vAlign w:val="center"/>
            <w:hideMark/>
          </w:tcPr>
          <w:p w14:paraId="09B8F5F5" w14:textId="77777777" w:rsidR="00432465" w:rsidRPr="00432465" w:rsidRDefault="00432465" w:rsidP="00432465">
            <w:pPr>
              <w:rPr>
                <w:rFonts w:ascii="Courier New" w:eastAsia="Times New Roman" w:hAnsi="Courier New" w:cs="Courier New"/>
                <w:color w:val="000000"/>
                <w:lang w:eastAsia="ja-JP"/>
              </w:rPr>
            </w:pPr>
            <w:r w:rsidRPr="00432465">
              <w:rPr>
                <w:rFonts w:ascii="Courier New" w:eastAsia="Times New Roman" w:hAnsi="Courier New" w:cs="Courier New"/>
                <w:color w:val="000000"/>
                <w:lang w:eastAsia="ja-JP"/>
              </w:rPr>
              <w:t> </w:t>
            </w:r>
          </w:p>
        </w:tc>
        <w:tc>
          <w:tcPr>
            <w:tcW w:w="0" w:type="auto"/>
            <w:tcBorders>
              <w:top w:val="nil"/>
              <w:left w:val="nil"/>
              <w:bottom w:val="single" w:sz="4" w:space="0" w:color="auto"/>
              <w:right w:val="nil"/>
            </w:tcBorders>
            <w:shd w:val="clear" w:color="auto" w:fill="auto"/>
            <w:vAlign w:val="center"/>
            <w:hideMark/>
          </w:tcPr>
          <w:p w14:paraId="17C05E85"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val="en-GB" w:eastAsia="ja-JP"/>
              </w:rPr>
              <w:t>All</w:t>
            </w:r>
          </w:p>
        </w:tc>
        <w:tc>
          <w:tcPr>
            <w:tcW w:w="0" w:type="auto"/>
            <w:tcBorders>
              <w:top w:val="nil"/>
              <w:left w:val="nil"/>
              <w:bottom w:val="single" w:sz="4" w:space="0" w:color="auto"/>
              <w:right w:val="nil"/>
            </w:tcBorders>
            <w:shd w:val="clear" w:color="auto" w:fill="auto"/>
            <w:noWrap/>
            <w:vAlign w:val="center"/>
            <w:hideMark/>
          </w:tcPr>
          <w:p w14:paraId="49F6D5BB"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[0.91,0.95]</w:t>
            </w:r>
          </w:p>
        </w:tc>
        <w:tc>
          <w:tcPr>
            <w:tcW w:w="0" w:type="auto"/>
            <w:tcBorders>
              <w:top w:val="nil"/>
              <w:left w:val="nil"/>
              <w:bottom w:val="single" w:sz="4" w:space="0" w:color="auto"/>
              <w:right w:val="nil"/>
            </w:tcBorders>
            <w:shd w:val="clear" w:color="auto" w:fill="auto"/>
            <w:noWrap/>
            <w:vAlign w:val="center"/>
            <w:hideMark/>
          </w:tcPr>
          <w:p w14:paraId="1D72305E"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single" w:sz="4" w:space="0" w:color="auto"/>
              <w:right w:val="nil"/>
            </w:tcBorders>
            <w:shd w:val="clear" w:color="auto" w:fill="auto"/>
            <w:noWrap/>
            <w:vAlign w:val="center"/>
            <w:hideMark/>
          </w:tcPr>
          <w:p w14:paraId="40B639ED"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0.93 [0.92,0.95]</w:t>
            </w:r>
          </w:p>
        </w:tc>
        <w:tc>
          <w:tcPr>
            <w:tcW w:w="0" w:type="auto"/>
            <w:tcBorders>
              <w:top w:val="nil"/>
              <w:left w:val="nil"/>
              <w:bottom w:val="single" w:sz="4" w:space="0" w:color="auto"/>
              <w:right w:val="nil"/>
            </w:tcBorders>
            <w:shd w:val="clear" w:color="auto" w:fill="auto"/>
            <w:noWrap/>
            <w:vAlign w:val="center"/>
            <w:hideMark/>
          </w:tcPr>
          <w:p w14:paraId="29D90048"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&lt;0.001</w:t>
            </w:r>
          </w:p>
        </w:tc>
        <w:tc>
          <w:tcPr>
            <w:tcW w:w="0" w:type="auto"/>
            <w:tcBorders>
              <w:top w:val="nil"/>
              <w:left w:val="nil"/>
              <w:bottom w:val="single" w:sz="4" w:space="0" w:color="auto"/>
              <w:right w:val="nil"/>
            </w:tcBorders>
            <w:shd w:val="clear" w:color="auto" w:fill="auto"/>
            <w:noWrap/>
            <w:vAlign w:val="center"/>
            <w:hideMark/>
          </w:tcPr>
          <w:p w14:paraId="04EC9311" w14:textId="11F940C0"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 xml:space="preserve"> [0.99,1</w:t>
            </w:r>
            <w:r w:rsidR="006A2D54">
              <w:rPr>
                <w:rFonts w:eastAsia="Times New Roman" w:cs="Times New Roman"/>
                <w:color w:val="000000"/>
                <w:sz w:val="22"/>
                <w:szCs w:val="22"/>
                <w:lang w:eastAsia="ja-JP"/>
              </w:rPr>
              <w:t>.00</w:t>
            </w:r>
            <w:r w:rsidRPr="00432465">
              <w:rPr>
                <w:rFonts w:eastAsia="Times New Roman" w:cs="Times New Roman"/>
                <w:color w:val="000000"/>
                <w:sz w:val="22"/>
                <w:szCs w:val="22"/>
                <w:lang w:eastAsia="ja-JP"/>
              </w:rPr>
              <w:t>]</w:t>
            </w:r>
          </w:p>
        </w:tc>
        <w:tc>
          <w:tcPr>
            <w:tcW w:w="0" w:type="auto"/>
            <w:tcBorders>
              <w:top w:val="nil"/>
              <w:left w:val="nil"/>
              <w:bottom w:val="single" w:sz="4" w:space="0" w:color="auto"/>
              <w:right w:val="nil"/>
            </w:tcBorders>
            <w:shd w:val="clear" w:color="auto" w:fill="auto"/>
            <w:noWrap/>
            <w:vAlign w:val="center"/>
            <w:hideMark/>
          </w:tcPr>
          <w:p w14:paraId="02D29C8A"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0.015</w:t>
            </w:r>
          </w:p>
        </w:tc>
        <w:tc>
          <w:tcPr>
            <w:tcW w:w="0" w:type="auto"/>
            <w:tcBorders>
              <w:top w:val="nil"/>
              <w:left w:val="nil"/>
              <w:bottom w:val="single" w:sz="4" w:space="0" w:color="auto"/>
              <w:right w:val="nil"/>
            </w:tcBorders>
            <w:shd w:val="clear" w:color="auto" w:fill="auto"/>
            <w:noWrap/>
            <w:vAlign w:val="center"/>
            <w:hideMark/>
          </w:tcPr>
          <w:p w14:paraId="64CC17CC" w14:textId="77777777" w:rsidR="00432465" w:rsidRPr="00432465" w:rsidRDefault="00432465" w:rsidP="00432465">
            <w:pPr>
              <w:rPr>
                <w:rFonts w:eastAsia="Times New Roman" w:cs="Times New Roman"/>
                <w:color w:val="000000"/>
                <w:sz w:val="22"/>
                <w:szCs w:val="22"/>
                <w:lang w:eastAsia="ja-JP"/>
              </w:rPr>
            </w:pPr>
            <w:r w:rsidRPr="00432465">
              <w:rPr>
                <w:rFonts w:eastAsia="Times New Roman" w:cs="Times New Roman"/>
                <w:color w:val="000000"/>
                <w:sz w:val="22"/>
                <w:szCs w:val="22"/>
                <w:lang w:eastAsia="ja-JP"/>
              </w:rPr>
              <w:t>4.7</w:t>
            </w:r>
          </w:p>
        </w:tc>
      </w:tr>
    </w:tbl>
    <w:p w14:paraId="0DC898FB" w14:textId="77777777" w:rsidR="00D85EDA" w:rsidRPr="00836B19" w:rsidRDefault="00D85EDA" w:rsidP="005D3987">
      <w:pPr>
        <w:rPr>
          <w:rFonts w:cs="Times New Roman"/>
          <w:sz w:val="20"/>
          <w:szCs w:val="20"/>
        </w:rPr>
      </w:pPr>
      <w:r w:rsidRPr="00836B19">
        <w:rPr>
          <w:rFonts w:cs="Times New Roman"/>
          <w:sz w:val="20"/>
          <w:szCs w:val="20"/>
        </w:rPr>
        <w:t>Abbreviation: OR Odds ratio; CI Confidence interval</w:t>
      </w:r>
    </w:p>
    <w:p w14:paraId="63A19313" w14:textId="77777777" w:rsidR="00D85EDA" w:rsidRPr="00836B19" w:rsidRDefault="00D85EDA" w:rsidP="005D3987">
      <w:pPr>
        <w:rPr>
          <w:rFonts w:cs="Times New Roman"/>
          <w:sz w:val="20"/>
          <w:szCs w:val="20"/>
        </w:rPr>
      </w:pPr>
      <w:r w:rsidRPr="00836B19">
        <w:rPr>
          <w:rFonts w:cs="Times New Roman"/>
          <w:sz w:val="20"/>
          <w:szCs w:val="20"/>
        </w:rPr>
        <w:t xml:space="preserve">Models are adjusted for </w:t>
      </w:r>
      <w:r>
        <w:rPr>
          <w:rFonts w:cs="Times New Roman"/>
          <w:sz w:val="20"/>
          <w:szCs w:val="20"/>
        </w:rPr>
        <w:t xml:space="preserve">age, sex, education, wealth, marital status, setting, employment, </w:t>
      </w:r>
      <w:r w:rsidRPr="00836B19">
        <w:rPr>
          <w:rFonts w:cs="Times New Roman"/>
          <w:sz w:val="20"/>
          <w:szCs w:val="20"/>
        </w:rPr>
        <w:t>and country.</w:t>
      </w:r>
    </w:p>
    <w:p w14:paraId="48941B17" w14:textId="77777777" w:rsidR="00D85EDA" w:rsidRDefault="00D85EDA" w:rsidP="005D3987">
      <w:pPr>
        <w:rPr>
          <w:rFonts w:cs="Times New Roman"/>
          <w:sz w:val="20"/>
          <w:szCs w:val="20"/>
        </w:rPr>
      </w:pPr>
      <w:r w:rsidRPr="00055371">
        <w:rPr>
          <w:rFonts w:cs="Times New Roman"/>
          <w:sz w:val="20"/>
          <w:szCs w:val="20"/>
          <w:vertAlign w:val="superscript"/>
        </w:rPr>
        <w:t>a</w:t>
      </w:r>
      <w:r>
        <w:rPr>
          <w:rFonts w:cs="Times New Roman"/>
          <w:sz w:val="20"/>
          <w:szCs w:val="20"/>
          <w:vertAlign w:val="superscript"/>
        </w:rPr>
        <w:t xml:space="preserve"> </w:t>
      </w:r>
      <w:r w:rsidRPr="00836B19">
        <w:rPr>
          <w:rFonts w:cs="Times New Roman"/>
          <w:sz w:val="20"/>
          <w:szCs w:val="20"/>
        </w:rPr>
        <w:t>Mediated percentage was calculated only when the indirect effect was significant (</w:t>
      </w:r>
      <w:r>
        <w:rPr>
          <w:rFonts w:cs="Times New Roman"/>
          <w:sz w:val="20"/>
          <w:szCs w:val="20"/>
        </w:rPr>
        <w:t>p</w:t>
      </w:r>
      <w:r w:rsidRPr="00836B19">
        <w:rPr>
          <w:rFonts w:cs="Times New Roman"/>
          <w:sz w:val="20"/>
          <w:szCs w:val="20"/>
        </w:rPr>
        <w:t>&lt;0.05).</w:t>
      </w:r>
    </w:p>
    <w:p w14:paraId="74E01D5D" w14:textId="77777777" w:rsidR="00D85EDA" w:rsidRDefault="00D85EDA" w:rsidP="005D3987">
      <w:pPr>
        <w:spacing w:line="480" w:lineRule="auto"/>
        <w:rPr>
          <w:rFonts w:cs="Times New Roman"/>
          <w:sz w:val="20"/>
          <w:szCs w:val="20"/>
        </w:rPr>
      </w:pPr>
    </w:p>
    <w:p w14:paraId="54D37B16" w14:textId="77777777" w:rsidR="00D85EDA" w:rsidRDefault="00D85EDA" w:rsidP="005D3987">
      <w:pPr>
        <w:spacing w:line="480" w:lineRule="auto"/>
        <w:rPr>
          <w:rFonts w:cs="Times New Roman"/>
          <w:sz w:val="20"/>
          <w:szCs w:val="20"/>
        </w:rPr>
      </w:pPr>
    </w:p>
    <w:p w14:paraId="5025D009" w14:textId="77777777" w:rsidR="00D85EDA" w:rsidRDefault="00D85EDA" w:rsidP="005D3987">
      <w:pPr>
        <w:spacing w:line="480" w:lineRule="auto"/>
        <w:rPr>
          <w:rFonts w:cs="Times New Roman"/>
          <w:sz w:val="20"/>
          <w:szCs w:val="20"/>
        </w:rPr>
      </w:pPr>
    </w:p>
    <w:p w14:paraId="55AAC954" w14:textId="77777777" w:rsidR="00D85EDA" w:rsidRDefault="00D85EDA" w:rsidP="005D3987">
      <w:pPr>
        <w:spacing w:line="480" w:lineRule="auto"/>
        <w:rPr>
          <w:rFonts w:cs="Times New Roman"/>
          <w:sz w:val="20"/>
          <w:szCs w:val="20"/>
        </w:rPr>
      </w:pPr>
    </w:p>
    <w:p w14:paraId="13FA701D" w14:textId="77777777" w:rsidR="00D85EDA" w:rsidRDefault="00D85EDA" w:rsidP="005D3987">
      <w:pPr>
        <w:spacing w:line="480" w:lineRule="auto"/>
        <w:rPr>
          <w:rFonts w:cs="Times New Roman"/>
          <w:sz w:val="20"/>
          <w:szCs w:val="20"/>
        </w:rPr>
      </w:pPr>
    </w:p>
    <w:p w14:paraId="09ABBEC9" w14:textId="77777777" w:rsidR="00D85EDA" w:rsidRDefault="00D85EDA" w:rsidP="005D3987">
      <w:pPr>
        <w:spacing w:line="480" w:lineRule="auto"/>
        <w:rPr>
          <w:rFonts w:cs="Times New Roman"/>
          <w:sz w:val="20"/>
          <w:szCs w:val="20"/>
        </w:rPr>
      </w:pPr>
    </w:p>
    <w:p w14:paraId="1CC2EBFB" w14:textId="77777777" w:rsidR="00D85EDA" w:rsidRDefault="00D85EDA" w:rsidP="005D3987">
      <w:pPr>
        <w:spacing w:line="480" w:lineRule="auto"/>
        <w:rPr>
          <w:rFonts w:cs="Times New Roman"/>
          <w:sz w:val="20"/>
          <w:szCs w:val="20"/>
        </w:rPr>
      </w:pPr>
    </w:p>
    <w:p w14:paraId="7CE3B02E" w14:textId="77777777" w:rsidR="00D85EDA" w:rsidRDefault="00D85EDA" w:rsidP="005D3987">
      <w:pPr>
        <w:spacing w:line="480" w:lineRule="auto"/>
        <w:rPr>
          <w:rFonts w:cs="Times New Roman"/>
          <w:sz w:val="20"/>
          <w:szCs w:val="20"/>
        </w:rPr>
      </w:pPr>
    </w:p>
    <w:p w14:paraId="2C42A753" w14:textId="77777777" w:rsidR="00D85EDA" w:rsidRDefault="00D85EDA" w:rsidP="005D3987">
      <w:pPr>
        <w:spacing w:line="480" w:lineRule="auto"/>
        <w:rPr>
          <w:rFonts w:cs="Times New Roman"/>
          <w:sz w:val="20"/>
          <w:szCs w:val="20"/>
        </w:rPr>
      </w:pPr>
    </w:p>
    <w:p w14:paraId="1419D48D" w14:textId="77777777" w:rsidR="00D85EDA" w:rsidRDefault="00D85EDA" w:rsidP="005D3987">
      <w:pPr>
        <w:spacing w:line="480" w:lineRule="auto"/>
        <w:rPr>
          <w:rFonts w:cs="Times New Roman"/>
          <w:sz w:val="20"/>
          <w:szCs w:val="20"/>
        </w:rPr>
      </w:pPr>
    </w:p>
    <w:p w14:paraId="3DFBDDF2" w14:textId="77777777" w:rsidR="00D85EDA" w:rsidRDefault="00D85EDA" w:rsidP="005D3987">
      <w:pPr>
        <w:spacing w:line="480" w:lineRule="auto"/>
        <w:rPr>
          <w:rFonts w:cs="Times New Roman"/>
          <w:sz w:val="20"/>
          <w:szCs w:val="20"/>
        </w:rPr>
      </w:pPr>
    </w:p>
    <w:p w14:paraId="027E53A7" w14:textId="77777777" w:rsidR="00D85EDA" w:rsidRDefault="00D85EDA" w:rsidP="005D3987">
      <w:pPr>
        <w:spacing w:line="480" w:lineRule="auto"/>
        <w:rPr>
          <w:rFonts w:cs="Times New Roman"/>
          <w:sz w:val="20"/>
          <w:szCs w:val="20"/>
        </w:rPr>
      </w:pPr>
    </w:p>
    <w:p w14:paraId="435BCCC3" w14:textId="77777777" w:rsidR="00D85EDA" w:rsidRDefault="00D85EDA" w:rsidP="005D3987">
      <w:pPr>
        <w:spacing w:line="480" w:lineRule="auto"/>
        <w:rPr>
          <w:rFonts w:cs="Times New Roman"/>
          <w:sz w:val="20"/>
          <w:szCs w:val="20"/>
        </w:rPr>
      </w:pPr>
    </w:p>
    <w:p w14:paraId="319DB9E8" w14:textId="77777777" w:rsidR="00D85EDA" w:rsidRDefault="00D85EDA" w:rsidP="005D3987">
      <w:pPr>
        <w:spacing w:line="480" w:lineRule="auto"/>
        <w:rPr>
          <w:rFonts w:cs="Times New Roman"/>
          <w:sz w:val="20"/>
          <w:szCs w:val="20"/>
        </w:rPr>
        <w:sectPr w:rsidR="00D85EDA" w:rsidSect="00A41C7A">
          <w:headerReference w:type="default" r:id="rId12"/>
          <w:pgSz w:w="16838" w:h="11906" w:orient="landscape"/>
          <w:pgMar w:top="1440" w:right="1440" w:bottom="1440" w:left="1440" w:header="227" w:footer="709" w:gutter="0"/>
          <w:cols w:space="708"/>
          <w:docGrid w:linePitch="360"/>
        </w:sectPr>
      </w:pPr>
    </w:p>
    <w:p w14:paraId="79642EC0" w14:textId="0387CECA" w:rsidR="007423CE" w:rsidRDefault="007423CE" w:rsidP="007423CE">
      <w:pPr>
        <w:pStyle w:val="Heading1"/>
      </w:pPr>
      <w:r>
        <w:lastRenderedPageBreak/>
        <w:t>Figure 1</w:t>
      </w:r>
    </w:p>
    <w:p w14:paraId="2AC76AEE" w14:textId="30C0DCCA" w:rsidR="007423CE" w:rsidRDefault="00D85EDA" w:rsidP="005D3987">
      <w:pPr>
        <w:tabs>
          <w:tab w:val="left" w:pos="2430"/>
        </w:tabs>
        <w:rPr>
          <w:rFonts w:cs="Times New Roman"/>
          <w:color w:val="000000"/>
        </w:rPr>
      </w:pPr>
      <w:r>
        <w:rPr>
          <w:noProof/>
          <w:lang w:val="es-ES" w:eastAsia="es-ES"/>
        </w:rPr>
        <w:drawing>
          <wp:inline distT="0" distB="0" distL="0" distR="0" wp14:anchorId="789928F8" wp14:editId="2372C1CD">
            <wp:extent cx="5343525" cy="3924300"/>
            <wp:effectExtent l="0" t="0" r="9525" b="0"/>
            <wp:docPr id="1" name="Gráfico 1" descr="Figure 1: Prevalence of high sedentary behavior (≥8 hours/day) by age groups and overall sample  "/>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18E9B56" w14:textId="6BB8C76C" w:rsidR="0013286C" w:rsidRDefault="0013286C" w:rsidP="005D3987">
      <w:pPr>
        <w:tabs>
          <w:tab w:val="left" w:pos="2430"/>
        </w:tabs>
        <w:rPr>
          <w:rFonts w:cs="Times New Roman"/>
          <w:color w:val="000000"/>
        </w:rPr>
      </w:pPr>
      <w:r w:rsidRPr="007E231B">
        <w:rPr>
          <w:rFonts w:cs="Times New Roman"/>
          <w:color w:val="000000"/>
        </w:rPr>
        <w:t xml:space="preserve">Prevalence of </w:t>
      </w:r>
      <w:r>
        <w:rPr>
          <w:rFonts w:cs="Times New Roman"/>
          <w:color w:val="000000"/>
        </w:rPr>
        <w:t xml:space="preserve">high sedentary behavior </w:t>
      </w:r>
      <w:r w:rsidR="00D677DB">
        <w:rPr>
          <w:rFonts w:cs="Times New Roman"/>
          <w:color w:val="000000"/>
        </w:rPr>
        <w:t>(</w:t>
      </w:r>
      <w:r w:rsidR="00D677DB">
        <w:rPr>
          <w:rFonts w:eastAsia="Times New Roman" w:cs="Times New Roman"/>
          <w:bCs/>
          <w:color w:val="000000"/>
          <w:lang w:val="en-GB"/>
        </w:rPr>
        <w:t>≥8 hours/day</w:t>
      </w:r>
      <w:r w:rsidR="00D677DB">
        <w:rPr>
          <w:rFonts w:cs="Times New Roman"/>
          <w:color w:val="000000"/>
        </w:rPr>
        <w:t xml:space="preserve">) </w:t>
      </w:r>
      <w:r w:rsidRPr="007E231B">
        <w:rPr>
          <w:rFonts w:cs="Times New Roman"/>
          <w:color w:val="000000"/>
        </w:rPr>
        <w:t>by</w:t>
      </w:r>
      <w:r>
        <w:rPr>
          <w:rFonts w:cs="Times New Roman"/>
          <w:color w:val="000000"/>
        </w:rPr>
        <w:t xml:space="preserve"> age groups and overall sample </w:t>
      </w:r>
      <w:r w:rsidRPr="007E231B">
        <w:rPr>
          <w:rFonts w:cs="Times New Roman"/>
          <w:color w:val="000000"/>
        </w:rPr>
        <w:t xml:space="preserve"> </w:t>
      </w:r>
    </w:p>
    <w:p w14:paraId="45BB62D2" w14:textId="40CADAE5" w:rsidR="00D85EDA" w:rsidRDefault="00D85EDA" w:rsidP="005D3987">
      <w:pPr>
        <w:spacing w:line="480" w:lineRule="auto"/>
      </w:pPr>
    </w:p>
    <w:p w14:paraId="413C5D68" w14:textId="43D82CEE" w:rsidR="00D85EDA" w:rsidRDefault="00D85EDA" w:rsidP="005D3987">
      <w:pPr>
        <w:spacing w:line="480" w:lineRule="auto"/>
      </w:pPr>
    </w:p>
    <w:p w14:paraId="5740919B" w14:textId="48B43827" w:rsidR="00D85EDA" w:rsidRDefault="00D85EDA" w:rsidP="005D3987">
      <w:pPr>
        <w:spacing w:line="480" w:lineRule="auto"/>
      </w:pPr>
    </w:p>
    <w:p w14:paraId="44DB14CC" w14:textId="23B9ADC7" w:rsidR="00D85EDA" w:rsidRDefault="00D85EDA" w:rsidP="005D3987">
      <w:pPr>
        <w:spacing w:line="480" w:lineRule="auto"/>
      </w:pPr>
    </w:p>
    <w:p w14:paraId="2DD5872B" w14:textId="77777777" w:rsidR="00CB20F7" w:rsidRDefault="00CB20F7" w:rsidP="005D3987">
      <w:pPr>
        <w:spacing w:line="480" w:lineRule="auto"/>
        <w:sectPr w:rsidR="00CB20F7" w:rsidSect="006A2D54">
          <w:pgSz w:w="11906" w:h="16838"/>
          <w:pgMar w:top="1440" w:right="1440" w:bottom="1440" w:left="1440" w:header="708" w:footer="708" w:gutter="0"/>
          <w:cols w:space="708"/>
          <w:docGrid w:linePitch="360"/>
        </w:sectPr>
      </w:pPr>
    </w:p>
    <w:p w14:paraId="6B2B6494" w14:textId="77777777" w:rsidR="007423CE" w:rsidRPr="007423CE" w:rsidRDefault="007423CE" w:rsidP="007423CE">
      <w:pPr>
        <w:pStyle w:val="Heading1"/>
      </w:pPr>
      <w:r w:rsidRPr="007423CE">
        <w:lastRenderedPageBreak/>
        <w:t>Figure 2</w:t>
      </w:r>
    </w:p>
    <w:p w14:paraId="68D30B11" w14:textId="62FF65E7" w:rsidR="009E5E8E" w:rsidRDefault="00CB20F7" w:rsidP="00CB20F7">
      <w:pPr>
        <w:rPr>
          <w:rFonts w:cs="Times New Roman"/>
        </w:rPr>
      </w:pPr>
      <w:r w:rsidRPr="00CB20F7">
        <w:rPr>
          <w:noProof/>
          <w:lang w:val="es-ES" w:eastAsia="es-ES"/>
        </w:rPr>
        <w:drawing>
          <wp:inline distT="0" distB="0" distL="0" distR="0" wp14:anchorId="4903424D" wp14:editId="0C14F80E">
            <wp:extent cx="5731510" cy="3872865"/>
            <wp:effectExtent l="12700" t="12700" r="8890" b="13335"/>
            <wp:docPr id="4" name="Picture 4" descr="Figure 2: Country-wise association between sedentary behavior (hours/day) and happiness estimated by ordinal logistic regre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2: Country-wise association between sedentary behavior (hours/day) and happiness estimated by ordinal logistic regression"/>
                    <pic:cNvPicPr/>
                  </pic:nvPicPr>
                  <pic:blipFill>
                    <a:blip r:embed="rId14"/>
                    <a:stretch>
                      <a:fillRect/>
                    </a:stretch>
                  </pic:blipFill>
                  <pic:spPr>
                    <a:xfrm>
                      <a:off x="0" y="0"/>
                      <a:ext cx="5731510" cy="3872865"/>
                    </a:xfrm>
                    <a:prstGeom prst="rect">
                      <a:avLst/>
                    </a:prstGeom>
                    <a:ln>
                      <a:solidFill>
                        <a:schemeClr val="tx1"/>
                      </a:solidFill>
                    </a:ln>
                  </pic:spPr>
                </pic:pic>
              </a:graphicData>
            </a:graphic>
          </wp:inline>
        </w:drawing>
      </w:r>
      <w:r w:rsidR="009E5E8E">
        <w:rPr>
          <w:rFonts w:cs="Times New Roman"/>
        </w:rPr>
        <w:t xml:space="preserve">Country-wise association between sedentary behavior </w:t>
      </w:r>
      <w:r w:rsidR="005A35C4">
        <w:rPr>
          <w:rFonts w:cs="Times New Roman"/>
        </w:rPr>
        <w:t xml:space="preserve">(hours/day) </w:t>
      </w:r>
      <w:r w:rsidR="009E5E8E">
        <w:rPr>
          <w:rFonts w:cs="Times New Roman"/>
        </w:rPr>
        <w:t>and happiness estimated by ordinal logistic regression</w:t>
      </w:r>
    </w:p>
    <w:p w14:paraId="035C68D7" w14:textId="77777777" w:rsidR="009E5E8E" w:rsidRPr="00836344" w:rsidRDefault="009E5E8E">
      <w:pPr>
        <w:rPr>
          <w:rFonts w:cs="Times New Roman"/>
          <w:sz w:val="20"/>
          <w:szCs w:val="20"/>
        </w:rPr>
      </w:pPr>
      <w:r w:rsidRPr="00836344">
        <w:rPr>
          <w:rFonts w:cs="Times New Roman"/>
          <w:sz w:val="20"/>
          <w:szCs w:val="20"/>
        </w:rPr>
        <w:t>Abbreviation: OR Odds ratio; CI Confidence interval</w:t>
      </w:r>
    </w:p>
    <w:p w14:paraId="0B2EB588" w14:textId="1224442B" w:rsidR="009E5E8E" w:rsidRPr="00836344" w:rsidRDefault="009E5E8E">
      <w:pPr>
        <w:rPr>
          <w:rFonts w:cs="Times New Roman"/>
          <w:sz w:val="20"/>
          <w:szCs w:val="20"/>
        </w:rPr>
      </w:pPr>
      <w:r w:rsidRPr="00836344">
        <w:rPr>
          <w:rFonts w:cs="Times New Roman"/>
          <w:sz w:val="20"/>
          <w:szCs w:val="20"/>
        </w:rPr>
        <w:t xml:space="preserve">Models are adjusted for age, sex, education, </w:t>
      </w:r>
      <w:r>
        <w:rPr>
          <w:rFonts w:cs="Times New Roman"/>
          <w:sz w:val="20"/>
          <w:szCs w:val="20"/>
        </w:rPr>
        <w:t xml:space="preserve">wealth, </w:t>
      </w:r>
      <w:r w:rsidR="005250AA">
        <w:rPr>
          <w:rFonts w:cs="Times New Roman"/>
          <w:sz w:val="20"/>
          <w:szCs w:val="20"/>
        </w:rPr>
        <w:t xml:space="preserve">marital status, </w:t>
      </w:r>
      <w:r w:rsidRPr="00836344">
        <w:rPr>
          <w:rFonts w:cs="Times New Roman"/>
          <w:sz w:val="20"/>
          <w:szCs w:val="20"/>
        </w:rPr>
        <w:t xml:space="preserve">employment, </w:t>
      </w:r>
      <w:r w:rsidR="00A84682">
        <w:rPr>
          <w:rFonts w:cs="Times New Roman"/>
          <w:sz w:val="20"/>
          <w:szCs w:val="20"/>
        </w:rPr>
        <w:t xml:space="preserve">and </w:t>
      </w:r>
      <w:r w:rsidRPr="00836344">
        <w:rPr>
          <w:rFonts w:cs="Times New Roman"/>
          <w:sz w:val="20"/>
          <w:szCs w:val="20"/>
        </w:rPr>
        <w:t>setting</w:t>
      </w:r>
      <w:r w:rsidR="00A84682">
        <w:rPr>
          <w:rFonts w:cs="Times New Roman"/>
          <w:sz w:val="20"/>
          <w:szCs w:val="20"/>
        </w:rPr>
        <w:t>.</w:t>
      </w:r>
    </w:p>
    <w:p w14:paraId="19F6E971" w14:textId="77777777" w:rsidR="009E5E8E" w:rsidRDefault="009E5E8E">
      <w:pPr>
        <w:rPr>
          <w:rFonts w:cs="Times New Roman"/>
          <w:sz w:val="20"/>
          <w:szCs w:val="20"/>
        </w:rPr>
      </w:pPr>
      <w:r>
        <w:rPr>
          <w:rFonts w:cs="Times New Roman"/>
          <w:sz w:val="20"/>
          <w:szCs w:val="20"/>
        </w:rPr>
        <w:t>Overall estimate was obtained by meta-analysis with random effects.</w:t>
      </w:r>
    </w:p>
    <w:p w14:paraId="18698F23" w14:textId="24A4FA79" w:rsidR="00D85EDA" w:rsidRDefault="00D85EDA" w:rsidP="005D3987">
      <w:pPr>
        <w:spacing w:line="480" w:lineRule="auto"/>
      </w:pPr>
    </w:p>
    <w:p w14:paraId="6829B5BE" w14:textId="232E264C" w:rsidR="00D85EDA" w:rsidRDefault="00D85EDA" w:rsidP="005D3987">
      <w:pPr>
        <w:spacing w:line="480" w:lineRule="auto"/>
      </w:pPr>
    </w:p>
    <w:p w14:paraId="3C7FF725" w14:textId="14390F80" w:rsidR="00D85EDA" w:rsidRDefault="00D85EDA" w:rsidP="005D3987">
      <w:pPr>
        <w:spacing w:line="480" w:lineRule="auto"/>
      </w:pPr>
    </w:p>
    <w:p w14:paraId="6C1458CB" w14:textId="639F65E5" w:rsidR="00D85EDA" w:rsidRDefault="00D85EDA" w:rsidP="005D3987">
      <w:pPr>
        <w:spacing w:line="480" w:lineRule="auto"/>
      </w:pPr>
    </w:p>
    <w:p w14:paraId="314994B1" w14:textId="77777777" w:rsidR="00D85EDA" w:rsidRDefault="00D85EDA" w:rsidP="005D3987">
      <w:pPr>
        <w:spacing w:line="480" w:lineRule="auto"/>
        <w:sectPr w:rsidR="00D85EDA" w:rsidSect="00CB20F7">
          <w:pgSz w:w="11906" w:h="16838"/>
          <w:pgMar w:top="1440" w:right="1440" w:bottom="1440" w:left="1440" w:header="708" w:footer="708" w:gutter="0"/>
          <w:cols w:space="708"/>
          <w:docGrid w:linePitch="360"/>
        </w:sectPr>
      </w:pPr>
    </w:p>
    <w:p w14:paraId="32651F93" w14:textId="656CD46D" w:rsidR="004D31C4" w:rsidRDefault="004D31C4" w:rsidP="007423CE">
      <w:pPr>
        <w:pStyle w:val="Heading1"/>
        <w:rPr>
          <w:rFonts w:eastAsia="MS Mincho"/>
        </w:rPr>
      </w:pPr>
      <w:bookmarkStart w:id="6" w:name="_Hlk34148112"/>
      <w:r w:rsidRPr="005053E1">
        <w:rPr>
          <w:rFonts w:eastAsia="MS Mincho"/>
        </w:rPr>
        <w:lastRenderedPageBreak/>
        <w:t>APPENDIX</w:t>
      </w:r>
    </w:p>
    <w:p w14:paraId="4636A71C" w14:textId="2D45DFF0" w:rsidR="000C4D6E" w:rsidRPr="007423CE" w:rsidRDefault="007423CE" w:rsidP="00BE5467">
      <w:pPr>
        <w:pStyle w:val="Heading2"/>
        <w:rPr>
          <w:rFonts w:eastAsia="MS Mincho"/>
        </w:rPr>
      </w:pPr>
      <w:r w:rsidRPr="007423CE">
        <w:t>Table S1</w:t>
      </w:r>
    </w:p>
    <w:tbl>
      <w:tblPr>
        <w:tblW w:w="5000" w:type="pct"/>
        <w:tblLook w:val="04A0" w:firstRow="1" w:lastRow="0" w:firstColumn="1" w:lastColumn="0" w:noHBand="0" w:noVBand="1"/>
      </w:tblPr>
      <w:tblGrid>
        <w:gridCol w:w="10466"/>
      </w:tblGrid>
      <w:tr w:rsidR="000C4D6E" w:rsidRPr="000C4D6E" w14:paraId="0750F7BB" w14:textId="77777777" w:rsidTr="0005762A">
        <w:trPr>
          <w:trHeight w:val="300"/>
        </w:trPr>
        <w:tc>
          <w:tcPr>
            <w:tcW w:w="5000" w:type="pct"/>
            <w:tcBorders>
              <w:top w:val="nil"/>
              <w:left w:val="nil"/>
              <w:bottom w:val="single" w:sz="4" w:space="0" w:color="auto"/>
              <w:right w:val="nil"/>
            </w:tcBorders>
            <w:shd w:val="clear" w:color="auto" w:fill="auto"/>
            <w:noWrap/>
            <w:vAlign w:val="bottom"/>
            <w:hideMark/>
          </w:tcPr>
          <w:p w14:paraId="266B8EC6" w14:textId="7AF54530" w:rsidR="000C4D6E" w:rsidRPr="00CD6270" w:rsidRDefault="000C4D6E" w:rsidP="0005762A">
            <w:pPr>
              <w:jc w:val="both"/>
              <w:rPr>
                <w:rFonts w:eastAsia="Times New Roman" w:cs="Times New Roman"/>
                <w:color w:val="000000"/>
              </w:rPr>
            </w:pPr>
            <w:r w:rsidRPr="00677954">
              <w:rPr>
                <w:rFonts w:eastAsia="Times New Roman" w:cs="Times New Roman"/>
                <w:color w:val="000000"/>
              </w:rPr>
              <w:t>Questions used to assess social cohesion</w:t>
            </w:r>
          </w:p>
        </w:tc>
      </w:tr>
      <w:tr w:rsidR="000C4D6E" w:rsidRPr="000C4D6E" w14:paraId="54B1D624" w14:textId="77777777" w:rsidTr="0005762A">
        <w:trPr>
          <w:trHeight w:val="300"/>
        </w:trPr>
        <w:tc>
          <w:tcPr>
            <w:tcW w:w="5000" w:type="pct"/>
            <w:tcBorders>
              <w:top w:val="nil"/>
              <w:left w:val="nil"/>
              <w:bottom w:val="nil"/>
              <w:right w:val="nil"/>
            </w:tcBorders>
            <w:shd w:val="clear" w:color="auto" w:fill="auto"/>
            <w:noWrap/>
            <w:vAlign w:val="center"/>
            <w:hideMark/>
          </w:tcPr>
          <w:p w14:paraId="483C8472"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How often in the last 12 months have you ...</w:t>
            </w:r>
          </w:p>
        </w:tc>
      </w:tr>
      <w:tr w:rsidR="000C4D6E" w:rsidRPr="000C4D6E" w14:paraId="1AA3950C" w14:textId="77777777" w:rsidTr="0005762A">
        <w:trPr>
          <w:trHeight w:val="300"/>
        </w:trPr>
        <w:tc>
          <w:tcPr>
            <w:tcW w:w="5000" w:type="pct"/>
            <w:tcBorders>
              <w:top w:val="nil"/>
              <w:left w:val="nil"/>
              <w:bottom w:val="nil"/>
              <w:right w:val="nil"/>
            </w:tcBorders>
            <w:shd w:val="clear" w:color="auto" w:fill="auto"/>
            <w:noWrap/>
            <w:vAlign w:val="center"/>
            <w:hideMark/>
          </w:tcPr>
          <w:p w14:paraId="4570FCEB"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(1) attended any public meeting in which there was discussion of local or school affairs?</w:t>
            </w:r>
          </w:p>
        </w:tc>
      </w:tr>
      <w:tr w:rsidR="000C4D6E" w:rsidRPr="000C4D6E" w14:paraId="70AAC430" w14:textId="77777777" w:rsidTr="0005762A">
        <w:trPr>
          <w:trHeight w:val="300"/>
        </w:trPr>
        <w:tc>
          <w:tcPr>
            <w:tcW w:w="5000" w:type="pct"/>
            <w:tcBorders>
              <w:top w:val="nil"/>
              <w:left w:val="nil"/>
              <w:bottom w:val="nil"/>
              <w:right w:val="nil"/>
            </w:tcBorders>
            <w:shd w:val="clear" w:color="auto" w:fill="auto"/>
            <w:noWrap/>
            <w:vAlign w:val="center"/>
            <w:hideMark/>
          </w:tcPr>
          <w:p w14:paraId="1099A064"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(2) met personally with someone you consider to be a community leader?</w:t>
            </w:r>
          </w:p>
        </w:tc>
      </w:tr>
      <w:tr w:rsidR="000C4D6E" w:rsidRPr="000C4D6E" w14:paraId="336CAEA4" w14:textId="77777777" w:rsidTr="0005762A">
        <w:trPr>
          <w:trHeight w:val="300"/>
        </w:trPr>
        <w:tc>
          <w:tcPr>
            <w:tcW w:w="5000" w:type="pct"/>
            <w:tcBorders>
              <w:top w:val="nil"/>
              <w:left w:val="nil"/>
              <w:bottom w:val="nil"/>
              <w:right w:val="nil"/>
            </w:tcBorders>
            <w:shd w:val="clear" w:color="auto" w:fill="auto"/>
            <w:noWrap/>
            <w:vAlign w:val="center"/>
            <w:hideMark/>
          </w:tcPr>
          <w:p w14:paraId="6235578D"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(3) attended any group, club, society, union or organizational meeting?</w:t>
            </w:r>
          </w:p>
        </w:tc>
      </w:tr>
      <w:tr w:rsidR="000C4D6E" w:rsidRPr="000C4D6E" w14:paraId="7107DB92" w14:textId="77777777" w:rsidTr="0005762A">
        <w:trPr>
          <w:trHeight w:val="300"/>
        </w:trPr>
        <w:tc>
          <w:tcPr>
            <w:tcW w:w="5000" w:type="pct"/>
            <w:tcBorders>
              <w:top w:val="nil"/>
              <w:left w:val="nil"/>
              <w:bottom w:val="nil"/>
              <w:right w:val="nil"/>
            </w:tcBorders>
            <w:shd w:val="clear" w:color="auto" w:fill="auto"/>
            <w:noWrap/>
            <w:vAlign w:val="center"/>
            <w:hideMark/>
          </w:tcPr>
          <w:p w14:paraId="6B748B10"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(4) worked with other people in your neighborhood to fix or improve something?</w:t>
            </w:r>
          </w:p>
        </w:tc>
      </w:tr>
      <w:tr w:rsidR="000C4D6E" w:rsidRPr="000C4D6E" w14:paraId="147212BD" w14:textId="77777777" w:rsidTr="0005762A">
        <w:trPr>
          <w:trHeight w:val="300"/>
        </w:trPr>
        <w:tc>
          <w:tcPr>
            <w:tcW w:w="5000" w:type="pct"/>
            <w:tcBorders>
              <w:top w:val="nil"/>
              <w:left w:val="nil"/>
              <w:bottom w:val="nil"/>
              <w:right w:val="nil"/>
            </w:tcBorders>
            <w:shd w:val="clear" w:color="auto" w:fill="auto"/>
            <w:noWrap/>
            <w:vAlign w:val="center"/>
            <w:hideMark/>
          </w:tcPr>
          <w:p w14:paraId="557F6C7E"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(5) had friends over to your home?</w:t>
            </w:r>
          </w:p>
        </w:tc>
      </w:tr>
      <w:tr w:rsidR="000C4D6E" w:rsidRPr="000C4D6E" w14:paraId="45D39C90" w14:textId="77777777" w:rsidTr="0005762A">
        <w:trPr>
          <w:trHeight w:val="300"/>
        </w:trPr>
        <w:tc>
          <w:tcPr>
            <w:tcW w:w="5000" w:type="pct"/>
            <w:tcBorders>
              <w:top w:val="nil"/>
              <w:left w:val="nil"/>
              <w:bottom w:val="nil"/>
              <w:right w:val="nil"/>
            </w:tcBorders>
            <w:shd w:val="clear" w:color="auto" w:fill="auto"/>
            <w:noWrap/>
            <w:vAlign w:val="center"/>
            <w:hideMark/>
          </w:tcPr>
          <w:p w14:paraId="7745A4E3"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 xml:space="preserve">(6) been in the home of someone who lives in a different </w:t>
            </w:r>
            <w:proofErr w:type="spellStart"/>
            <w:r w:rsidRPr="00FD29A8">
              <w:rPr>
                <w:rFonts w:eastAsia="Times New Roman" w:cs="Times New Roman"/>
                <w:color w:val="000000"/>
              </w:rPr>
              <w:t>neighbourhood</w:t>
            </w:r>
            <w:proofErr w:type="spellEnd"/>
            <w:r w:rsidRPr="00FD29A8">
              <w:rPr>
                <w:rFonts w:eastAsia="Times New Roman" w:cs="Times New Roman"/>
                <w:color w:val="000000"/>
              </w:rPr>
              <w:t xml:space="preserve"> than you do or had them in your home?</w:t>
            </w:r>
          </w:p>
        </w:tc>
      </w:tr>
      <w:tr w:rsidR="000C4D6E" w:rsidRPr="000C4D6E" w14:paraId="05930C53" w14:textId="77777777" w:rsidTr="0005762A">
        <w:trPr>
          <w:trHeight w:val="300"/>
        </w:trPr>
        <w:tc>
          <w:tcPr>
            <w:tcW w:w="5000" w:type="pct"/>
            <w:tcBorders>
              <w:top w:val="nil"/>
              <w:left w:val="nil"/>
              <w:bottom w:val="nil"/>
              <w:right w:val="nil"/>
            </w:tcBorders>
            <w:shd w:val="clear" w:color="auto" w:fill="auto"/>
            <w:noWrap/>
            <w:vAlign w:val="center"/>
            <w:hideMark/>
          </w:tcPr>
          <w:p w14:paraId="622A2324"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(7) socialized with coworkers outside of work?</w:t>
            </w:r>
          </w:p>
        </w:tc>
      </w:tr>
      <w:tr w:rsidR="000C4D6E" w:rsidRPr="000C4D6E" w14:paraId="1358CEB2" w14:textId="77777777" w:rsidTr="0005762A">
        <w:trPr>
          <w:trHeight w:val="300"/>
        </w:trPr>
        <w:tc>
          <w:tcPr>
            <w:tcW w:w="5000" w:type="pct"/>
            <w:tcBorders>
              <w:top w:val="nil"/>
              <w:left w:val="nil"/>
              <w:bottom w:val="nil"/>
              <w:right w:val="nil"/>
            </w:tcBorders>
            <w:shd w:val="clear" w:color="auto" w:fill="auto"/>
            <w:noWrap/>
            <w:vAlign w:val="center"/>
            <w:hideMark/>
          </w:tcPr>
          <w:p w14:paraId="754C835F"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(8) attended religious services (not including weddings and funerals)?</w:t>
            </w:r>
          </w:p>
        </w:tc>
      </w:tr>
      <w:tr w:rsidR="000C4D6E" w:rsidRPr="000C4D6E" w14:paraId="46FC2BE2" w14:textId="77777777" w:rsidTr="0005762A">
        <w:trPr>
          <w:trHeight w:val="300"/>
        </w:trPr>
        <w:tc>
          <w:tcPr>
            <w:tcW w:w="5000" w:type="pct"/>
            <w:tcBorders>
              <w:top w:val="nil"/>
              <w:left w:val="nil"/>
              <w:bottom w:val="single" w:sz="4" w:space="0" w:color="auto"/>
              <w:right w:val="nil"/>
            </w:tcBorders>
            <w:shd w:val="clear" w:color="auto" w:fill="auto"/>
            <w:noWrap/>
            <w:vAlign w:val="center"/>
            <w:hideMark/>
          </w:tcPr>
          <w:p w14:paraId="50FE4DD1" w14:textId="77777777" w:rsidR="000C4D6E" w:rsidRPr="00FD29A8" w:rsidRDefault="000C4D6E" w:rsidP="0005762A">
            <w:pPr>
              <w:jc w:val="both"/>
              <w:rPr>
                <w:rFonts w:eastAsia="Times New Roman" w:cs="Times New Roman"/>
                <w:color w:val="000000"/>
              </w:rPr>
            </w:pPr>
            <w:r w:rsidRPr="00FD29A8">
              <w:rPr>
                <w:rFonts w:eastAsia="Times New Roman" w:cs="Times New Roman"/>
                <w:color w:val="000000"/>
              </w:rPr>
              <w:t>(9) gotten out of the house/your dwelling to attend social meetings, activities, programs or events or to visit friends or relatives?</w:t>
            </w:r>
          </w:p>
        </w:tc>
      </w:tr>
    </w:tbl>
    <w:bookmarkEnd w:id="6"/>
    <w:p w14:paraId="72EBF913" w14:textId="2AB52359" w:rsidR="00D85EDA" w:rsidRDefault="007423CE" w:rsidP="00BE5467">
      <w:pPr>
        <w:pStyle w:val="Heading2"/>
      </w:pPr>
      <w:r>
        <w:t>Table S2</w:t>
      </w:r>
    </w:p>
    <w:tbl>
      <w:tblPr>
        <w:tblW w:w="5000" w:type="pct"/>
        <w:tblCellMar>
          <w:left w:w="70" w:type="dxa"/>
          <w:right w:w="70" w:type="dxa"/>
        </w:tblCellMar>
        <w:tblLook w:val="04A0" w:firstRow="1" w:lastRow="0" w:firstColumn="1" w:lastColumn="0" w:noHBand="0" w:noVBand="1"/>
      </w:tblPr>
      <w:tblGrid>
        <w:gridCol w:w="1758"/>
        <w:gridCol w:w="8708"/>
      </w:tblGrid>
      <w:tr w:rsidR="007423CE" w:rsidRPr="000C4D6E" w14:paraId="3E6C52F4" w14:textId="77777777" w:rsidTr="0019320E">
        <w:trPr>
          <w:trHeight w:val="315"/>
        </w:trPr>
        <w:tc>
          <w:tcPr>
            <w:tcW w:w="5000" w:type="pct"/>
            <w:gridSpan w:val="2"/>
            <w:tcBorders>
              <w:top w:val="nil"/>
              <w:left w:val="nil"/>
              <w:bottom w:val="nil"/>
              <w:right w:val="nil"/>
            </w:tcBorders>
            <w:shd w:val="clear" w:color="auto" w:fill="auto"/>
            <w:hideMark/>
          </w:tcPr>
          <w:p w14:paraId="50AE0115" w14:textId="360B5C68" w:rsidR="007423CE" w:rsidRPr="000C4D6E" w:rsidRDefault="007423CE" w:rsidP="0019320E">
            <w:pPr>
              <w:rPr>
                <w:rFonts w:eastAsia="Times New Roman"/>
                <w:b/>
                <w:bCs/>
                <w:color w:val="000000"/>
                <w:lang w:eastAsia="es-ES"/>
              </w:rPr>
            </w:pPr>
            <w:r w:rsidRPr="000C4D6E">
              <w:rPr>
                <w:rFonts w:eastAsia="Times New Roman"/>
                <w:color w:val="000000"/>
                <w:lang w:eastAsia="es-ES"/>
              </w:rPr>
              <w:t xml:space="preserve">Questions used to assess health status </w:t>
            </w:r>
          </w:p>
        </w:tc>
      </w:tr>
      <w:tr w:rsidR="007423CE" w:rsidRPr="000C4D6E" w14:paraId="6A950031" w14:textId="77777777" w:rsidTr="0019320E">
        <w:trPr>
          <w:trHeight w:val="315"/>
        </w:trPr>
        <w:tc>
          <w:tcPr>
            <w:tcW w:w="840" w:type="pct"/>
            <w:tcBorders>
              <w:top w:val="single" w:sz="4" w:space="0" w:color="auto"/>
              <w:left w:val="single" w:sz="4" w:space="0" w:color="auto"/>
              <w:bottom w:val="nil"/>
              <w:right w:val="nil"/>
            </w:tcBorders>
            <w:shd w:val="clear" w:color="auto" w:fill="auto"/>
            <w:hideMark/>
          </w:tcPr>
          <w:p w14:paraId="5CB729B0" w14:textId="77777777" w:rsidR="007423CE" w:rsidRPr="000C4D6E" w:rsidRDefault="007423CE" w:rsidP="0019320E">
            <w:pPr>
              <w:rPr>
                <w:rFonts w:eastAsia="Times New Roman"/>
                <w:b/>
                <w:bCs/>
                <w:color w:val="000000"/>
                <w:lang w:eastAsia="es-ES"/>
              </w:rPr>
            </w:pPr>
            <w:r w:rsidRPr="000C4D6E">
              <w:rPr>
                <w:rFonts w:eastAsia="Times New Roman"/>
                <w:b/>
                <w:bCs/>
                <w:color w:val="000000"/>
                <w:lang w:eastAsia="es-ES"/>
              </w:rPr>
              <w:t>Mobility</w:t>
            </w:r>
          </w:p>
        </w:tc>
        <w:tc>
          <w:tcPr>
            <w:tcW w:w="4160" w:type="pct"/>
            <w:tcBorders>
              <w:top w:val="single" w:sz="4" w:space="0" w:color="auto"/>
              <w:left w:val="single" w:sz="4" w:space="0" w:color="auto"/>
              <w:bottom w:val="nil"/>
              <w:right w:val="single" w:sz="4" w:space="0" w:color="auto"/>
            </w:tcBorders>
            <w:shd w:val="clear" w:color="auto" w:fill="auto"/>
            <w:hideMark/>
          </w:tcPr>
          <w:p w14:paraId="79C736FA" w14:textId="77777777" w:rsidR="007423CE" w:rsidRPr="000C4D6E" w:rsidRDefault="007423CE" w:rsidP="0019320E">
            <w:pPr>
              <w:rPr>
                <w:rFonts w:eastAsia="Times New Roman"/>
                <w:color w:val="000000"/>
                <w:lang w:eastAsia="es-ES"/>
              </w:rPr>
            </w:pPr>
            <w:r w:rsidRPr="000C4D6E">
              <w:rPr>
                <w:rFonts w:eastAsia="MS Mincho"/>
                <w:color w:val="000000"/>
              </w:rPr>
              <w:t xml:space="preserve">(1)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difficulty did you have with moving around?</w:t>
            </w:r>
          </w:p>
        </w:tc>
      </w:tr>
      <w:tr w:rsidR="007423CE" w:rsidRPr="000C4D6E" w14:paraId="58DCA63D" w14:textId="77777777" w:rsidTr="0019320E">
        <w:trPr>
          <w:trHeight w:val="510"/>
        </w:trPr>
        <w:tc>
          <w:tcPr>
            <w:tcW w:w="840" w:type="pct"/>
            <w:tcBorders>
              <w:top w:val="nil"/>
              <w:left w:val="single" w:sz="4" w:space="0" w:color="auto"/>
              <w:bottom w:val="single" w:sz="4" w:space="0" w:color="auto"/>
              <w:right w:val="nil"/>
            </w:tcBorders>
            <w:shd w:val="clear" w:color="auto" w:fill="auto"/>
            <w:hideMark/>
          </w:tcPr>
          <w:p w14:paraId="71353CE0" w14:textId="77777777" w:rsidR="007423CE" w:rsidRPr="000C4D6E" w:rsidRDefault="007423CE" w:rsidP="0019320E">
            <w:pPr>
              <w:rPr>
                <w:rFonts w:eastAsia="Times New Roman"/>
                <w:b/>
                <w:bCs/>
                <w:color w:val="000000"/>
                <w:lang w:eastAsia="es-ES"/>
              </w:rPr>
            </w:pPr>
            <w:r w:rsidRPr="000C4D6E">
              <w:rPr>
                <w:rFonts w:eastAsia="Times New Roman"/>
                <w:b/>
                <w:bCs/>
                <w:color w:val="000000"/>
                <w:lang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226D5EDA" w14:textId="77777777" w:rsidR="007423CE" w:rsidRPr="000C4D6E" w:rsidRDefault="007423CE" w:rsidP="0019320E">
            <w:pPr>
              <w:rPr>
                <w:rFonts w:eastAsia="Times New Roman"/>
                <w:color w:val="000000"/>
                <w:lang w:eastAsia="es-ES"/>
              </w:rPr>
            </w:pPr>
            <w:r w:rsidRPr="000C4D6E">
              <w:rPr>
                <w:rFonts w:eastAsia="MS Mincho"/>
                <w:color w:val="000000"/>
              </w:rPr>
              <w:t xml:space="preserve">(2)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difficulty did you have in vigorous activities, such as running 3 km (or equivalent) or cycling?</w:t>
            </w:r>
          </w:p>
        </w:tc>
      </w:tr>
      <w:tr w:rsidR="007423CE" w:rsidRPr="000C4D6E" w14:paraId="0AB6B86F" w14:textId="77777777" w:rsidTr="0019320E">
        <w:trPr>
          <w:trHeight w:val="315"/>
        </w:trPr>
        <w:tc>
          <w:tcPr>
            <w:tcW w:w="840" w:type="pct"/>
            <w:tcBorders>
              <w:top w:val="single" w:sz="4" w:space="0" w:color="auto"/>
              <w:left w:val="single" w:sz="4" w:space="0" w:color="auto"/>
              <w:bottom w:val="single" w:sz="4" w:space="0" w:color="auto"/>
              <w:right w:val="nil"/>
            </w:tcBorders>
            <w:shd w:val="clear" w:color="auto" w:fill="auto"/>
            <w:hideMark/>
          </w:tcPr>
          <w:p w14:paraId="23E25238" w14:textId="77777777" w:rsidR="007423CE" w:rsidRPr="000C4D6E" w:rsidRDefault="007423CE" w:rsidP="0019320E">
            <w:pPr>
              <w:rPr>
                <w:rFonts w:eastAsia="MS Mincho"/>
                <w:b/>
                <w:bCs/>
                <w:color w:val="000000"/>
              </w:rPr>
            </w:pPr>
            <w:r w:rsidRPr="000C4D6E">
              <w:rPr>
                <w:rFonts w:eastAsia="Times New Roman"/>
                <w:b/>
                <w:bCs/>
                <w:color w:val="000000"/>
                <w:lang w:eastAsia="es-ES"/>
              </w:rPr>
              <w:t xml:space="preserve">Pain and </w:t>
            </w:r>
            <w:r w:rsidRPr="000C4D6E">
              <w:rPr>
                <w:rFonts w:eastAsia="MS Mincho"/>
                <w:b/>
                <w:bCs/>
                <w:color w:val="000000"/>
              </w:rPr>
              <w:t>discomfort</w:t>
            </w:r>
          </w:p>
        </w:tc>
        <w:tc>
          <w:tcPr>
            <w:tcW w:w="4160" w:type="pct"/>
            <w:tcBorders>
              <w:top w:val="single" w:sz="4" w:space="0" w:color="auto"/>
              <w:left w:val="single" w:sz="4" w:space="0" w:color="auto"/>
              <w:bottom w:val="single" w:sz="4" w:space="0" w:color="auto"/>
              <w:right w:val="single" w:sz="4" w:space="0" w:color="auto"/>
            </w:tcBorders>
            <w:shd w:val="clear" w:color="auto" w:fill="auto"/>
            <w:hideMark/>
          </w:tcPr>
          <w:p w14:paraId="3C7902F0" w14:textId="77777777" w:rsidR="007423CE" w:rsidRPr="000C4D6E" w:rsidRDefault="007423CE" w:rsidP="0019320E">
            <w:pPr>
              <w:rPr>
                <w:rFonts w:eastAsia="MS Mincho"/>
                <w:color w:val="000000"/>
              </w:rPr>
            </w:pPr>
            <w:r w:rsidRPr="000C4D6E">
              <w:rPr>
                <w:rFonts w:eastAsia="MS Mincho"/>
                <w:color w:val="000000"/>
              </w:rPr>
              <w:t xml:space="preserve">(1)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of bodily aches or pains did you have?</w:t>
            </w:r>
          </w:p>
          <w:p w14:paraId="09728DCD" w14:textId="77777777" w:rsidR="007423CE" w:rsidRPr="000C4D6E" w:rsidRDefault="007423CE" w:rsidP="0019320E">
            <w:pPr>
              <w:rPr>
                <w:rFonts w:eastAsia="MS Mincho"/>
                <w:color w:val="000000"/>
              </w:rPr>
            </w:pPr>
            <w:r w:rsidRPr="000C4D6E">
              <w:rPr>
                <w:rFonts w:eastAsia="MS Mincho"/>
                <w:color w:val="000000"/>
              </w:rPr>
              <w:t xml:space="preserve">(2)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bodily discomfort did you have?</w:t>
            </w:r>
          </w:p>
        </w:tc>
      </w:tr>
      <w:tr w:rsidR="007423CE" w:rsidRPr="000C4D6E" w14:paraId="6E66C110" w14:textId="77777777" w:rsidTr="0019320E">
        <w:trPr>
          <w:trHeight w:val="315"/>
        </w:trPr>
        <w:tc>
          <w:tcPr>
            <w:tcW w:w="840" w:type="pct"/>
            <w:tcBorders>
              <w:top w:val="single" w:sz="4" w:space="0" w:color="auto"/>
              <w:left w:val="single" w:sz="4" w:space="0" w:color="auto"/>
              <w:bottom w:val="nil"/>
              <w:right w:val="nil"/>
            </w:tcBorders>
            <w:shd w:val="clear" w:color="auto" w:fill="auto"/>
            <w:hideMark/>
          </w:tcPr>
          <w:p w14:paraId="1ECE2E54" w14:textId="77777777" w:rsidR="007423CE" w:rsidRPr="000C4D6E" w:rsidRDefault="007423CE" w:rsidP="0019320E">
            <w:pPr>
              <w:rPr>
                <w:rFonts w:eastAsia="Times New Roman"/>
                <w:b/>
                <w:bCs/>
                <w:color w:val="000000"/>
                <w:lang w:eastAsia="es-ES"/>
              </w:rPr>
            </w:pPr>
            <w:r w:rsidRPr="000C4D6E">
              <w:rPr>
                <w:rFonts w:eastAsia="Times New Roman"/>
                <w:b/>
                <w:bCs/>
                <w:color w:val="000000"/>
                <w:lang w:eastAsia="es-ES"/>
              </w:rPr>
              <w:t>Cognition</w:t>
            </w:r>
          </w:p>
        </w:tc>
        <w:tc>
          <w:tcPr>
            <w:tcW w:w="4160" w:type="pct"/>
            <w:tcBorders>
              <w:top w:val="single" w:sz="4" w:space="0" w:color="auto"/>
              <w:left w:val="single" w:sz="4" w:space="0" w:color="auto"/>
              <w:bottom w:val="nil"/>
              <w:right w:val="single" w:sz="4" w:space="0" w:color="auto"/>
            </w:tcBorders>
            <w:shd w:val="clear" w:color="auto" w:fill="auto"/>
            <w:hideMark/>
          </w:tcPr>
          <w:p w14:paraId="66D4023D" w14:textId="77777777" w:rsidR="007423CE" w:rsidRPr="000C4D6E" w:rsidRDefault="007423CE" w:rsidP="0019320E">
            <w:pPr>
              <w:rPr>
                <w:rFonts w:eastAsia="Times New Roman"/>
                <w:color w:val="000000"/>
                <w:lang w:eastAsia="es-ES"/>
              </w:rPr>
            </w:pPr>
            <w:r w:rsidRPr="000C4D6E">
              <w:rPr>
                <w:rFonts w:eastAsia="MS Mincho"/>
                <w:color w:val="000000"/>
              </w:rPr>
              <w:t xml:space="preserve">(1)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difficulty did you have with concentrating or remembering things?</w:t>
            </w:r>
          </w:p>
        </w:tc>
      </w:tr>
      <w:tr w:rsidR="007423CE" w:rsidRPr="000C4D6E" w14:paraId="75039C14" w14:textId="77777777" w:rsidTr="0019320E">
        <w:trPr>
          <w:trHeight w:val="510"/>
        </w:trPr>
        <w:tc>
          <w:tcPr>
            <w:tcW w:w="840" w:type="pct"/>
            <w:tcBorders>
              <w:top w:val="nil"/>
              <w:left w:val="single" w:sz="4" w:space="0" w:color="auto"/>
              <w:bottom w:val="single" w:sz="4" w:space="0" w:color="auto"/>
              <w:right w:val="nil"/>
            </w:tcBorders>
            <w:shd w:val="clear" w:color="auto" w:fill="auto"/>
            <w:hideMark/>
          </w:tcPr>
          <w:p w14:paraId="77097A05" w14:textId="77777777" w:rsidR="007423CE" w:rsidRPr="000C4D6E" w:rsidRDefault="007423CE" w:rsidP="0019320E">
            <w:pPr>
              <w:rPr>
                <w:rFonts w:eastAsia="Times New Roman"/>
                <w:b/>
                <w:bCs/>
                <w:color w:val="000000"/>
                <w:lang w:eastAsia="es-ES"/>
              </w:rPr>
            </w:pPr>
            <w:r w:rsidRPr="000C4D6E">
              <w:rPr>
                <w:rFonts w:eastAsia="Times New Roman"/>
                <w:b/>
                <w:bCs/>
                <w:color w:val="000000"/>
                <w:lang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419B11B8" w14:textId="77777777" w:rsidR="007423CE" w:rsidRPr="000C4D6E" w:rsidRDefault="007423CE" w:rsidP="0019320E">
            <w:pPr>
              <w:rPr>
                <w:rFonts w:eastAsia="Times New Roman"/>
                <w:color w:val="000000"/>
                <w:lang w:eastAsia="es-ES"/>
              </w:rPr>
            </w:pPr>
            <w:r w:rsidRPr="000C4D6E">
              <w:rPr>
                <w:rFonts w:eastAsia="MS Mincho"/>
                <w:color w:val="000000"/>
              </w:rPr>
              <w:t xml:space="preserve">(2)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difficulty did you have in learning a new task (for example, learning how to get to a new place, learning a new game, learning a new recipe etc.)?</w:t>
            </w:r>
          </w:p>
        </w:tc>
      </w:tr>
      <w:tr w:rsidR="007423CE" w:rsidRPr="000C4D6E" w14:paraId="381CBA40" w14:textId="77777777" w:rsidTr="0019320E">
        <w:trPr>
          <w:trHeight w:val="510"/>
        </w:trPr>
        <w:tc>
          <w:tcPr>
            <w:tcW w:w="840" w:type="pct"/>
            <w:tcBorders>
              <w:top w:val="nil"/>
              <w:left w:val="single" w:sz="4" w:space="0" w:color="auto"/>
              <w:bottom w:val="nil"/>
              <w:right w:val="nil"/>
            </w:tcBorders>
            <w:shd w:val="clear" w:color="auto" w:fill="auto"/>
            <w:hideMark/>
          </w:tcPr>
          <w:p w14:paraId="26879C1C" w14:textId="77777777" w:rsidR="007423CE" w:rsidRPr="000C4D6E" w:rsidRDefault="007423CE" w:rsidP="0019320E">
            <w:pPr>
              <w:rPr>
                <w:rFonts w:eastAsia="Times New Roman"/>
                <w:b/>
                <w:bCs/>
                <w:color w:val="000000"/>
                <w:lang w:eastAsia="es-ES"/>
              </w:rPr>
            </w:pPr>
            <w:r w:rsidRPr="000C4D6E">
              <w:rPr>
                <w:rFonts w:eastAsia="Times New Roman"/>
                <w:b/>
                <w:bCs/>
                <w:color w:val="000000"/>
                <w:lang w:eastAsia="es-ES"/>
              </w:rPr>
              <w:t>Sleep and energy</w:t>
            </w:r>
          </w:p>
        </w:tc>
        <w:tc>
          <w:tcPr>
            <w:tcW w:w="4160" w:type="pct"/>
            <w:tcBorders>
              <w:top w:val="nil"/>
              <w:left w:val="single" w:sz="4" w:space="0" w:color="auto"/>
              <w:bottom w:val="nil"/>
              <w:right w:val="single" w:sz="4" w:space="0" w:color="auto"/>
            </w:tcBorders>
            <w:shd w:val="clear" w:color="auto" w:fill="auto"/>
            <w:hideMark/>
          </w:tcPr>
          <w:p w14:paraId="3B7CA6EE" w14:textId="77777777" w:rsidR="007423CE" w:rsidRPr="000C4D6E" w:rsidRDefault="007423CE" w:rsidP="0019320E">
            <w:pPr>
              <w:rPr>
                <w:rFonts w:eastAsia="Times New Roman"/>
                <w:color w:val="000000"/>
                <w:lang w:eastAsia="es-ES"/>
              </w:rPr>
            </w:pPr>
            <w:r w:rsidRPr="000C4D6E">
              <w:rPr>
                <w:rFonts w:eastAsia="MS Mincho"/>
                <w:color w:val="000000"/>
              </w:rPr>
              <w:t xml:space="preserve">(1)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of a problem did you have with sleeping, such as falling asleep, waking up frequently during the night or waking up too early in the morning?</w:t>
            </w:r>
          </w:p>
        </w:tc>
      </w:tr>
      <w:tr w:rsidR="007423CE" w:rsidRPr="000C4D6E" w14:paraId="41CFEE04" w14:textId="77777777" w:rsidTr="0019320E">
        <w:trPr>
          <w:trHeight w:val="510"/>
        </w:trPr>
        <w:tc>
          <w:tcPr>
            <w:tcW w:w="840" w:type="pct"/>
            <w:tcBorders>
              <w:top w:val="nil"/>
              <w:left w:val="single" w:sz="4" w:space="0" w:color="auto"/>
              <w:bottom w:val="single" w:sz="4" w:space="0" w:color="auto"/>
              <w:right w:val="nil"/>
            </w:tcBorders>
            <w:shd w:val="clear" w:color="auto" w:fill="auto"/>
            <w:hideMark/>
          </w:tcPr>
          <w:p w14:paraId="4121EF29" w14:textId="77777777" w:rsidR="007423CE" w:rsidRPr="000C4D6E" w:rsidRDefault="007423CE" w:rsidP="0019320E">
            <w:pPr>
              <w:rPr>
                <w:rFonts w:eastAsia="Times New Roman"/>
                <w:color w:val="000000"/>
                <w:lang w:eastAsia="es-ES"/>
              </w:rPr>
            </w:pPr>
            <w:r w:rsidRPr="000C4D6E">
              <w:rPr>
                <w:rFonts w:eastAsia="Times New Roman"/>
                <w:color w:val="000000"/>
                <w:lang w:eastAsia="es-ES"/>
              </w:rPr>
              <w:t> </w:t>
            </w:r>
          </w:p>
        </w:tc>
        <w:tc>
          <w:tcPr>
            <w:tcW w:w="4160" w:type="pct"/>
            <w:tcBorders>
              <w:top w:val="nil"/>
              <w:left w:val="single" w:sz="4" w:space="0" w:color="auto"/>
              <w:bottom w:val="single" w:sz="4" w:space="0" w:color="auto"/>
              <w:right w:val="single" w:sz="4" w:space="0" w:color="auto"/>
            </w:tcBorders>
            <w:shd w:val="clear" w:color="auto" w:fill="auto"/>
            <w:hideMark/>
          </w:tcPr>
          <w:p w14:paraId="4DE0BD6D" w14:textId="77777777" w:rsidR="007423CE" w:rsidRPr="000C4D6E" w:rsidRDefault="007423CE" w:rsidP="0019320E">
            <w:pPr>
              <w:rPr>
                <w:rFonts w:eastAsia="Times New Roman"/>
                <w:color w:val="000000"/>
                <w:lang w:eastAsia="es-ES"/>
              </w:rPr>
            </w:pPr>
            <w:r w:rsidRPr="000C4D6E">
              <w:rPr>
                <w:rFonts w:eastAsia="MS Mincho"/>
                <w:color w:val="000000"/>
              </w:rPr>
              <w:t xml:space="preserve">(2) </w:t>
            </w:r>
            <w:proofErr w:type="gramStart"/>
            <w:r w:rsidRPr="000C4D6E">
              <w:rPr>
                <w:rFonts w:eastAsia="Times New Roman"/>
                <w:color w:val="000000"/>
                <w:lang w:eastAsia="es-ES"/>
              </w:rPr>
              <w:t>Overall</w:t>
            </w:r>
            <w:proofErr w:type="gramEnd"/>
            <w:r w:rsidRPr="000C4D6E">
              <w:rPr>
                <w:rFonts w:eastAsia="Times New Roman"/>
                <w:color w:val="000000"/>
                <w:lang w:eastAsia="es-ES"/>
              </w:rPr>
              <w:t xml:space="preserve"> in the last 30 days, how much of a problem did you have due to not feeling rested and refreshed during the day (e.g. feeling tired, not having energy)?</w:t>
            </w:r>
          </w:p>
        </w:tc>
      </w:tr>
    </w:tbl>
    <w:p w14:paraId="60EAED1D" w14:textId="77777777" w:rsidR="007423CE" w:rsidRPr="005053E1" w:rsidRDefault="007423CE" w:rsidP="007423CE">
      <w:pPr>
        <w:rPr>
          <w:rFonts w:eastAsia="MS Mincho"/>
          <w:b/>
        </w:rPr>
      </w:pPr>
    </w:p>
    <w:p w14:paraId="2F974D53" w14:textId="77777777" w:rsidR="007423CE" w:rsidRPr="005053E1" w:rsidRDefault="007423CE" w:rsidP="007423CE">
      <w:pPr>
        <w:rPr>
          <w:rFonts w:eastAsia="MS Mincho"/>
          <w:b/>
        </w:rPr>
      </w:pPr>
    </w:p>
    <w:p w14:paraId="5A7E302F" w14:textId="77777777" w:rsidR="007423CE" w:rsidRDefault="007423CE" w:rsidP="007423CE"/>
    <w:p w14:paraId="55F651C8" w14:textId="77777777" w:rsidR="003C76CD" w:rsidRDefault="003C76CD" w:rsidP="005D3987">
      <w:pPr>
        <w:spacing w:line="480" w:lineRule="auto"/>
      </w:pPr>
    </w:p>
    <w:sectPr w:rsidR="003C76CD" w:rsidSect="00FD29A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F0A78" w14:textId="77777777" w:rsidR="001F374D" w:rsidRDefault="001F374D">
      <w:r>
        <w:separator/>
      </w:r>
    </w:p>
  </w:endnote>
  <w:endnote w:type="continuationSeparator" w:id="0">
    <w:p w14:paraId="4F58A5A1" w14:textId="77777777" w:rsidR="001F374D" w:rsidRDefault="001F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172DC" w14:textId="77777777" w:rsidR="001F374D" w:rsidRDefault="001F374D" w:rsidP="00F044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6A3F0" w14:textId="097ED9FB" w:rsidR="001F374D" w:rsidRDefault="001F374D" w:rsidP="005670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14:paraId="7A8857A1" w14:textId="77777777" w:rsidR="001F374D" w:rsidRDefault="001F374D" w:rsidP="009E5E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2B564A" w14:textId="77777777" w:rsidR="001F374D" w:rsidRDefault="001F374D">
      <w:r>
        <w:separator/>
      </w:r>
    </w:p>
  </w:footnote>
  <w:footnote w:type="continuationSeparator" w:id="0">
    <w:p w14:paraId="08466F9C" w14:textId="77777777" w:rsidR="001F374D" w:rsidRDefault="001F37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93135" w14:textId="77777777" w:rsidR="001F374D" w:rsidRPr="00EB748E" w:rsidRDefault="001F374D" w:rsidP="00EB7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C363A"/>
    <w:multiLevelType w:val="hybridMultilevel"/>
    <w:tmpl w:val="82D2216E"/>
    <w:lvl w:ilvl="0" w:tplc="800245A6">
      <w:numFmt w:val="bullet"/>
      <w:lvlText w:val=""/>
      <w:lvlJc w:val="left"/>
      <w:pPr>
        <w:ind w:left="720" w:hanging="360"/>
      </w:pPr>
      <w:rPr>
        <w:rFonts w:ascii="Wingdings" w:eastAsiaTheme="minorHAnsi" w:hAnsi="Wingdings" w:cs="Arial" w:hint="default"/>
        <w:color w:val="auto"/>
        <w:sz w:val="2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13387606"/>
    <w:multiLevelType w:val="hybridMultilevel"/>
    <w:tmpl w:val="F9AE3ABE"/>
    <w:lvl w:ilvl="0" w:tplc="81503AE0">
      <w:numFmt w:val="bullet"/>
      <w:lvlText w:val=""/>
      <w:lvlJc w:val="left"/>
      <w:pPr>
        <w:ind w:left="720" w:hanging="360"/>
      </w:pPr>
      <w:rPr>
        <w:rFonts w:ascii="Wingdings" w:eastAsiaTheme="minorEastAsia" w:hAnsi="Wingdings"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0FE56F1"/>
    <w:multiLevelType w:val="multilevel"/>
    <w:tmpl w:val="247E5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7E3EE8"/>
    <w:multiLevelType w:val="multilevel"/>
    <w:tmpl w:val="34E6E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972DD8"/>
    <w:multiLevelType w:val="multilevel"/>
    <w:tmpl w:val="E9C23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DC0BB0"/>
    <w:multiLevelType w:val="hybridMultilevel"/>
    <w:tmpl w:val="6B6EF63E"/>
    <w:lvl w:ilvl="0" w:tplc="2C7CF96C">
      <w:start w:val="37"/>
      <w:numFmt w:val="bullet"/>
      <w:lvlText w:val=""/>
      <w:lvlJc w:val="left"/>
      <w:pPr>
        <w:ind w:left="1068" w:hanging="360"/>
      </w:pPr>
      <w:rPr>
        <w:rFonts w:ascii="Wingdings" w:eastAsiaTheme="minorEastAsia" w:hAnsi="Wingdings" w:cs="Times New Roman" w:hint="default"/>
        <w:color w:val="000000"/>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6" w15:restartNumberingAfterBreak="0">
    <w:nsid w:val="77611442"/>
    <w:multiLevelType w:val="hybridMultilevel"/>
    <w:tmpl w:val="1B68B0AA"/>
    <w:lvl w:ilvl="0" w:tplc="7CD0BF8E">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DFB"/>
    <w:rsid w:val="00000573"/>
    <w:rsid w:val="00002D44"/>
    <w:rsid w:val="00003A52"/>
    <w:rsid w:val="00004C6D"/>
    <w:rsid w:val="00005450"/>
    <w:rsid w:val="0000579C"/>
    <w:rsid w:val="00005B22"/>
    <w:rsid w:val="0001083E"/>
    <w:rsid w:val="00011001"/>
    <w:rsid w:val="00011069"/>
    <w:rsid w:val="00011110"/>
    <w:rsid w:val="000111F4"/>
    <w:rsid w:val="0001186E"/>
    <w:rsid w:val="00013908"/>
    <w:rsid w:val="0002014D"/>
    <w:rsid w:val="00020E41"/>
    <w:rsid w:val="00022B5E"/>
    <w:rsid w:val="00022F60"/>
    <w:rsid w:val="00023127"/>
    <w:rsid w:val="0002509C"/>
    <w:rsid w:val="00025852"/>
    <w:rsid w:val="00026093"/>
    <w:rsid w:val="00026592"/>
    <w:rsid w:val="0003068E"/>
    <w:rsid w:val="000331CA"/>
    <w:rsid w:val="00033764"/>
    <w:rsid w:val="0003402D"/>
    <w:rsid w:val="000377D2"/>
    <w:rsid w:val="000404C9"/>
    <w:rsid w:val="00043740"/>
    <w:rsid w:val="000459A0"/>
    <w:rsid w:val="00045ED4"/>
    <w:rsid w:val="000472B6"/>
    <w:rsid w:val="00047B73"/>
    <w:rsid w:val="000503BD"/>
    <w:rsid w:val="0005080F"/>
    <w:rsid w:val="0005399E"/>
    <w:rsid w:val="0005762A"/>
    <w:rsid w:val="00060E1D"/>
    <w:rsid w:val="00061465"/>
    <w:rsid w:val="00061D4E"/>
    <w:rsid w:val="00061E49"/>
    <w:rsid w:val="00061F8E"/>
    <w:rsid w:val="000623D8"/>
    <w:rsid w:val="0006303F"/>
    <w:rsid w:val="00064ABD"/>
    <w:rsid w:val="00067BFD"/>
    <w:rsid w:val="00071C0A"/>
    <w:rsid w:val="00072639"/>
    <w:rsid w:val="00073192"/>
    <w:rsid w:val="000732FB"/>
    <w:rsid w:val="00073D10"/>
    <w:rsid w:val="000761CC"/>
    <w:rsid w:val="00076C18"/>
    <w:rsid w:val="00081022"/>
    <w:rsid w:val="000815B5"/>
    <w:rsid w:val="00083008"/>
    <w:rsid w:val="00085DE2"/>
    <w:rsid w:val="000868F4"/>
    <w:rsid w:val="00086ECE"/>
    <w:rsid w:val="00090E1B"/>
    <w:rsid w:val="0009103F"/>
    <w:rsid w:val="00092F77"/>
    <w:rsid w:val="00093416"/>
    <w:rsid w:val="00095FF2"/>
    <w:rsid w:val="000960FE"/>
    <w:rsid w:val="000A2CD9"/>
    <w:rsid w:val="000A37EF"/>
    <w:rsid w:val="000A6AB1"/>
    <w:rsid w:val="000B1A85"/>
    <w:rsid w:val="000B1FCC"/>
    <w:rsid w:val="000B4199"/>
    <w:rsid w:val="000B5634"/>
    <w:rsid w:val="000B56D7"/>
    <w:rsid w:val="000B76D0"/>
    <w:rsid w:val="000C4D6E"/>
    <w:rsid w:val="000C5AFD"/>
    <w:rsid w:val="000C699B"/>
    <w:rsid w:val="000C7EB4"/>
    <w:rsid w:val="000D0D77"/>
    <w:rsid w:val="000D57BE"/>
    <w:rsid w:val="000D62B2"/>
    <w:rsid w:val="000D75C8"/>
    <w:rsid w:val="000E0EB7"/>
    <w:rsid w:val="000E587B"/>
    <w:rsid w:val="000E67B0"/>
    <w:rsid w:val="000F1B42"/>
    <w:rsid w:val="000F1B57"/>
    <w:rsid w:val="000F58D4"/>
    <w:rsid w:val="000F7B49"/>
    <w:rsid w:val="00100AAC"/>
    <w:rsid w:val="00102D47"/>
    <w:rsid w:val="0010418C"/>
    <w:rsid w:val="00104250"/>
    <w:rsid w:val="00104C47"/>
    <w:rsid w:val="00105736"/>
    <w:rsid w:val="00105843"/>
    <w:rsid w:val="00106BCB"/>
    <w:rsid w:val="001073ED"/>
    <w:rsid w:val="0011076A"/>
    <w:rsid w:val="00112FE7"/>
    <w:rsid w:val="00114178"/>
    <w:rsid w:val="001146AF"/>
    <w:rsid w:val="00114E0A"/>
    <w:rsid w:val="00116455"/>
    <w:rsid w:val="001179E0"/>
    <w:rsid w:val="00120979"/>
    <w:rsid w:val="001252E0"/>
    <w:rsid w:val="00125C4C"/>
    <w:rsid w:val="001263B3"/>
    <w:rsid w:val="001268E5"/>
    <w:rsid w:val="00126C53"/>
    <w:rsid w:val="0013286C"/>
    <w:rsid w:val="001333C8"/>
    <w:rsid w:val="00133DAB"/>
    <w:rsid w:val="001341C9"/>
    <w:rsid w:val="00136241"/>
    <w:rsid w:val="0013637C"/>
    <w:rsid w:val="0013787C"/>
    <w:rsid w:val="00140303"/>
    <w:rsid w:val="00140EE9"/>
    <w:rsid w:val="00142709"/>
    <w:rsid w:val="00143162"/>
    <w:rsid w:val="0014459D"/>
    <w:rsid w:val="00145B93"/>
    <w:rsid w:val="00150287"/>
    <w:rsid w:val="001522F3"/>
    <w:rsid w:val="00152CCF"/>
    <w:rsid w:val="00152EE9"/>
    <w:rsid w:val="00153398"/>
    <w:rsid w:val="001554D9"/>
    <w:rsid w:val="00160062"/>
    <w:rsid w:val="00160680"/>
    <w:rsid w:val="00161141"/>
    <w:rsid w:val="00164E43"/>
    <w:rsid w:val="00165271"/>
    <w:rsid w:val="00165A57"/>
    <w:rsid w:val="00165AE4"/>
    <w:rsid w:val="0016643E"/>
    <w:rsid w:val="00171AB0"/>
    <w:rsid w:val="00171F4C"/>
    <w:rsid w:val="001725BF"/>
    <w:rsid w:val="001751C9"/>
    <w:rsid w:val="0017605E"/>
    <w:rsid w:val="001774CA"/>
    <w:rsid w:val="00177F85"/>
    <w:rsid w:val="00180A5A"/>
    <w:rsid w:val="00184C1C"/>
    <w:rsid w:val="00186981"/>
    <w:rsid w:val="00186DCF"/>
    <w:rsid w:val="00187EBA"/>
    <w:rsid w:val="001904E6"/>
    <w:rsid w:val="001927D1"/>
    <w:rsid w:val="00192A53"/>
    <w:rsid w:val="00192D23"/>
    <w:rsid w:val="00192F4E"/>
    <w:rsid w:val="00195C2E"/>
    <w:rsid w:val="00195D9E"/>
    <w:rsid w:val="00195F67"/>
    <w:rsid w:val="001972BE"/>
    <w:rsid w:val="001975F4"/>
    <w:rsid w:val="001A0391"/>
    <w:rsid w:val="001A0E6D"/>
    <w:rsid w:val="001A187C"/>
    <w:rsid w:val="001A1A32"/>
    <w:rsid w:val="001A3B71"/>
    <w:rsid w:val="001A4BA1"/>
    <w:rsid w:val="001A787C"/>
    <w:rsid w:val="001A7DF8"/>
    <w:rsid w:val="001B1026"/>
    <w:rsid w:val="001B1133"/>
    <w:rsid w:val="001B1B38"/>
    <w:rsid w:val="001B2EC8"/>
    <w:rsid w:val="001B3A1F"/>
    <w:rsid w:val="001B4972"/>
    <w:rsid w:val="001B54FF"/>
    <w:rsid w:val="001B60A0"/>
    <w:rsid w:val="001C02B5"/>
    <w:rsid w:val="001C3D41"/>
    <w:rsid w:val="001C4BCB"/>
    <w:rsid w:val="001C5CD6"/>
    <w:rsid w:val="001C7C72"/>
    <w:rsid w:val="001D1E63"/>
    <w:rsid w:val="001D2657"/>
    <w:rsid w:val="001D2908"/>
    <w:rsid w:val="001D2BDB"/>
    <w:rsid w:val="001D2E21"/>
    <w:rsid w:val="001D36F2"/>
    <w:rsid w:val="001D38B6"/>
    <w:rsid w:val="001D3E07"/>
    <w:rsid w:val="001E028E"/>
    <w:rsid w:val="001E27B7"/>
    <w:rsid w:val="001E5798"/>
    <w:rsid w:val="001E7FEB"/>
    <w:rsid w:val="001F043C"/>
    <w:rsid w:val="001F04D7"/>
    <w:rsid w:val="001F18E7"/>
    <w:rsid w:val="001F36B2"/>
    <w:rsid w:val="001F374D"/>
    <w:rsid w:val="001F53D9"/>
    <w:rsid w:val="001F59D6"/>
    <w:rsid w:val="0020063A"/>
    <w:rsid w:val="00201F92"/>
    <w:rsid w:val="00201FEB"/>
    <w:rsid w:val="002037F2"/>
    <w:rsid w:val="00203AC5"/>
    <w:rsid w:val="00205A5D"/>
    <w:rsid w:val="00205E31"/>
    <w:rsid w:val="002066E1"/>
    <w:rsid w:val="002143BF"/>
    <w:rsid w:val="00215850"/>
    <w:rsid w:val="00217B0E"/>
    <w:rsid w:val="002200C2"/>
    <w:rsid w:val="0022118B"/>
    <w:rsid w:val="00223556"/>
    <w:rsid w:val="00223A19"/>
    <w:rsid w:val="002252DA"/>
    <w:rsid w:val="00225E73"/>
    <w:rsid w:val="00226254"/>
    <w:rsid w:val="00230177"/>
    <w:rsid w:val="00230A09"/>
    <w:rsid w:val="00231C82"/>
    <w:rsid w:val="002325E0"/>
    <w:rsid w:val="00234722"/>
    <w:rsid w:val="002351AA"/>
    <w:rsid w:val="002351C0"/>
    <w:rsid w:val="00237501"/>
    <w:rsid w:val="00237F4C"/>
    <w:rsid w:val="00237FB2"/>
    <w:rsid w:val="00240896"/>
    <w:rsid w:val="002425DA"/>
    <w:rsid w:val="00242F07"/>
    <w:rsid w:val="00243346"/>
    <w:rsid w:val="0024449C"/>
    <w:rsid w:val="00246FA6"/>
    <w:rsid w:val="002472A9"/>
    <w:rsid w:val="00250B2C"/>
    <w:rsid w:val="0025127B"/>
    <w:rsid w:val="0025159C"/>
    <w:rsid w:val="00252864"/>
    <w:rsid w:val="00254389"/>
    <w:rsid w:val="002547BD"/>
    <w:rsid w:val="00254845"/>
    <w:rsid w:val="002553E0"/>
    <w:rsid w:val="00257F11"/>
    <w:rsid w:val="00260784"/>
    <w:rsid w:val="002607D2"/>
    <w:rsid w:val="00261324"/>
    <w:rsid w:val="002629DA"/>
    <w:rsid w:val="0026465F"/>
    <w:rsid w:val="002674B2"/>
    <w:rsid w:val="00267E58"/>
    <w:rsid w:val="00267E89"/>
    <w:rsid w:val="0027062C"/>
    <w:rsid w:val="00271B91"/>
    <w:rsid w:val="00272CC3"/>
    <w:rsid w:val="002746AF"/>
    <w:rsid w:val="00277F0A"/>
    <w:rsid w:val="002844E3"/>
    <w:rsid w:val="00290DD5"/>
    <w:rsid w:val="00293ABB"/>
    <w:rsid w:val="002A01D5"/>
    <w:rsid w:val="002A0559"/>
    <w:rsid w:val="002A218A"/>
    <w:rsid w:val="002A314F"/>
    <w:rsid w:val="002A35B2"/>
    <w:rsid w:val="002A502C"/>
    <w:rsid w:val="002B050E"/>
    <w:rsid w:val="002C0B49"/>
    <w:rsid w:val="002C1F19"/>
    <w:rsid w:val="002C26D2"/>
    <w:rsid w:val="002C4A9F"/>
    <w:rsid w:val="002C5E17"/>
    <w:rsid w:val="002C60D3"/>
    <w:rsid w:val="002D0CD6"/>
    <w:rsid w:val="002D1092"/>
    <w:rsid w:val="002D2F45"/>
    <w:rsid w:val="002D30F0"/>
    <w:rsid w:val="002D3D01"/>
    <w:rsid w:val="002D3D2A"/>
    <w:rsid w:val="002D7B00"/>
    <w:rsid w:val="002D7BFD"/>
    <w:rsid w:val="002D7DC2"/>
    <w:rsid w:val="002E2B10"/>
    <w:rsid w:val="002E3EF5"/>
    <w:rsid w:val="002E642A"/>
    <w:rsid w:val="002E6FE4"/>
    <w:rsid w:val="002E6FF3"/>
    <w:rsid w:val="002E7B60"/>
    <w:rsid w:val="002F27A1"/>
    <w:rsid w:val="002F36F3"/>
    <w:rsid w:val="002F54EB"/>
    <w:rsid w:val="002F6464"/>
    <w:rsid w:val="003026E0"/>
    <w:rsid w:val="0030277A"/>
    <w:rsid w:val="003028E9"/>
    <w:rsid w:val="00304D1A"/>
    <w:rsid w:val="00310B09"/>
    <w:rsid w:val="00317002"/>
    <w:rsid w:val="003175C4"/>
    <w:rsid w:val="00317CBC"/>
    <w:rsid w:val="00327E28"/>
    <w:rsid w:val="003305E9"/>
    <w:rsid w:val="0033094B"/>
    <w:rsid w:val="00331674"/>
    <w:rsid w:val="003317AA"/>
    <w:rsid w:val="00332D9C"/>
    <w:rsid w:val="0033318B"/>
    <w:rsid w:val="0033580B"/>
    <w:rsid w:val="00340281"/>
    <w:rsid w:val="0034197F"/>
    <w:rsid w:val="00344AD3"/>
    <w:rsid w:val="0034750B"/>
    <w:rsid w:val="00352B49"/>
    <w:rsid w:val="0035714A"/>
    <w:rsid w:val="00362015"/>
    <w:rsid w:val="00362285"/>
    <w:rsid w:val="00362B34"/>
    <w:rsid w:val="00363184"/>
    <w:rsid w:val="0036330F"/>
    <w:rsid w:val="00366EC7"/>
    <w:rsid w:val="003678B8"/>
    <w:rsid w:val="00370796"/>
    <w:rsid w:val="00373BA8"/>
    <w:rsid w:val="00374DC4"/>
    <w:rsid w:val="0037531C"/>
    <w:rsid w:val="00377671"/>
    <w:rsid w:val="00380717"/>
    <w:rsid w:val="00380BA2"/>
    <w:rsid w:val="003854B8"/>
    <w:rsid w:val="0038710F"/>
    <w:rsid w:val="0039045C"/>
    <w:rsid w:val="00390A98"/>
    <w:rsid w:val="00391904"/>
    <w:rsid w:val="00391C65"/>
    <w:rsid w:val="00392C72"/>
    <w:rsid w:val="00393E32"/>
    <w:rsid w:val="00393F13"/>
    <w:rsid w:val="00394656"/>
    <w:rsid w:val="00396314"/>
    <w:rsid w:val="003A0A09"/>
    <w:rsid w:val="003A0DDB"/>
    <w:rsid w:val="003A1939"/>
    <w:rsid w:val="003A26F5"/>
    <w:rsid w:val="003A4003"/>
    <w:rsid w:val="003A4B63"/>
    <w:rsid w:val="003A5156"/>
    <w:rsid w:val="003A74CF"/>
    <w:rsid w:val="003B156B"/>
    <w:rsid w:val="003B1F57"/>
    <w:rsid w:val="003B23F7"/>
    <w:rsid w:val="003B34B2"/>
    <w:rsid w:val="003B3877"/>
    <w:rsid w:val="003B5DDD"/>
    <w:rsid w:val="003B66DD"/>
    <w:rsid w:val="003B6AE4"/>
    <w:rsid w:val="003B6BF8"/>
    <w:rsid w:val="003B719F"/>
    <w:rsid w:val="003B739F"/>
    <w:rsid w:val="003B792E"/>
    <w:rsid w:val="003C018D"/>
    <w:rsid w:val="003C0E4C"/>
    <w:rsid w:val="003C3842"/>
    <w:rsid w:val="003C76CD"/>
    <w:rsid w:val="003C7982"/>
    <w:rsid w:val="003C7A77"/>
    <w:rsid w:val="003D08BA"/>
    <w:rsid w:val="003D3EA9"/>
    <w:rsid w:val="003E055D"/>
    <w:rsid w:val="003E216C"/>
    <w:rsid w:val="003E419B"/>
    <w:rsid w:val="003E65E1"/>
    <w:rsid w:val="003E79E4"/>
    <w:rsid w:val="003F3491"/>
    <w:rsid w:val="003F5836"/>
    <w:rsid w:val="003F5E27"/>
    <w:rsid w:val="003F63BE"/>
    <w:rsid w:val="00402760"/>
    <w:rsid w:val="00402E5C"/>
    <w:rsid w:val="00404D42"/>
    <w:rsid w:val="00405176"/>
    <w:rsid w:val="004063EE"/>
    <w:rsid w:val="00407B07"/>
    <w:rsid w:val="00407D9B"/>
    <w:rsid w:val="00410A6D"/>
    <w:rsid w:val="00411114"/>
    <w:rsid w:val="004118DF"/>
    <w:rsid w:val="004140E8"/>
    <w:rsid w:val="004148E9"/>
    <w:rsid w:val="0041597E"/>
    <w:rsid w:val="004167C6"/>
    <w:rsid w:val="00417580"/>
    <w:rsid w:val="00423E76"/>
    <w:rsid w:val="00424289"/>
    <w:rsid w:val="0042604F"/>
    <w:rsid w:val="00426307"/>
    <w:rsid w:val="004263AF"/>
    <w:rsid w:val="00432465"/>
    <w:rsid w:val="00433E7B"/>
    <w:rsid w:val="00435829"/>
    <w:rsid w:val="0045216A"/>
    <w:rsid w:val="004528FE"/>
    <w:rsid w:val="00457B7F"/>
    <w:rsid w:val="00457D63"/>
    <w:rsid w:val="004609BF"/>
    <w:rsid w:val="004612EA"/>
    <w:rsid w:val="004613BF"/>
    <w:rsid w:val="004618E5"/>
    <w:rsid w:val="004624F8"/>
    <w:rsid w:val="00464031"/>
    <w:rsid w:val="00464199"/>
    <w:rsid w:val="00464459"/>
    <w:rsid w:val="00466BAA"/>
    <w:rsid w:val="004711CE"/>
    <w:rsid w:val="00471615"/>
    <w:rsid w:val="0047178E"/>
    <w:rsid w:val="00471B99"/>
    <w:rsid w:val="00472FD7"/>
    <w:rsid w:val="0047501B"/>
    <w:rsid w:val="004751F4"/>
    <w:rsid w:val="004762A6"/>
    <w:rsid w:val="00476CEB"/>
    <w:rsid w:val="00477201"/>
    <w:rsid w:val="0048035C"/>
    <w:rsid w:val="004804D2"/>
    <w:rsid w:val="00481223"/>
    <w:rsid w:val="00482C71"/>
    <w:rsid w:val="00483BCE"/>
    <w:rsid w:val="0048462C"/>
    <w:rsid w:val="004856E1"/>
    <w:rsid w:val="00485731"/>
    <w:rsid w:val="00487138"/>
    <w:rsid w:val="004909C1"/>
    <w:rsid w:val="00490B93"/>
    <w:rsid w:val="004911B8"/>
    <w:rsid w:val="00491C42"/>
    <w:rsid w:val="00491E53"/>
    <w:rsid w:val="00492E3F"/>
    <w:rsid w:val="00493505"/>
    <w:rsid w:val="004935F9"/>
    <w:rsid w:val="0049367E"/>
    <w:rsid w:val="004936A4"/>
    <w:rsid w:val="00496625"/>
    <w:rsid w:val="00497039"/>
    <w:rsid w:val="004A0B9C"/>
    <w:rsid w:val="004A0CC8"/>
    <w:rsid w:val="004A354A"/>
    <w:rsid w:val="004A649C"/>
    <w:rsid w:val="004A686C"/>
    <w:rsid w:val="004A77C4"/>
    <w:rsid w:val="004B0FFE"/>
    <w:rsid w:val="004B11A8"/>
    <w:rsid w:val="004B18A4"/>
    <w:rsid w:val="004B2F17"/>
    <w:rsid w:val="004B643D"/>
    <w:rsid w:val="004C0490"/>
    <w:rsid w:val="004C30CB"/>
    <w:rsid w:val="004C3FDD"/>
    <w:rsid w:val="004C4C7F"/>
    <w:rsid w:val="004C7648"/>
    <w:rsid w:val="004C772B"/>
    <w:rsid w:val="004D31C4"/>
    <w:rsid w:val="004D38D7"/>
    <w:rsid w:val="004D4931"/>
    <w:rsid w:val="004D576B"/>
    <w:rsid w:val="004D5FBA"/>
    <w:rsid w:val="004D6116"/>
    <w:rsid w:val="004D6C59"/>
    <w:rsid w:val="004E2647"/>
    <w:rsid w:val="004E449F"/>
    <w:rsid w:val="004E5406"/>
    <w:rsid w:val="004E5CE0"/>
    <w:rsid w:val="004E5F0F"/>
    <w:rsid w:val="004E70C2"/>
    <w:rsid w:val="004E71A9"/>
    <w:rsid w:val="004F05B0"/>
    <w:rsid w:val="004F0628"/>
    <w:rsid w:val="004F1E18"/>
    <w:rsid w:val="004F3E61"/>
    <w:rsid w:val="004F6278"/>
    <w:rsid w:val="004F6914"/>
    <w:rsid w:val="005004F4"/>
    <w:rsid w:val="00500C34"/>
    <w:rsid w:val="00500FC3"/>
    <w:rsid w:val="00501350"/>
    <w:rsid w:val="00502D2F"/>
    <w:rsid w:val="00505F5E"/>
    <w:rsid w:val="00506803"/>
    <w:rsid w:val="00506C63"/>
    <w:rsid w:val="00507ADA"/>
    <w:rsid w:val="00507C2C"/>
    <w:rsid w:val="00510547"/>
    <w:rsid w:val="00510DDB"/>
    <w:rsid w:val="00511F77"/>
    <w:rsid w:val="0051507F"/>
    <w:rsid w:val="00515A4B"/>
    <w:rsid w:val="00516AD1"/>
    <w:rsid w:val="0052397E"/>
    <w:rsid w:val="005250AA"/>
    <w:rsid w:val="00525C9B"/>
    <w:rsid w:val="00525DE8"/>
    <w:rsid w:val="0052607E"/>
    <w:rsid w:val="0052683D"/>
    <w:rsid w:val="00526ECF"/>
    <w:rsid w:val="005320AE"/>
    <w:rsid w:val="00532310"/>
    <w:rsid w:val="005366FE"/>
    <w:rsid w:val="00537ED9"/>
    <w:rsid w:val="0054117B"/>
    <w:rsid w:val="005436A1"/>
    <w:rsid w:val="00543A91"/>
    <w:rsid w:val="00544A42"/>
    <w:rsid w:val="00545F3E"/>
    <w:rsid w:val="0054675F"/>
    <w:rsid w:val="00555A58"/>
    <w:rsid w:val="005566A6"/>
    <w:rsid w:val="00556AC6"/>
    <w:rsid w:val="00560911"/>
    <w:rsid w:val="0056145C"/>
    <w:rsid w:val="00563404"/>
    <w:rsid w:val="00564EA5"/>
    <w:rsid w:val="005670EF"/>
    <w:rsid w:val="005679D4"/>
    <w:rsid w:val="0057164D"/>
    <w:rsid w:val="00574B27"/>
    <w:rsid w:val="005763EB"/>
    <w:rsid w:val="00580D2B"/>
    <w:rsid w:val="005819AC"/>
    <w:rsid w:val="00581BF2"/>
    <w:rsid w:val="00582133"/>
    <w:rsid w:val="0058464E"/>
    <w:rsid w:val="005847E7"/>
    <w:rsid w:val="00585989"/>
    <w:rsid w:val="00590A3E"/>
    <w:rsid w:val="005912F7"/>
    <w:rsid w:val="00592CBF"/>
    <w:rsid w:val="00593B66"/>
    <w:rsid w:val="00594455"/>
    <w:rsid w:val="005956F0"/>
    <w:rsid w:val="005958F6"/>
    <w:rsid w:val="00597663"/>
    <w:rsid w:val="005A0CB1"/>
    <w:rsid w:val="005A1463"/>
    <w:rsid w:val="005A192D"/>
    <w:rsid w:val="005A1B12"/>
    <w:rsid w:val="005A2689"/>
    <w:rsid w:val="005A35C4"/>
    <w:rsid w:val="005A3B1A"/>
    <w:rsid w:val="005A559A"/>
    <w:rsid w:val="005A6FDB"/>
    <w:rsid w:val="005A7913"/>
    <w:rsid w:val="005A7EA7"/>
    <w:rsid w:val="005B1227"/>
    <w:rsid w:val="005B1555"/>
    <w:rsid w:val="005B1D01"/>
    <w:rsid w:val="005C1081"/>
    <w:rsid w:val="005C54DB"/>
    <w:rsid w:val="005D1C22"/>
    <w:rsid w:val="005D216D"/>
    <w:rsid w:val="005D3987"/>
    <w:rsid w:val="005D55DE"/>
    <w:rsid w:val="005D57D8"/>
    <w:rsid w:val="005D6B1D"/>
    <w:rsid w:val="005D7517"/>
    <w:rsid w:val="005E0E69"/>
    <w:rsid w:val="005E3014"/>
    <w:rsid w:val="005E6BCA"/>
    <w:rsid w:val="005F099C"/>
    <w:rsid w:val="005F0C11"/>
    <w:rsid w:val="005F4B6C"/>
    <w:rsid w:val="005F5018"/>
    <w:rsid w:val="005F5AF2"/>
    <w:rsid w:val="005F789F"/>
    <w:rsid w:val="00600576"/>
    <w:rsid w:val="00603FAD"/>
    <w:rsid w:val="00604ECC"/>
    <w:rsid w:val="0061226F"/>
    <w:rsid w:val="00614717"/>
    <w:rsid w:val="00615198"/>
    <w:rsid w:val="006205CE"/>
    <w:rsid w:val="00621B36"/>
    <w:rsid w:val="00622D1D"/>
    <w:rsid w:val="00626829"/>
    <w:rsid w:val="006277EA"/>
    <w:rsid w:val="00630108"/>
    <w:rsid w:val="00631266"/>
    <w:rsid w:val="00632E5E"/>
    <w:rsid w:val="00633F89"/>
    <w:rsid w:val="0063523E"/>
    <w:rsid w:val="0063639F"/>
    <w:rsid w:val="00640753"/>
    <w:rsid w:val="00640773"/>
    <w:rsid w:val="00643587"/>
    <w:rsid w:val="006439F5"/>
    <w:rsid w:val="0064425F"/>
    <w:rsid w:val="00644F50"/>
    <w:rsid w:val="0064523E"/>
    <w:rsid w:val="00646C14"/>
    <w:rsid w:val="00646FFB"/>
    <w:rsid w:val="006510CA"/>
    <w:rsid w:val="006511E4"/>
    <w:rsid w:val="006533D7"/>
    <w:rsid w:val="00653D45"/>
    <w:rsid w:val="00653F0C"/>
    <w:rsid w:val="00655A36"/>
    <w:rsid w:val="00656FBC"/>
    <w:rsid w:val="00657BEE"/>
    <w:rsid w:val="00661003"/>
    <w:rsid w:val="0066223B"/>
    <w:rsid w:val="00664BC3"/>
    <w:rsid w:val="00664F07"/>
    <w:rsid w:val="00666D80"/>
    <w:rsid w:val="0067037B"/>
    <w:rsid w:val="00670C28"/>
    <w:rsid w:val="00674D1E"/>
    <w:rsid w:val="00675C08"/>
    <w:rsid w:val="00675CD8"/>
    <w:rsid w:val="00677954"/>
    <w:rsid w:val="006811CC"/>
    <w:rsid w:val="00681F6D"/>
    <w:rsid w:val="00683963"/>
    <w:rsid w:val="00684669"/>
    <w:rsid w:val="0068746C"/>
    <w:rsid w:val="00690AF3"/>
    <w:rsid w:val="00692A94"/>
    <w:rsid w:val="00692C91"/>
    <w:rsid w:val="006949DD"/>
    <w:rsid w:val="00694DD3"/>
    <w:rsid w:val="00695FA1"/>
    <w:rsid w:val="006973E0"/>
    <w:rsid w:val="006A28B9"/>
    <w:rsid w:val="006A2D54"/>
    <w:rsid w:val="006A3610"/>
    <w:rsid w:val="006A36FE"/>
    <w:rsid w:val="006A3DB0"/>
    <w:rsid w:val="006A6A45"/>
    <w:rsid w:val="006A6B15"/>
    <w:rsid w:val="006A7393"/>
    <w:rsid w:val="006A743D"/>
    <w:rsid w:val="006A7BCE"/>
    <w:rsid w:val="006B41AA"/>
    <w:rsid w:val="006B4ED3"/>
    <w:rsid w:val="006B6D61"/>
    <w:rsid w:val="006C08EA"/>
    <w:rsid w:val="006C1A28"/>
    <w:rsid w:val="006C5C42"/>
    <w:rsid w:val="006C7323"/>
    <w:rsid w:val="006D42CE"/>
    <w:rsid w:val="006D4A1E"/>
    <w:rsid w:val="006E1456"/>
    <w:rsid w:val="006E46AF"/>
    <w:rsid w:val="006E4F13"/>
    <w:rsid w:val="006E5675"/>
    <w:rsid w:val="006E5E3E"/>
    <w:rsid w:val="006E773C"/>
    <w:rsid w:val="006F1584"/>
    <w:rsid w:val="006F7729"/>
    <w:rsid w:val="006F7A49"/>
    <w:rsid w:val="006F7FEA"/>
    <w:rsid w:val="0070371D"/>
    <w:rsid w:val="007059D0"/>
    <w:rsid w:val="00706802"/>
    <w:rsid w:val="007078C1"/>
    <w:rsid w:val="007102FE"/>
    <w:rsid w:val="0071273B"/>
    <w:rsid w:val="00712DF6"/>
    <w:rsid w:val="00713A68"/>
    <w:rsid w:val="007153FE"/>
    <w:rsid w:val="007168CD"/>
    <w:rsid w:val="00716A9F"/>
    <w:rsid w:val="00716E9A"/>
    <w:rsid w:val="007235D0"/>
    <w:rsid w:val="007261E1"/>
    <w:rsid w:val="00730270"/>
    <w:rsid w:val="007321EA"/>
    <w:rsid w:val="00732C91"/>
    <w:rsid w:val="0073370A"/>
    <w:rsid w:val="00734193"/>
    <w:rsid w:val="0073747A"/>
    <w:rsid w:val="007423CE"/>
    <w:rsid w:val="007429C7"/>
    <w:rsid w:val="00743486"/>
    <w:rsid w:val="00743C43"/>
    <w:rsid w:val="0074401E"/>
    <w:rsid w:val="00745EC2"/>
    <w:rsid w:val="0074751F"/>
    <w:rsid w:val="00751512"/>
    <w:rsid w:val="00751988"/>
    <w:rsid w:val="00753A4F"/>
    <w:rsid w:val="00753DE0"/>
    <w:rsid w:val="00755312"/>
    <w:rsid w:val="007601C2"/>
    <w:rsid w:val="007601DD"/>
    <w:rsid w:val="00760595"/>
    <w:rsid w:val="0076166D"/>
    <w:rsid w:val="00764246"/>
    <w:rsid w:val="007649C7"/>
    <w:rsid w:val="007669CC"/>
    <w:rsid w:val="00766C4D"/>
    <w:rsid w:val="007711E6"/>
    <w:rsid w:val="007718F0"/>
    <w:rsid w:val="0077252A"/>
    <w:rsid w:val="00772AC1"/>
    <w:rsid w:val="0077494B"/>
    <w:rsid w:val="00780A46"/>
    <w:rsid w:val="00780C36"/>
    <w:rsid w:val="00782AD3"/>
    <w:rsid w:val="00782CD6"/>
    <w:rsid w:val="00785E56"/>
    <w:rsid w:val="00786322"/>
    <w:rsid w:val="007917C4"/>
    <w:rsid w:val="00794457"/>
    <w:rsid w:val="007952B2"/>
    <w:rsid w:val="007964E3"/>
    <w:rsid w:val="00796EC9"/>
    <w:rsid w:val="007A09A0"/>
    <w:rsid w:val="007A0A14"/>
    <w:rsid w:val="007A162D"/>
    <w:rsid w:val="007A4684"/>
    <w:rsid w:val="007A46D5"/>
    <w:rsid w:val="007A4743"/>
    <w:rsid w:val="007A4D0A"/>
    <w:rsid w:val="007A5CEF"/>
    <w:rsid w:val="007B0E3E"/>
    <w:rsid w:val="007B1543"/>
    <w:rsid w:val="007B18AF"/>
    <w:rsid w:val="007B3275"/>
    <w:rsid w:val="007B38CB"/>
    <w:rsid w:val="007B45A7"/>
    <w:rsid w:val="007B45F8"/>
    <w:rsid w:val="007B46B8"/>
    <w:rsid w:val="007B7696"/>
    <w:rsid w:val="007C0AAA"/>
    <w:rsid w:val="007C17FD"/>
    <w:rsid w:val="007C4244"/>
    <w:rsid w:val="007C5CA4"/>
    <w:rsid w:val="007D1751"/>
    <w:rsid w:val="007D194A"/>
    <w:rsid w:val="007D2FBC"/>
    <w:rsid w:val="007D3ABD"/>
    <w:rsid w:val="007D4DDA"/>
    <w:rsid w:val="007D505B"/>
    <w:rsid w:val="007D542D"/>
    <w:rsid w:val="007D6B6B"/>
    <w:rsid w:val="007E1584"/>
    <w:rsid w:val="007E2A6B"/>
    <w:rsid w:val="007E4489"/>
    <w:rsid w:val="007E47AB"/>
    <w:rsid w:val="007E59A5"/>
    <w:rsid w:val="007E6445"/>
    <w:rsid w:val="007E7070"/>
    <w:rsid w:val="007E7D41"/>
    <w:rsid w:val="007F0BF5"/>
    <w:rsid w:val="007F1388"/>
    <w:rsid w:val="007F139B"/>
    <w:rsid w:val="007F3997"/>
    <w:rsid w:val="007F480F"/>
    <w:rsid w:val="007F5BFF"/>
    <w:rsid w:val="007F7E7A"/>
    <w:rsid w:val="008017FF"/>
    <w:rsid w:val="00801C58"/>
    <w:rsid w:val="00801F06"/>
    <w:rsid w:val="00803443"/>
    <w:rsid w:val="00804D05"/>
    <w:rsid w:val="00804EB9"/>
    <w:rsid w:val="008067AE"/>
    <w:rsid w:val="008069DD"/>
    <w:rsid w:val="00807BD9"/>
    <w:rsid w:val="00811DDC"/>
    <w:rsid w:val="008157F9"/>
    <w:rsid w:val="00817B22"/>
    <w:rsid w:val="008208B1"/>
    <w:rsid w:val="00821867"/>
    <w:rsid w:val="00821A35"/>
    <w:rsid w:val="00821A5F"/>
    <w:rsid w:val="0082234A"/>
    <w:rsid w:val="00822E8A"/>
    <w:rsid w:val="00824CE4"/>
    <w:rsid w:val="00826723"/>
    <w:rsid w:val="00826F38"/>
    <w:rsid w:val="00830A95"/>
    <w:rsid w:val="00831389"/>
    <w:rsid w:val="00832D57"/>
    <w:rsid w:val="00834B2A"/>
    <w:rsid w:val="00836B4F"/>
    <w:rsid w:val="00840590"/>
    <w:rsid w:val="0084702A"/>
    <w:rsid w:val="008548B6"/>
    <w:rsid w:val="00855216"/>
    <w:rsid w:val="00857E9D"/>
    <w:rsid w:val="008602F8"/>
    <w:rsid w:val="008608F7"/>
    <w:rsid w:val="00860CB9"/>
    <w:rsid w:val="00861209"/>
    <w:rsid w:val="00862A1A"/>
    <w:rsid w:val="00863BD9"/>
    <w:rsid w:val="00864BDD"/>
    <w:rsid w:val="00867BB0"/>
    <w:rsid w:val="008719CE"/>
    <w:rsid w:val="0087393E"/>
    <w:rsid w:val="00873BDE"/>
    <w:rsid w:val="00873F42"/>
    <w:rsid w:val="00874AA1"/>
    <w:rsid w:val="00881171"/>
    <w:rsid w:val="00881F4D"/>
    <w:rsid w:val="008823C8"/>
    <w:rsid w:val="0088671B"/>
    <w:rsid w:val="00886905"/>
    <w:rsid w:val="00887D0A"/>
    <w:rsid w:val="00887E68"/>
    <w:rsid w:val="00892587"/>
    <w:rsid w:val="008933F0"/>
    <w:rsid w:val="00895724"/>
    <w:rsid w:val="00896B0E"/>
    <w:rsid w:val="00897653"/>
    <w:rsid w:val="008A0C23"/>
    <w:rsid w:val="008A10AE"/>
    <w:rsid w:val="008A1778"/>
    <w:rsid w:val="008A3091"/>
    <w:rsid w:val="008A5611"/>
    <w:rsid w:val="008A6554"/>
    <w:rsid w:val="008A7080"/>
    <w:rsid w:val="008A7680"/>
    <w:rsid w:val="008A7DDA"/>
    <w:rsid w:val="008B1409"/>
    <w:rsid w:val="008B21F2"/>
    <w:rsid w:val="008B393C"/>
    <w:rsid w:val="008B3CFF"/>
    <w:rsid w:val="008B4134"/>
    <w:rsid w:val="008B504D"/>
    <w:rsid w:val="008B6345"/>
    <w:rsid w:val="008B69C3"/>
    <w:rsid w:val="008B6B8A"/>
    <w:rsid w:val="008B7505"/>
    <w:rsid w:val="008C222A"/>
    <w:rsid w:val="008C2C17"/>
    <w:rsid w:val="008C3C41"/>
    <w:rsid w:val="008D6063"/>
    <w:rsid w:val="008E0CFA"/>
    <w:rsid w:val="008E4F23"/>
    <w:rsid w:val="008E50D5"/>
    <w:rsid w:val="008E5EA4"/>
    <w:rsid w:val="008F0AC0"/>
    <w:rsid w:val="008F28AC"/>
    <w:rsid w:val="008F4440"/>
    <w:rsid w:val="008F59C9"/>
    <w:rsid w:val="008F7E06"/>
    <w:rsid w:val="00902CA2"/>
    <w:rsid w:val="009036FF"/>
    <w:rsid w:val="00903888"/>
    <w:rsid w:val="00903C5E"/>
    <w:rsid w:val="0091005C"/>
    <w:rsid w:val="009102B4"/>
    <w:rsid w:val="00910EC3"/>
    <w:rsid w:val="00910F94"/>
    <w:rsid w:val="00911D12"/>
    <w:rsid w:val="00911DE2"/>
    <w:rsid w:val="00912286"/>
    <w:rsid w:val="00913159"/>
    <w:rsid w:val="00914B5E"/>
    <w:rsid w:val="00916AB4"/>
    <w:rsid w:val="00921AC8"/>
    <w:rsid w:val="00925C1C"/>
    <w:rsid w:val="00925CCC"/>
    <w:rsid w:val="009277A4"/>
    <w:rsid w:val="009304B7"/>
    <w:rsid w:val="009314F3"/>
    <w:rsid w:val="0093185E"/>
    <w:rsid w:val="00936553"/>
    <w:rsid w:val="00936AD5"/>
    <w:rsid w:val="009378CC"/>
    <w:rsid w:val="00937940"/>
    <w:rsid w:val="00937FCA"/>
    <w:rsid w:val="00940950"/>
    <w:rsid w:val="00944F85"/>
    <w:rsid w:val="00945281"/>
    <w:rsid w:val="00946E0D"/>
    <w:rsid w:val="00947EF8"/>
    <w:rsid w:val="0095044E"/>
    <w:rsid w:val="00953683"/>
    <w:rsid w:val="00953798"/>
    <w:rsid w:val="00962723"/>
    <w:rsid w:val="009654BC"/>
    <w:rsid w:val="00965A81"/>
    <w:rsid w:val="00967141"/>
    <w:rsid w:val="00967349"/>
    <w:rsid w:val="00967685"/>
    <w:rsid w:val="00967E6D"/>
    <w:rsid w:val="009705A9"/>
    <w:rsid w:val="0097138D"/>
    <w:rsid w:val="00972804"/>
    <w:rsid w:val="00976F50"/>
    <w:rsid w:val="00976F5C"/>
    <w:rsid w:val="00977CEB"/>
    <w:rsid w:val="0098297A"/>
    <w:rsid w:val="0098516B"/>
    <w:rsid w:val="0098562A"/>
    <w:rsid w:val="009907A4"/>
    <w:rsid w:val="00992AEB"/>
    <w:rsid w:val="00993B9A"/>
    <w:rsid w:val="00993E4D"/>
    <w:rsid w:val="009958C7"/>
    <w:rsid w:val="00995AC8"/>
    <w:rsid w:val="009A3186"/>
    <w:rsid w:val="009A33C0"/>
    <w:rsid w:val="009A412F"/>
    <w:rsid w:val="009A51E9"/>
    <w:rsid w:val="009A621F"/>
    <w:rsid w:val="009A6BA6"/>
    <w:rsid w:val="009A714E"/>
    <w:rsid w:val="009A7BC4"/>
    <w:rsid w:val="009B08C8"/>
    <w:rsid w:val="009B0CB0"/>
    <w:rsid w:val="009B0DCF"/>
    <w:rsid w:val="009B1F1D"/>
    <w:rsid w:val="009B229B"/>
    <w:rsid w:val="009B26D8"/>
    <w:rsid w:val="009B305B"/>
    <w:rsid w:val="009B458D"/>
    <w:rsid w:val="009B55D1"/>
    <w:rsid w:val="009C01FA"/>
    <w:rsid w:val="009C0F20"/>
    <w:rsid w:val="009C2612"/>
    <w:rsid w:val="009C4128"/>
    <w:rsid w:val="009C447A"/>
    <w:rsid w:val="009C5892"/>
    <w:rsid w:val="009D006B"/>
    <w:rsid w:val="009D0DEE"/>
    <w:rsid w:val="009D1DFF"/>
    <w:rsid w:val="009D22AD"/>
    <w:rsid w:val="009D2430"/>
    <w:rsid w:val="009D3216"/>
    <w:rsid w:val="009D3362"/>
    <w:rsid w:val="009D5506"/>
    <w:rsid w:val="009D59CD"/>
    <w:rsid w:val="009D65E4"/>
    <w:rsid w:val="009D7AB2"/>
    <w:rsid w:val="009D7F29"/>
    <w:rsid w:val="009E18A8"/>
    <w:rsid w:val="009E2F8A"/>
    <w:rsid w:val="009E3C64"/>
    <w:rsid w:val="009E4D79"/>
    <w:rsid w:val="009E5E8E"/>
    <w:rsid w:val="009F01BD"/>
    <w:rsid w:val="009F19AE"/>
    <w:rsid w:val="009F1F67"/>
    <w:rsid w:val="009F4058"/>
    <w:rsid w:val="009F5049"/>
    <w:rsid w:val="009F56A5"/>
    <w:rsid w:val="009F56EB"/>
    <w:rsid w:val="009F66A3"/>
    <w:rsid w:val="009F6827"/>
    <w:rsid w:val="00A00100"/>
    <w:rsid w:val="00A0055A"/>
    <w:rsid w:val="00A0121C"/>
    <w:rsid w:val="00A04E65"/>
    <w:rsid w:val="00A0649D"/>
    <w:rsid w:val="00A06CD1"/>
    <w:rsid w:val="00A06D62"/>
    <w:rsid w:val="00A111BC"/>
    <w:rsid w:val="00A12401"/>
    <w:rsid w:val="00A12747"/>
    <w:rsid w:val="00A16EA9"/>
    <w:rsid w:val="00A21DCA"/>
    <w:rsid w:val="00A23FC4"/>
    <w:rsid w:val="00A24566"/>
    <w:rsid w:val="00A24820"/>
    <w:rsid w:val="00A27D8C"/>
    <w:rsid w:val="00A31139"/>
    <w:rsid w:val="00A318C3"/>
    <w:rsid w:val="00A31B76"/>
    <w:rsid w:val="00A32D11"/>
    <w:rsid w:val="00A342DD"/>
    <w:rsid w:val="00A35033"/>
    <w:rsid w:val="00A355BA"/>
    <w:rsid w:val="00A35BAA"/>
    <w:rsid w:val="00A35EF2"/>
    <w:rsid w:val="00A40350"/>
    <w:rsid w:val="00A41C7A"/>
    <w:rsid w:val="00A4250A"/>
    <w:rsid w:val="00A43AD5"/>
    <w:rsid w:val="00A4667D"/>
    <w:rsid w:val="00A4686F"/>
    <w:rsid w:val="00A47267"/>
    <w:rsid w:val="00A55E89"/>
    <w:rsid w:val="00A57655"/>
    <w:rsid w:val="00A57EE3"/>
    <w:rsid w:val="00A6044A"/>
    <w:rsid w:val="00A611CD"/>
    <w:rsid w:val="00A63E11"/>
    <w:rsid w:val="00A65370"/>
    <w:rsid w:val="00A653C5"/>
    <w:rsid w:val="00A667A8"/>
    <w:rsid w:val="00A71612"/>
    <w:rsid w:val="00A720E3"/>
    <w:rsid w:val="00A73BE7"/>
    <w:rsid w:val="00A7535F"/>
    <w:rsid w:val="00A80715"/>
    <w:rsid w:val="00A81B16"/>
    <w:rsid w:val="00A825BD"/>
    <w:rsid w:val="00A84682"/>
    <w:rsid w:val="00A84D1D"/>
    <w:rsid w:val="00A864CF"/>
    <w:rsid w:val="00A87088"/>
    <w:rsid w:val="00A87326"/>
    <w:rsid w:val="00A87575"/>
    <w:rsid w:val="00A90CEF"/>
    <w:rsid w:val="00A92309"/>
    <w:rsid w:val="00A94106"/>
    <w:rsid w:val="00A944E8"/>
    <w:rsid w:val="00A94B6F"/>
    <w:rsid w:val="00A9558E"/>
    <w:rsid w:val="00AA159F"/>
    <w:rsid w:val="00AA2324"/>
    <w:rsid w:val="00AA235B"/>
    <w:rsid w:val="00AA2D13"/>
    <w:rsid w:val="00AA527D"/>
    <w:rsid w:val="00AA57EF"/>
    <w:rsid w:val="00AB52F6"/>
    <w:rsid w:val="00AB69A1"/>
    <w:rsid w:val="00AB76B6"/>
    <w:rsid w:val="00AC1F02"/>
    <w:rsid w:val="00AC34F3"/>
    <w:rsid w:val="00AC429C"/>
    <w:rsid w:val="00AC5E51"/>
    <w:rsid w:val="00AC66A7"/>
    <w:rsid w:val="00AC7DFB"/>
    <w:rsid w:val="00AD070B"/>
    <w:rsid w:val="00AD1CA9"/>
    <w:rsid w:val="00AD236A"/>
    <w:rsid w:val="00AD2871"/>
    <w:rsid w:val="00AD2A6E"/>
    <w:rsid w:val="00AD41DF"/>
    <w:rsid w:val="00AD5942"/>
    <w:rsid w:val="00AD5F13"/>
    <w:rsid w:val="00AD6B5F"/>
    <w:rsid w:val="00AE1373"/>
    <w:rsid w:val="00AE1FDF"/>
    <w:rsid w:val="00AE2B08"/>
    <w:rsid w:val="00AE3D2B"/>
    <w:rsid w:val="00AE4F0A"/>
    <w:rsid w:val="00AE6781"/>
    <w:rsid w:val="00AF0522"/>
    <w:rsid w:val="00AF1421"/>
    <w:rsid w:val="00AF2208"/>
    <w:rsid w:val="00AF3242"/>
    <w:rsid w:val="00AF65CB"/>
    <w:rsid w:val="00AF6E0F"/>
    <w:rsid w:val="00AF7786"/>
    <w:rsid w:val="00AF7DA4"/>
    <w:rsid w:val="00B003EA"/>
    <w:rsid w:val="00B0235F"/>
    <w:rsid w:val="00B04B11"/>
    <w:rsid w:val="00B12DED"/>
    <w:rsid w:val="00B139EE"/>
    <w:rsid w:val="00B14A34"/>
    <w:rsid w:val="00B14EEC"/>
    <w:rsid w:val="00B166B8"/>
    <w:rsid w:val="00B16C30"/>
    <w:rsid w:val="00B20521"/>
    <w:rsid w:val="00B217D6"/>
    <w:rsid w:val="00B2243B"/>
    <w:rsid w:val="00B22BFF"/>
    <w:rsid w:val="00B2438C"/>
    <w:rsid w:val="00B24EA4"/>
    <w:rsid w:val="00B24F01"/>
    <w:rsid w:val="00B25E9D"/>
    <w:rsid w:val="00B34AAF"/>
    <w:rsid w:val="00B34D3B"/>
    <w:rsid w:val="00B35845"/>
    <w:rsid w:val="00B3701C"/>
    <w:rsid w:val="00B4036E"/>
    <w:rsid w:val="00B40988"/>
    <w:rsid w:val="00B431BA"/>
    <w:rsid w:val="00B43472"/>
    <w:rsid w:val="00B43B72"/>
    <w:rsid w:val="00B44B2A"/>
    <w:rsid w:val="00B45AD1"/>
    <w:rsid w:val="00B504B1"/>
    <w:rsid w:val="00B509DC"/>
    <w:rsid w:val="00B52D24"/>
    <w:rsid w:val="00B52F65"/>
    <w:rsid w:val="00B55D5D"/>
    <w:rsid w:val="00B56BDA"/>
    <w:rsid w:val="00B56DDD"/>
    <w:rsid w:val="00B60AC3"/>
    <w:rsid w:val="00B61A05"/>
    <w:rsid w:val="00B62444"/>
    <w:rsid w:val="00B63547"/>
    <w:rsid w:val="00B65D36"/>
    <w:rsid w:val="00B65FCF"/>
    <w:rsid w:val="00B67494"/>
    <w:rsid w:val="00B709DA"/>
    <w:rsid w:val="00B70F2A"/>
    <w:rsid w:val="00B7195A"/>
    <w:rsid w:val="00B736ED"/>
    <w:rsid w:val="00B7512A"/>
    <w:rsid w:val="00B756F4"/>
    <w:rsid w:val="00B763DF"/>
    <w:rsid w:val="00B77377"/>
    <w:rsid w:val="00B77401"/>
    <w:rsid w:val="00B77FA6"/>
    <w:rsid w:val="00B805B9"/>
    <w:rsid w:val="00B812CA"/>
    <w:rsid w:val="00B8134D"/>
    <w:rsid w:val="00B819F5"/>
    <w:rsid w:val="00B84D2C"/>
    <w:rsid w:val="00B8684C"/>
    <w:rsid w:val="00B948CB"/>
    <w:rsid w:val="00B962A8"/>
    <w:rsid w:val="00B9702A"/>
    <w:rsid w:val="00B9746D"/>
    <w:rsid w:val="00BA0A0A"/>
    <w:rsid w:val="00BA2BA1"/>
    <w:rsid w:val="00BA2EFC"/>
    <w:rsid w:val="00BA4D5A"/>
    <w:rsid w:val="00BA5681"/>
    <w:rsid w:val="00BA6089"/>
    <w:rsid w:val="00BA6D25"/>
    <w:rsid w:val="00BB1584"/>
    <w:rsid w:val="00BB3A4B"/>
    <w:rsid w:val="00BB60FF"/>
    <w:rsid w:val="00BB69D5"/>
    <w:rsid w:val="00BC0258"/>
    <w:rsid w:val="00BC4AEA"/>
    <w:rsid w:val="00BC579F"/>
    <w:rsid w:val="00BC7DFD"/>
    <w:rsid w:val="00BD0A96"/>
    <w:rsid w:val="00BD0E94"/>
    <w:rsid w:val="00BD2887"/>
    <w:rsid w:val="00BD2D47"/>
    <w:rsid w:val="00BD2E1B"/>
    <w:rsid w:val="00BD3BCA"/>
    <w:rsid w:val="00BD4B04"/>
    <w:rsid w:val="00BD4E62"/>
    <w:rsid w:val="00BD6A70"/>
    <w:rsid w:val="00BD6F04"/>
    <w:rsid w:val="00BE0C12"/>
    <w:rsid w:val="00BE0DF3"/>
    <w:rsid w:val="00BE1AB6"/>
    <w:rsid w:val="00BE3275"/>
    <w:rsid w:val="00BE3695"/>
    <w:rsid w:val="00BE48C5"/>
    <w:rsid w:val="00BE5467"/>
    <w:rsid w:val="00BF76EE"/>
    <w:rsid w:val="00BF7AE6"/>
    <w:rsid w:val="00C009A7"/>
    <w:rsid w:val="00C00BD9"/>
    <w:rsid w:val="00C04A97"/>
    <w:rsid w:val="00C04E90"/>
    <w:rsid w:val="00C0583C"/>
    <w:rsid w:val="00C06539"/>
    <w:rsid w:val="00C1249E"/>
    <w:rsid w:val="00C12787"/>
    <w:rsid w:val="00C145BC"/>
    <w:rsid w:val="00C1571A"/>
    <w:rsid w:val="00C2076D"/>
    <w:rsid w:val="00C21A24"/>
    <w:rsid w:val="00C24D57"/>
    <w:rsid w:val="00C25C45"/>
    <w:rsid w:val="00C274DC"/>
    <w:rsid w:val="00C31E0F"/>
    <w:rsid w:val="00C32E82"/>
    <w:rsid w:val="00C337A7"/>
    <w:rsid w:val="00C33B7B"/>
    <w:rsid w:val="00C33F7E"/>
    <w:rsid w:val="00C354DD"/>
    <w:rsid w:val="00C37DA4"/>
    <w:rsid w:val="00C5059D"/>
    <w:rsid w:val="00C54926"/>
    <w:rsid w:val="00C57109"/>
    <w:rsid w:val="00C57B5C"/>
    <w:rsid w:val="00C60ECA"/>
    <w:rsid w:val="00C610CC"/>
    <w:rsid w:val="00C61F52"/>
    <w:rsid w:val="00C62ED7"/>
    <w:rsid w:val="00C63AE8"/>
    <w:rsid w:val="00C711F3"/>
    <w:rsid w:val="00C74CA5"/>
    <w:rsid w:val="00C77294"/>
    <w:rsid w:val="00C802F0"/>
    <w:rsid w:val="00C8083D"/>
    <w:rsid w:val="00C82255"/>
    <w:rsid w:val="00C82267"/>
    <w:rsid w:val="00C8414F"/>
    <w:rsid w:val="00C842AE"/>
    <w:rsid w:val="00C84D78"/>
    <w:rsid w:val="00C85785"/>
    <w:rsid w:val="00C86041"/>
    <w:rsid w:val="00C90A84"/>
    <w:rsid w:val="00C92AEB"/>
    <w:rsid w:val="00C92DC3"/>
    <w:rsid w:val="00C93966"/>
    <w:rsid w:val="00C93ADA"/>
    <w:rsid w:val="00C94103"/>
    <w:rsid w:val="00C95D02"/>
    <w:rsid w:val="00C96C10"/>
    <w:rsid w:val="00CA08DE"/>
    <w:rsid w:val="00CA0912"/>
    <w:rsid w:val="00CA118C"/>
    <w:rsid w:val="00CA1EEC"/>
    <w:rsid w:val="00CA3467"/>
    <w:rsid w:val="00CA5A47"/>
    <w:rsid w:val="00CA6B6D"/>
    <w:rsid w:val="00CB0641"/>
    <w:rsid w:val="00CB20F7"/>
    <w:rsid w:val="00CB23D5"/>
    <w:rsid w:val="00CB29D8"/>
    <w:rsid w:val="00CB320C"/>
    <w:rsid w:val="00CB55FF"/>
    <w:rsid w:val="00CB5933"/>
    <w:rsid w:val="00CB5D5E"/>
    <w:rsid w:val="00CB664D"/>
    <w:rsid w:val="00CB6C1C"/>
    <w:rsid w:val="00CB7255"/>
    <w:rsid w:val="00CC09E1"/>
    <w:rsid w:val="00CC4D3A"/>
    <w:rsid w:val="00CC6F94"/>
    <w:rsid w:val="00CD2852"/>
    <w:rsid w:val="00CD2A3D"/>
    <w:rsid w:val="00CD330A"/>
    <w:rsid w:val="00CD420E"/>
    <w:rsid w:val="00CD48BA"/>
    <w:rsid w:val="00CD48D1"/>
    <w:rsid w:val="00CD6270"/>
    <w:rsid w:val="00CE2070"/>
    <w:rsid w:val="00CE3306"/>
    <w:rsid w:val="00CE3589"/>
    <w:rsid w:val="00CE4CFF"/>
    <w:rsid w:val="00CE71FD"/>
    <w:rsid w:val="00CF386A"/>
    <w:rsid w:val="00D0054C"/>
    <w:rsid w:val="00D02807"/>
    <w:rsid w:val="00D03956"/>
    <w:rsid w:val="00D040A5"/>
    <w:rsid w:val="00D04AB6"/>
    <w:rsid w:val="00D055C9"/>
    <w:rsid w:val="00D06014"/>
    <w:rsid w:val="00D06888"/>
    <w:rsid w:val="00D10CD3"/>
    <w:rsid w:val="00D11396"/>
    <w:rsid w:val="00D1321C"/>
    <w:rsid w:val="00D13423"/>
    <w:rsid w:val="00D1441F"/>
    <w:rsid w:val="00D152FE"/>
    <w:rsid w:val="00D16E8D"/>
    <w:rsid w:val="00D2392D"/>
    <w:rsid w:val="00D24BB4"/>
    <w:rsid w:val="00D25211"/>
    <w:rsid w:val="00D25D63"/>
    <w:rsid w:val="00D27441"/>
    <w:rsid w:val="00D27856"/>
    <w:rsid w:val="00D278BE"/>
    <w:rsid w:val="00D27CDB"/>
    <w:rsid w:val="00D308A9"/>
    <w:rsid w:val="00D3161A"/>
    <w:rsid w:val="00D31B63"/>
    <w:rsid w:val="00D33ACD"/>
    <w:rsid w:val="00D33D06"/>
    <w:rsid w:val="00D34470"/>
    <w:rsid w:val="00D34507"/>
    <w:rsid w:val="00D35C9C"/>
    <w:rsid w:val="00D4025F"/>
    <w:rsid w:val="00D40FF9"/>
    <w:rsid w:val="00D41CCA"/>
    <w:rsid w:val="00D4248A"/>
    <w:rsid w:val="00D428E3"/>
    <w:rsid w:val="00D43579"/>
    <w:rsid w:val="00D43BD7"/>
    <w:rsid w:val="00D450B4"/>
    <w:rsid w:val="00D5636C"/>
    <w:rsid w:val="00D57262"/>
    <w:rsid w:val="00D617A1"/>
    <w:rsid w:val="00D62B35"/>
    <w:rsid w:val="00D63EBD"/>
    <w:rsid w:val="00D64379"/>
    <w:rsid w:val="00D65031"/>
    <w:rsid w:val="00D677DB"/>
    <w:rsid w:val="00D71244"/>
    <w:rsid w:val="00D75617"/>
    <w:rsid w:val="00D8222F"/>
    <w:rsid w:val="00D84BD7"/>
    <w:rsid w:val="00D85EDA"/>
    <w:rsid w:val="00D913B7"/>
    <w:rsid w:val="00D917B0"/>
    <w:rsid w:val="00D92ED2"/>
    <w:rsid w:val="00D93A62"/>
    <w:rsid w:val="00D93F33"/>
    <w:rsid w:val="00D97044"/>
    <w:rsid w:val="00DA00B6"/>
    <w:rsid w:val="00DA307D"/>
    <w:rsid w:val="00DA3CAF"/>
    <w:rsid w:val="00DA51EB"/>
    <w:rsid w:val="00DA579E"/>
    <w:rsid w:val="00DA73A7"/>
    <w:rsid w:val="00DB1F84"/>
    <w:rsid w:val="00DB275C"/>
    <w:rsid w:val="00DB361D"/>
    <w:rsid w:val="00DB403C"/>
    <w:rsid w:val="00DB634E"/>
    <w:rsid w:val="00DC0710"/>
    <w:rsid w:val="00DC2E55"/>
    <w:rsid w:val="00DC30A6"/>
    <w:rsid w:val="00DC3A31"/>
    <w:rsid w:val="00DC5927"/>
    <w:rsid w:val="00DC5D3D"/>
    <w:rsid w:val="00DC6075"/>
    <w:rsid w:val="00DD1AEC"/>
    <w:rsid w:val="00DD1DDE"/>
    <w:rsid w:val="00DD3672"/>
    <w:rsid w:val="00DD4914"/>
    <w:rsid w:val="00DE297C"/>
    <w:rsid w:val="00DE3A36"/>
    <w:rsid w:val="00DE3B40"/>
    <w:rsid w:val="00DF2E4E"/>
    <w:rsid w:val="00DF373A"/>
    <w:rsid w:val="00DF4A56"/>
    <w:rsid w:val="00DF6370"/>
    <w:rsid w:val="00DF7DBC"/>
    <w:rsid w:val="00E02334"/>
    <w:rsid w:val="00E027B0"/>
    <w:rsid w:val="00E04AE8"/>
    <w:rsid w:val="00E07AAD"/>
    <w:rsid w:val="00E15F8F"/>
    <w:rsid w:val="00E163FC"/>
    <w:rsid w:val="00E205F9"/>
    <w:rsid w:val="00E2537F"/>
    <w:rsid w:val="00E25AF0"/>
    <w:rsid w:val="00E25F4A"/>
    <w:rsid w:val="00E303FA"/>
    <w:rsid w:val="00E30819"/>
    <w:rsid w:val="00E328E5"/>
    <w:rsid w:val="00E36A0B"/>
    <w:rsid w:val="00E37D57"/>
    <w:rsid w:val="00E41181"/>
    <w:rsid w:val="00E4251F"/>
    <w:rsid w:val="00E426A2"/>
    <w:rsid w:val="00E42CA1"/>
    <w:rsid w:val="00E44915"/>
    <w:rsid w:val="00E516C3"/>
    <w:rsid w:val="00E51BEC"/>
    <w:rsid w:val="00E53090"/>
    <w:rsid w:val="00E53295"/>
    <w:rsid w:val="00E54325"/>
    <w:rsid w:val="00E55EEC"/>
    <w:rsid w:val="00E569DF"/>
    <w:rsid w:val="00E57186"/>
    <w:rsid w:val="00E572FC"/>
    <w:rsid w:val="00E619CC"/>
    <w:rsid w:val="00E61F7F"/>
    <w:rsid w:val="00E624E7"/>
    <w:rsid w:val="00E634F6"/>
    <w:rsid w:val="00E63A1C"/>
    <w:rsid w:val="00E6421B"/>
    <w:rsid w:val="00E642F9"/>
    <w:rsid w:val="00E65512"/>
    <w:rsid w:val="00E659B8"/>
    <w:rsid w:val="00E70AEF"/>
    <w:rsid w:val="00E70DB2"/>
    <w:rsid w:val="00E7269D"/>
    <w:rsid w:val="00E72757"/>
    <w:rsid w:val="00E73B5D"/>
    <w:rsid w:val="00E73C91"/>
    <w:rsid w:val="00E743C8"/>
    <w:rsid w:val="00E7660D"/>
    <w:rsid w:val="00E76F36"/>
    <w:rsid w:val="00E77E46"/>
    <w:rsid w:val="00E81F61"/>
    <w:rsid w:val="00E821BB"/>
    <w:rsid w:val="00E85386"/>
    <w:rsid w:val="00E85DAA"/>
    <w:rsid w:val="00E90F73"/>
    <w:rsid w:val="00E93846"/>
    <w:rsid w:val="00E94DCD"/>
    <w:rsid w:val="00E9633F"/>
    <w:rsid w:val="00E97372"/>
    <w:rsid w:val="00EA034D"/>
    <w:rsid w:val="00EA16F3"/>
    <w:rsid w:val="00EA2513"/>
    <w:rsid w:val="00EA3E7C"/>
    <w:rsid w:val="00EA469B"/>
    <w:rsid w:val="00EA5C32"/>
    <w:rsid w:val="00EA6F5F"/>
    <w:rsid w:val="00EB0533"/>
    <w:rsid w:val="00EB082A"/>
    <w:rsid w:val="00EB1607"/>
    <w:rsid w:val="00EB2487"/>
    <w:rsid w:val="00EB6A21"/>
    <w:rsid w:val="00EB7232"/>
    <w:rsid w:val="00EB748E"/>
    <w:rsid w:val="00EC0288"/>
    <w:rsid w:val="00EC1140"/>
    <w:rsid w:val="00EC2344"/>
    <w:rsid w:val="00EC4775"/>
    <w:rsid w:val="00EC4E36"/>
    <w:rsid w:val="00EC535D"/>
    <w:rsid w:val="00EC76D0"/>
    <w:rsid w:val="00ED1E88"/>
    <w:rsid w:val="00ED3A8E"/>
    <w:rsid w:val="00EE2F6D"/>
    <w:rsid w:val="00EE525C"/>
    <w:rsid w:val="00EF1511"/>
    <w:rsid w:val="00EF19EB"/>
    <w:rsid w:val="00EF2522"/>
    <w:rsid w:val="00EF27B7"/>
    <w:rsid w:val="00EF3D76"/>
    <w:rsid w:val="00EF5427"/>
    <w:rsid w:val="00EF5C56"/>
    <w:rsid w:val="00F00306"/>
    <w:rsid w:val="00F0235A"/>
    <w:rsid w:val="00F02A5F"/>
    <w:rsid w:val="00F02AE8"/>
    <w:rsid w:val="00F037C2"/>
    <w:rsid w:val="00F03DDF"/>
    <w:rsid w:val="00F04452"/>
    <w:rsid w:val="00F06C44"/>
    <w:rsid w:val="00F12A34"/>
    <w:rsid w:val="00F13338"/>
    <w:rsid w:val="00F16A13"/>
    <w:rsid w:val="00F219C3"/>
    <w:rsid w:val="00F228D8"/>
    <w:rsid w:val="00F22DC8"/>
    <w:rsid w:val="00F243EF"/>
    <w:rsid w:val="00F265B4"/>
    <w:rsid w:val="00F273CA"/>
    <w:rsid w:val="00F30C7A"/>
    <w:rsid w:val="00F3316F"/>
    <w:rsid w:val="00F335FE"/>
    <w:rsid w:val="00F34832"/>
    <w:rsid w:val="00F34E15"/>
    <w:rsid w:val="00F37530"/>
    <w:rsid w:val="00F37763"/>
    <w:rsid w:val="00F42449"/>
    <w:rsid w:val="00F466BF"/>
    <w:rsid w:val="00F47242"/>
    <w:rsid w:val="00F47EA8"/>
    <w:rsid w:val="00F51E67"/>
    <w:rsid w:val="00F53F35"/>
    <w:rsid w:val="00F55602"/>
    <w:rsid w:val="00F55F93"/>
    <w:rsid w:val="00F56A4C"/>
    <w:rsid w:val="00F57FE0"/>
    <w:rsid w:val="00F6164F"/>
    <w:rsid w:val="00F62733"/>
    <w:rsid w:val="00F62D11"/>
    <w:rsid w:val="00F66328"/>
    <w:rsid w:val="00F66994"/>
    <w:rsid w:val="00F67173"/>
    <w:rsid w:val="00F67790"/>
    <w:rsid w:val="00F76403"/>
    <w:rsid w:val="00F77949"/>
    <w:rsid w:val="00F82840"/>
    <w:rsid w:val="00F848D0"/>
    <w:rsid w:val="00F8590B"/>
    <w:rsid w:val="00F85E36"/>
    <w:rsid w:val="00F86E4A"/>
    <w:rsid w:val="00F87AB4"/>
    <w:rsid w:val="00F90E06"/>
    <w:rsid w:val="00F912EC"/>
    <w:rsid w:val="00F92BFA"/>
    <w:rsid w:val="00F932DB"/>
    <w:rsid w:val="00F943F6"/>
    <w:rsid w:val="00F94E02"/>
    <w:rsid w:val="00F95387"/>
    <w:rsid w:val="00F9722F"/>
    <w:rsid w:val="00FA1471"/>
    <w:rsid w:val="00FA241D"/>
    <w:rsid w:val="00FA2779"/>
    <w:rsid w:val="00FA2E45"/>
    <w:rsid w:val="00FA5D75"/>
    <w:rsid w:val="00FA6950"/>
    <w:rsid w:val="00FA6972"/>
    <w:rsid w:val="00FB5CE8"/>
    <w:rsid w:val="00FB5CF5"/>
    <w:rsid w:val="00FB7520"/>
    <w:rsid w:val="00FB7A00"/>
    <w:rsid w:val="00FC3380"/>
    <w:rsid w:val="00FC42B3"/>
    <w:rsid w:val="00FC452D"/>
    <w:rsid w:val="00FC63A0"/>
    <w:rsid w:val="00FD29A8"/>
    <w:rsid w:val="00FD36F3"/>
    <w:rsid w:val="00FD425B"/>
    <w:rsid w:val="00FD576D"/>
    <w:rsid w:val="00FD6C8C"/>
    <w:rsid w:val="00FD6FB8"/>
    <w:rsid w:val="00FE1405"/>
    <w:rsid w:val="00FE18EF"/>
    <w:rsid w:val="00FE2DCB"/>
    <w:rsid w:val="00FE37DF"/>
    <w:rsid w:val="00FE3A15"/>
    <w:rsid w:val="00FE72AA"/>
    <w:rsid w:val="00FF0810"/>
    <w:rsid w:val="00FF2011"/>
    <w:rsid w:val="00FF561D"/>
    <w:rsid w:val="00FF6661"/>
    <w:rsid w:val="00FF6AA2"/>
    <w:rsid w:val="00FF6C8A"/>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337900F"/>
  <w15:docId w15:val="{2C763854-4CE1-47B0-BB20-ADEC9EE23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MS Mincho"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D79"/>
    <w:pPr>
      <w:spacing w:after="0" w:line="240" w:lineRule="auto"/>
    </w:pPr>
    <w:rPr>
      <w:rFonts w:ascii="Times New Roman" w:eastAsiaTheme="minorEastAsia" w:hAnsi="Times New Roman"/>
      <w:sz w:val="24"/>
      <w:szCs w:val="24"/>
      <w:lang w:val="en-US"/>
    </w:rPr>
  </w:style>
  <w:style w:type="paragraph" w:styleId="Heading1">
    <w:name w:val="heading 1"/>
    <w:basedOn w:val="Normal"/>
    <w:link w:val="Heading1Char"/>
    <w:uiPriority w:val="9"/>
    <w:qFormat/>
    <w:rsid w:val="001F374D"/>
    <w:pPr>
      <w:spacing w:before="100" w:beforeAutospacing="1" w:after="100" w:afterAutospacing="1"/>
      <w:outlineLvl w:val="0"/>
    </w:pPr>
    <w:rPr>
      <w:rFonts w:eastAsia="Times New Roman" w:cs="Times New Roman"/>
      <w:b/>
      <w:bCs/>
      <w:kern w:val="36"/>
      <w:szCs w:val="48"/>
      <w:lang w:val="es-ES" w:eastAsia="es-ES"/>
    </w:rPr>
  </w:style>
  <w:style w:type="paragraph" w:styleId="Heading2">
    <w:name w:val="heading 2"/>
    <w:basedOn w:val="Normal"/>
    <w:next w:val="Normal"/>
    <w:link w:val="Heading2Char"/>
    <w:uiPriority w:val="9"/>
    <w:unhideWhenUsed/>
    <w:qFormat/>
    <w:rsid w:val="001F374D"/>
    <w:pPr>
      <w:keepNext/>
      <w:keepLines/>
      <w:spacing w:before="40"/>
      <w:outlineLvl w:val="1"/>
    </w:pPr>
    <w:rPr>
      <w:rFonts w:eastAsiaTheme="majorEastAsia" w:cstheme="majorBidi"/>
      <w:b/>
      <w:i/>
      <w:szCs w:val="26"/>
    </w:rPr>
  </w:style>
  <w:style w:type="paragraph" w:styleId="Heading4">
    <w:name w:val="heading 4"/>
    <w:basedOn w:val="Normal"/>
    <w:next w:val="Normal"/>
    <w:link w:val="Heading4Char"/>
    <w:uiPriority w:val="9"/>
    <w:unhideWhenUsed/>
    <w:qFormat/>
    <w:rsid w:val="008208B1"/>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C7DFB"/>
    <w:rPr>
      <w:sz w:val="16"/>
      <w:szCs w:val="16"/>
    </w:rPr>
  </w:style>
  <w:style w:type="character" w:styleId="Hyperlink">
    <w:name w:val="Hyperlink"/>
    <w:basedOn w:val="DefaultParagraphFont"/>
    <w:uiPriority w:val="99"/>
    <w:unhideWhenUsed/>
    <w:rsid w:val="00AC7DFB"/>
    <w:rPr>
      <w:color w:val="0000FF"/>
      <w:u w:val="single"/>
    </w:rPr>
  </w:style>
  <w:style w:type="paragraph" w:styleId="CommentText">
    <w:name w:val="annotation text"/>
    <w:basedOn w:val="Normal"/>
    <w:link w:val="CommentTextChar"/>
    <w:uiPriority w:val="99"/>
    <w:unhideWhenUsed/>
    <w:rsid w:val="00EC76D0"/>
    <w:rPr>
      <w:sz w:val="20"/>
      <w:szCs w:val="20"/>
    </w:rPr>
  </w:style>
  <w:style w:type="character" w:customStyle="1" w:styleId="CommentTextChar">
    <w:name w:val="Comment Text Char"/>
    <w:basedOn w:val="DefaultParagraphFont"/>
    <w:link w:val="CommentText"/>
    <w:uiPriority w:val="99"/>
    <w:rsid w:val="00EC76D0"/>
    <w:rPr>
      <w:rFonts w:ascii="Times New Roman" w:eastAsiaTheme="minorEastAsia" w:hAnsi="Times New Roman"/>
      <w:sz w:val="20"/>
      <w:szCs w:val="20"/>
      <w:lang w:val="en-US"/>
    </w:rPr>
  </w:style>
  <w:style w:type="paragraph" w:styleId="CommentSubject">
    <w:name w:val="annotation subject"/>
    <w:basedOn w:val="CommentText"/>
    <w:next w:val="CommentText"/>
    <w:link w:val="CommentSubjectChar"/>
    <w:uiPriority w:val="99"/>
    <w:semiHidden/>
    <w:unhideWhenUsed/>
    <w:rsid w:val="00EC76D0"/>
    <w:rPr>
      <w:b/>
      <w:bCs/>
    </w:rPr>
  </w:style>
  <w:style w:type="character" w:customStyle="1" w:styleId="CommentSubjectChar">
    <w:name w:val="Comment Subject Char"/>
    <w:basedOn w:val="CommentTextChar"/>
    <w:link w:val="CommentSubject"/>
    <w:uiPriority w:val="99"/>
    <w:semiHidden/>
    <w:rsid w:val="00EC76D0"/>
    <w:rPr>
      <w:rFonts w:ascii="Times New Roman" w:eastAsiaTheme="minorEastAsia" w:hAnsi="Times New Roman"/>
      <w:b/>
      <w:bCs/>
      <w:sz w:val="20"/>
      <w:szCs w:val="20"/>
      <w:lang w:val="en-US"/>
    </w:rPr>
  </w:style>
  <w:style w:type="paragraph" w:styleId="BalloonText">
    <w:name w:val="Balloon Text"/>
    <w:basedOn w:val="Normal"/>
    <w:link w:val="BalloonTextChar"/>
    <w:uiPriority w:val="99"/>
    <w:semiHidden/>
    <w:unhideWhenUsed/>
    <w:rsid w:val="00EC76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6D0"/>
    <w:rPr>
      <w:rFonts w:ascii="Segoe UI" w:eastAsiaTheme="minorEastAsia" w:hAnsi="Segoe UI" w:cs="Segoe UI"/>
      <w:sz w:val="18"/>
      <w:szCs w:val="18"/>
      <w:lang w:val="en-US"/>
    </w:rPr>
  </w:style>
  <w:style w:type="character" w:customStyle="1" w:styleId="Heading1Char">
    <w:name w:val="Heading 1 Char"/>
    <w:basedOn w:val="DefaultParagraphFont"/>
    <w:link w:val="Heading1"/>
    <w:uiPriority w:val="9"/>
    <w:rsid w:val="001F374D"/>
    <w:rPr>
      <w:rFonts w:ascii="Times New Roman" w:eastAsia="Times New Roman" w:hAnsi="Times New Roman" w:cs="Times New Roman"/>
      <w:b/>
      <w:bCs/>
      <w:kern w:val="36"/>
      <w:sz w:val="24"/>
      <w:szCs w:val="48"/>
      <w:lang w:eastAsia="es-ES"/>
    </w:rPr>
  </w:style>
  <w:style w:type="character" w:customStyle="1" w:styleId="title-text">
    <w:name w:val="title-text"/>
    <w:basedOn w:val="DefaultParagraphFont"/>
    <w:rsid w:val="00464459"/>
  </w:style>
  <w:style w:type="paragraph" w:styleId="NormalWeb">
    <w:name w:val="Normal (Web)"/>
    <w:basedOn w:val="Normal"/>
    <w:uiPriority w:val="99"/>
    <w:unhideWhenUsed/>
    <w:rsid w:val="00186DCF"/>
    <w:pPr>
      <w:spacing w:before="100" w:beforeAutospacing="1" w:after="100" w:afterAutospacing="1"/>
    </w:pPr>
    <w:rPr>
      <w:rFonts w:eastAsia="Times New Roman" w:cs="Times New Roman"/>
      <w:lang w:val="es-ES" w:eastAsia="es-ES"/>
    </w:rPr>
  </w:style>
  <w:style w:type="paragraph" w:styleId="ListParagraph">
    <w:name w:val="List Paragraph"/>
    <w:basedOn w:val="Normal"/>
    <w:uiPriority w:val="34"/>
    <w:qFormat/>
    <w:rsid w:val="00180A5A"/>
    <w:pPr>
      <w:ind w:left="720"/>
      <w:contextualSpacing/>
    </w:pPr>
  </w:style>
  <w:style w:type="character" w:customStyle="1" w:styleId="element-citation">
    <w:name w:val="element-citation"/>
    <w:basedOn w:val="DefaultParagraphFont"/>
    <w:rsid w:val="00B77401"/>
  </w:style>
  <w:style w:type="character" w:customStyle="1" w:styleId="ref-journal">
    <w:name w:val="ref-journal"/>
    <w:basedOn w:val="DefaultParagraphFont"/>
    <w:rsid w:val="00B77401"/>
  </w:style>
  <w:style w:type="character" w:customStyle="1" w:styleId="ref-vol">
    <w:name w:val="ref-vol"/>
    <w:basedOn w:val="DefaultParagraphFont"/>
    <w:rsid w:val="00B77401"/>
  </w:style>
  <w:style w:type="character" w:customStyle="1" w:styleId="nowrap">
    <w:name w:val="nowrap"/>
    <w:basedOn w:val="DefaultParagraphFont"/>
    <w:rsid w:val="00B77401"/>
  </w:style>
  <w:style w:type="character" w:styleId="Emphasis">
    <w:name w:val="Emphasis"/>
    <w:basedOn w:val="DefaultParagraphFont"/>
    <w:uiPriority w:val="20"/>
    <w:qFormat/>
    <w:rsid w:val="00782CD6"/>
    <w:rPr>
      <w:i/>
      <w:iCs/>
    </w:rPr>
  </w:style>
  <w:style w:type="paragraph" w:styleId="Header">
    <w:name w:val="header"/>
    <w:basedOn w:val="Normal"/>
    <w:link w:val="HeaderChar"/>
    <w:uiPriority w:val="99"/>
    <w:unhideWhenUsed/>
    <w:rsid w:val="00D85EDA"/>
    <w:pPr>
      <w:tabs>
        <w:tab w:val="center" w:pos="4252"/>
        <w:tab w:val="right" w:pos="8504"/>
      </w:tabs>
    </w:pPr>
  </w:style>
  <w:style w:type="character" w:customStyle="1" w:styleId="HeaderChar">
    <w:name w:val="Header Char"/>
    <w:basedOn w:val="DefaultParagraphFont"/>
    <w:link w:val="Header"/>
    <w:uiPriority w:val="99"/>
    <w:rsid w:val="00D85EDA"/>
    <w:rPr>
      <w:rFonts w:ascii="Times New Roman" w:eastAsiaTheme="minorEastAsia" w:hAnsi="Times New Roman"/>
      <w:sz w:val="24"/>
      <w:szCs w:val="24"/>
      <w:lang w:val="en-US"/>
    </w:rPr>
  </w:style>
  <w:style w:type="table" w:styleId="TableGrid">
    <w:name w:val="Table Grid"/>
    <w:basedOn w:val="TableNormal"/>
    <w:uiPriority w:val="39"/>
    <w:rsid w:val="00D85E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CB29D8"/>
    <w:pPr>
      <w:tabs>
        <w:tab w:val="center" w:pos="4320"/>
        <w:tab w:val="right" w:pos="8640"/>
      </w:tabs>
    </w:pPr>
  </w:style>
  <w:style w:type="character" w:customStyle="1" w:styleId="FooterChar">
    <w:name w:val="Footer Char"/>
    <w:basedOn w:val="DefaultParagraphFont"/>
    <w:link w:val="Footer"/>
    <w:uiPriority w:val="99"/>
    <w:rsid w:val="00CB29D8"/>
    <w:rPr>
      <w:rFonts w:ascii="Times New Roman" w:eastAsiaTheme="minorEastAsia" w:hAnsi="Times New Roman"/>
      <w:sz w:val="24"/>
      <w:szCs w:val="24"/>
      <w:lang w:val="en-US"/>
    </w:rPr>
  </w:style>
  <w:style w:type="character" w:styleId="PageNumber">
    <w:name w:val="page number"/>
    <w:basedOn w:val="DefaultParagraphFont"/>
    <w:uiPriority w:val="99"/>
    <w:semiHidden/>
    <w:unhideWhenUsed/>
    <w:rsid w:val="00CB29D8"/>
  </w:style>
  <w:style w:type="paragraph" w:styleId="Revision">
    <w:name w:val="Revision"/>
    <w:hidden/>
    <w:uiPriority w:val="99"/>
    <w:semiHidden/>
    <w:rsid w:val="00511F77"/>
    <w:pPr>
      <w:spacing w:after="0" w:line="240" w:lineRule="auto"/>
    </w:pPr>
    <w:rPr>
      <w:rFonts w:ascii="Times New Roman" w:eastAsiaTheme="minorEastAsia" w:hAnsi="Times New Roman"/>
      <w:sz w:val="24"/>
      <w:szCs w:val="24"/>
      <w:lang w:val="en-US"/>
    </w:rPr>
  </w:style>
  <w:style w:type="character" w:customStyle="1" w:styleId="Mencinsinresolver1">
    <w:name w:val="Mención sin resolver1"/>
    <w:basedOn w:val="DefaultParagraphFont"/>
    <w:uiPriority w:val="99"/>
    <w:semiHidden/>
    <w:unhideWhenUsed/>
    <w:rsid w:val="00A40350"/>
    <w:rPr>
      <w:color w:val="605E5C"/>
      <w:shd w:val="clear" w:color="auto" w:fill="E1DFDD"/>
    </w:rPr>
  </w:style>
  <w:style w:type="paragraph" w:customStyle="1" w:styleId="c-author-listitem">
    <w:name w:val="c-author-list__item"/>
    <w:basedOn w:val="Normal"/>
    <w:rsid w:val="00A32D11"/>
    <w:pPr>
      <w:spacing w:before="100" w:beforeAutospacing="1" w:after="100" w:afterAutospacing="1"/>
    </w:pPr>
    <w:rPr>
      <w:rFonts w:eastAsia="Times New Roman" w:cs="Times New Roman"/>
      <w:lang w:val="en-GB" w:eastAsia="en-GB"/>
    </w:rPr>
  </w:style>
  <w:style w:type="paragraph" w:customStyle="1" w:styleId="Ttulo1">
    <w:name w:val="Título1"/>
    <w:basedOn w:val="Normal"/>
    <w:rsid w:val="002200C2"/>
    <w:pPr>
      <w:spacing w:before="100" w:beforeAutospacing="1" w:after="100" w:afterAutospacing="1"/>
    </w:pPr>
    <w:rPr>
      <w:rFonts w:eastAsia="Times New Roman" w:cs="Times New Roman"/>
      <w:lang w:val="en-GB" w:eastAsia="en-GB"/>
    </w:rPr>
  </w:style>
  <w:style w:type="paragraph" w:customStyle="1" w:styleId="desc">
    <w:name w:val="desc"/>
    <w:basedOn w:val="Normal"/>
    <w:rsid w:val="002200C2"/>
    <w:pPr>
      <w:spacing w:before="100" w:beforeAutospacing="1" w:after="100" w:afterAutospacing="1"/>
    </w:pPr>
    <w:rPr>
      <w:rFonts w:eastAsia="Times New Roman" w:cs="Times New Roman"/>
      <w:lang w:val="en-GB" w:eastAsia="en-GB"/>
    </w:rPr>
  </w:style>
  <w:style w:type="character" w:customStyle="1" w:styleId="jrnl">
    <w:name w:val="jrnl"/>
    <w:basedOn w:val="DefaultParagraphFont"/>
    <w:rsid w:val="002200C2"/>
  </w:style>
  <w:style w:type="paragraph" w:customStyle="1" w:styleId="details">
    <w:name w:val="details"/>
    <w:basedOn w:val="Normal"/>
    <w:rsid w:val="000D57BE"/>
    <w:pPr>
      <w:spacing w:before="100" w:beforeAutospacing="1" w:after="100" w:afterAutospacing="1"/>
    </w:pPr>
    <w:rPr>
      <w:rFonts w:eastAsia="Times New Roman" w:cs="Times New Roman"/>
      <w:lang w:val="en-GB" w:eastAsia="en-GB"/>
    </w:rPr>
  </w:style>
  <w:style w:type="character" w:customStyle="1" w:styleId="Heading4Char">
    <w:name w:val="Heading 4 Char"/>
    <w:basedOn w:val="DefaultParagraphFont"/>
    <w:link w:val="Heading4"/>
    <w:uiPriority w:val="9"/>
    <w:rsid w:val="008208B1"/>
    <w:rPr>
      <w:rFonts w:asciiTheme="majorHAnsi" w:eastAsiaTheme="majorEastAsia" w:hAnsiTheme="majorHAnsi" w:cstheme="majorBidi"/>
      <w:i/>
      <w:iCs/>
      <w:color w:val="2E74B5" w:themeColor="accent1" w:themeShade="BF"/>
      <w:sz w:val="24"/>
      <w:szCs w:val="24"/>
      <w:lang w:val="en-US"/>
    </w:rPr>
  </w:style>
  <w:style w:type="paragraph" w:customStyle="1" w:styleId="EndNoteBibliographyTitle">
    <w:name w:val="EndNote Bibliography Title"/>
    <w:basedOn w:val="Normal"/>
    <w:link w:val="EndNoteBibliographyTitleChar"/>
    <w:rsid w:val="00677954"/>
    <w:pPr>
      <w:jc w:val="center"/>
    </w:pPr>
    <w:rPr>
      <w:rFonts w:ascii="Calibri" w:hAnsi="Calibri" w:cs="Calibri"/>
      <w:lang w:eastAsia="ja-JP"/>
    </w:rPr>
  </w:style>
  <w:style w:type="character" w:customStyle="1" w:styleId="EndNoteBibliographyTitleChar">
    <w:name w:val="EndNote Bibliography Title Char"/>
    <w:basedOn w:val="DefaultParagraphFont"/>
    <w:link w:val="EndNoteBibliographyTitle"/>
    <w:rsid w:val="00677954"/>
    <w:rPr>
      <w:rFonts w:ascii="Calibri" w:eastAsiaTheme="minorEastAsia" w:hAnsi="Calibri" w:cs="Calibri"/>
      <w:sz w:val="24"/>
      <w:szCs w:val="24"/>
      <w:lang w:eastAsia="ja-JP"/>
    </w:rPr>
  </w:style>
  <w:style w:type="paragraph" w:customStyle="1" w:styleId="EndNoteBibliography">
    <w:name w:val="EndNote Bibliography"/>
    <w:basedOn w:val="Normal"/>
    <w:link w:val="EndNoteBibliographyChar"/>
    <w:rsid w:val="00677954"/>
    <w:rPr>
      <w:rFonts w:ascii="Calibri" w:hAnsi="Calibri" w:cs="Calibri"/>
      <w:lang w:eastAsia="ja-JP"/>
    </w:rPr>
  </w:style>
  <w:style w:type="character" w:customStyle="1" w:styleId="EndNoteBibliographyChar">
    <w:name w:val="EndNote Bibliography Char"/>
    <w:basedOn w:val="DefaultParagraphFont"/>
    <w:link w:val="EndNoteBibliography"/>
    <w:rsid w:val="00677954"/>
    <w:rPr>
      <w:rFonts w:ascii="Calibri" w:eastAsiaTheme="minorEastAsia" w:hAnsi="Calibri" w:cs="Calibri"/>
      <w:sz w:val="24"/>
      <w:szCs w:val="24"/>
      <w:lang w:eastAsia="ja-JP"/>
    </w:rPr>
  </w:style>
  <w:style w:type="character" w:customStyle="1" w:styleId="Heading2Char">
    <w:name w:val="Heading 2 Char"/>
    <w:basedOn w:val="DefaultParagraphFont"/>
    <w:link w:val="Heading2"/>
    <w:uiPriority w:val="9"/>
    <w:rsid w:val="001F374D"/>
    <w:rPr>
      <w:rFonts w:ascii="Times New Roman" w:eastAsiaTheme="majorEastAsia" w:hAnsi="Times New Roman" w:cstheme="majorBidi"/>
      <w:b/>
      <w:i/>
      <w:sz w:val="24"/>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3443">
      <w:bodyDiv w:val="1"/>
      <w:marLeft w:val="0"/>
      <w:marRight w:val="0"/>
      <w:marTop w:val="0"/>
      <w:marBottom w:val="0"/>
      <w:divBdr>
        <w:top w:val="none" w:sz="0" w:space="0" w:color="auto"/>
        <w:left w:val="none" w:sz="0" w:space="0" w:color="auto"/>
        <w:bottom w:val="none" w:sz="0" w:space="0" w:color="auto"/>
        <w:right w:val="none" w:sz="0" w:space="0" w:color="auto"/>
      </w:divBdr>
    </w:div>
    <w:div w:id="9837086">
      <w:bodyDiv w:val="1"/>
      <w:marLeft w:val="0"/>
      <w:marRight w:val="0"/>
      <w:marTop w:val="0"/>
      <w:marBottom w:val="0"/>
      <w:divBdr>
        <w:top w:val="none" w:sz="0" w:space="0" w:color="auto"/>
        <w:left w:val="none" w:sz="0" w:space="0" w:color="auto"/>
        <w:bottom w:val="none" w:sz="0" w:space="0" w:color="auto"/>
        <w:right w:val="none" w:sz="0" w:space="0" w:color="auto"/>
      </w:divBdr>
    </w:div>
    <w:div w:id="94403080">
      <w:bodyDiv w:val="1"/>
      <w:marLeft w:val="0"/>
      <w:marRight w:val="0"/>
      <w:marTop w:val="0"/>
      <w:marBottom w:val="0"/>
      <w:divBdr>
        <w:top w:val="none" w:sz="0" w:space="0" w:color="auto"/>
        <w:left w:val="none" w:sz="0" w:space="0" w:color="auto"/>
        <w:bottom w:val="none" w:sz="0" w:space="0" w:color="auto"/>
        <w:right w:val="none" w:sz="0" w:space="0" w:color="auto"/>
      </w:divBdr>
    </w:div>
    <w:div w:id="145172632">
      <w:bodyDiv w:val="1"/>
      <w:marLeft w:val="0"/>
      <w:marRight w:val="0"/>
      <w:marTop w:val="0"/>
      <w:marBottom w:val="0"/>
      <w:divBdr>
        <w:top w:val="none" w:sz="0" w:space="0" w:color="auto"/>
        <w:left w:val="none" w:sz="0" w:space="0" w:color="auto"/>
        <w:bottom w:val="none" w:sz="0" w:space="0" w:color="auto"/>
        <w:right w:val="none" w:sz="0" w:space="0" w:color="auto"/>
      </w:divBdr>
    </w:div>
    <w:div w:id="157696039">
      <w:bodyDiv w:val="1"/>
      <w:marLeft w:val="0"/>
      <w:marRight w:val="0"/>
      <w:marTop w:val="0"/>
      <w:marBottom w:val="0"/>
      <w:divBdr>
        <w:top w:val="none" w:sz="0" w:space="0" w:color="auto"/>
        <w:left w:val="none" w:sz="0" w:space="0" w:color="auto"/>
        <w:bottom w:val="none" w:sz="0" w:space="0" w:color="auto"/>
        <w:right w:val="none" w:sz="0" w:space="0" w:color="auto"/>
      </w:divBdr>
    </w:div>
    <w:div w:id="288244536">
      <w:bodyDiv w:val="1"/>
      <w:marLeft w:val="0"/>
      <w:marRight w:val="0"/>
      <w:marTop w:val="0"/>
      <w:marBottom w:val="0"/>
      <w:divBdr>
        <w:top w:val="none" w:sz="0" w:space="0" w:color="auto"/>
        <w:left w:val="none" w:sz="0" w:space="0" w:color="auto"/>
        <w:bottom w:val="none" w:sz="0" w:space="0" w:color="auto"/>
        <w:right w:val="none" w:sz="0" w:space="0" w:color="auto"/>
      </w:divBdr>
    </w:div>
    <w:div w:id="332103030">
      <w:bodyDiv w:val="1"/>
      <w:marLeft w:val="0"/>
      <w:marRight w:val="0"/>
      <w:marTop w:val="0"/>
      <w:marBottom w:val="0"/>
      <w:divBdr>
        <w:top w:val="none" w:sz="0" w:space="0" w:color="auto"/>
        <w:left w:val="none" w:sz="0" w:space="0" w:color="auto"/>
        <w:bottom w:val="none" w:sz="0" w:space="0" w:color="auto"/>
        <w:right w:val="none" w:sz="0" w:space="0" w:color="auto"/>
      </w:divBdr>
    </w:div>
    <w:div w:id="376242820">
      <w:bodyDiv w:val="1"/>
      <w:marLeft w:val="0"/>
      <w:marRight w:val="0"/>
      <w:marTop w:val="0"/>
      <w:marBottom w:val="0"/>
      <w:divBdr>
        <w:top w:val="none" w:sz="0" w:space="0" w:color="auto"/>
        <w:left w:val="none" w:sz="0" w:space="0" w:color="auto"/>
        <w:bottom w:val="none" w:sz="0" w:space="0" w:color="auto"/>
        <w:right w:val="none" w:sz="0" w:space="0" w:color="auto"/>
      </w:divBdr>
    </w:div>
    <w:div w:id="478961682">
      <w:bodyDiv w:val="1"/>
      <w:marLeft w:val="0"/>
      <w:marRight w:val="0"/>
      <w:marTop w:val="0"/>
      <w:marBottom w:val="0"/>
      <w:divBdr>
        <w:top w:val="none" w:sz="0" w:space="0" w:color="auto"/>
        <w:left w:val="none" w:sz="0" w:space="0" w:color="auto"/>
        <w:bottom w:val="none" w:sz="0" w:space="0" w:color="auto"/>
        <w:right w:val="none" w:sz="0" w:space="0" w:color="auto"/>
      </w:divBdr>
    </w:div>
    <w:div w:id="529731768">
      <w:bodyDiv w:val="1"/>
      <w:marLeft w:val="0"/>
      <w:marRight w:val="0"/>
      <w:marTop w:val="0"/>
      <w:marBottom w:val="0"/>
      <w:divBdr>
        <w:top w:val="none" w:sz="0" w:space="0" w:color="auto"/>
        <w:left w:val="none" w:sz="0" w:space="0" w:color="auto"/>
        <w:bottom w:val="none" w:sz="0" w:space="0" w:color="auto"/>
        <w:right w:val="none" w:sz="0" w:space="0" w:color="auto"/>
      </w:divBdr>
    </w:div>
    <w:div w:id="561060126">
      <w:bodyDiv w:val="1"/>
      <w:marLeft w:val="0"/>
      <w:marRight w:val="0"/>
      <w:marTop w:val="0"/>
      <w:marBottom w:val="0"/>
      <w:divBdr>
        <w:top w:val="none" w:sz="0" w:space="0" w:color="auto"/>
        <w:left w:val="none" w:sz="0" w:space="0" w:color="auto"/>
        <w:bottom w:val="none" w:sz="0" w:space="0" w:color="auto"/>
        <w:right w:val="none" w:sz="0" w:space="0" w:color="auto"/>
      </w:divBdr>
    </w:div>
    <w:div w:id="597981564">
      <w:bodyDiv w:val="1"/>
      <w:marLeft w:val="0"/>
      <w:marRight w:val="0"/>
      <w:marTop w:val="0"/>
      <w:marBottom w:val="0"/>
      <w:divBdr>
        <w:top w:val="none" w:sz="0" w:space="0" w:color="auto"/>
        <w:left w:val="none" w:sz="0" w:space="0" w:color="auto"/>
        <w:bottom w:val="none" w:sz="0" w:space="0" w:color="auto"/>
        <w:right w:val="none" w:sz="0" w:space="0" w:color="auto"/>
      </w:divBdr>
    </w:div>
    <w:div w:id="739982585">
      <w:bodyDiv w:val="1"/>
      <w:marLeft w:val="0"/>
      <w:marRight w:val="0"/>
      <w:marTop w:val="0"/>
      <w:marBottom w:val="0"/>
      <w:divBdr>
        <w:top w:val="none" w:sz="0" w:space="0" w:color="auto"/>
        <w:left w:val="none" w:sz="0" w:space="0" w:color="auto"/>
        <w:bottom w:val="none" w:sz="0" w:space="0" w:color="auto"/>
        <w:right w:val="none" w:sz="0" w:space="0" w:color="auto"/>
      </w:divBdr>
    </w:div>
    <w:div w:id="763037936">
      <w:bodyDiv w:val="1"/>
      <w:marLeft w:val="0"/>
      <w:marRight w:val="0"/>
      <w:marTop w:val="0"/>
      <w:marBottom w:val="0"/>
      <w:divBdr>
        <w:top w:val="none" w:sz="0" w:space="0" w:color="auto"/>
        <w:left w:val="none" w:sz="0" w:space="0" w:color="auto"/>
        <w:bottom w:val="none" w:sz="0" w:space="0" w:color="auto"/>
        <w:right w:val="none" w:sz="0" w:space="0" w:color="auto"/>
      </w:divBdr>
    </w:div>
    <w:div w:id="933325164">
      <w:bodyDiv w:val="1"/>
      <w:marLeft w:val="0"/>
      <w:marRight w:val="0"/>
      <w:marTop w:val="0"/>
      <w:marBottom w:val="0"/>
      <w:divBdr>
        <w:top w:val="none" w:sz="0" w:space="0" w:color="auto"/>
        <w:left w:val="none" w:sz="0" w:space="0" w:color="auto"/>
        <w:bottom w:val="none" w:sz="0" w:space="0" w:color="auto"/>
        <w:right w:val="none" w:sz="0" w:space="0" w:color="auto"/>
      </w:divBdr>
    </w:div>
    <w:div w:id="944266991">
      <w:bodyDiv w:val="1"/>
      <w:marLeft w:val="0"/>
      <w:marRight w:val="0"/>
      <w:marTop w:val="0"/>
      <w:marBottom w:val="0"/>
      <w:divBdr>
        <w:top w:val="none" w:sz="0" w:space="0" w:color="auto"/>
        <w:left w:val="none" w:sz="0" w:space="0" w:color="auto"/>
        <w:bottom w:val="none" w:sz="0" w:space="0" w:color="auto"/>
        <w:right w:val="none" w:sz="0" w:space="0" w:color="auto"/>
      </w:divBdr>
    </w:div>
    <w:div w:id="951471094">
      <w:bodyDiv w:val="1"/>
      <w:marLeft w:val="0"/>
      <w:marRight w:val="0"/>
      <w:marTop w:val="0"/>
      <w:marBottom w:val="0"/>
      <w:divBdr>
        <w:top w:val="none" w:sz="0" w:space="0" w:color="auto"/>
        <w:left w:val="none" w:sz="0" w:space="0" w:color="auto"/>
        <w:bottom w:val="none" w:sz="0" w:space="0" w:color="auto"/>
        <w:right w:val="none" w:sz="0" w:space="0" w:color="auto"/>
      </w:divBdr>
    </w:div>
    <w:div w:id="986016146">
      <w:bodyDiv w:val="1"/>
      <w:marLeft w:val="0"/>
      <w:marRight w:val="0"/>
      <w:marTop w:val="0"/>
      <w:marBottom w:val="0"/>
      <w:divBdr>
        <w:top w:val="none" w:sz="0" w:space="0" w:color="auto"/>
        <w:left w:val="none" w:sz="0" w:space="0" w:color="auto"/>
        <w:bottom w:val="none" w:sz="0" w:space="0" w:color="auto"/>
        <w:right w:val="none" w:sz="0" w:space="0" w:color="auto"/>
      </w:divBdr>
    </w:div>
    <w:div w:id="1103066758">
      <w:bodyDiv w:val="1"/>
      <w:marLeft w:val="0"/>
      <w:marRight w:val="0"/>
      <w:marTop w:val="0"/>
      <w:marBottom w:val="0"/>
      <w:divBdr>
        <w:top w:val="none" w:sz="0" w:space="0" w:color="auto"/>
        <w:left w:val="none" w:sz="0" w:space="0" w:color="auto"/>
        <w:bottom w:val="none" w:sz="0" w:space="0" w:color="auto"/>
        <w:right w:val="none" w:sz="0" w:space="0" w:color="auto"/>
      </w:divBdr>
    </w:div>
    <w:div w:id="1144466139">
      <w:bodyDiv w:val="1"/>
      <w:marLeft w:val="0"/>
      <w:marRight w:val="0"/>
      <w:marTop w:val="0"/>
      <w:marBottom w:val="0"/>
      <w:divBdr>
        <w:top w:val="none" w:sz="0" w:space="0" w:color="auto"/>
        <w:left w:val="none" w:sz="0" w:space="0" w:color="auto"/>
        <w:bottom w:val="none" w:sz="0" w:space="0" w:color="auto"/>
        <w:right w:val="none" w:sz="0" w:space="0" w:color="auto"/>
      </w:divBdr>
    </w:div>
    <w:div w:id="1170751478">
      <w:bodyDiv w:val="1"/>
      <w:marLeft w:val="0"/>
      <w:marRight w:val="0"/>
      <w:marTop w:val="0"/>
      <w:marBottom w:val="0"/>
      <w:divBdr>
        <w:top w:val="none" w:sz="0" w:space="0" w:color="auto"/>
        <w:left w:val="none" w:sz="0" w:space="0" w:color="auto"/>
        <w:bottom w:val="none" w:sz="0" w:space="0" w:color="auto"/>
        <w:right w:val="none" w:sz="0" w:space="0" w:color="auto"/>
      </w:divBdr>
    </w:div>
    <w:div w:id="1182864235">
      <w:bodyDiv w:val="1"/>
      <w:marLeft w:val="0"/>
      <w:marRight w:val="0"/>
      <w:marTop w:val="0"/>
      <w:marBottom w:val="0"/>
      <w:divBdr>
        <w:top w:val="none" w:sz="0" w:space="0" w:color="auto"/>
        <w:left w:val="none" w:sz="0" w:space="0" w:color="auto"/>
        <w:bottom w:val="none" w:sz="0" w:space="0" w:color="auto"/>
        <w:right w:val="none" w:sz="0" w:space="0" w:color="auto"/>
      </w:divBdr>
    </w:div>
    <w:div w:id="1350794569">
      <w:bodyDiv w:val="1"/>
      <w:marLeft w:val="0"/>
      <w:marRight w:val="0"/>
      <w:marTop w:val="0"/>
      <w:marBottom w:val="0"/>
      <w:divBdr>
        <w:top w:val="none" w:sz="0" w:space="0" w:color="auto"/>
        <w:left w:val="none" w:sz="0" w:space="0" w:color="auto"/>
        <w:bottom w:val="none" w:sz="0" w:space="0" w:color="auto"/>
        <w:right w:val="none" w:sz="0" w:space="0" w:color="auto"/>
      </w:divBdr>
    </w:div>
    <w:div w:id="1402362454">
      <w:bodyDiv w:val="1"/>
      <w:marLeft w:val="0"/>
      <w:marRight w:val="0"/>
      <w:marTop w:val="0"/>
      <w:marBottom w:val="0"/>
      <w:divBdr>
        <w:top w:val="none" w:sz="0" w:space="0" w:color="auto"/>
        <w:left w:val="none" w:sz="0" w:space="0" w:color="auto"/>
        <w:bottom w:val="none" w:sz="0" w:space="0" w:color="auto"/>
        <w:right w:val="none" w:sz="0" w:space="0" w:color="auto"/>
      </w:divBdr>
    </w:div>
    <w:div w:id="1510099882">
      <w:bodyDiv w:val="1"/>
      <w:marLeft w:val="0"/>
      <w:marRight w:val="0"/>
      <w:marTop w:val="0"/>
      <w:marBottom w:val="0"/>
      <w:divBdr>
        <w:top w:val="none" w:sz="0" w:space="0" w:color="auto"/>
        <w:left w:val="none" w:sz="0" w:space="0" w:color="auto"/>
        <w:bottom w:val="none" w:sz="0" w:space="0" w:color="auto"/>
        <w:right w:val="none" w:sz="0" w:space="0" w:color="auto"/>
      </w:divBdr>
    </w:div>
    <w:div w:id="1567451221">
      <w:bodyDiv w:val="1"/>
      <w:marLeft w:val="0"/>
      <w:marRight w:val="0"/>
      <w:marTop w:val="0"/>
      <w:marBottom w:val="0"/>
      <w:divBdr>
        <w:top w:val="none" w:sz="0" w:space="0" w:color="auto"/>
        <w:left w:val="none" w:sz="0" w:space="0" w:color="auto"/>
        <w:bottom w:val="none" w:sz="0" w:space="0" w:color="auto"/>
        <w:right w:val="none" w:sz="0" w:space="0" w:color="auto"/>
      </w:divBdr>
    </w:div>
    <w:div w:id="1623533919">
      <w:bodyDiv w:val="1"/>
      <w:marLeft w:val="0"/>
      <w:marRight w:val="0"/>
      <w:marTop w:val="0"/>
      <w:marBottom w:val="0"/>
      <w:divBdr>
        <w:top w:val="none" w:sz="0" w:space="0" w:color="auto"/>
        <w:left w:val="none" w:sz="0" w:space="0" w:color="auto"/>
        <w:bottom w:val="none" w:sz="0" w:space="0" w:color="auto"/>
        <w:right w:val="none" w:sz="0" w:space="0" w:color="auto"/>
      </w:divBdr>
    </w:div>
    <w:div w:id="1950891380">
      <w:bodyDiv w:val="1"/>
      <w:marLeft w:val="0"/>
      <w:marRight w:val="0"/>
      <w:marTop w:val="0"/>
      <w:marBottom w:val="0"/>
      <w:divBdr>
        <w:top w:val="none" w:sz="0" w:space="0" w:color="auto"/>
        <w:left w:val="none" w:sz="0" w:space="0" w:color="auto"/>
        <w:bottom w:val="none" w:sz="0" w:space="0" w:color="auto"/>
        <w:right w:val="none" w:sz="0" w:space="0" w:color="auto"/>
      </w:divBdr>
    </w:div>
    <w:div w:id="2145922239">
      <w:bodyDiv w:val="1"/>
      <w:marLeft w:val="0"/>
      <w:marRight w:val="0"/>
      <w:marTop w:val="0"/>
      <w:marBottom w:val="0"/>
      <w:divBdr>
        <w:top w:val="none" w:sz="0" w:space="0" w:color="auto"/>
        <w:left w:val="none" w:sz="0" w:space="0" w:color="auto"/>
        <w:bottom w:val="none" w:sz="0" w:space="0" w:color="auto"/>
        <w:right w:val="none" w:sz="0" w:space="0" w:color="auto"/>
      </w:divBdr>
      <w:divsChild>
        <w:div w:id="160202430">
          <w:marLeft w:val="0"/>
          <w:marRight w:val="0"/>
          <w:marTop w:val="0"/>
          <w:marBottom w:val="0"/>
          <w:divBdr>
            <w:top w:val="none" w:sz="0" w:space="0" w:color="auto"/>
            <w:left w:val="none" w:sz="0" w:space="0" w:color="auto"/>
            <w:bottom w:val="none" w:sz="0" w:space="0" w:color="auto"/>
            <w:right w:val="none" w:sz="0" w:space="0" w:color="auto"/>
          </w:divBdr>
        </w:div>
        <w:div w:id="305816058">
          <w:marLeft w:val="0"/>
          <w:marRight w:val="0"/>
          <w:marTop w:val="0"/>
          <w:marBottom w:val="0"/>
          <w:divBdr>
            <w:top w:val="none" w:sz="0" w:space="0" w:color="auto"/>
            <w:left w:val="none" w:sz="0" w:space="0" w:color="auto"/>
            <w:bottom w:val="none" w:sz="0" w:space="0" w:color="auto"/>
            <w:right w:val="none" w:sz="0" w:space="0" w:color="auto"/>
          </w:divBdr>
        </w:div>
        <w:div w:id="12197034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healthinfo/sage/e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who.int/healthinfo/sage/en/"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1.emf"/></Relationships>
</file>

<file path=word/charts/_rels/chart1.xml.rels><?xml version="1.0" encoding="UTF-8" standalone="yes"?>
<Relationships xmlns="http://schemas.openxmlformats.org/package/2006/relationships"><Relationship Id="rId2" Type="http://schemas.openxmlformats.org/officeDocument/2006/relationships/oleObject" Target="file:///\\172.19.2.44\perfiles\perfiles\m.felez\Desktop\SAGE-hapiness\SB-Happiness\Figure%201.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'[Figure 1.xlsx]Hoja1'!$B$1</c:f>
              <c:strCache>
                <c:ptCount val="1"/>
                <c:pt idx="0">
                  <c:v>Overall</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strRef>
              <c:f>'[Figure 1.xlsx]Hoja1'!$A$2:$A$6</c:f>
              <c:strCache>
                <c:ptCount val="5"/>
                <c:pt idx="0">
                  <c:v>Very unhappy</c:v>
                </c:pt>
                <c:pt idx="1">
                  <c:v>Unhappy</c:v>
                </c:pt>
                <c:pt idx="2">
                  <c:v>Neither happy or unhappy</c:v>
                </c:pt>
                <c:pt idx="3">
                  <c:v>Happy</c:v>
                </c:pt>
                <c:pt idx="4">
                  <c:v>Very happy</c:v>
                </c:pt>
              </c:strCache>
            </c:strRef>
          </c:cat>
          <c:val>
            <c:numRef>
              <c:f>'[Figure 1.xlsx]Hoja1'!$B$2:$B$6</c:f>
              <c:numCache>
                <c:formatCode>General</c:formatCode>
                <c:ptCount val="5"/>
                <c:pt idx="0">
                  <c:v>23.9</c:v>
                </c:pt>
                <c:pt idx="1">
                  <c:v>23.1</c:v>
                </c:pt>
                <c:pt idx="2">
                  <c:v>12.2</c:v>
                </c:pt>
                <c:pt idx="3">
                  <c:v>7.8</c:v>
                </c:pt>
                <c:pt idx="4">
                  <c:v>8.8000000000000007</c:v>
                </c:pt>
              </c:numCache>
            </c:numRef>
          </c:val>
          <c:smooth val="0"/>
          <c:extLst>
            <c:ext xmlns:c16="http://schemas.microsoft.com/office/drawing/2014/chart" uri="{C3380CC4-5D6E-409C-BE32-E72D297353CC}">
              <c16:uniqueId val="{00000000-E5E8-4372-8670-EE45C4F0A5A4}"/>
            </c:ext>
          </c:extLst>
        </c:ser>
        <c:ser>
          <c:idx val="1"/>
          <c:order val="1"/>
          <c:tx>
            <c:strRef>
              <c:f>'[Figure 1.xlsx]Hoja1'!$C$1</c:f>
              <c:strCache>
                <c:ptCount val="1"/>
                <c:pt idx="0">
                  <c:v>Age 50-64 yrs</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cat>
            <c:strRef>
              <c:f>'[Figure 1.xlsx]Hoja1'!$A$2:$A$6</c:f>
              <c:strCache>
                <c:ptCount val="5"/>
                <c:pt idx="0">
                  <c:v>Very unhappy</c:v>
                </c:pt>
                <c:pt idx="1">
                  <c:v>Unhappy</c:v>
                </c:pt>
                <c:pt idx="2">
                  <c:v>Neither happy or unhappy</c:v>
                </c:pt>
                <c:pt idx="3">
                  <c:v>Happy</c:v>
                </c:pt>
                <c:pt idx="4">
                  <c:v>Very happy</c:v>
                </c:pt>
              </c:strCache>
            </c:strRef>
          </c:cat>
          <c:val>
            <c:numRef>
              <c:f>'[Figure 1.xlsx]Hoja1'!$C$2:$C$6</c:f>
              <c:numCache>
                <c:formatCode>General</c:formatCode>
                <c:ptCount val="5"/>
                <c:pt idx="0">
                  <c:v>14.4</c:v>
                </c:pt>
                <c:pt idx="1">
                  <c:v>12.8</c:v>
                </c:pt>
                <c:pt idx="2">
                  <c:v>9.3000000000000007</c:v>
                </c:pt>
                <c:pt idx="3">
                  <c:v>5.8</c:v>
                </c:pt>
                <c:pt idx="4">
                  <c:v>8.1</c:v>
                </c:pt>
              </c:numCache>
            </c:numRef>
          </c:val>
          <c:smooth val="0"/>
          <c:extLst>
            <c:ext xmlns:c16="http://schemas.microsoft.com/office/drawing/2014/chart" uri="{C3380CC4-5D6E-409C-BE32-E72D297353CC}">
              <c16:uniqueId val="{00000001-E5E8-4372-8670-EE45C4F0A5A4}"/>
            </c:ext>
          </c:extLst>
        </c:ser>
        <c:ser>
          <c:idx val="2"/>
          <c:order val="2"/>
          <c:tx>
            <c:strRef>
              <c:f>'[Figure 1.xlsx]Hoja1'!$D$1</c:f>
              <c:strCache>
                <c:ptCount val="1"/>
                <c:pt idx="0">
                  <c:v>Age ≥ 65 yrs</c:v>
                </c:pt>
              </c:strCache>
            </c:strRef>
          </c:tx>
          <c:spPr>
            <a:ln w="22225" cap="rnd">
              <a:solidFill>
                <a:schemeClr val="accent3"/>
              </a:solidFill>
              <a:round/>
            </a:ln>
            <a:effectLst/>
          </c:spPr>
          <c:marker>
            <c:symbol val="triangle"/>
            <c:size val="6"/>
            <c:spPr>
              <a:solidFill>
                <a:schemeClr val="accent3"/>
              </a:solidFill>
              <a:ln w="9525">
                <a:solidFill>
                  <a:schemeClr val="accent3"/>
                </a:solidFill>
                <a:round/>
              </a:ln>
              <a:effectLst/>
            </c:spPr>
          </c:marker>
          <c:cat>
            <c:strRef>
              <c:f>'[Figure 1.xlsx]Hoja1'!$A$2:$A$6</c:f>
              <c:strCache>
                <c:ptCount val="5"/>
                <c:pt idx="0">
                  <c:v>Very unhappy</c:v>
                </c:pt>
                <c:pt idx="1">
                  <c:v>Unhappy</c:v>
                </c:pt>
                <c:pt idx="2">
                  <c:v>Neither happy or unhappy</c:v>
                </c:pt>
                <c:pt idx="3">
                  <c:v>Happy</c:v>
                </c:pt>
                <c:pt idx="4">
                  <c:v>Very happy</c:v>
                </c:pt>
              </c:strCache>
            </c:strRef>
          </c:cat>
          <c:val>
            <c:numRef>
              <c:f>'[Figure 1.xlsx]Hoja1'!$D$2:$D$6</c:f>
              <c:numCache>
                <c:formatCode>General</c:formatCode>
                <c:ptCount val="5"/>
                <c:pt idx="0">
                  <c:v>35.5</c:v>
                </c:pt>
                <c:pt idx="1">
                  <c:v>35</c:v>
                </c:pt>
                <c:pt idx="2">
                  <c:v>16.7</c:v>
                </c:pt>
                <c:pt idx="3">
                  <c:v>11.6</c:v>
                </c:pt>
                <c:pt idx="4">
                  <c:v>10</c:v>
                </c:pt>
              </c:numCache>
            </c:numRef>
          </c:val>
          <c:smooth val="0"/>
          <c:extLst>
            <c:ext xmlns:c16="http://schemas.microsoft.com/office/drawing/2014/chart" uri="{C3380CC4-5D6E-409C-BE32-E72D297353CC}">
              <c16:uniqueId val="{00000002-E5E8-4372-8670-EE45C4F0A5A4}"/>
            </c:ext>
          </c:extLst>
        </c:ser>
        <c:dLbls>
          <c:showLegendKey val="0"/>
          <c:showVal val="0"/>
          <c:showCatName val="0"/>
          <c:showSerName val="0"/>
          <c:showPercent val="0"/>
          <c:showBubbleSize val="0"/>
        </c:dLbls>
        <c:marker val="1"/>
        <c:smooth val="0"/>
        <c:axId val="2119777592"/>
        <c:axId val="2119782952"/>
      </c:lineChart>
      <c:catAx>
        <c:axId val="2119777592"/>
        <c:scaling>
          <c:orientation val="minMax"/>
        </c:scaling>
        <c:delete val="0"/>
        <c:axPos val="b"/>
        <c:majorGridlines>
          <c:spPr>
            <a:ln w="9525" cap="flat" cmpd="sng" algn="ctr">
              <a:no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2119782952"/>
        <c:crosses val="autoZero"/>
        <c:auto val="1"/>
        <c:lblAlgn val="ctr"/>
        <c:lblOffset val="100"/>
        <c:noMultiLvlLbl val="0"/>
      </c:catAx>
      <c:valAx>
        <c:axId val="2119782952"/>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es-ES" sz="1000" cap="none" baseline="0">
                    <a:solidFill>
                      <a:sysClr val="windowText" lastClr="000000"/>
                    </a:solidFill>
                    <a:latin typeface="Arial" panose="020B0604020202020204" pitchFamily="34" charset="0"/>
                    <a:cs typeface="Arial" panose="020B0604020202020204" pitchFamily="34" charset="0"/>
                  </a:rPr>
                  <a:t>Prevalence of high sedentary behavior (%)</a:t>
                </a:r>
              </a:p>
            </c:rich>
          </c:tx>
          <c:layout>
            <c:manualLayout>
              <c:xMode val="edge"/>
              <c:yMode val="edge"/>
              <c:x val="0.15805596492951701"/>
              <c:y val="5.86973472976072E-2"/>
            </c:manualLayout>
          </c:layout>
          <c:overlay val="0"/>
          <c:spPr>
            <a:noFill/>
            <a:ln>
              <a:noFill/>
            </a:ln>
            <a:effectLst/>
          </c:sp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119777592"/>
        <c:crosses val="autoZero"/>
        <c:crossBetween val="between"/>
      </c:valAx>
      <c:dTable>
        <c:showHorzBorder val="1"/>
        <c:showVertBorder val="1"/>
        <c:showOutline val="1"/>
        <c:showKeys val="1"/>
        <c:spPr>
          <a:noFill/>
          <a:ln w="3175">
            <a:solidFill>
              <a:srgbClr val="000000">
                <a:alpha val="96863"/>
              </a:srgbClr>
            </a:solidFill>
            <a:prstDash val="solid"/>
          </a:ln>
          <a:effectLst/>
        </c:spPr>
        <c:txPr>
          <a:bodyPr rot="0" spcFirstLastPara="1" vertOverflow="ellipsis" vert="horz" wrap="square" anchor="ctr" anchorCtr="1"/>
          <a:lstStyle/>
          <a:p>
            <a:pPr rtl="0">
              <a:defRPr sz="1000" b="0" i="0" u="none" strike="noStrike" kern="1200" baseline="0">
                <a:solidFill>
                  <a:sysClr val="windowText" lastClr="000000"/>
                </a:solidFill>
                <a:latin typeface="Arial" panose="020B0604020202020204" pitchFamily="34" charset="0"/>
                <a:ea typeface="+mn-ea"/>
                <a:cs typeface="+mn-cs"/>
              </a:defRPr>
            </a:pPr>
            <a:endParaRPr lang="en-US"/>
          </a:p>
        </c:txPr>
      </c:dTable>
      <c:spPr>
        <a:noFill/>
        <a:ln>
          <a:noFill/>
        </a:ln>
        <a:effectLst/>
      </c:spPr>
    </c:plotArea>
    <c:plotVisOnly val="1"/>
    <c:dispBlanksAs val="gap"/>
    <c:showDLblsOverMax val="0"/>
  </c:chart>
  <c:spPr>
    <a:ln w="9525" cap="flat" cmpd="sng" algn="ctr">
      <a:solidFill>
        <a:sysClr val="windowText" lastClr="000000"/>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8AD6D-130C-466C-8C43-8F2BDEFBB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31</Pages>
  <Words>36485</Words>
  <Characters>207966</Characters>
  <Application>Microsoft Office Word</Application>
  <DocSecurity>0</DocSecurity>
  <Lines>1733</Lines>
  <Paragraphs>487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 Inc.</Company>
  <LinksUpToDate>false</LinksUpToDate>
  <CharactersWithSpaces>243964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Mireia Félez Nobrega</dc:creator>
  <cp:keywords/>
  <dc:description/>
  <cp:lastModifiedBy>Blanshard, Lisa</cp:lastModifiedBy>
  <cp:revision>4</cp:revision>
  <cp:lastPrinted>2020-07-24T02:37:00Z</cp:lastPrinted>
  <dcterms:created xsi:type="dcterms:W3CDTF">2020-10-21T08:11:00Z</dcterms:created>
  <dcterms:modified xsi:type="dcterms:W3CDTF">2020-10-21T15:03:00Z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03d51e7d-fdf6-3498-8ef8-d2475c543625</vt:lpwstr>
  </property>
  <property fmtid="{D5CDD505-2E9C-101B-9397-08002B2CF9AE}" pid="4" name="Mendeley Citation Style_1">
    <vt:lpwstr>http://www.zotero.org/styles/maturitas</vt:lpwstr>
  </property>
  <property fmtid="{D5CDD505-2E9C-101B-9397-08002B2CF9AE}" pid="5" name="Mendeley Recent Style Id 0_1">
    <vt:lpwstr>http://www.zotero.org/styles/age-and-ageing</vt:lpwstr>
  </property>
  <property fmtid="{D5CDD505-2E9C-101B-9397-08002B2CF9AE}" pid="6" name="Mendeley Recent Style Name 0_1">
    <vt:lpwstr>Age and Ageing</vt:lpwstr>
  </property>
  <property fmtid="{D5CDD505-2E9C-101B-9397-08002B2CF9AE}" pid="7" name="Mendeley Recent Style Id 1_1">
    <vt:lpwstr>http://www.zotero.org/styles/american-medical-association</vt:lpwstr>
  </property>
  <property fmtid="{D5CDD505-2E9C-101B-9397-08002B2CF9AE}" pid="8" name="Mendeley Recent Style Name 1_1">
    <vt:lpwstr>American Medical Association</vt:lpwstr>
  </property>
  <property fmtid="{D5CDD505-2E9C-101B-9397-08002B2CF9AE}" pid="9" name="Mendeley Recent Style Id 2_1">
    <vt:lpwstr>http://www.zotero.org/styles/american-political-science-association</vt:lpwstr>
  </property>
  <property fmtid="{D5CDD505-2E9C-101B-9397-08002B2CF9AE}" pid="10" name="Mendeley Recent Style Name 2_1">
    <vt:lpwstr>American Political Science Association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6th edition</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http://www.zotero.org/styles/international-journal-of-behavioral-nutrition-and-physical-activity</vt:lpwstr>
  </property>
  <property fmtid="{D5CDD505-2E9C-101B-9397-08002B2CF9AE}" pid="18" name="Mendeley Recent Style Name 6_1">
    <vt:lpwstr>International Journal of Behavioral Nutrition and Physical Activity</vt:lpwstr>
  </property>
  <property fmtid="{D5CDD505-2E9C-101B-9397-08002B2CF9AE}" pid="19" name="Mendeley Recent Style Id 7_1">
    <vt:lpwstr>http://www.zotero.org/styles/journal-of-epidemiology-and-community-health</vt:lpwstr>
  </property>
  <property fmtid="{D5CDD505-2E9C-101B-9397-08002B2CF9AE}" pid="20" name="Mendeley Recent Style Name 7_1">
    <vt:lpwstr>Journal of Epidemiology and Community Health</vt:lpwstr>
  </property>
  <property fmtid="{D5CDD505-2E9C-101B-9397-08002B2CF9AE}" pid="21" name="Mendeley Recent Style Id 8_1">
    <vt:lpwstr>http://www.zotero.org/styles/maturitas</vt:lpwstr>
  </property>
  <property fmtid="{D5CDD505-2E9C-101B-9397-08002B2CF9AE}" pid="22" name="Mendeley Recent Style Name 8_1">
    <vt:lpwstr>Maturitas</vt:lpwstr>
  </property>
  <property fmtid="{D5CDD505-2E9C-101B-9397-08002B2CF9AE}" pid="23" name="Mendeley Recent Style Id 9_1">
    <vt:lpwstr>http://www.zotero.org/styles/modern-humanities-research-association</vt:lpwstr>
  </property>
  <property fmtid="{D5CDD505-2E9C-101B-9397-08002B2CF9AE}" pid="24" name="Mendeley Recent Style Name 9_1">
    <vt:lpwstr>Modern Humanities Research Association 3rd edition (note with bibliography)</vt:lpwstr>
  </property>
</Properties>
</file>