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2BEEC8" w14:textId="726D8888" w:rsidR="00BC692A" w:rsidRDefault="00BC692A" w:rsidP="00A1007C">
      <w:pPr>
        <w:pStyle w:val="Heading1"/>
      </w:pPr>
      <w:r>
        <w:t xml:space="preserve">Measurement of Tinnitus </w:t>
      </w:r>
      <w:r w:rsidR="00AC606F">
        <w:t>Distress</w:t>
      </w:r>
      <w:r>
        <w:t>: Confirmatory Factor Analysis of the Tinnitus Handicap Inventory and Tinnitus Functional Index and Development of a Combined Short Form</w:t>
      </w:r>
    </w:p>
    <w:p w14:paraId="46741984" w14:textId="77777777" w:rsidR="0028298B" w:rsidRDefault="0028298B" w:rsidP="0028298B">
      <w:pPr>
        <w:jc w:val="center"/>
        <w:rPr>
          <w:rFonts w:ascii="Times New Roman" w:hAnsi="Times New Roman" w:cs="Times New Roman"/>
        </w:rPr>
      </w:pPr>
    </w:p>
    <w:p w14:paraId="6F03B2E5" w14:textId="77777777" w:rsidR="00BC692A" w:rsidRDefault="00BC692A" w:rsidP="0028298B">
      <w:pPr>
        <w:jc w:val="center"/>
        <w:rPr>
          <w:rFonts w:ascii="Times New Roman" w:hAnsi="Times New Roman" w:cs="Times New Roman"/>
        </w:rPr>
      </w:pPr>
      <w:r>
        <w:rPr>
          <w:rFonts w:ascii="Times New Roman" w:hAnsi="Times New Roman" w:cs="Times New Roman"/>
        </w:rPr>
        <w:t xml:space="preserve">Madelyn R. </w:t>
      </w:r>
      <w:proofErr w:type="spellStart"/>
      <w:r>
        <w:rPr>
          <w:rFonts w:ascii="Times New Roman" w:hAnsi="Times New Roman" w:cs="Times New Roman"/>
        </w:rPr>
        <w:t>Frumkin</w:t>
      </w:r>
      <w:proofErr w:type="spellEnd"/>
      <w:r>
        <w:rPr>
          <w:rFonts w:ascii="Times New Roman" w:hAnsi="Times New Roman" w:cs="Times New Roman"/>
        </w:rPr>
        <w:t>,</w:t>
      </w:r>
      <w:r w:rsidRPr="00BF142D">
        <w:rPr>
          <w:rFonts w:ascii="Times New Roman" w:hAnsi="Times New Roman" w:cs="Times New Roman"/>
        </w:rPr>
        <w:t xml:space="preserve"> Donna </w:t>
      </w:r>
      <w:proofErr w:type="spellStart"/>
      <w:r w:rsidRPr="00BF142D">
        <w:rPr>
          <w:rFonts w:ascii="Times New Roman" w:hAnsi="Times New Roman" w:cs="Times New Roman"/>
        </w:rPr>
        <w:t>Kallogjeri</w:t>
      </w:r>
      <w:proofErr w:type="spellEnd"/>
      <w:r w:rsidRPr="00BF142D">
        <w:rPr>
          <w:rFonts w:ascii="Times New Roman" w:hAnsi="Times New Roman" w:cs="Times New Roman"/>
        </w:rPr>
        <w:t xml:space="preserve">, Jay </w:t>
      </w:r>
      <w:r>
        <w:rPr>
          <w:rFonts w:ascii="Times New Roman" w:hAnsi="Times New Roman" w:cs="Times New Roman"/>
        </w:rPr>
        <w:t xml:space="preserve">F. </w:t>
      </w:r>
      <w:proofErr w:type="spellStart"/>
      <w:r w:rsidRPr="00BF142D">
        <w:rPr>
          <w:rFonts w:ascii="Times New Roman" w:hAnsi="Times New Roman" w:cs="Times New Roman"/>
        </w:rPr>
        <w:t>Piccirillo</w:t>
      </w:r>
      <w:proofErr w:type="spellEnd"/>
      <w:r w:rsidRPr="00BF142D">
        <w:rPr>
          <w:rFonts w:ascii="Times New Roman" w:hAnsi="Times New Roman" w:cs="Times New Roman"/>
        </w:rPr>
        <w:t xml:space="preserve">, Eldre </w:t>
      </w:r>
      <w:r>
        <w:rPr>
          <w:rFonts w:ascii="Times New Roman" w:hAnsi="Times New Roman" w:cs="Times New Roman"/>
        </w:rPr>
        <w:t xml:space="preserve">W. </w:t>
      </w:r>
      <w:r w:rsidRPr="00BF142D">
        <w:rPr>
          <w:rFonts w:ascii="Times New Roman" w:hAnsi="Times New Roman" w:cs="Times New Roman"/>
        </w:rPr>
        <w:t xml:space="preserve">Beukes, Vinaya </w:t>
      </w:r>
      <w:proofErr w:type="spellStart"/>
      <w:r w:rsidRPr="00BF142D">
        <w:rPr>
          <w:rFonts w:ascii="Times New Roman" w:hAnsi="Times New Roman" w:cs="Times New Roman"/>
        </w:rPr>
        <w:t>Manchaiah</w:t>
      </w:r>
      <w:proofErr w:type="spellEnd"/>
      <w:r w:rsidRPr="00BF142D">
        <w:rPr>
          <w:rFonts w:ascii="Times New Roman" w:hAnsi="Times New Roman" w:cs="Times New Roman"/>
        </w:rPr>
        <w:t>, Gerhard Andersson</w:t>
      </w:r>
      <w:r>
        <w:rPr>
          <w:rFonts w:ascii="Times New Roman" w:hAnsi="Times New Roman" w:cs="Times New Roman"/>
        </w:rPr>
        <w:t xml:space="preserve">, &amp; Thomas L. </w:t>
      </w:r>
      <w:proofErr w:type="spellStart"/>
      <w:r>
        <w:rPr>
          <w:rFonts w:ascii="Times New Roman" w:hAnsi="Times New Roman" w:cs="Times New Roman"/>
        </w:rPr>
        <w:t>Rodebaugh</w:t>
      </w:r>
      <w:proofErr w:type="spellEnd"/>
    </w:p>
    <w:p w14:paraId="7BF2E224" w14:textId="77777777" w:rsidR="00BC692A" w:rsidRDefault="00BC692A" w:rsidP="00BC692A"/>
    <w:p w14:paraId="4F287BA1" w14:textId="2FE47869" w:rsidR="001F3739" w:rsidRDefault="00BC692A" w:rsidP="00BC692A">
      <w:pPr>
        <w:ind w:firstLine="720"/>
        <w:rPr>
          <w:rFonts w:ascii="Times New Roman" w:hAnsi="Times New Roman" w:cs="Times New Roman"/>
        </w:rPr>
      </w:pPr>
      <w:r>
        <w:rPr>
          <w:rFonts w:ascii="Times New Roman" w:hAnsi="Times New Roman" w:cs="Times New Roman"/>
        </w:rPr>
        <w:t xml:space="preserve">Tinnitus is the experience of phantom sounds (i.e., ringing, buzzing) in the ears or head. Approximately </w:t>
      </w:r>
      <w:r w:rsidR="00AC606F">
        <w:rPr>
          <w:rFonts w:ascii="Times New Roman" w:hAnsi="Times New Roman" w:cs="Times New Roman"/>
        </w:rPr>
        <w:t>10-20</w:t>
      </w:r>
      <w:r>
        <w:rPr>
          <w:rFonts w:ascii="Times New Roman" w:hAnsi="Times New Roman" w:cs="Times New Roman"/>
        </w:rPr>
        <w:t xml:space="preserve">% of adults </w:t>
      </w:r>
      <w:r w:rsidR="00AC606F">
        <w:rPr>
          <w:rFonts w:ascii="Times New Roman" w:hAnsi="Times New Roman" w:cs="Times New Roman"/>
        </w:rPr>
        <w:t>globally</w:t>
      </w:r>
      <w:r>
        <w:rPr>
          <w:rFonts w:ascii="Times New Roman" w:hAnsi="Times New Roman" w:cs="Times New Roman"/>
        </w:rPr>
        <w:t xml:space="preserve"> experience any tinnitus. </w:t>
      </w:r>
      <w:r w:rsidR="0028298B">
        <w:rPr>
          <w:rFonts w:ascii="Times New Roman" w:hAnsi="Times New Roman" w:cs="Times New Roman"/>
        </w:rPr>
        <w:t>F</w:t>
      </w:r>
      <w:r>
        <w:rPr>
          <w:rFonts w:ascii="Times New Roman" w:hAnsi="Times New Roman" w:cs="Times New Roman"/>
        </w:rPr>
        <w:t>or a subset of individuals, tinnitus is bothersome</w:t>
      </w:r>
      <w:r w:rsidR="0028298B">
        <w:rPr>
          <w:rFonts w:ascii="Times New Roman" w:hAnsi="Times New Roman" w:cs="Times New Roman"/>
        </w:rPr>
        <w:t xml:space="preserve"> and causes psychological distress</w:t>
      </w:r>
      <w:r>
        <w:rPr>
          <w:rFonts w:ascii="Times New Roman" w:hAnsi="Times New Roman" w:cs="Times New Roman"/>
        </w:rPr>
        <w:t xml:space="preserve">. In </w:t>
      </w:r>
      <w:r w:rsidR="003257A4">
        <w:rPr>
          <w:rFonts w:ascii="Times New Roman" w:hAnsi="Times New Roman" w:cs="Times New Roman"/>
        </w:rPr>
        <w:t xml:space="preserve">the </w:t>
      </w:r>
      <w:r>
        <w:rPr>
          <w:rFonts w:ascii="Times New Roman" w:hAnsi="Times New Roman" w:cs="Times New Roman"/>
        </w:rPr>
        <w:t>absence of a clear physiological cause of tinnitus, psychological treatments including cognitive behavioral therapy have been developed to address the associated</w:t>
      </w:r>
      <w:r w:rsidR="00AC606F">
        <w:rPr>
          <w:rFonts w:ascii="Times New Roman" w:hAnsi="Times New Roman" w:cs="Times New Roman"/>
        </w:rPr>
        <w:t xml:space="preserve"> </w:t>
      </w:r>
      <w:r w:rsidR="00E75EB6">
        <w:rPr>
          <w:rFonts w:ascii="Times New Roman" w:hAnsi="Times New Roman" w:cs="Times New Roman"/>
        </w:rPr>
        <w:t>distress</w:t>
      </w:r>
      <w:r>
        <w:rPr>
          <w:rFonts w:ascii="Times New Roman" w:hAnsi="Times New Roman" w:cs="Times New Roman"/>
        </w:rPr>
        <w:t>. Two measures are primarily used to assess</w:t>
      </w:r>
      <w:r w:rsidR="00AC606F">
        <w:rPr>
          <w:rFonts w:ascii="Times New Roman" w:hAnsi="Times New Roman" w:cs="Times New Roman"/>
        </w:rPr>
        <w:t xml:space="preserve"> change in</w:t>
      </w:r>
      <w:r>
        <w:rPr>
          <w:rFonts w:ascii="Times New Roman" w:hAnsi="Times New Roman" w:cs="Times New Roman"/>
        </w:rPr>
        <w:t xml:space="preserve"> tinnitus</w:t>
      </w:r>
      <w:r w:rsidR="00AC606F">
        <w:rPr>
          <w:rFonts w:ascii="Times New Roman" w:hAnsi="Times New Roman" w:cs="Times New Roman"/>
        </w:rPr>
        <w:t>-related distress through treatment</w:t>
      </w:r>
      <w:r>
        <w:rPr>
          <w:rFonts w:ascii="Times New Roman" w:hAnsi="Times New Roman" w:cs="Times New Roman"/>
        </w:rPr>
        <w:t xml:space="preserve">: the Tinnitus Handicap Inventory </w:t>
      </w:r>
      <w:r>
        <w:rPr>
          <w:rFonts w:ascii="Times New Roman" w:hAnsi="Times New Roman" w:cs="Times New Roman"/>
        </w:rPr>
        <w:fldChar w:fldCharType="begin" w:fldLock="1"/>
      </w:r>
      <w:r>
        <w:rPr>
          <w:rFonts w:ascii="Times New Roman" w:hAnsi="Times New Roman" w:cs="Times New Roman"/>
        </w:rPr>
        <w:instrText>ADDIN CSL_CITATION {"citationItems":[{"id":"ITEM-1","itemData":{"DOI":"10.1001/archotol.1996.01890140029007","ISSN":"08864470","PMID":"8630207","abstract":"Objective: To develop a self-report tinnitus handicap measure that is brief, easy to administer and interpret, broad in scope, and psychometrically robust. Design: A standardization study of a self-report tinnitus handicap measure was conducted to determine its internal consistency reliability and convergent and construct validity. Setting: Audiology clinics in tertiary care centers in two sites. Participants: In the first investigation, 84 patients reporting tinnitus as their primary complaint or secondary to hearing loss completed the 45-item alpha version of the Tinnitus Handicap Inventory (THI). In the second investigation, 66 subjects also reporting tinnitus completed the 25-item beta version. Outcome Measures: Convergent validity was assessed using another measure of perceived tinnitus handicap (Tinnitus Handicap Questionnaire). Construct validity was assessed using the Beck Depression Inventory, Modified Somatic Perception Questionnaire, symptom rating scales (annoyance, sleep disruption, depression, and concentration), and perceived tinnitus pitch and loudness judgments. Results: From the alpha version of the THI, we derived a 25-item beta version with the items grouped into functional, emotional, and catastrophic subscales. The total scale yielded excellent internal consistency reliability (Cronbach's alpha=.93). No significant age or gender effects were seen. Weak correlations were observed between the THI and the Beck Depression Inventory, Modified Somatic Perception Questionnaire, and pitch and loudness judgments. Significant correlations were found between the THI and the symptom rating scales. Conclusion: The THI is a self-report measure that can be used in a busy clinical practice to quantify the impact of tinnitus on daily living.","author":[{"dropping-particle":"","family":"Newman","given":"Craig W.","non-dropping-particle":"","parse-names":false,"suffix":""},{"dropping-particle":"","family":"Jacobson","given":"Gary P.","non-dropping-particle":"","parse-names":false,"suffix":""},{"dropping-particle":"","family":"Spitzer","given":"Jaclyn B.","non-dropping-particle":"","parse-names":false,"suffix":""}],"container-title":"Archives of Otolaryngology - Head and Neck Surgery","id":"ITEM-1","issue":"2","issued":{"date-parts":[["1996"]]},"page":"143-148","publisher":"American Medical Association","title":"Development of the tinnitus handicap inventory","type":"article-journal","volume":"122"},"prefix":"THI; ","uris":["http://www.mendeley.com/documents/?uuid=4e2cd11e-fa23-3ccb-8fc8-8943f8e3cc5b"]}],"mendeley":{"formattedCitation":"(THI; Newman, Jacobson, &amp; Spitzer, 1996)","plainTextFormattedCitation":"(THI; Newman, Jacobson, &amp; Spitzer, 1996)","previouslyFormattedCitation":"(THI; Newman, Jacobson, &amp; Spitzer, 1996)"},"properties":{"noteIndex":0},"schema":"https://github.com/citation-style-language/schema/raw/master/csl-citation.json"}</w:instrText>
      </w:r>
      <w:r>
        <w:rPr>
          <w:rFonts w:ascii="Times New Roman" w:hAnsi="Times New Roman" w:cs="Times New Roman"/>
        </w:rPr>
        <w:fldChar w:fldCharType="separate"/>
      </w:r>
      <w:r w:rsidRPr="00700EA2">
        <w:rPr>
          <w:rFonts w:ascii="Times New Roman" w:hAnsi="Times New Roman" w:cs="Times New Roman"/>
          <w:noProof/>
        </w:rPr>
        <w:t>(THI; Newman, Jacobson, &amp; Spitzer, 1996)</w:t>
      </w:r>
      <w:r>
        <w:rPr>
          <w:rFonts w:ascii="Times New Roman" w:hAnsi="Times New Roman" w:cs="Times New Roman"/>
        </w:rPr>
        <w:fldChar w:fldCharType="end"/>
      </w:r>
      <w:r>
        <w:rPr>
          <w:rFonts w:ascii="Times New Roman" w:hAnsi="Times New Roman" w:cs="Times New Roman"/>
        </w:rPr>
        <w:t xml:space="preserve"> and the Tinnitus Functional Index </w:t>
      </w:r>
      <w:r>
        <w:rPr>
          <w:rFonts w:ascii="Times New Roman" w:hAnsi="Times New Roman" w:cs="Times New Roman"/>
        </w:rPr>
        <w:fldChar w:fldCharType="begin" w:fldLock="1"/>
      </w:r>
      <w:r>
        <w:rPr>
          <w:rFonts w:ascii="Times New Roman" w:hAnsi="Times New Roman" w:cs="Times New Roman"/>
        </w:rPr>
        <w:instrText>ADDIN CSL_CITATION {"citationItems":[{"id":"ITEM-1","itemData":{"DOI":"10.1097/AUD.0b013e31822f67c0","ISSN":"0196-0202","author":[{"dropping-particle":"","family":"Meikle","given":"Mary B.","non-dropping-particle":"","parse-names":false,"suffix":""},{"dropping-particle":"","family":"Henry","given":"James A.","non-dropping-particle":"","parse-names":false,"suffix":""},{"dropping-particle":"","family":"Griest","given":"Susan E.","non-dropping-particle":"","parse-names":false,"suffix":""},{"dropping-particle":"","family":"Stewart","given":"Barbara J.","non-dropping-particle":"","parse-names":false,"suffix":""},{"dropping-particle":"","family":"Abrams","given":"Harvey B.","non-dropping-particle":"","parse-names":false,"suffix":""},{"dropping-particle":"","family":"McArdle","given":"Rachel","non-dropping-particle":"","parse-names":false,"suffix":""},{"dropping-particle":"","family":"Myers","given":"Paula J.","non-dropping-particle":"","parse-names":false,"suffix":""},{"dropping-particle":"","family":"Newman","given":"Craig W.","non-dropping-particle":"","parse-names":false,"suffix":""},{"dropping-particle":"","family":"Sandridge","given":"Sharon","non-dropping-particle":"","parse-names":false,"suffix":""},{"dropping-particle":"","family":"Turk","given":"Dennis C.","non-dropping-particle":"","parse-names":false,"suffix":""},{"dropping-particle":"","family":"Folmer","given":"Robert L.","non-dropping-particle":"","parse-names":false,"suffix":""},{"dropping-particle":"","family":"Frederick","given":"Eric J.","non-dropping-particle":"","parse-names":false,"suffix":""},{"dropping-particle":"","family":"House","given":"John W.","non-dropping-particle":"","parse-names":false,"suffix":""},{"dropping-particle":"","family":"Jacobson","given":"Gary P.","non-dropping-particle":"","parse-names":false,"suffix":""},{"dropping-particle":"","family":"Kinney","given":"Sam E.","non-dropping-particle":"","parse-names":false,"suffix":""},{"dropping-particle":"","family":"Martin","given":"William H.","non-dropping-particle":"","parse-names":false,"suffix":""},{"dropping-particle":"","family":"Nagler","given":"Stephen M.","non-dropping-particle":"","parse-names":false,"suffix":""},{"dropping-particle":"","family":"Reich","given":"Gloria E.","non-dropping-particle":"","parse-names":false,"suffix":""},{"dropping-particle":"","family":"Searchfield","given":"Grant","non-dropping-particle":"","parse-names":false,"suffix":""},{"dropping-particle":"","family":"Sweetow","given":"Robert","non-dropping-particle":"","parse-names":false,"suffix":""},{"dropping-particle":"","family":"Vernon","given":"Jack A.","non-dropping-particle":"","parse-names":false,"suffix":""}],"container-title":"Ear and Hearing","id":"ITEM-1","issue":"2","issued":{"date-parts":[["2012"]]},"page":"153-176","title":"The Tinnitus Functional Index","type":"article-journal","volume":"33"},"prefix":"TFI; ","uris":["http://www.mendeley.com/documents/?uuid=30a7d421-c013-3d95-b5ab-3cfd25daa2ee"]}],"mendeley":{"formattedCitation":"(TFI; Meikle et al., 2012)","plainTextFormattedCitation":"(TFI; Meikle et al., 2012)","previouslyFormattedCitation":"(TFI; Meikle et al., 2012)"},"properties":{"noteIndex":0},"schema":"https://github.com/citation-style-language/schema/raw/master/csl-citation.json"}</w:instrText>
      </w:r>
      <w:r>
        <w:rPr>
          <w:rFonts w:ascii="Times New Roman" w:hAnsi="Times New Roman" w:cs="Times New Roman"/>
        </w:rPr>
        <w:fldChar w:fldCharType="separate"/>
      </w:r>
      <w:r w:rsidRPr="00700EA2">
        <w:rPr>
          <w:rFonts w:ascii="Times New Roman" w:hAnsi="Times New Roman" w:cs="Times New Roman"/>
          <w:noProof/>
        </w:rPr>
        <w:t>(TFI; Meikle et al., 2012)</w:t>
      </w:r>
      <w:r>
        <w:rPr>
          <w:rFonts w:ascii="Times New Roman" w:hAnsi="Times New Roman" w:cs="Times New Roman"/>
        </w:rPr>
        <w:fldChar w:fldCharType="end"/>
      </w:r>
      <w:r>
        <w:rPr>
          <w:rFonts w:ascii="Times New Roman" w:hAnsi="Times New Roman" w:cs="Times New Roman"/>
        </w:rPr>
        <w:t xml:space="preserve">. </w:t>
      </w:r>
      <w:r w:rsidR="00E75EB6">
        <w:rPr>
          <w:rFonts w:ascii="Times New Roman" w:hAnsi="Times New Roman" w:cs="Times New Roman"/>
        </w:rPr>
        <w:t xml:space="preserve">Both consist of 25 questions, which makes them too long to complete </w:t>
      </w:r>
      <w:r w:rsidR="00AC606F">
        <w:rPr>
          <w:rFonts w:ascii="Times New Roman" w:hAnsi="Times New Roman" w:cs="Times New Roman"/>
        </w:rPr>
        <w:t>frequently during an intervention</w:t>
      </w:r>
      <w:r w:rsidR="00E75EB6">
        <w:rPr>
          <w:rFonts w:ascii="Times New Roman" w:hAnsi="Times New Roman" w:cs="Times New Roman"/>
        </w:rPr>
        <w:t xml:space="preserve">. </w:t>
      </w:r>
      <w:r w:rsidR="001F3739">
        <w:rPr>
          <w:rFonts w:ascii="Times New Roman" w:hAnsi="Times New Roman" w:cs="Times New Roman"/>
        </w:rPr>
        <w:t>The aim of the current study was to develop a short form combining these questionnaires to be used for frequent monitoring during treatment of tinnitus-related distress.</w:t>
      </w:r>
    </w:p>
    <w:p w14:paraId="69E4DAD6" w14:textId="5EAAFC9F" w:rsidR="00BC692A" w:rsidRDefault="00BC692A" w:rsidP="00BC692A">
      <w:pPr>
        <w:ind w:firstLine="720"/>
        <w:rPr>
          <w:rFonts w:ascii="Times New Roman" w:hAnsi="Times New Roman" w:cs="Times New Roman"/>
          <w:b/>
        </w:rPr>
      </w:pPr>
      <w:r>
        <w:rPr>
          <w:rFonts w:ascii="Times New Roman" w:hAnsi="Times New Roman" w:cs="Times New Roman"/>
        </w:rPr>
        <w:t>In the current study,</w:t>
      </w:r>
      <w:r w:rsidR="00E75EB6">
        <w:rPr>
          <w:rFonts w:ascii="Times New Roman" w:hAnsi="Times New Roman" w:cs="Times New Roman"/>
        </w:rPr>
        <w:t xml:space="preserve"> 502 participants were included across cultures (both the USA and UK</w:t>
      </w:r>
      <w:r w:rsidR="00AC606F">
        <w:rPr>
          <w:rFonts w:ascii="Times New Roman" w:hAnsi="Times New Roman" w:cs="Times New Roman"/>
        </w:rPr>
        <w:t>)</w:t>
      </w:r>
      <w:r w:rsidR="00E75EB6">
        <w:rPr>
          <w:rFonts w:ascii="Times New Roman" w:hAnsi="Times New Roman" w:cs="Times New Roman"/>
        </w:rPr>
        <w:t xml:space="preserve">. </w:t>
      </w:r>
      <w:r>
        <w:rPr>
          <w:rFonts w:ascii="Times New Roman" w:hAnsi="Times New Roman" w:cs="Times New Roman"/>
        </w:rPr>
        <w:t xml:space="preserve"> </w:t>
      </w:r>
      <w:r w:rsidR="00E75EB6">
        <w:rPr>
          <w:rFonts w:ascii="Times New Roman" w:hAnsi="Times New Roman" w:cs="Times New Roman"/>
        </w:rPr>
        <w:t>C</w:t>
      </w:r>
      <w:r w:rsidRPr="00F6554F">
        <w:rPr>
          <w:rFonts w:ascii="Times New Roman" w:hAnsi="Times New Roman" w:cs="Times New Roman"/>
        </w:rPr>
        <w:t xml:space="preserve">onfirmatory factory analyses </w:t>
      </w:r>
      <w:r w:rsidR="00AC606F">
        <w:rPr>
          <w:rFonts w:ascii="Times New Roman" w:hAnsi="Times New Roman" w:cs="Times New Roman"/>
        </w:rPr>
        <w:t xml:space="preserve">were used to assess </w:t>
      </w:r>
      <w:r w:rsidRPr="00F6554F">
        <w:rPr>
          <w:rFonts w:ascii="Times New Roman" w:hAnsi="Times New Roman" w:cs="Times New Roman"/>
        </w:rPr>
        <w:t xml:space="preserve">whether the </w:t>
      </w:r>
      <w:r w:rsidR="005D35CF">
        <w:rPr>
          <w:rFonts w:ascii="Times New Roman" w:hAnsi="Times New Roman" w:cs="Times New Roman"/>
        </w:rPr>
        <w:t>THI and TFI</w:t>
      </w:r>
      <w:r w:rsidRPr="00F6554F">
        <w:rPr>
          <w:rFonts w:ascii="Times New Roman" w:hAnsi="Times New Roman" w:cs="Times New Roman"/>
        </w:rPr>
        <w:t xml:space="preserve"> measure similar constructs, as well as how well those constructs are measured</w:t>
      </w:r>
      <w:r w:rsidR="00E75EB6">
        <w:rPr>
          <w:rFonts w:ascii="Times New Roman" w:hAnsi="Times New Roman" w:cs="Times New Roman"/>
        </w:rPr>
        <w:t>.</w:t>
      </w:r>
      <w:r>
        <w:rPr>
          <w:rFonts w:ascii="Times New Roman" w:hAnsi="Times New Roman" w:cs="Times New Roman"/>
        </w:rPr>
        <w:t xml:space="preserve"> We further assessed whether a subset of items from both scales can be used to estimate tinnitus</w:t>
      </w:r>
      <w:r w:rsidR="00AC606F">
        <w:rPr>
          <w:rFonts w:ascii="Times New Roman" w:hAnsi="Times New Roman" w:cs="Times New Roman"/>
        </w:rPr>
        <w:t>-related distress both at baseline and over the course of treatment.</w:t>
      </w:r>
    </w:p>
    <w:p w14:paraId="0BAC2BE5" w14:textId="46C0F0F4" w:rsidR="00BC692A" w:rsidRDefault="00BC692A" w:rsidP="00BC692A">
      <w:pPr>
        <w:ind w:firstLine="720"/>
        <w:rPr>
          <w:rFonts w:ascii="Times New Roman" w:hAnsi="Times New Roman" w:cs="Times New Roman"/>
        </w:rPr>
      </w:pPr>
      <w:r>
        <w:rPr>
          <w:rFonts w:ascii="Times New Roman" w:hAnsi="Times New Roman" w:cs="Times New Roman"/>
        </w:rPr>
        <w:t>Results indicated that a joint bifactor model of the full TFI and THI achieved poor</w:t>
      </w:r>
      <w:r w:rsidR="005D35CF">
        <w:rPr>
          <w:rFonts w:ascii="Times New Roman" w:hAnsi="Times New Roman" w:cs="Times New Roman"/>
        </w:rPr>
        <w:t xml:space="preserve"> fit</w:t>
      </w:r>
      <w:r w:rsidR="00AC606F">
        <w:rPr>
          <w:rFonts w:ascii="Times New Roman" w:hAnsi="Times New Roman" w:cs="Times New Roman"/>
        </w:rPr>
        <w:t>, suggesting that the THI and TFI do not measure precisely the same construct</w:t>
      </w:r>
      <w:r w:rsidR="005D35CF">
        <w:rPr>
          <w:rFonts w:ascii="Times New Roman" w:hAnsi="Times New Roman" w:cs="Times New Roman"/>
        </w:rPr>
        <w:t>.</w:t>
      </w:r>
      <w:r w:rsidR="00AC606F">
        <w:rPr>
          <w:rFonts w:ascii="Times New Roman" w:hAnsi="Times New Roman" w:cs="Times New Roman"/>
        </w:rPr>
        <w:t xml:space="preserve"> We then generat</w:t>
      </w:r>
      <w:r w:rsidR="001F3739">
        <w:rPr>
          <w:rFonts w:ascii="Times New Roman" w:hAnsi="Times New Roman" w:cs="Times New Roman"/>
        </w:rPr>
        <w:t>ed</w:t>
      </w:r>
      <w:r w:rsidR="00AC606F">
        <w:rPr>
          <w:rFonts w:ascii="Times New Roman" w:hAnsi="Times New Roman" w:cs="Times New Roman"/>
        </w:rPr>
        <w:t xml:space="preserve"> a 10-item short form combining five items from each measure. The resulting </w:t>
      </w:r>
      <w:r>
        <w:rPr>
          <w:rFonts w:ascii="Times New Roman" w:hAnsi="Times New Roman" w:cs="Times New Roman"/>
        </w:rPr>
        <w:t>bifactor model fit well (</w:t>
      </w:r>
      <w:r w:rsidR="005D35CF">
        <w:rPr>
          <w:rFonts w:ascii="Times New Roman" w:hAnsi="Times New Roman" w:cs="Times New Roman"/>
        </w:rPr>
        <w:t>Comparative Fit Index = .96</w:t>
      </w:r>
      <w:r>
        <w:rPr>
          <w:rFonts w:ascii="Times New Roman" w:hAnsi="Times New Roman" w:cs="Times New Roman"/>
        </w:rPr>
        <w:t>, T</w:t>
      </w:r>
      <w:r w:rsidR="005D35CF">
        <w:rPr>
          <w:rFonts w:ascii="Times New Roman" w:hAnsi="Times New Roman" w:cs="Times New Roman"/>
        </w:rPr>
        <w:t>ucker Lewis Index = .94</w:t>
      </w:r>
      <w:r>
        <w:rPr>
          <w:rFonts w:ascii="Times New Roman" w:hAnsi="Times New Roman" w:cs="Times New Roman"/>
        </w:rPr>
        <w:t xml:space="preserve">, </w:t>
      </w:r>
      <w:r w:rsidR="005D35CF">
        <w:rPr>
          <w:rFonts w:ascii="Times New Roman" w:hAnsi="Times New Roman" w:cs="Times New Roman"/>
        </w:rPr>
        <w:t>Root Mean Square Error of Approximation = .07</w:t>
      </w:r>
      <w:r>
        <w:rPr>
          <w:rFonts w:ascii="Times New Roman" w:hAnsi="Times New Roman" w:cs="Times New Roman"/>
        </w:rPr>
        <w:t>). The short form correlated highly with observed scores on the</w:t>
      </w:r>
      <w:r w:rsidR="0028298B">
        <w:rPr>
          <w:rFonts w:ascii="Times New Roman" w:hAnsi="Times New Roman" w:cs="Times New Roman"/>
        </w:rPr>
        <w:t xml:space="preserve"> TFI</w:t>
      </w:r>
      <w:r w:rsidR="005D35CF">
        <w:rPr>
          <w:rFonts w:ascii="Times New Roman" w:hAnsi="Times New Roman" w:cs="Times New Roman"/>
        </w:rPr>
        <w:t xml:space="preserve"> and</w:t>
      </w:r>
      <w:r w:rsidR="0028298B">
        <w:rPr>
          <w:rFonts w:ascii="Times New Roman" w:hAnsi="Times New Roman" w:cs="Times New Roman"/>
        </w:rPr>
        <w:t xml:space="preserve"> </w:t>
      </w:r>
      <w:r>
        <w:rPr>
          <w:rFonts w:ascii="Times New Roman" w:hAnsi="Times New Roman" w:cs="Times New Roman"/>
        </w:rPr>
        <w:t>THI (</w:t>
      </w:r>
      <w:proofErr w:type="spellStart"/>
      <w:r w:rsidRPr="00BC692A">
        <w:rPr>
          <w:rFonts w:ascii="Times New Roman" w:hAnsi="Times New Roman" w:cs="Times New Roman"/>
          <w:i/>
        </w:rPr>
        <w:t>r</w:t>
      </w:r>
      <w:r w:rsidR="0028298B">
        <w:rPr>
          <w:rFonts w:ascii="Times New Roman" w:hAnsi="Times New Roman" w:cs="Times New Roman"/>
        </w:rPr>
        <w:t>s</w:t>
      </w:r>
      <w:proofErr w:type="spellEnd"/>
      <w:r w:rsidR="0028298B">
        <w:rPr>
          <w:rFonts w:ascii="Times New Roman" w:hAnsi="Times New Roman" w:cs="Times New Roman"/>
        </w:rPr>
        <w:t xml:space="preserve"> = .80-.91</w:t>
      </w:r>
      <w:r>
        <w:rPr>
          <w:rFonts w:ascii="Times New Roman" w:hAnsi="Times New Roman" w:cs="Times New Roman"/>
        </w:rPr>
        <w:t xml:space="preserve">). </w:t>
      </w:r>
      <w:r w:rsidR="0028298B">
        <w:rPr>
          <w:rFonts w:ascii="Times New Roman" w:hAnsi="Times New Roman" w:cs="Times New Roman"/>
        </w:rPr>
        <w:t>Notably, the short form did not pass tests of measurement invariance, suggesting differences in responding across USA and UK samples. In the UK sample (</w:t>
      </w:r>
      <w:r w:rsidR="0028298B" w:rsidRPr="00FE616C">
        <w:rPr>
          <w:rFonts w:ascii="Times New Roman" w:hAnsi="Times New Roman" w:cs="Times New Roman"/>
          <w:i/>
        </w:rPr>
        <w:t>n</w:t>
      </w:r>
      <w:r w:rsidR="0028298B">
        <w:rPr>
          <w:rFonts w:ascii="Times New Roman" w:hAnsi="Times New Roman" w:cs="Times New Roman"/>
        </w:rPr>
        <w:t xml:space="preserve"> = 271), c</w:t>
      </w:r>
      <w:r>
        <w:rPr>
          <w:rFonts w:ascii="Times New Roman" w:hAnsi="Times New Roman" w:cs="Times New Roman"/>
        </w:rPr>
        <w:t xml:space="preserve">hange in the combined </w:t>
      </w:r>
      <w:proofErr w:type="gramStart"/>
      <w:r>
        <w:rPr>
          <w:rFonts w:ascii="Times New Roman" w:hAnsi="Times New Roman" w:cs="Times New Roman"/>
        </w:rPr>
        <w:t>short-form</w:t>
      </w:r>
      <w:proofErr w:type="gramEnd"/>
      <w:r w:rsidR="003257A4">
        <w:rPr>
          <w:rFonts w:ascii="Times New Roman" w:hAnsi="Times New Roman" w:cs="Times New Roman"/>
        </w:rPr>
        <w:t xml:space="preserve"> with treatment</w:t>
      </w:r>
      <w:r>
        <w:rPr>
          <w:rFonts w:ascii="Times New Roman" w:hAnsi="Times New Roman" w:cs="Times New Roman"/>
        </w:rPr>
        <w:t xml:space="preserve"> correlated highly with change in TFI (</w:t>
      </w:r>
      <w:r w:rsidRPr="0048166A">
        <w:rPr>
          <w:rFonts w:ascii="Times New Roman" w:hAnsi="Times New Roman" w:cs="Times New Roman"/>
          <w:i/>
        </w:rPr>
        <w:t>r</w:t>
      </w:r>
      <w:r>
        <w:rPr>
          <w:rFonts w:ascii="Times New Roman" w:hAnsi="Times New Roman" w:cs="Times New Roman"/>
        </w:rPr>
        <w:t xml:space="preserve"> = .84</w:t>
      </w:r>
      <w:r w:rsidRPr="00B2630A">
        <w:rPr>
          <w:rFonts w:ascii="Times New Roman" w:hAnsi="Times New Roman" w:cs="Times New Roman"/>
        </w:rPr>
        <w:t>)</w:t>
      </w:r>
      <w:r w:rsidR="005D35CF">
        <w:rPr>
          <w:rFonts w:ascii="Times New Roman" w:hAnsi="Times New Roman" w:cs="Times New Roman"/>
        </w:rPr>
        <w:t xml:space="preserve"> and</w:t>
      </w:r>
      <w:r w:rsidRPr="00B2630A">
        <w:rPr>
          <w:rFonts w:ascii="Times New Roman" w:hAnsi="Times New Roman" w:cs="Times New Roman"/>
        </w:rPr>
        <w:t xml:space="preserve"> </w:t>
      </w:r>
      <w:r w:rsidRPr="00D1742D">
        <w:rPr>
          <w:rFonts w:ascii="Times New Roman" w:hAnsi="Times New Roman" w:cs="Times New Roman"/>
        </w:rPr>
        <w:t>THI (</w:t>
      </w:r>
      <w:r w:rsidRPr="00D1742D">
        <w:rPr>
          <w:rFonts w:ascii="Times New Roman" w:hAnsi="Times New Roman" w:cs="Times New Roman"/>
          <w:i/>
        </w:rPr>
        <w:t>r</w:t>
      </w:r>
      <w:r w:rsidRPr="00D1742D">
        <w:rPr>
          <w:rFonts w:ascii="Times New Roman" w:hAnsi="Times New Roman" w:cs="Times New Roman"/>
        </w:rPr>
        <w:t xml:space="preserve"> = .</w:t>
      </w:r>
      <w:r>
        <w:rPr>
          <w:rFonts w:ascii="Times New Roman" w:hAnsi="Times New Roman" w:cs="Times New Roman"/>
        </w:rPr>
        <w:t xml:space="preserve">76). </w:t>
      </w:r>
      <w:r w:rsidR="0028298B">
        <w:rPr>
          <w:rFonts w:ascii="Times New Roman" w:hAnsi="Times New Roman" w:cs="Times New Roman"/>
        </w:rPr>
        <w:t>R</w:t>
      </w:r>
      <w:r>
        <w:rPr>
          <w:rFonts w:ascii="Times New Roman" w:hAnsi="Times New Roman" w:cs="Times New Roman"/>
        </w:rPr>
        <w:t xml:space="preserve">egression analyses suggested that change in the combined </w:t>
      </w:r>
      <w:proofErr w:type="gramStart"/>
      <w:r>
        <w:rPr>
          <w:rFonts w:ascii="Times New Roman" w:hAnsi="Times New Roman" w:cs="Times New Roman"/>
        </w:rPr>
        <w:t>short-form</w:t>
      </w:r>
      <w:proofErr w:type="gramEnd"/>
      <w:r>
        <w:rPr>
          <w:rFonts w:ascii="Times New Roman" w:hAnsi="Times New Roman" w:cs="Times New Roman"/>
        </w:rPr>
        <w:t xml:space="preserve"> accounted for unique variance in THI and TFI change over and above </w:t>
      </w:r>
      <w:r w:rsidR="005D35CF">
        <w:rPr>
          <w:rFonts w:ascii="Times New Roman" w:hAnsi="Times New Roman" w:cs="Times New Roman"/>
        </w:rPr>
        <w:t>a competing short form of the THI.</w:t>
      </w:r>
    </w:p>
    <w:p w14:paraId="671CB619" w14:textId="47413187" w:rsidR="0028298B" w:rsidRPr="00BC692A" w:rsidRDefault="0028298B" w:rsidP="00BC692A">
      <w:pPr>
        <w:ind w:firstLine="720"/>
        <w:rPr>
          <w:rFonts w:ascii="Times New Roman" w:hAnsi="Times New Roman" w:cs="Times New Roman"/>
        </w:rPr>
      </w:pPr>
      <w:r>
        <w:rPr>
          <w:rFonts w:ascii="Times New Roman" w:hAnsi="Times New Roman" w:cs="Times New Roman"/>
        </w:rPr>
        <w:t>Our results suggest that the THI and TFI do not measure precisely the same construct, as evidenced by poor fit of a unified bifactor model (and, indeed, any joint model we attempted to fit</w:t>
      </w:r>
      <w:r w:rsidR="003257A4">
        <w:rPr>
          <w:rFonts w:ascii="Times New Roman" w:hAnsi="Times New Roman" w:cs="Times New Roman"/>
        </w:rPr>
        <w:t xml:space="preserve"> using all items</w:t>
      </w:r>
      <w:r>
        <w:rPr>
          <w:rFonts w:ascii="Times New Roman" w:hAnsi="Times New Roman" w:cs="Times New Roman"/>
        </w:rPr>
        <w:t xml:space="preserve">). We thus generated a 10-item short form of the combined TFI and THI that achieved good fit and appears sensitive to treatment change. The short form developed here warrants further study </w:t>
      </w:r>
      <w:r w:rsidR="00E75EB6">
        <w:rPr>
          <w:rFonts w:ascii="Times New Roman" w:hAnsi="Times New Roman" w:cs="Times New Roman"/>
        </w:rPr>
        <w:t xml:space="preserve">across cultures and treatment settings </w:t>
      </w:r>
      <w:r>
        <w:rPr>
          <w:rFonts w:ascii="Times New Roman" w:hAnsi="Times New Roman" w:cs="Times New Roman"/>
        </w:rPr>
        <w:t>as a</w:t>
      </w:r>
      <w:r w:rsidR="00E75EB6">
        <w:rPr>
          <w:rFonts w:ascii="Times New Roman" w:hAnsi="Times New Roman" w:cs="Times New Roman"/>
        </w:rPr>
        <w:t xml:space="preserve"> short</w:t>
      </w:r>
      <w:r w:rsidR="00AC606F">
        <w:rPr>
          <w:rFonts w:ascii="Times New Roman" w:hAnsi="Times New Roman" w:cs="Times New Roman"/>
        </w:rPr>
        <w:t xml:space="preserve"> measure of tinnitus distress</w:t>
      </w:r>
      <w:r>
        <w:rPr>
          <w:rFonts w:ascii="Times New Roman" w:hAnsi="Times New Roman" w:cs="Times New Roman"/>
        </w:rPr>
        <w:t>.</w:t>
      </w:r>
    </w:p>
    <w:sectPr w:rsidR="0028298B" w:rsidRPr="00BC692A" w:rsidSect="002E11F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5D35F0"/>
    <w:multiLevelType w:val="multilevel"/>
    <w:tmpl w:val="D70C8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92A"/>
    <w:rsid w:val="001A6AC3"/>
    <w:rsid w:val="001F3739"/>
    <w:rsid w:val="0028298B"/>
    <w:rsid w:val="002E11F7"/>
    <w:rsid w:val="003257A4"/>
    <w:rsid w:val="00437412"/>
    <w:rsid w:val="005D35CF"/>
    <w:rsid w:val="006C4F08"/>
    <w:rsid w:val="006D25E1"/>
    <w:rsid w:val="00A1007C"/>
    <w:rsid w:val="00AC606F"/>
    <w:rsid w:val="00BC692A"/>
    <w:rsid w:val="00E75EB6"/>
    <w:rsid w:val="00E94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650E3D"/>
  <w14:defaultImageDpi w14:val="300"/>
  <w15:docId w15:val="{93876CC5-2803-416A-AFB7-EF0DC8A29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007C"/>
    <w:pPr>
      <w:keepNext/>
      <w:keepLines/>
      <w:spacing w:before="240"/>
      <w:jc w:val="center"/>
      <w:outlineLvl w:val="0"/>
    </w:pPr>
    <w:rPr>
      <w:rFonts w:ascii="Times New Roman" w:eastAsiaTheme="majorEastAsia" w:hAnsi="Times New Roman"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257A4"/>
    <w:rPr>
      <w:sz w:val="16"/>
      <w:szCs w:val="16"/>
    </w:rPr>
  </w:style>
  <w:style w:type="paragraph" w:styleId="CommentText">
    <w:name w:val="annotation text"/>
    <w:basedOn w:val="Normal"/>
    <w:link w:val="CommentTextChar"/>
    <w:uiPriority w:val="99"/>
    <w:semiHidden/>
    <w:unhideWhenUsed/>
    <w:rsid w:val="003257A4"/>
    <w:rPr>
      <w:sz w:val="20"/>
      <w:szCs w:val="20"/>
    </w:rPr>
  </w:style>
  <w:style w:type="character" w:customStyle="1" w:styleId="CommentTextChar">
    <w:name w:val="Comment Text Char"/>
    <w:basedOn w:val="DefaultParagraphFont"/>
    <w:link w:val="CommentText"/>
    <w:uiPriority w:val="99"/>
    <w:semiHidden/>
    <w:rsid w:val="003257A4"/>
    <w:rPr>
      <w:sz w:val="20"/>
      <w:szCs w:val="20"/>
    </w:rPr>
  </w:style>
  <w:style w:type="paragraph" w:styleId="CommentSubject">
    <w:name w:val="annotation subject"/>
    <w:basedOn w:val="CommentText"/>
    <w:next w:val="CommentText"/>
    <w:link w:val="CommentSubjectChar"/>
    <w:uiPriority w:val="99"/>
    <w:semiHidden/>
    <w:unhideWhenUsed/>
    <w:rsid w:val="003257A4"/>
    <w:rPr>
      <w:b/>
      <w:bCs/>
    </w:rPr>
  </w:style>
  <w:style w:type="character" w:customStyle="1" w:styleId="CommentSubjectChar">
    <w:name w:val="Comment Subject Char"/>
    <w:basedOn w:val="CommentTextChar"/>
    <w:link w:val="CommentSubject"/>
    <w:uiPriority w:val="99"/>
    <w:semiHidden/>
    <w:rsid w:val="003257A4"/>
    <w:rPr>
      <w:b/>
      <w:bCs/>
      <w:sz w:val="20"/>
      <w:szCs w:val="20"/>
    </w:rPr>
  </w:style>
  <w:style w:type="paragraph" w:styleId="BalloonText">
    <w:name w:val="Balloon Text"/>
    <w:basedOn w:val="Normal"/>
    <w:link w:val="BalloonTextChar"/>
    <w:uiPriority w:val="99"/>
    <w:semiHidden/>
    <w:unhideWhenUsed/>
    <w:rsid w:val="003257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7A4"/>
    <w:rPr>
      <w:rFonts w:ascii="Segoe UI" w:hAnsi="Segoe UI" w:cs="Segoe UI"/>
      <w:sz w:val="18"/>
      <w:szCs w:val="18"/>
    </w:rPr>
  </w:style>
  <w:style w:type="character" w:customStyle="1" w:styleId="Heading1Char">
    <w:name w:val="Heading 1 Char"/>
    <w:basedOn w:val="DefaultParagraphFont"/>
    <w:link w:val="Heading1"/>
    <w:uiPriority w:val="9"/>
    <w:rsid w:val="00A1007C"/>
    <w:rPr>
      <w:rFonts w:ascii="Times New Roman" w:eastAsiaTheme="majorEastAsia" w:hAnsi="Times New Roman" w:cstheme="majorBidi"/>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2219237">
      <w:bodyDiv w:val="1"/>
      <w:marLeft w:val="0"/>
      <w:marRight w:val="0"/>
      <w:marTop w:val="0"/>
      <w:marBottom w:val="0"/>
      <w:divBdr>
        <w:top w:val="none" w:sz="0" w:space="0" w:color="auto"/>
        <w:left w:val="none" w:sz="0" w:space="0" w:color="auto"/>
        <w:bottom w:val="none" w:sz="0" w:space="0" w:color="auto"/>
        <w:right w:val="none" w:sz="0" w:space="0" w:color="auto"/>
      </w:divBdr>
    </w:div>
    <w:div w:id="20809763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1398</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Frumkin</dc:creator>
  <cp:keywords/>
  <dc:description/>
  <cp:lastModifiedBy>Blanshard, Lisa</cp:lastModifiedBy>
  <cp:revision>3</cp:revision>
  <dcterms:created xsi:type="dcterms:W3CDTF">2020-03-18T18:28:00Z</dcterms:created>
  <dcterms:modified xsi:type="dcterms:W3CDTF">2020-10-21T14:40:00Z</dcterms:modified>
</cp:coreProperties>
</file>