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dTable4-Accent3"/>
        <w:tblW w:w="5091" w:type="pct"/>
        <w:tblLook w:val="04A0" w:firstRow="1" w:lastRow="0" w:firstColumn="1" w:lastColumn="0" w:noHBand="0" w:noVBand="1"/>
      </w:tblPr>
      <w:tblGrid>
        <w:gridCol w:w="2911"/>
        <w:gridCol w:w="2695"/>
        <w:gridCol w:w="2692"/>
        <w:gridCol w:w="2052"/>
        <w:gridCol w:w="2239"/>
        <w:gridCol w:w="2236"/>
      </w:tblGrid>
      <w:tr w:rsidR="000E147C" w:rsidRPr="00B849F0" w14:paraId="1E811637" w14:textId="0D92B639" w:rsidTr="000E14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hideMark/>
          </w:tcPr>
          <w:p w14:paraId="17CE4F8A" w14:textId="0F657BCE" w:rsidR="00497845" w:rsidRPr="000E147C" w:rsidRDefault="00497845" w:rsidP="00497845">
            <w:pPr>
              <w:rPr>
                <w:rFonts w:ascii="Arial Narrow" w:eastAsia="Times New Roman" w:hAnsi="Arial Narrow"/>
                <w:b w:val="0"/>
                <w:bCs w:val="0"/>
                <w:color w:val="auto"/>
                <w:sz w:val="18"/>
                <w:szCs w:val="18"/>
                <w:lang w:val="en-GB"/>
              </w:rPr>
            </w:pPr>
            <w:proofErr w:type="gramStart"/>
            <w:r w:rsidRPr="000E147C">
              <w:rPr>
                <w:rFonts w:ascii="Arial Narrow" w:eastAsia="Times New Roman" w:hAnsi="Arial Narrow"/>
                <w:color w:val="auto"/>
                <w:sz w:val="18"/>
                <w:szCs w:val="18"/>
                <w:lang w:val="en-GB"/>
              </w:rPr>
              <w:t>A</w:t>
            </w:r>
            <w:proofErr w:type="gramEnd"/>
            <w:r w:rsidRPr="000E147C">
              <w:rPr>
                <w:rFonts w:ascii="Arial Narrow" w:eastAsia="Times New Roman" w:hAnsi="Arial Narrow"/>
                <w:color w:val="auto"/>
                <w:sz w:val="18"/>
                <w:szCs w:val="18"/>
                <w:lang w:val="en-GB"/>
              </w:rPr>
              <w:t xml:space="preserve"> Economic structure </w:t>
            </w:r>
          </w:p>
        </w:tc>
        <w:tc>
          <w:tcPr>
            <w:tcW w:w="909" w:type="pct"/>
          </w:tcPr>
          <w:p w14:paraId="60CE1595" w14:textId="4FD5A75B" w:rsidR="00497845" w:rsidRPr="000E147C" w:rsidRDefault="00497845" w:rsidP="00497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color w:val="auto"/>
                <w:sz w:val="17"/>
                <w:szCs w:val="17"/>
                <w:lang w:val="en-GB"/>
              </w:rPr>
              <w:t>B Technology treatment</w:t>
            </w:r>
          </w:p>
        </w:tc>
        <w:tc>
          <w:tcPr>
            <w:tcW w:w="908" w:type="pct"/>
            <w:hideMark/>
          </w:tcPr>
          <w:p w14:paraId="5D1ED4A9" w14:textId="58CCA1B0" w:rsidR="00497845" w:rsidRPr="000E147C" w:rsidRDefault="00497845" w:rsidP="00497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color w:val="auto"/>
                <w:sz w:val="17"/>
                <w:szCs w:val="17"/>
                <w:lang w:val="en-GB"/>
              </w:rPr>
              <w:t xml:space="preserve">C </w:t>
            </w:r>
            <w:r w:rsidRPr="000E147C">
              <w:rPr>
                <w:rFonts w:ascii="Arial Narrow" w:hAnsi="Arial Narrow"/>
                <w:color w:val="auto"/>
                <w:sz w:val="17"/>
                <w:szCs w:val="17"/>
                <w:bdr w:val="nil"/>
                <w:lang w:val="en-GB"/>
              </w:rPr>
              <w:t>Treatment of agents’ behaviour and time</w:t>
            </w:r>
          </w:p>
        </w:tc>
        <w:tc>
          <w:tcPr>
            <w:tcW w:w="692" w:type="pct"/>
            <w:hideMark/>
          </w:tcPr>
          <w:p w14:paraId="02D147F1" w14:textId="033C6EA7" w:rsidR="00497845" w:rsidRPr="000E147C" w:rsidRDefault="00497845" w:rsidP="00497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color w:val="auto"/>
                <w:sz w:val="17"/>
                <w:szCs w:val="17"/>
                <w:lang w:val="en-GB"/>
              </w:rPr>
              <w:t xml:space="preserve">D </w:t>
            </w:r>
            <w:r w:rsidRPr="000E147C">
              <w:rPr>
                <w:rFonts w:ascii="Arial Narrow" w:hAnsi="Arial Narrow"/>
                <w:color w:val="auto"/>
                <w:sz w:val="17"/>
                <w:szCs w:val="17"/>
                <w:bdr w:val="nil"/>
                <w:lang w:val="en-GB"/>
              </w:rPr>
              <w:t>Appearance of government and central bank</w:t>
            </w:r>
          </w:p>
        </w:tc>
        <w:tc>
          <w:tcPr>
            <w:tcW w:w="755" w:type="pct"/>
            <w:hideMark/>
          </w:tcPr>
          <w:p w14:paraId="6A88D5DB" w14:textId="2C50E86C" w:rsidR="00497845" w:rsidRPr="000E147C" w:rsidRDefault="00497845" w:rsidP="00497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color w:val="auto"/>
                <w:sz w:val="17"/>
                <w:szCs w:val="17"/>
                <w:lang w:val="en-GB"/>
              </w:rPr>
              <w:t>F Energy supply sector</w:t>
            </w:r>
          </w:p>
        </w:tc>
        <w:tc>
          <w:tcPr>
            <w:tcW w:w="755" w:type="pct"/>
          </w:tcPr>
          <w:p w14:paraId="506562B3" w14:textId="27231954" w:rsidR="00497845" w:rsidRPr="000E147C" w:rsidRDefault="00497845" w:rsidP="0049784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color w:val="auto"/>
                <w:sz w:val="17"/>
                <w:szCs w:val="17"/>
                <w:lang w:val="en-GB"/>
              </w:rPr>
              <w:t xml:space="preserve">E </w:t>
            </w:r>
            <w:r w:rsidRPr="000E147C">
              <w:rPr>
                <w:rFonts w:ascii="Arial Narrow" w:hAnsi="Arial Narrow"/>
                <w:color w:val="auto"/>
                <w:sz w:val="17"/>
                <w:szCs w:val="17"/>
                <w:bdr w:val="nil"/>
                <w:lang w:val="en-GB"/>
              </w:rPr>
              <w:t>Integration of the environment</w:t>
            </w:r>
          </w:p>
        </w:tc>
      </w:tr>
      <w:tr w:rsidR="000E147C" w:rsidRPr="00B849F0" w14:paraId="19F11BCE" w14:textId="5C885D7E" w:rsidTr="000E14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2" w:type="pct"/>
            <w:hideMark/>
          </w:tcPr>
          <w:p w14:paraId="593E05C9" w14:textId="77777777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 xml:space="preserve">(1) Role of and structure of the market </w:t>
            </w:r>
          </w:p>
          <w:p w14:paraId="3B70C6A3" w14:textId="77777777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(2) Production function</w:t>
            </w:r>
          </w:p>
          <w:p w14:paraId="70813427" w14:textId="77777777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(3) Supply or demand-led?</w:t>
            </w:r>
          </w:p>
          <w:p w14:paraId="27BAAD50" w14:textId="77777777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(4) Pricing</w:t>
            </w:r>
          </w:p>
          <w:p w14:paraId="3F979454" w14:textId="77777777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 xml:space="preserve">(5) Investment </w:t>
            </w:r>
          </w:p>
          <w:p w14:paraId="3522322F" w14:textId="7F28ADD7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 xml:space="preserve">(6) Unemployment and representation of skills </w:t>
            </w:r>
          </w:p>
          <w:p w14:paraId="7BEBFC7A" w14:textId="77777777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(7) Employment/labour supply</w:t>
            </w:r>
          </w:p>
          <w:p w14:paraId="2741D87F" w14:textId="758874E4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(8) Wage rate</w:t>
            </w:r>
          </w:p>
          <w:p w14:paraId="241B4380" w14:textId="3700E655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(9) Household consumption</w:t>
            </w:r>
          </w:p>
          <w:p w14:paraId="44F9444A" w14:textId="77777777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 xml:space="preserve">(10) Income distribution </w:t>
            </w:r>
          </w:p>
          <w:p w14:paraId="29BDACF7" w14:textId="6E158633" w:rsidR="00497845" w:rsidRPr="000E147C" w:rsidRDefault="00497845" w:rsidP="00497845">
            <w:pPr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 xml:space="preserve">(11) Finance and money supply </w:t>
            </w:r>
          </w:p>
          <w:p w14:paraId="6CA150A7" w14:textId="3546EC74" w:rsidR="00497845" w:rsidRPr="000E147C" w:rsidRDefault="00497845" w:rsidP="00497845">
            <w:pPr>
              <w:rPr>
                <w:rFonts w:ascii="Arial Narrow" w:eastAsia="Times New Roman" w:hAnsi="Arial Narrow"/>
                <w:b w:val="0"/>
                <w:bCs w:val="0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(12) Interest rates (central bank policy rate &amp; avg. interest rates)</w:t>
            </w:r>
          </w:p>
        </w:tc>
        <w:tc>
          <w:tcPr>
            <w:tcW w:w="909" w:type="pct"/>
          </w:tcPr>
          <w:p w14:paraId="039FF71B" w14:textId="58C24321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(1) Productivity</w:t>
            </w:r>
          </w:p>
          <w:p w14:paraId="2AD77198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</w:p>
          <w:p w14:paraId="262DA332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/>
                <w:bCs/>
                <w:sz w:val="17"/>
                <w:szCs w:val="17"/>
                <w:lang w:val="en-GB"/>
              </w:rPr>
            </w:pPr>
          </w:p>
        </w:tc>
        <w:tc>
          <w:tcPr>
            <w:tcW w:w="908" w:type="pct"/>
            <w:hideMark/>
          </w:tcPr>
          <w:p w14:paraId="53AB759C" w14:textId="66FA9021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bCs/>
                <w:sz w:val="17"/>
                <w:szCs w:val="17"/>
                <w:lang w:val="en-GB"/>
              </w:rPr>
              <w:t xml:space="preserve">(1) Models’ ontology  </w:t>
            </w:r>
          </w:p>
          <w:p w14:paraId="73CBB570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bCs/>
                <w:sz w:val="17"/>
                <w:szCs w:val="17"/>
                <w:lang w:val="en-GB"/>
              </w:rPr>
              <w:t>(2) Representation of behavioural equations</w:t>
            </w:r>
          </w:p>
          <w:p w14:paraId="68FC8CBC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bCs/>
                <w:sz w:val="17"/>
                <w:szCs w:val="17"/>
                <w:lang w:val="en-GB"/>
              </w:rPr>
              <w:t>(3) Treatment of heterogeneity of agents and interactions between them</w:t>
            </w:r>
          </w:p>
          <w:p w14:paraId="3BAFFCA9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(4) Treatment of time</w:t>
            </w:r>
          </w:p>
          <w:p w14:paraId="5CBF3775" w14:textId="3BFF7EAD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/>
                <w:sz w:val="17"/>
                <w:szCs w:val="17"/>
                <w:lang w:val="en-GB"/>
              </w:rPr>
            </w:pPr>
          </w:p>
          <w:p w14:paraId="2EBF6151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</w:p>
        </w:tc>
        <w:tc>
          <w:tcPr>
            <w:tcW w:w="692" w:type="pct"/>
            <w:hideMark/>
          </w:tcPr>
          <w:p w14:paraId="7F0523C8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(1) Role of the government</w:t>
            </w:r>
          </w:p>
          <w:p w14:paraId="033ABB2D" w14:textId="5E34AA24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 xml:space="preserve">(2) Role of central bank </w:t>
            </w:r>
          </w:p>
        </w:tc>
        <w:tc>
          <w:tcPr>
            <w:tcW w:w="755" w:type="pct"/>
            <w:hideMark/>
          </w:tcPr>
          <w:p w14:paraId="509AC460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(1) General information</w:t>
            </w:r>
          </w:p>
          <w:p w14:paraId="5C6C6699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 xml:space="preserve">(2) How is the market-share of different energy-production technologies included? </w:t>
            </w:r>
          </w:p>
          <w:p w14:paraId="45A8DF9C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(3) Technical constraints</w:t>
            </w:r>
          </w:p>
          <w:p w14:paraId="7A975051" w14:textId="77777777" w:rsidR="00497845" w:rsidRPr="000E147C" w:rsidRDefault="00497845" w:rsidP="00497845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 xml:space="preserve"> </w:t>
            </w:r>
          </w:p>
        </w:tc>
        <w:tc>
          <w:tcPr>
            <w:tcW w:w="755" w:type="pct"/>
          </w:tcPr>
          <w:p w14:paraId="0F1E35B6" w14:textId="77777777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(1) Simulation of greenhouse gases</w:t>
            </w:r>
          </w:p>
          <w:p w14:paraId="76779D43" w14:textId="14FF49A8" w:rsidR="00497845" w:rsidRPr="000E147C" w:rsidRDefault="00497845" w:rsidP="004978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7"/>
                <w:szCs w:val="17"/>
                <w:lang w:val="en-GB"/>
              </w:rPr>
            </w:pPr>
            <w:r w:rsidRPr="000E147C">
              <w:rPr>
                <w:rFonts w:ascii="Arial Narrow" w:eastAsia="Times New Roman" w:hAnsi="Arial Narrow"/>
                <w:sz w:val="17"/>
                <w:szCs w:val="17"/>
                <w:lang w:val="en-GB"/>
              </w:rPr>
              <w:t>(2) Other relevant information</w:t>
            </w:r>
          </w:p>
        </w:tc>
      </w:tr>
    </w:tbl>
    <w:p w14:paraId="51C4625C" w14:textId="44437B94" w:rsidR="00822704" w:rsidRPr="00BC1B75" w:rsidRDefault="00822704" w:rsidP="00822704">
      <w:pPr>
        <w:pStyle w:val="Caption"/>
        <w:rPr>
          <w:color w:val="auto"/>
          <w:lang w:val="en-US"/>
        </w:rPr>
      </w:pPr>
      <w:r w:rsidRPr="00BC1B75">
        <w:rPr>
          <w:color w:val="auto"/>
          <w:lang w:val="en-US"/>
        </w:rPr>
        <w:t>Table</w:t>
      </w:r>
      <w:r w:rsidR="00F17E05">
        <w:rPr>
          <w:color w:val="auto"/>
          <w:lang w:val="en-US"/>
        </w:rPr>
        <w:t xml:space="preserve"> </w:t>
      </w:r>
      <w:r w:rsidR="0059768C">
        <w:rPr>
          <w:color w:val="auto"/>
          <w:lang w:val="en-US"/>
        </w:rPr>
        <w:fldChar w:fldCharType="begin"/>
      </w:r>
      <w:r w:rsidR="0059768C">
        <w:rPr>
          <w:color w:val="auto"/>
          <w:lang w:val="en-US"/>
        </w:rPr>
        <w:instrText xml:space="preserve"> SEQ Table \* ARABIC \s 1 </w:instrText>
      </w:r>
      <w:r w:rsidR="0059768C">
        <w:rPr>
          <w:color w:val="auto"/>
          <w:lang w:val="en-US"/>
        </w:rPr>
        <w:fldChar w:fldCharType="separate"/>
      </w:r>
      <w:r w:rsidR="0059768C">
        <w:rPr>
          <w:noProof/>
          <w:color w:val="auto"/>
          <w:lang w:val="en-US"/>
        </w:rPr>
        <w:t>1</w:t>
      </w:r>
      <w:r w:rsidR="0059768C">
        <w:rPr>
          <w:color w:val="auto"/>
          <w:lang w:val="en-US"/>
        </w:rPr>
        <w:fldChar w:fldCharType="end"/>
      </w:r>
      <w:r w:rsidRPr="00BC1B75">
        <w:rPr>
          <w:color w:val="auto"/>
          <w:lang w:val="en-GB"/>
        </w:rPr>
        <w:t>:</w:t>
      </w:r>
      <w:r w:rsidRPr="00BC1B75">
        <w:rPr>
          <w:color w:val="auto"/>
          <w:lang w:val="en-US"/>
        </w:rPr>
        <w:t xml:space="preserve"> Overview on the evaluated model structures</w:t>
      </w:r>
    </w:p>
    <w:p w14:paraId="75FE49EC" w14:textId="77777777" w:rsidR="0055760E" w:rsidRPr="00BC1B75" w:rsidRDefault="0055760E" w:rsidP="0055760E">
      <w:pPr>
        <w:rPr>
          <w:lang w:val="en-US"/>
        </w:rPr>
      </w:pPr>
      <w:r w:rsidRPr="00BC1B75">
        <w:rPr>
          <w:lang w:val="en-US"/>
        </w:rPr>
        <w:br w:type="page"/>
      </w:r>
    </w:p>
    <w:tbl>
      <w:tblPr>
        <w:tblStyle w:val="GridTable5Dark-Accent3"/>
        <w:tblW w:w="5000" w:type="pct"/>
        <w:tblLook w:val="04A0" w:firstRow="1" w:lastRow="0" w:firstColumn="1" w:lastColumn="0" w:noHBand="0" w:noVBand="1"/>
      </w:tblPr>
      <w:tblGrid>
        <w:gridCol w:w="1369"/>
        <w:gridCol w:w="1447"/>
        <w:gridCol w:w="1890"/>
        <w:gridCol w:w="1075"/>
        <w:gridCol w:w="4918"/>
        <w:gridCol w:w="3861"/>
      </w:tblGrid>
      <w:tr w:rsidR="0017465C" w:rsidRPr="0017465C" w14:paraId="358AEC38" w14:textId="77777777" w:rsidTr="007D2A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  <w:noWrap/>
            <w:hideMark/>
          </w:tcPr>
          <w:p w14:paraId="3766CF28" w14:textId="77777777" w:rsidR="00822704" w:rsidRPr="0017465C" w:rsidRDefault="00822704" w:rsidP="00AD515D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  <w:lastRenderedPageBreak/>
              <w:t xml:space="preserve">Model </w:t>
            </w:r>
          </w:p>
        </w:tc>
        <w:tc>
          <w:tcPr>
            <w:tcW w:w="497" w:type="pct"/>
            <w:noWrap/>
            <w:hideMark/>
          </w:tcPr>
          <w:p w14:paraId="7E260513" w14:textId="77777777" w:rsidR="00822704" w:rsidRPr="0017465C" w:rsidRDefault="00822704" w:rsidP="00AD5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  <w:t>Type of model</w:t>
            </w:r>
          </w:p>
        </w:tc>
        <w:tc>
          <w:tcPr>
            <w:tcW w:w="649" w:type="pct"/>
            <w:hideMark/>
          </w:tcPr>
          <w:p w14:paraId="139D980D" w14:textId="77777777" w:rsidR="00822704" w:rsidRPr="0017465C" w:rsidRDefault="00822704" w:rsidP="00AD5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  <w:t>Geographical coverage</w:t>
            </w:r>
          </w:p>
        </w:tc>
        <w:tc>
          <w:tcPr>
            <w:tcW w:w="369" w:type="pct"/>
            <w:hideMark/>
          </w:tcPr>
          <w:p w14:paraId="1FDEDECD" w14:textId="77777777" w:rsidR="00822704" w:rsidRPr="0017465C" w:rsidRDefault="00822704" w:rsidP="00AD5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  <w:t>Time scale</w:t>
            </w:r>
          </w:p>
        </w:tc>
        <w:tc>
          <w:tcPr>
            <w:tcW w:w="1689" w:type="pct"/>
            <w:hideMark/>
          </w:tcPr>
          <w:p w14:paraId="44161B2A" w14:textId="77777777" w:rsidR="00822704" w:rsidRPr="0017465C" w:rsidRDefault="00822704" w:rsidP="00AD5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  <w:t>Purpose of the model</w:t>
            </w:r>
          </w:p>
        </w:tc>
        <w:tc>
          <w:tcPr>
            <w:tcW w:w="1326" w:type="pct"/>
          </w:tcPr>
          <w:p w14:paraId="1F1CF90B" w14:textId="77777777" w:rsidR="00822704" w:rsidRPr="0017465C" w:rsidRDefault="00822704" w:rsidP="00AD51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8"/>
                <w:szCs w:val="18"/>
              </w:rPr>
              <w:t>Information sources</w:t>
            </w:r>
          </w:p>
        </w:tc>
      </w:tr>
      <w:tr w:rsidR="0017465C" w:rsidRPr="00B849F0" w14:paraId="7607DCFA" w14:textId="77777777" w:rsidTr="007D2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  <w:hideMark/>
          </w:tcPr>
          <w:p w14:paraId="2D94F64A" w14:textId="5A1DDA37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  <w:t>E3ME</w:t>
            </w:r>
          </w:p>
        </w:tc>
        <w:tc>
          <w:tcPr>
            <w:tcW w:w="497" w:type="pct"/>
            <w:hideMark/>
          </w:tcPr>
          <w:p w14:paraId="46B93579" w14:textId="77777777" w:rsidR="0006150A" w:rsidRPr="0017465C" w:rsidRDefault="0006150A" w:rsidP="0006150A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Econometric (system) model</w:t>
            </w:r>
          </w:p>
          <w:p w14:paraId="4A452C76" w14:textId="77777777" w:rsidR="0006150A" w:rsidRPr="0017465C" w:rsidRDefault="0006150A" w:rsidP="0006150A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Large-scale</w:t>
            </w:r>
          </w:p>
          <w:p w14:paraId="5AC78BF9" w14:textId="77777777" w:rsidR="0006150A" w:rsidRPr="0017465C" w:rsidRDefault="0006150A" w:rsidP="0006150A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Empirical (Instrumental variable estimation</w:t>
            </w:r>
          </w:p>
        </w:tc>
        <w:tc>
          <w:tcPr>
            <w:tcW w:w="649" w:type="pct"/>
            <w:hideMark/>
          </w:tcPr>
          <w:p w14:paraId="3451B8E2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Global (multi-country-model)</w:t>
            </w:r>
          </w:p>
        </w:tc>
        <w:tc>
          <w:tcPr>
            <w:tcW w:w="369" w:type="pct"/>
            <w:hideMark/>
          </w:tcPr>
          <w:p w14:paraId="3E2E7F62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1995 to 2050</w:t>
            </w:r>
          </w:p>
        </w:tc>
        <w:tc>
          <w:tcPr>
            <w:tcW w:w="1689" w:type="pct"/>
            <w:hideMark/>
          </w:tcPr>
          <w:p w14:paraId="18D99ECE" w14:textId="6963CEAC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The model was designed to address conventional macroeconomic policy questions. However</w:t>
            </w:r>
            <w:proofErr w:type="gram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, in particular, it</w:t>
            </w:r>
            <w:proofErr w:type="gram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can be used to evaluate impacts of Energy-Environment- Economy (E3) policies (e.g. impacts of carbon prices). The model was designed for addressing both the short-term and medium-term economic effects as well as, more broadly, the long-term effects of such policies (e.g. </w:t>
            </w:r>
            <w:r w:rsidRPr="0017465C">
              <w:rPr>
                <w:rFonts w:ascii="Arial Narrow" w:hAnsi="Arial Narrow"/>
                <w:sz w:val="16"/>
                <w:szCs w:val="16"/>
                <w:lang w:val="en-GB"/>
              </w:rPr>
              <w:t>Cambridge Economics</w:t>
            </w:r>
            <w:r w:rsidR="0083462E" w:rsidRPr="0017465C">
              <w:rPr>
                <w:rFonts w:ascii="Arial Narrow" w:hAnsi="Arial Narrow"/>
                <w:sz w:val="16"/>
                <w:szCs w:val="16"/>
                <w:lang w:val="en-GB"/>
              </w:rPr>
              <w:t xml:space="preserve"> (CE)</w:t>
            </w: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, 2014). </w:t>
            </w:r>
          </w:p>
        </w:tc>
        <w:tc>
          <w:tcPr>
            <w:tcW w:w="1326" w:type="pct"/>
          </w:tcPr>
          <w:p w14:paraId="6FAE1442" w14:textId="06481DFF" w:rsidR="0006150A" w:rsidRPr="0017465C" w:rsidRDefault="0006150A" w:rsidP="0006150A">
            <w:pPr>
              <w:pStyle w:val="ListParagraph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Cambridge Economics </w:t>
            </w:r>
            <w:r w:rsidR="0083462E"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(CE) </w:t>
            </w: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(201</w:t>
            </w:r>
            <w:r w:rsidR="008953D2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9</w:t>
            </w: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); Barker et al. (2012; 2016); Pollitt &amp; Mercure (2018); Mercure (2012); Mercure et al. (2014)</w:t>
            </w:r>
            <w:r w:rsidRPr="0017465C">
              <w:rPr>
                <w:rFonts w:ascii="Arial Narrow" w:eastAsia="Times New Roman" w:hAnsi="Arial Narrow"/>
                <w:bCs/>
                <w:sz w:val="16"/>
                <w:szCs w:val="16"/>
              </w:rPr>
              <w:t>; Mercure &amp; Salas (2013)</w:t>
            </w:r>
          </w:p>
          <w:p w14:paraId="044C1680" w14:textId="77777777" w:rsidR="0006150A" w:rsidRPr="0017465C" w:rsidRDefault="0006150A" w:rsidP="0006150A">
            <w:pPr>
              <w:pStyle w:val="ListParagraph"/>
              <w:numPr>
                <w:ilvl w:val="0"/>
                <w:numId w:val="2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  <w:t xml:space="preserve">Interview with </w:t>
            </w:r>
            <w:r w:rsidRPr="0017465C">
              <w:rPr>
                <w:rFonts w:ascii="Arial Narrow" w:hAnsi="Arial Narrow"/>
                <w:sz w:val="16"/>
                <w:szCs w:val="16"/>
                <w:lang w:val="en-GB"/>
              </w:rPr>
              <w:t>Hector Pollitt and Jean-François Mercure on 19.06.2018</w:t>
            </w:r>
          </w:p>
        </w:tc>
      </w:tr>
      <w:tr w:rsidR="0017465C" w:rsidRPr="0017465C" w14:paraId="3DFE4851" w14:textId="77777777" w:rsidTr="007D2A85">
        <w:trPr>
          <w:trHeight w:val="3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</w:tcPr>
          <w:p w14:paraId="26B550AB" w14:textId="464966F7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US"/>
              </w:rPr>
              <w:t>PANTA RHEI/GINFORS</w:t>
            </w:r>
          </w:p>
        </w:tc>
        <w:tc>
          <w:tcPr>
            <w:tcW w:w="497" w:type="pct"/>
            <w:hideMark/>
          </w:tcPr>
          <w:p w14:paraId="14E46EB0" w14:textId="77777777" w:rsidR="0006150A" w:rsidRPr="0017465C" w:rsidRDefault="0006150A" w:rsidP="0006150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Econometric model</w:t>
            </w:r>
          </w:p>
          <w:p w14:paraId="1A77231E" w14:textId="77777777" w:rsidR="0006150A" w:rsidRPr="0017465C" w:rsidRDefault="0006150A" w:rsidP="0006150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Large-scale</w:t>
            </w:r>
          </w:p>
          <w:p w14:paraId="678AECD2" w14:textId="77777777" w:rsidR="0006150A" w:rsidRPr="0017465C" w:rsidRDefault="0006150A" w:rsidP="0006150A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Empirical (OLS-regression)</w:t>
            </w:r>
          </w:p>
        </w:tc>
        <w:tc>
          <w:tcPr>
            <w:tcW w:w="649" w:type="pct"/>
            <w:hideMark/>
          </w:tcPr>
          <w:p w14:paraId="57AC1399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National (can be connected to the global multi-country model </w:t>
            </w:r>
            <w:proofErr w:type="spell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Grinfors</w:t>
            </w:r>
            <w:proofErr w:type="spell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)</w:t>
            </w:r>
          </w:p>
        </w:tc>
        <w:tc>
          <w:tcPr>
            <w:tcW w:w="369" w:type="pct"/>
            <w:hideMark/>
          </w:tcPr>
          <w:p w14:paraId="7F78B037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to 2050</w:t>
            </w:r>
          </w:p>
        </w:tc>
        <w:tc>
          <w:tcPr>
            <w:tcW w:w="1689" w:type="pct"/>
            <w:hideMark/>
          </w:tcPr>
          <w:p w14:paraId="540D33CD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The main purpose of the model is to analyze questions in the environmental </w:t>
            </w:r>
            <w:proofErr w:type="gram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economics field</w:t>
            </w:r>
            <w:proofErr w:type="gram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. It models long-term structural change in economic development and in environmental-economic interdependencies. In addition, it also models energy consumption, air pollution, transport and land use and housing to a high level of detail. </w:t>
            </w:r>
          </w:p>
        </w:tc>
        <w:tc>
          <w:tcPr>
            <w:tcW w:w="1326" w:type="pct"/>
          </w:tcPr>
          <w:p w14:paraId="19892933" w14:textId="77777777" w:rsidR="0006150A" w:rsidRPr="0017465C" w:rsidRDefault="0006150A" w:rsidP="0006150A">
            <w:pPr>
              <w:pStyle w:val="ListParagraph"/>
              <w:numPr>
                <w:ilvl w:val="0"/>
                <w:numId w:val="3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de-CH"/>
              </w:rPr>
              <w:t>Bockerman et al. (2000); Gro</w:t>
            </w:r>
            <w:r w:rsidRPr="0017465C">
              <w:rPr>
                <w:rFonts w:ascii="Calibri" w:eastAsia="Calibri" w:hAnsi="Calibri" w:cs="Calibri"/>
                <w:bCs/>
                <w:sz w:val="16"/>
                <w:szCs w:val="16"/>
                <w:lang w:val="de-CH"/>
              </w:rPr>
              <w:t>ẞ</w:t>
            </w: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de-CH"/>
              </w:rPr>
              <w:t xml:space="preserve">mann &amp; Lutz (2015); GWS (2018); Lutz (2011); Lutz &amp; Meyer (2009); Lutz et al. (2009); Meyer (2005); Meyer &amp; Lutz (2007); Wiebe &amp; Lutz (2016); Meyer et al. (2012); Wiebe et al. </w:t>
            </w: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  <w:t>(2016)</w:t>
            </w:r>
          </w:p>
        </w:tc>
      </w:tr>
      <w:tr w:rsidR="0017465C" w:rsidRPr="00B849F0" w14:paraId="7D7CDEB5" w14:textId="77777777" w:rsidTr="007D2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</w:tcPr>
          <w:p w14:paraId="5F292D81" w14:textId="08FFFCA8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  <w:t>MEDEAS</w:t>
            </w:r>
          </w:p>
        </w:tc>
        <w:tc>
          <w:tcPr>
            <w:tcW w:w="497" w:type="pct"/>
            <w:hideMark/>
          </w:tcPr>
          <w:p w14:paraId="49C3A526" w14:textId="77777777" w:rsidR="0006150A" w:rsidRPr="0017465C" w:rsidRDefault="0006150A" w:rsidP="0006150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System Dynamics model</w:t>
            </w:r>
          </w:p>
          <w:p w14:paraId="71A3833C" w14:textId="77777777" w:rsidR="0006150A" w:rsidRPr="0017465C" w:rsidRDefault="0006150A" w:rsidP="0006150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Large-scale</w:t>
            </w:r>
          </w:p>
          <w:p w14:paraId="28EE8C3C" w14:textId="77777777" w:rsidR="0006150A" w:rsidRPr="0017465C" w:rsidRDefault="0006150A" w:rsidP="0006150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Empirical (OLS-regression) </w:t>
            </w:r>
          </w:p>
        </w:tc>
        <w:tc>
          <w:tcPr>
            <w:tcW w:w="649" w:type="pct"/>
            <w:hideMark/>
          </w:tcPr>
          <w:p w14:paraId="6286A1F3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Global (one-country-model)</w:t>
            </w:r>
          </w:p>
        </w:tc>
        <w:tc>
          <w:tcPr>
            <w:tcW w:w="369" w:type="pct"/>
            <w:hideMark/>
          </w:tcPr>
          <w:p w14:paraId="61FFE468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2016 to 2100</w:t>
            </w:r>
          </w:p>
        </w:tc>
        <w:tc>
          <w:tcPr>
            <w:tcW w:w="1689" w:type="pct"/>
            <w:hideMark/>
          </w:tcPr>
          <w:p w14:paraId="30EA50A9" w14:textId="77777777" w:rsidR="0006150A" w:rsidRPr="0017465C" w:rsidRDefault="0006150A" w:rsidP="0006150A">
            <w:pPr>
              <w:widowControl w:val="0"/>
              <w:autoSpaceDE w:val="0"/>
              <w:autoSpaceDN w:val="0"/>
              <w:adjustRightInd w:val="0"/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" w:hAnsi="Times" w:cs="Times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The main purpose of the model it to simulate a sustainable Energy System transition under Environmental and Socioeconomic constraints. In particular, the model can be used to assess the impacts and limitations of the energy production/consumption system transition to a low-carbon sustainable socio-economy (e.g. </w:t>
            </w:r>
            <w:proofErr w:type="spellStart"/>
            <w:r w:rsidRPr="0017465C">
              <w:rPr>
                <w:rFonts w:ascii="Arial Narrow" w:hAnsi="Arial Narrow" w:cs="Times"/>
                <w:sz w:val="16"/>
                <w:szCs w:val="16"/>
                <w:lang w:val="en-US"/>
              </w:rPr>
              <w:t>Capellán</w:t>
            </w:r>
            <w:proofErr w:type="spellEnd"/>
            <w:r w:rsidRPr="0017465C">
              <w:rPr>
                <w:rFonts w:ascii="Arial Narrow" w:hAnsi="Arial Narrow" w:cs="Times"/>
                <w:sz w:val="16"/>
                <w:szCs w:val="16"/>
                <w:lang w:val="en-US"/>
              </w:rPr>
              <w:t xml:space="preserve">-Pérez et al., 2017). </w:t>
            </w:r>
          </w:p>
        </w:tc>
        <w:tc>
          <w:tcPr>
            <w:tcW w:w="1326" w:type="pct"/>
          </w:tcPr>
          <w:p w14:paraId="282525EF" w14:textId="77777777" w:rsidR="0006150A" w:rsidRPr="0017465C" w:rsidRDefault="0006150A" w:rsidP="0006150A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  <w:t xml:space="preserve">Sun et al. (2016); </w:t>
            </w:r>
            <w:proofErr w:type="spellStart"/>
            <w:r w:rsidRPr="0017465C">
              <w:rPr>
                <w:rFonts w:ascii="Arial Narrow" w:hAnsi="Arial Narrow"/>
                <w:sz w:val="16"/>
                <w:szCs w:val="16"/>
                <w:lang w:val="en-US"/>
              </w:rPr>
              <w:t>Capellán</w:t>
            </w:r>
            <w:proofErr w:type="spellEnd"/>
            <w:r w:rsidRPr="0017465C">
              <w:rPr>
                <w:rFonts w:ascii="Arial Narrow" w:hAnsi="Arial Narrow"/>
                <w:sz w:val="16"/>
                <w:szCs w:val="16"/>
                <w:lang w:val="en-US"/>
              </w:rPr>
              <w:t>-Pérez et al. (2017)</w:t>
            </w:r>
          </w:p>
          <w:p w14:paraId="342D00B1" w14:textId="77777777" w:rsidR="0006150A" w:rsidRPr="0017465C" w:rsidRDefault="0006150A" w:rsidP="0006150A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rFonts w:ascii="Arial Narrow" w:eastAsia="Times New Roman" w:hAnsi="Arial Narrow"/>
                <w:bCs/>
                <w:sz w:val="16"/>
                <w:szCs w:val="16"/>
                <w:u w:val="none"/>
                <w:lang w:val="en-US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  <w:t xml:space="preserve">Model available at: </w:t>
            </w:r>
            <w:hyperlink r:id="rId8" w:history="1">
              <w:r w:rsidRPr="0017465C">
                <w:rPr>
                  <w:rStyle w:val="Hyperlink"/>
                  <w:rFonts w:ascii="Arial Narrow" w:eastAsia="Times New Roman" w:hAnsi="Arial Narrow"/>
                  <w:bCs/>
                  <w:sz w:val="16"/>
                  <w:szCs w:val="16"/>
                  <w:u w:val="none"/>
                  <w:lang w:val="en-GB"/>
                </w:rPr>
                <w:t>htt</w:t>
              </w:r>
              <w:r w:rsidRPr="0017465C">
                <w:rPr>
                  <w:rStyle w:val="Hyperlink"/>
                  <w:rFonts w:ascii="Arial Narrow" w:eastAsia="Times New Roman" w:hAnsi="Arial Narrow"/>
                  <w:bCs/>
                  <w:sz w:val="16"/>
                  <w:szCs w:val="16"/>
                  <w:u w:val="none"/>
                  <w:lang w:val="en-US"/>
                </w:rPr>
                <w:t>p://medeas.eu/model/medeas-model</w:t>
              </w:r>
            </w:hyperlink>
          </w:p>
          <w:p w14:paraId="3D8048FD" w14:textId="77777777" w:rsidR="0006150A" w:rsidRPr="0017465C" w:rsidRDefault="0006150A" w:rsidP="0006150A">
            <w:pPr>
              <w:pStyle w:val="ListParagraph"/>
              <w:numPr>
                <w:ilvl w:val="0"/>
                <w:numId w:val="1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Interview with Jaime Nieto on 22.07.2018</w:t>
            </w:r>
          </w:p>
        </w:tc>
      </w:tr>
      <w:tr w:rsidR="0017465C" w:rsidRPr="00B849F0" w14:paraId="4627006D" w14:textId="77777777" w:rsidTr="007D2A85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  <w:noWrap/>
          </w:tcPr>
          <w:p w14:paraId="3A78CCED" w14:textId="5F8C7439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US"/>
              </w:rPr>
              <w:t>Threshold 21/</w:t>
            </w:r>
            <w:proofErr w:type="spellStart"/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US"/>
              </w:rPr>
              <w:t>SDGi</w:t>
            </w:r>
            <w:proofErr w:type="spellEnd"/>
          </w:p>
        </w:tc>
        <w:tc>
          <w:tcPr>
            <w:tcW w:w="497" w:type="pct"/>
            <w:hideMark/>
          </w:tcPr>
          <w:p w14:paraId="475A6DA6" w14:textId="77777777" w:rsidR="0006150A" w:rsidRPr="0017465C" w:rsidRDefault="0006150A" w:rsidP="0006150A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System Dynamics model</w:t>
            </w:r>
          </w:p>
          <w:p w14:paraId="732D5311" w14:textId="77777777" w:rsidR="0006150A" w:rsidRPr="0017465C" w:rsidRDefault="0006150A" w:rsidP="0006150A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Large-scale</w:t>
            </w:r>
          </w:p>
          <w:p w14:paraId="2CD8A43E" w14:textId="77777777" w:rsidR="0006150A" w:rsidRPr="0017465C" w:rsidRDefault="0006150A" w:rsidP="0006150A">
            <w:pPr>
              <w:pStyle w:val="ListParagraph"/>
              <w:numPr>
                <w:ilvl w:val="0"/>
                <w:numId w:val="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Empirical</w:t>
            </w:r>
          </w:p>
        </w:tc>
        <w:tc>
          <w:tcPr>
            <w:tcW w:w="649" w:type="pct"/>
            <w:hideMark/>
          </w:tcPr>
          <w:p w14:paraId="0E21BC1D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National model (can be tailored to any country)</w:t>
            </w:r>
          </w:p>
        </w:tc>
        <w:tc>
          <w:tcPr>
            <w:tcW w:w="369" w:type="pct"/>
            <w:hideMark/>
          </w:tcPr>
          <w:p w14:paraId="3F3A52FE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1990 to 2030</w:t>
            </w:r>
          </w:p>
        </w:tc>
        <w:tc>
          <w:tcPr>
            <w:tcW w:w="1689" w:type="pct"/>
            <w:hideMark/>
          </w:tcPr>
          <w:p w14:paraId="3B8EA56D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„The model simulates the fundamental trends for SDGs until 2030 under a business-as-usual </w:t>
            </w:r>
            <w:proofErr w:type="gram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scenario, and</w:t>
            </w:r>
            <w:proofErr w:type="gram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supports the analysis of relevant alternative scenarios” (MI, 2017). Further, the model integrates in a single framework the economic, social, and environmental aspects of development planning. The T21 </w:t>
            </w:r>
            <w:proofErr w:type="spell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iSDG</w:t>
            </w:r>
            <w:proofErr w:type="spell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model is a broad, </w:t>
            </w:r>
            <w:proofErr w:type="gram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flexible</w:t>
            </w:r>
            <w:proofErr w:type="gram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and integrated tool to support the design and evaluation of policy-strategies to achieve the SDGs. </w:t>
            </w:r>
          </w:p>
        </w:tc>
        <w:tc>
          <w:tcPr>
            <w:tcW w:w="1326" w:type="pct"/>
          </w:tcPr>
          <w:p w14:paraId="6A6D278D" w14:textId="77777777" w:rsidR="0006150A" w:rsidRPr="0017465C" w:rsidRDefault="0006150A" w:rsidP="0006150A">
            <w:pPr>
              <w:pStyle w:val="ListParagraph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Millennium Institute (2007; 2017); UNEP (2011); </w:t>
            </w:r>
            <w:proofErr w:type="spellStart"/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Bassi</w:t>
            </w:r>
            <w:proofErr w:type="spellEnd"/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 &amp; Shilling (2010)</w:t>
            </w:r>
          </w:p>
          <w:p w14:paraId="78934E12" w14:textId="77777777" w:rsidR="0006150A" w:rsidRPr="0017465C" w:rsidRDefault="0006150A" w:rsidP="0006150A">
            <w:pPr>
              <w:pStyle w:val="ListParagraph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E-mail exchange with Matteo </w:t>
            </w:r>
            <w:proofErr w:type="spellStart"/>
            <w:r w:rsidRPr="0017465C">
              <w:rPr>
                <w:rFonts w:ascii="Arial Narrow" w:hAnsi="Arial Narrow"/>
                <w:sz w:val="16"/>
                <w:szCs w:val="16"/>
                <w:lang w:val="en-US"/>
              </w:rPr>
              <w:t>Petercini</w:t>
            </w:r>
            <w:proofErr w:type="spellEnd"/>
            <w:r w:rsidRPr="0017465C">
              <w:rPr>
                <w:rFonts w:ascii="Arial Narrow" w:hAnsi="Arial Narrow"/>
                <w:sz w:val="16"/>
                <w:szCs w:val="16"/>
                <w:lang w:val="en-US"/>
              </w:rPr>
              <w:t xml:space="preserve"> in October 2019</w:t>
            </w:r>
          </w:p>
        </w:tc>
      </w:tr>
      <w:tr w:rsidR="0017465C" w:rsidRPr="00B849F0" w14:paraId="0F2B549F" w14:textId="77777777" w:rsidTr="007D2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</w:tcPr>
          <w:p w14:paraId="6148210C" w14:textId="2A539B94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  <w:t>EURACE</w:t>
            </w:r>
          </w:p>
        </w:tc>
        <w:tc>
          <w:tcPr>
            <w:tcW w:w="497" w:type="pct"/>
            <w:hideMark/>
          </w:tcPr>
          <w:p w14:paraId="2728C631" w14:textId="28F972F0" w:rsidR="0006150A" w:rsidRPr="0017465C" w:rsidRDefault="0006150A" w:rsidP="0006150A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SFC agent-based model </w:t>
            </w:r>
          </w:p>
          <w:p w14:paraId="624810CD" w14:textId="77777777" w:rsidR="0006150A" w:rsidRPr="0017465C" w:rsidRDefault="0006150A" w:rsidP="0006150A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Large-scale</w:t>
            </w:r>
          </w:p>
          <w:p w14:paraId="01B981DC" w14:textId="77777777" w:rsidR="0006150A" w:rsidRPr="0017465C" w:rsidRDefault="0006150A" w:rsidP="0006150A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Calibrated to empirical data</w:t>
            </w:r>
          </w:p>
        </w:tc>
        <w:tc>
          <w:tcPr>
            <w:tcW w:w="649" w:type="pct"/>
            <w:hideMark/>
          </w:tcPr>
          <w:p w14:paraId="44B7924A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Europe (multi-country model)</w:t>
            </w:r>
          </w:p>
        </w:tc>
        <w:tc>
          <w:tcPr>
            <w:tcW w:w="369" w:type="pct"/>
            <w:hideMark/>
          </w:tcPr>
          <w:p w14:paraId="5173F1A8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Fictitious time span of twenty years.</w:t>
            </w:r>
          </w:p>
        </w:tc>
        <w:tc>
          <w:tcPr>
            <w:tcW w:w="1689" w:type="pct"/>
            <w:hideMark/>
          </w:tcPr>
          <w:p w14:paraId="680AA387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The EURACE model is a sophisticated agent-based model of the EU’s economy that addresses a variety of economic areas, including questions on </w:t>
            </w:r>
            <w:proofErr w:type="spellStart"/>
            <w:r w:rsidRPr="0017465C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>labour</w:t>
            </w:r>
            <w:proofErr w:type="spellEnd"/>
            <w:r w:rsidRPr="0017465C">
              <w:rPr>
                <w:rFonts w:ascii="Arial Narrow" w:eastAsia="Times New Roman" w:hAnsi="Arial Narrow" w:cs="Times New Roman"/>
                <w:sz w:val="16"/>
                <w:szCs w:val="16"/>
                <w:lang w:val="en-US"/>
              </w:rPr>
              <w:t xml:space="preserve">-market liberalization to the effects of quantitative easing or effects of a feed-in tariff policy (on national level. </w:t>
            </w:r>
          </w:p>
        </w:tc>
        <w:tc>
          <w:tcPr>
            <w:tcW w:w="1326" w:type="pct"/>
          </w:tcPr>
          <w:p w14:paraId="7B3068A7" w14:textId="77777777" w:rsidR="0006150A" w:rsidRPr="0017465C" w:rsidRDefault="0006150A" w:rsidP="0006150A">
            <w:pPr>
              <w:pStyle w:val="ListParagraph"/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de-CH"/>
              </w:rPr>
              <w:t xml:space="preserve">Cincotti et al. (2010); Deissenberg et al. </w:t>
            </w: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  <w:t xml:space="preserve">(2008); Ponta et al. </w:t>
            </w: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(2018); </w:t>
            </w:r>
            <w:proofErr w:type="spellStart"/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Raberto</w:t>
            </w:r>
            <w:proofErr w:type="spellEnd"/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 et al. (2011; 2018)</w:t>
            </w:r>
          </w:p>
          <w:p w14:paraId="0B2BBD1E" w14:textId="77777777" w:rsidR="0006150A" w:rsidRPr="0017465C" w:rsidRDefault="0006150A" w:rsidP="0006150A">
            <w:pPr>
              <w:pStyle w:val="ListParagraph"/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yperlink"/>
                <w:rFonts w:ascii="Arial Narrow" w:eastAsia="Times New Roman" w:hAnsi="Arial Narrow"/>
                <w:bCs/>
                <w:sz w:val="16"/>
                <w:szCs w:val="16"/>
                <w:u w:val="none"/>
                <w:lang w:val="en-GB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Information available at: </w:t>
            </w:r>
            <w:hyperlink r:id="rId9" w:history="1">
              <w:r w:rsidRPr="0017465C">
                <w:rPr>
                  <w:rStyle w:val="Hyperlink"/>
                  <w:rFonts w:ascii="Arial Narrow" w:eastAsia="Times New Roman" w:hAnsi="Arial Narrow"/>
                  <w:bCs/>
                  <w:sz w:val="16"/>
                  <w:szCs w:val="16"/>
                  <w:u w:val="none"/>
                  <w:lang w:val="en-US"/>
                </w:rPr>
                <w:t>http://www.eurace.org/?page_id=6</w:t>
              </w:r>
            </w:hyperlink>
          </w:p>
          <w:p w14:paraId="2802D17C" w14:textId="77777777" w:rsidR="0006150A" w:rsidRPr="0017465C" w:rsidRDefault="0006150A" w:rsidP="0006150A">
            <w:pPr>
              <w:pStyle w:val="ListParagraph"/>
              <w:numPr>
                <w:ilvl w:val="0"/>
                <w:numId w:val="3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  <w:t xml:space="preserve">E-mail exchange with Marco </w:t>
            </w:r>
            <w:proofErr w:type="spellStart"/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  <w:t>Raberto</w:t>
            </w:r>
            <w:proofErr w:type="spellEnd"/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  <w:t xml:space="preserve"> in August 2018</w:t>
            </w:r>
          </w:p>
        </w:tc>
      </w:tr>
      <w:tr w:rsidR="0017465C" w:rsidRPr="00B849F0" w14:paraId="6EF7C34E" w14:textId="77777777" w:rsidTr="007D2A85">
        <w:trPr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  <w:noWrap/>
          </w:tcPr>
          <w:p w14:paraId="0C5A11AF" w14:textId="648453AE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  <w:t>EUROGREEN</w:t>
            </w:r>
          </w:p>
        </w:tc>
        <w:tc>
          <w:tcPr>
            <w:tcW w:w="497" w:type="pct"/>
            <w:hideMark/>
          </w:tcPr>
          <w:p w14:paraId="766529B5" w14:textId="77777777" w:rsidR="0006150A" w:rsidRPr="0017465C" w:rsidRDefault="0006150A" w:rsidP="0006150A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System Dynamics</w:t>
            </w:r>
          </w:p>
          <w:p w14:paraId="21FDFB5E" w14:textId="77777777" w:rsidR="0006150A" w:rsidRPr="0017465C" w:rsidRDefault="0006150A" w:rsidP="0006150A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Post-Keynesian SFC model</w:t>
            </w:r>
          </w:p>
        </w:tc>
        <w:tc>
          <w:tcPr>
            <w:tcW w:w="649" w:type="pct"/>
            <w:hideMark/>
          </w:tcPr>
          <w:p w14:paraId="27A10D4E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Calibrated to France</w:t>
            </w:r>
          </w:p>
        </w:tc>
        <w:tc>
          <w:tcPr>
            <w:tcW w:w="369" w:type="pct"/>
            <w:hideMark/>
          </w:tcPr>
          <w:p w14:paraId="6888401A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2014 to 2050</w:t>
            </w:r>
          </w:p>
        </w:tc>
        <w:tc>
          <w:tcPr>
            <w:tcW w:w="1689" w:type="pct"/>
            <w:hideMark/>
          </w:tcPr>
          <w:p w14:paraId="4E100C52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highlight w:val="cyan"/>
                <w:lang w:val="en-GB"/>
              </w:rPr>
            </w:pPr>
            <w:r w:rsidRPr="0017465C">
              <w:rPr>
                <w:rFonts w:ascii="Arial Narrow" w:hAnsi="Arial Narrow"/>
                <w:sz w:val="16"/>
                <w:szCs w:val="16"/>
                <w:lang w:val="en-GB"/>
              </w:rPr>
              <w:t xml:space="preserve">EUROGREEN is designed to provide a concrete understanding of some important policy challenges associated with the transition to ecologically sustainable and socially equitable post-growth societies in the European Union. </w:t>
            </w:r>
            <w:r w:rsidRPr="0017465C">
              <w:rPr>
                <w:rFonts w:ascii="Arial Narrow" w:hAnsi="Arial Narrow" w:cs="Times New Roman"/>
                <w:sz w:val="16"/>
                <w:szCs w:val="16"/>
                <w:lang w:val="en-GB"/>
              </w:rPr>
              <w:t xml:space="preserve">The model aims to test, in a formal setting, the effectiveness and coherence of Green economic policies (incl. low-carbon energy policies), to support the creation of widely attractive narratives about possible futures. </w:t>
            </w:r>
          </w:p>
        </w:tc>
        <w:tc>
          <w:tcPr>
            <w:tcW w:w="1326" w:type="pct"/>
          </w:tcPr>
          <w:p w14:paraId="58B58EB0" w14:textId="17B37A15" w:rsidR="0006150A" w:rsidRPr="0017465C" w:rsidRDefault="0006150A" w:rsidP="0006150A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</w:rPr>
            </w:pPr>
            <w:r w:rsidRPr="0017465C">
              <w:rPr>
                <w:rFonts w:ascii="Arial Narrow" w:hAnsi="Arial Narrow"/>
                <w:sz w:val="16"/>
                <w:szCs w:val="16"/>
                <w:lang w:val="en-GB"/>
              </w:rPr>
              <w:t>D’Alessandro</w:t>
            </w: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 et al. (20</w:t>
            </w:r>
            <w:r w:rsidR="008953D2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20</w:t>
            </w: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)</w:t>
            </w:r>
          </w:p>
          <w:p w14:paraId="482FDB2A" w14:textId="77777777" w:rsidR="0006150A" w:rsidRPr="0017465C" w:rsidRDefault="0006150A" w:rsidP="0006150A">
            <w:pPr>
              <w:pStyle w:val="ListParagraph"/>
              <w:numPr>
                <w:ilvl w:val="0"/>
                <w:numId w:val="2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GB"/>
              </w:rPr>
            </w:pPr>
            <w:r w:rsidRPr="0017465C">
              <w:rPr>
                <w:rFonts w:ascii="Arial Narrow" w:hAnsi="Arial Narrow"/>
                <w:sz w:val="16"/>
                <w:szCs w:val="16"/>
                <w:lang w:val="en-GB"/>
              </w:rPr>
              <w:t>E-mail Exchange with Simone D’Alessandro in October 2018</w:t>
            </w:r>
          </w:p>
        </w:tc>
      </w:tr>
      <w:tr w:rsidR="0017465C" w:rsidRPr="0017465C" w14:paraId="11C68EB9" w14:textId="77777777" w:rsidTr="007D2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</w:tcPr>
          <w:p w14:paraId="320C7A80" w14:textId="289799B9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US"/>
              </w:rPr>
              <w:t>S&amp;B, 2017</w:t>
            </w:r>
            <w:r w:rsidRPr="00BD1BF8">
              <w:rPr>
                <w:rStyle w:val="FootnoteReference"/>
              </w:rPr>
              <w:footnoteReference w:id="1"/>
            </w:r>
          </w:p>
        </w:tc>
        <w:tc>
          <w:tcPr>
            <w:tcW w:w="497" w:type="pct"/>
            <w:hideMark/>
          </w:tcPr>
          <w:p w14:paraId="23C46162" w14:textId="77777777" w:rsidR="0006150A" w:rsidRPr="0017465C" w:rsidRDefault="0006150A" w:rsidP="0006150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Agent-based model</w:t>
            </w:r>
          </w:p>
          <w:p w14:paraId="3FD8C11F" w14:textId="77777777" w:rsidR="0006150A" w:rsidRPr="0017465C" w:rsidRDefault="0006150A" w:rsidP="0006150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Small/stylized </w:t>
            </w:r>
          </w:p>
          <w:p w14:paraId="797597E7" w14:textId="77777777" w:rsidR="0006150A" w:rsidRPr="0017465C" w:rsidRDefault="0006150A" w:rsidP="0006150A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Calibrated to data</w:t>
            </w:r>
          </w:p>
        </w:tc>
        <w:tc>
          <w:tcPr>
            <w:tcW w:w="649" w:type="pct"/>
            <w:hideMark/>
          </w:tcPr>
          <w:p w14:paraId="2F516A5C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Not specified (Electricity sector is based on the UK-data)</w:t>
            </w:r>
          </w:p>
        </w:tc>
        <w:tc>
          <w:tcPr>
            <w:tcW w:w="369" w:type="pct"/>
            <w:hideMark/>
          </w:tcPr>
          <w:p w14:paraId="616A258F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Fictitious time span of 1000 years.</w:t>
            </w:r>
          </w:p>
        </w:tc>
        <w:tc>
          <w:tcPr>
            <w:tcW w:w="1689" w:type="pct"/>
            <w:hideMark/>
          </w:tcPr>
          <w:p w14:paraId="402FCC7F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This model can be applied to investigate macroeconomic effects of sustainability policies along three dimensions: environmental effectiveness, financial </w:t>
            </w:r>
            <w:proofErr w:type="gram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stability</w:t>
            </w:r>
            <w:proofErr w:type="gram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and socio-economic consequences. Thereby, the following instruments considered in the model: distributive policy; renewable energy subsidies, and regulations of bank lending to firms. </w:t>
            </w:r>
          </w:p>
        </w:tc>
        <w:tc>
          <w:tcPr>
            <w:tcW w:w="1326" w:type="pct"/>
          </w:tcPr>
          <w:p w14:paraId="04C4ED0C" w14:textId="77777777" w:rsidR="0006150A" w:rsidRPr="0017465C" w:rsidRDefault="0006150A" w:rsidP="0006150A">
            <w:pPr>
              <w:pStyle w:val="ListParagraph"/>
              <w:numPr>
                <w:ilvl w:val="0"/>
                <w:numId w:val="3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</w:rPr>
              <w:t>Safarzynska &amp; van den Bergh (2011; 2017)</w:t>
            </w:r>
          </w:p>
        </w:tc>
      </w:tr>
      <w:tr w:rsidR="0017465C" w:rsidRPr="00B849F0" w14:paraId="7E0573E4" w14:textId="77777777" w:rsidTr="007D2A85">
        <w:trPr>
          <w:trHeight w:val="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  <w:noWrap/>
          </w:tcPr>
          <w:p w14:paraId="095E0CE0" w14:textId="4BC7EC2A" w:rsidR="0006150A" w:rsidRPr="0017465C" w:rsidRDefault="00F625DC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</w:pPr>
            <w:r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  <w:t>ENGAGE/DSK</w:t>
            </w:r>
            <w:r>
              <w:rPr>
                <w:rStyle w:val="FootnoteReference"/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  <w:footnoteReference w:id="2"/>
            </w:r>
          </w:p>
        </w:tc>
        <w:tc>
          <w:tcPr>
            <w:tcW w:w="497" w:type="pct"/>
            <w:hideMark/>
          </w:tcPr>
          <w:p w14:paraId="7820B3A8" w14:textId="77777777" w:rsidR="0006150A" w:rsidRPr="0017465C" w:rsidRDefault="0006150A" w:rsidP="0006150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Agent-based</w:t>
            </w:r>
          </w:p>
          <w:p w14:paraId="19991C69" w14:textId="77777777" w:rsidR="0006150A" w:rsidRPr="0017465C" w:rsidRDefault="0006150A" w:rsidP="0006150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Small/stylized model</w:t>
            </w:r>
          </w:p>
          <w:p w14:paraId="21E39CAC" w14:textId="77777777" w:rsidR="0006150A" w:rsidRPr="0017465C" w:rsidRDefault="0006150A" w:rsidP="0006150A">
            <w:pPr>
              <w:pStyle w:val="ListParagraph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Calibrated to data</w:t>
            </w:r>
          </w:p>
        </w:tc>
        <w:tc>
          <w:tcPr>
            <w:tcW w:w="649" w:type="pct"/>
            <w:hideMark/>
          </w:tcPr>
          <w:p w14:paraId="32E69C51" w14:textId="3E6045AD" w:rsidR="0006150A" w:rsidRDefault="00F625DC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ENGAGE: </w:t>
            </w:r>
            <w:r w:rsidR="0006150A"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National model (calibrated to U.S) </w:t>
            </w:r>
          </w:p>
          <w:p w14:paraId="42CD8035" w14:textId="77777777" w:rsidR="00F625DC" w:rsidRDefault="00F625DC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</w:p>
          <w:p w14:paraId="33FE32A0" w14:textId="7D9A1F9B" w:rsidR="00F625DC" w:rsidRPr="0017465C" w:rsidRDefault="00F625DC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DSK: Global model</w:t>
            </w:r>
          </w:p>
        </w:tc>
        <w:tc>
          <w:tcPr>
            <w:tcW w:w="369" w:type="pct"/>
            <w:hideMark/>
          </w:tcPr>
          <w:p w14:paraId="39E8EA2F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</w:rPr>
              <w:t>2000 to 2100</w:t>
            </w:r>
          </w:p>
        </w:tc>
        <w:tc>
          <w:tcPr>
            <w:tcW w:w="1689" w:type="pct"/>
            <w:hideMark/>
          </w:tcPr>
          <w:p w14:paraId="376CE08C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ENGAGE was built to explore “the effect of domestic actors on international and domestic climate policies” (</w:t>
            </w:r>
            <w:proofErr w:type="spell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Gerst</w:t>
            </w:r>
            <w:proofErr w:type="spell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et al., 2013a). </w:t>
            </w:r>
            <w:proofErr w:type="gram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In particular, ENGAGE</w:t>
            </w:r>
            <w:proofErr w:type="gram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“is designed to investigate international climate policy bargaining, based on domestic constraints, and its feedback on domestic policy as well as technological development and economic growth” (</w:t>
            </w:r>
            <w:proofErr w:type="spell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Gerst</w:t>
            </w:r>
            <w:proofErr w:type="spell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et al., 2013a). </w:t>
            </w:r>
          </w:p>
        </w:tc>
        <w:tc>
          <w:tcPr>
            <w:tcW w:w="1326" w:type="pct"/>
          </w:tcPr>
          <w:p w14:paraId="4752AFB8" w14:textId="4247BFAD" w:rsidR="0006150A" w:rsidRPr="00F625DC" w:rsidRDefault="00F625DC" w:rsidP="0006150A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ENGAGE: </w:t>
            </w:r>
            <w:proofErr w:type="spellStart"/>
            <w:r w:rsidR="0006150A"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Gerst</w:t>
            </w:r>
            <w:proofErr w:type="spellEnd"/>
            <w:r w:rsidR="0006150A"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 et al. (2013</w:t>
            </w:r>
            <w:proofErr w:type="gramStart"/>
            <w:r w:rsidR="0006150A"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a;b</w:t>
            </w:r>
            <w:proofErr w:type="gramEnd"/>
            <w:r w:rsidR="0006150A"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)</w:t>
            </w:r>
          </w:p>
          <w:p w14:paraId="66EF1BAC" w14:textId="06BF9028" w:rsidR="00F625DC" w:rsidRPr="0017465C" w:rsidRDefault="00F625DC" w:rsidP="0006150A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DSK: </w:t>
            </w:r>
            <w:proofErr w:type="spellStart"/>
            <w:r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Lamperti</w:t>
            </w:r>
            <w:proofErr w:type="spellEnd"/>
            <w:r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et al. (2018</w:t>
            </w:r>
            <w:proofErr w:type="gramStart"/>
            <w:r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a;b</w:t>
            </w:r>
            <w:proofErr w:type="gramEnd"/>
            <w:r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)</w:t>
            </w:r>
          </w:p>
        </w:tc>
      </w:tr>
      <w:tr w:rsidR="0017465C" w:rsidRPr="00B849F0" w14:paraId="5BD6DAB3" w14:textId="77777777" w:rsidTr="007D2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  <w:noWrap/>
          </w:tcPr>
          <w:p w14:paraId="323BECF0" w14:textId="3577FE60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  <w:lastRenderedPageBreak/>
              <w:t>Naqvi, 2015</w:t>
            </w:r>
            <w:r w:rsidRPr="0017465C">
              <w:rPr>
                <w:rStyle w:val="FootnoteReference"/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  <w:footnoteReference w:id="3"/>
            </w:r>
          </w:p>
        </w:tc>
        <w:tc>
          <w:tcPr>
            <w:tcW w:w="497" w:type="pct"/>
            <w:hideMark/>
          </w:tcPr>
          <w:p w14:paraId="3FFD7773" w14:textId="77777777" w:rsidR="0006150A" w:rsidRPr="0017465C" w:rsidRDefault="0006150A" w:rsidP="0006150A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SFC model</w:t>
            </w:r>
          </w:p>
          <w:p w14:paraId="79DC3C75" w14:textId="77777777" w:rsidR="0006150A" w:rsidRPr="0017465C" w:rsidRDefault="0006150A" w:rsidP="0006150A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Small/stylized model</w:t>
            </w:r>
          </w:p>
          <w:p w14:paraId="110851DD" w14:textId="77777777" w:rsidR="0006150A" w:rsidRPr="0017465C" w:rsidRDefault="0006150A" w:rsidP="0006150A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Roughly calibrated to data</w:t>
            </w:r>
          </w:p>
        </w:tc>
        <w:tc>
          <w:tcPr>
            <w:tcW w:w="649" w:type="pct"/>
            <w:hideMark/>
          </w:tcPr>
          <w:p w14:paraId="07393A6B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Roughly calibrated to Europe</w:t>
            </w:r>
          </w:p>
        </w:tc>
        <w:tc>
          <w:tcPr>
            <w:tcW w:w="369" w:type="pct"/>
            <w:hideMark/>
          </w:tcPr>
          <w:p w14:paraId="3982D803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Fictitious time span of 100 years.</w:t>
            </w:r>
          </w:p>
        </w:tc>
        <w:tc>
          <w:tcPr>
            <w:tcW w:w="1689" w:type="pct"/>
            <w:hideMark/>
          </w:tcPr>
          <w:p w14:paraId="6BA5CD52" w14:textId="77777777" w:rsidR="0006150A" w:rsidRPr="0017465C" w:rsidRDefault="0006150A" w:rsidP="0006150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This model is designed to address the impacts of policies that address the issues of growth, distribution, and the environment simultaneously. </w:t>
            </w:r>
          </w:p>
        </w:tc>
        <w:tc>
          <w:tcPr>
            <w:tcW w:w="1326" w:type="pct"/>
          </w:tcPr>
          <w:p w14:paraId="52C2A1A6" w14:textId="7C8DC960" w:rsidR="0006150A" w:rsidRPr="0017465C" w:rsidRDefault="0006150A" w:rsidP="0006150A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>Naqvi, 2015</w:t>
            </w:r>
          </w:p>
          <w:p w14:paraId="0FC035A6" w14:textId="77777777" w:rsidR="0006150A" w:rsidRPr="0017465C" w:rsidRDefault="0006150A" w:rsidP="0006150A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  <w:t xml:space="preserve">E-mail exchange with </w:t>
            </w:r>
            <w:r w:rsidRPr="0017465C"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Syed Ali </w:t>
            </w:r>
            <w:proofErr w:type="spellStart"/>
            <w:r w:rsidRPr="0017465C">
              <w:rPr>
                <w:rFonts w:ascii="Arial Narrow" w:hAnsi="Arial Narrow" w:cs="Arial"/>
                <w:sz w:val="16"/>
                <w:szCs w:val="16"/>
                <w:lang w:val="en-GB"/>
              </w:rPr>
              <w:t>Asjad</w:t>
            </w:r>
            <w:proofErr w:type="spellEnd"/>
            <w:r w:rsidRPr="0017465C">
              <w:rPr>
                <w:rFonts w:ascii="Arial Narrow" w:hAnsi="Arial Narrow" w:cs="Arial"/>
                <w:sz w:val="16"/>
                <w:szCs w:val="16"/>
                <w:lang w:val="en-GB"/>
              </w:rPr>
              <w:t xml:space="preserve"> Naqvi in July 2018</w:t>
            </w:r>
          </w:p>
        </w:tc>
      </w:tr>
      <w:tr w:rsidR="0017465C" w:rsidRPr="00B849F0" w14:paraId="67C713E3" w14:textId="77777777" w:rsidTr="007D2A85">
        <w:trPr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  <w:noWrap/>
          </w:tcPr>
          <w:p w14:paraId="5C90E41C" w14:textId="0FE8983A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</w:pPr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</w:rPr>
              <w:t>LowGrow SFC</w:t>
            </w:r>
          </w:p>
        </w:tc>
        <w:tc>
          <w:tcPr>
            <w:tcW w:w="497" w:type="pct"/>
          </w:tcPr>
          <w:p w14:paraId="3D8BF345" w14:textId="77777777" w:rsidR="0006150A" w:rsidRPr="0017465C" w:rsidRDefault="0006150A" w:rsidP="0006150A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SFC System Dynamics</w:t>
            </w:r>
          </w:p>
          <w:p w14:paraId="3D006387" w14:textId="77777777" w:rsidR="0006150A" w:rsidRPr="0017465C" w:rsidRDefault="0006150A" w:rsidP="0006150A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Partly estimated with econometrics</w:t>
            </w:r>
          </w:p>
        </w:tc>
        <w:tc>
          <w:tcPr>
            <w:tcW w:w="649" w:type="pct"/>
          </w:tcPr>
          <w:p w14:paraId="52F6F421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Calibrated to Canada</w:t>
            </w:r>
          </w:p>
        </w:tc>
        <w:tc>
          <w:tcPr>
            <w:tcW w:w="369" w:type="pct"/>
          </w:tcPr>
          <w:p w14:paraId="670077C5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2017 to 2067</w:t>
            </w:r>
          </w:p>
        </w:tc>
        <w:tc>
          <w:tcPr>
            <w:tcW w:w="1689" w:type="pct"/>
          </w:tcPr>
          <w:p w14:paraId="17FF9BFB" w14:textId="77777777" w:rsidR="0006150A" w:rsidRPr="0017465C" w:rsidRDefault="0006150A" w:rsidP="0006150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6"/>
                <w:szCs w:val="16"/>
                <w:lang w:val="en-US" w:eastAsia="de-DE"/>
              </w:rPr>
            </w:pPr>
            <w:r w:rsidRPr="0017465C">
              <w:rPr>
                <w:rFonts w:ascii="Arial Narrow" w:eastAsia="Times New Roman" w:hAnsi="Arial Narrow" w:cs="Times New Roman"/>
                <w:sz w:val="16"/>
                <w:szCs w:val="16"/>
                <w:lang w:val="en-US" w:eastAsia="de-DE"/>
              </w:rPr>
              <w:t xml:space="preserve">The purpose of </w:t>
            </w:r>
            <w:proofErr w:type="spellStart"/>
            <w:r w:rsidRPr="0017465C">
              <w:rPr>
                <w:rFonts w:ascii="Arial Narrow" w:eastAsia="Times New Roman" w:hAnsi="Arial Narrow" w:cs="Times New Roman"/>
                <w:sz w:val="16"/>
                <w:szCs w:val="16"/>
                <w:lang w:val="en-US" w:eastAsia="de-DE"/>
              </w:rPr>
              <w:t>LowGrow</w:t>
            </w:r>
            <w:proofErr w:type="spellEnd"/>
            <w:r w:rsidRPr="0017465C">
              <w:rPr>
                <w:rFonts w:ascii="Arial Narrow" w:eastAsia="Times New Roman" w:hAnsi="Arial Narrow" w:cs="Times New Roman"/>
                <w:sz w:val="16"/>
                <w:szCs w:val="16"/>
                <w:lang w:val="en-US" w:eastAsia="de-DE"/>
              </w:rPr>
              <w:t xml:space="preserve"> SFC is to explore the economic and financial implications of the transition to a low-carbon sustainable economy (incl. the energy sector) in Canada.</w:t>
            </w:r>
          </w:p>
        </w:tc>
        <w:tc>
          <w:tcPr>
            <w:tcW w:w="1326" w:type="pct"/>
          </w:tcPr>
          <w:p w14:paraId="440FB6BD" w14:textId="77777777" w:rsidR="0006150A" w:rsidRPr="0017465C" w:rsidRDefault="0006150A" w:rsidP="0006150A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Victor &amp; Jackson (2019); Jackson &amp; Victor (2015; 2016; 2018)</w:t>
            </w:r>
          </w:p>
          <w:p w14:paraId="29E2403C" w14:textId="77777777" w:rsidR="0006150A" w:rsidRPr="0017465C" w:rsidRDefault="0006150A" w:rsidP="0006150A">
            <w:pPr>
              <w:pStyle w:val="ListParagraph"/>
              <w:numPr>
                <w:ilvl w:val="0"/>
                <w:numId w:val="8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GB"/>
              </w:rPr>
              <w:t>E-mail exchange with Tim Jackson in October 2018</w:t>
            </w:r>
          </w:p>
        </w:tc>
      </w:tr>
      <w:tr w:rsidR="0017465C" w:rsidRPr="00B849F0" w14:paraId="51C8A396" w14:textId="77777777" w:rsidTr="007D2A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" w:type="pct"/>
            <w:noWrap/>
          </w:tcPr>
          <w:p w14:paraId="5B52E05A" w14:textId="000355D1" w:rsidR="0006150A" w:rsidRPr="0017465C" w:rsidRDefault="0006150A" w:rsidP="0006150A">
            <w:pPr>
              <w:jc w:val="center"/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US"/>
              </w:rPr>
            </w:pPr>
            <w:proofErr w:type="spellStart"/>
            <w:r w:rsidRPr="0017465C">
              <w:rPr>
                <w:rFonts w:ascii="Arial Narrow" w:eastAsia="Times New Roman" w:hAnsi="Arial Narrow"/>
                <w:b w:val="0"/>
                <w:bCs w:val="0"/>
                <w:color w:val="auto"/>
                <w:sz w:val="16"/>
                <w:szCs w:val="16"/>
                <w:lang w:val="en-US"/>
              </w:rPr>
              <w:t>Eirin</w:t>
            </w:r>
            <w:proofErr w:type="spellEnd"/>
          </w:p>
        </w:tc>
        <w:tc>
          <w:tcPr>
            <w:tcW w:w="497" w:type="pct"/>
          </w:tcPr>
          <w:p w14:paraId="1575C453" w14:textId="77777777" w:rsidR="0006150A" w:rsidRPr="0017465C" w:rsidRDefault="0006150A" w:rsidP="0006150A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SFC hybrid System-Dynamics Agent-based model</w:t>
            </w:r>
          </w:p>
          <w:p w14:paraId="61F95FA5" w14:textId="77777777" w:rsidR="0006150A" w:rsidRPr="0017465C" w:rsidRDefault="0006150A" w:rsidP="0006150A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Small/stylized model</w:t>
            </w:r>
          </w:p>
          <w:p w14:paraId="36D71F53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</w:p>
        </w:tc>
        <w:tc>
          <w:tcPr>
            <w:tcW w:w="649" w:type="pct"/>
          </w:tcPr>
          <w:p w14:paraId="75D97995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sz w:val="14"/>
                <w:szCs w:val="14"/>
                <w:lang w:val="en-US"/>
              </w:rPr>
            </w:pPr>
            <w:r w:rsidRPr="0017465C">
              <w:rPr>
                <w:rFonts w:ascii="Arial Narrow" w:hAnsi="Arial Narrow" w:cs="Times New Roman"/>
                <w:sz w:val="14"/>
                <w:szCs w:val="14"/>
                <w:lang w:val="en-US"/>
              </w:rPr>
              <w:t xml:space="preserve">Shaped to a high-income country of the EU, which signed the Paris Agreement, is committed to the EU2030 </w:t>
            </w:r>
            <w:proofErr w:type="gramStart"/>
            <w:r w:rsidRPr="0017465C">
              <w:rPr>
                <w:rFonts w:ascii="Arial Narrow" w:hAnsi="Arial Narrow" w:cs="Times New Roman"/>
                <w:sz w:val="14"/>
                <w:szCs w:val="14"/>
                <w:lang w:val="en-US"/>
              </w:rPr>
              <w:t>targets</w:t>
            </w:r>
            <w:proofErr w:type="gramEnd"/>
            <w:r w:rsidRPr="0017465C">
              <w:rPr>
                <w:rFonts w:ascii="Arial Narrow" w:hAnsi="Arial Narrow" w:cs="Times New Roman"/>
                <w:sz w:val="14"/>
                <w:szCs w:val="14"/>
                <w:lang w:val="en-US"/>
              </w:rPr>
              <w:t xml:space="preserve"> and has a high level of energy dependency. </w:t>
            </w:r>
          </w:p>
        </w:tc>
        <w:tc>
          <w:tcPr>
            <w:tcW w:w="369" w:type="pct"/>
          </w:tcPr>
          <w:p w14:paraId="331A3F71" w14:textId="77777777" w:rsidR="0006150A" w:rsidRPr="0017465C" w:rsidRDefault="0006150A" w:rsidP="000615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Fictitious time span of 140 units (short-term time horizon)</w:t>
            </w:r>
          </w:p>
        </w:tc>
        <w:tc>
          <w:tcPr>
            <w:tcW w:w="1689" w:type="pct"/>
          </w:tcPr>
          <w:p w14:paraId="1100A4B3" w14:textId="77777777" w:rsidR="0006150A" w:rsidRPr="0017465C" w:rsidRDefault="0006150A" w:rsidP="0006150A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sz w:val="16"/>
                <w:szCs w:val="16"/>
                <w:lang w:val="en-US"/>
              </w:rPr>
            </w:pPr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The model aims at investigating “</w:t>
            </w:r>
            <w:r w:rsidRPr="0017465C">
              <w:rPr>
                <w:rFonts w:ascii="Arial Narrow" w:eastAsia="Arial Unicode MS" w:hAnsi="Arial Narrow"/>
                <w:sz w:val="16"/>
                <w:szCs w:val="16"/>
                <w:lang w:val="en-US"/>
              </w:rPr>
              <w:t xml:space="preserve">the implications on sustainable development of the gradual phasing out of fossil fuels subsidies, whose revenues could be used by the government to </w:t>
            </w:r>
            <w:proofErr w:type="spellStart"/>
            <w:r w:rsidRPr="0017465C">
              <w:rPr>
                <w:rFonts w:ascii="Arial Narrow" w:eastAsia="Arial Unicode MS" w:hAnsi="Arial Narrow"/>
                <w:sz w:val="16"/>
                <w:szCs w:val="16"/>
                <w:lang w:val="en-US"/>
              </w:rPr>
              <w:t>subsidise</w:t>
            </w:r>
            <w:proofErr w:type="spellEnd"/>
            <w:r w:rsidRPr="0017465C">
              <w:rPr>
                <w:rFonts w:ascii="Arial Narrow" w:eastAsia="Arial Unicode MS" w:hAnsi="Arial Narrow"/>
                <w:sz w:val="16"/>
                <w:szCs w:val="16"/>
                <w:lang w:val="en-US"/>
              </w:rPr>
              <w:t xml:space="preserve"> energy investments in green capital (e.g. solar panels), either via fiscal policies or green bonds; </w:t>
            </w:r>
            <w:r w:rsidRPr="0017465C">
              <w:rPr>
                <w:rFonts w:ascii="Arial Narrow" w:hAnsi="Arial Narrow"/>
                <w:sz w:val="16"/>
                <w:szCs w:val="16"/>
                <w:lang w:val="en-US"/>
              </w:rPr>
              <w:t>With the aim to provide policy-makers relevant information on the economic, financial and distributive effects of phasing out fossil fuels subsidies in high-income countries</w:t>
            </w:r>
            <w:r w:rsidRPr="0017465C">
              <w:rPr>
                <w:rFonts w:ascii="Arial Narrow" w:eastAsia="Arial Unicode MS" w:hAnsi="Arial Narrow"/>
                <w:sz w:val="16"/>
                <w:szCs w:val="16"/>
                <w:lang w:val="en-US"/>
              </w:rPr>
              <w:t>” (</w:t>
            </w:r>
            <w:proofErr w:type="spell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Monasterolo</w:t>
            </w:r>
            <w:proofErr w:type="spell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&amp; </w:t>
            </w:r>
            <w:proofErr w:type="spellStart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Raberto</w:t>
            </w:r>
            <w:proofErr w:type="spellEnd"/>
            <w:r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, 2018b).</w:t>
            </w:r>
          </w:p>
        </w:tc>
        <w:tc>
          <w:tcPr>
            <w:tcW w:w="1326" w:type="pct"/>
          </w:tcPr>
          <w:p w14:paraId="68DDFE5A" w14:textId="1A13C5EB" w:rsidR="00BD1BF8" w:rsidRPr="0098716C" w:rsidRDefault="0006150A" w:rsidP="00BD1BF8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de-CH"/>
              </w:rPr>
            </w:pPr>
            <w:r w:rsidRPr="0098716C">
              <w:rPr>
                <w:rFonts w:ascii="Arial Narrow" w:eastAsia="Times New Roman" w:hAnsi="Arial Narrow"/>
                <w:sz w:val="16"/>
                <w:szCs w:val="16"/>
                <w:lang w:val="de-CH"/>
              </w:rPr>
              <w:t>Monasterolo &amp; Raberto (2016; 2018; 2019)</w:t>
            </w:r>
            <w:r w:rsidR="00BD1BF8" w:rsidRPr="0098716C">
              <w:rPr>
                <w:rFonts w:ascii="Arial Narrow" w:eastAsia="Times New Roman" w:hAnsi="Arial Narrow"/>
                <w:sz w:val="16"/>
                <w:szCs w:val="16"/>
                <w:lang w:val="de-CH"/>
              </w:rPr>
              <w:t>; Dunz et al. (2018;2019)</w:t>
            </w:r>
          </w:p>
          <w:p w14:paraId="06F72164" w14:textId="32AC39DE" w:rsidR="0006150A" w:rsidRPr="0017465C" w:rsidRDefault="008953D2" w:rsidP="0006150A">
            <w:pPr>
              <w:pStyle w:val="ListParagraph"/>
              <w:numPr>
                <w:ilvl w:val="0"/>
                <w:numId w:val="8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Times New Roman" w:hAnsi="Arial Narrow"/>
                <w:bCs/>
                <w:sz w:val="16"/>
                <w:szCs w:val="16"/>
                <w:lang w:val="en-US"/>
              </w:rPr>
            </w:pPr>
            <w:r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I</w:t>
            </w:r>
            <w:r w:rsidR="0006150A"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nterview with Irene </w:t>
            </w:r>
            <w:proofErr w:type="spellStart"/>
            <w:r w:rsidR="0006150A"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>Monasterolo</w:t>
            </w:r>
            <w:proofErr w:type="spellEnd"/>
            <w:r w:rsidR="0006150A" w:rsidRPr="0017465C">
              <w:rPr>
                <w:rFonts w:ascii="Arial Narrow" w:eastAsia="Times New Roman" w:hAnsi="Arial Narrow"/>
                <w:sz w:val="16"/>
                <w:szCs w:val="16"/>
                <w:lang w:val="en-US"/>
              </w:rPr>
              <w:t xml:space="preserve"> on 09.10.2018</w:t>
            </w:r>
          </w:p>
        </w:tc>
      </w:tr>
    </w:tbl>
    <w:p w14:paraId="19389C6B" w14:textId="3E4136D3" w:rsidR="00867325" w:rsidRPr="00F17E05" w:rsidRDefault="0055760E" w:rsidP="00822704">
      <w:pPr>
        <w:pStyle w:val="Caption"/>
        <w:rPr>
          <w:rFonts w:asciiTheme="minorHAnsi" w:hAnsiTheme="minorHAnsi" w:cstheme="minorHAnsi"/>
          <w:color w:val="auto"/>
          <w:lang w:val="en-US"/>
        </w:rPr>
      </w:pPr>
      <w:r w:rsidRPr="00F17E05">
        <w:rPr>
          <w:rFonts w:asciiTheme="minorHAnsi" w:hAnsiTheme="minorHAnsi" w:cstheme="minorHAnsi"/>
          <w:color w:val="auto"/>
          <w:lang w:val="en-US"/>
        </w:rPr>
        <w:t xml:space="preserve">Table </w:t>
      </w:r>
      <w:r w:rsidR="0059768C" w:rsidRPr="00F17E05">
        <w:rPr>
          <w:rFonts w:asciiTheme="minorHAnsi" w:hAnsiTheme="minorHAnsi" w:cstheme="minorHAnsi"/>
          <w:color w:val="auto"/>
          <w:lang w:val="en-US"/>
        </w:rPr>
        <w:fldChar w:fldCharType="begin"/>
      </w:r>
      <w:r w:rsidR="0059768C" w:rsidRPr="00F17E05">
        <w:rPr>
          <w:rFonts w:asciiTheme="minorHAnsi" w:hAnsiTheme="minorHAnsi" w:cstheme="minorHAnsi"/>
          <w:color w:val="auto"/>
          <w:lang w:val="en-US"/>
        </w:rPr>
        <w:instrText xml:space="preserve"> SEQ Table \* ARABIC \s 1 </w:instrText>
      </w:r>
      <w:r w:rsidR="0059768C" w:rsidRPr="00F17E05">
        <w:rPr>
          <w:rFonts w:asciiTheme="minorHAnsi" w:hAnsiTheme="minorHAnsi" w:cstheme="minorHAnsi"/>
          <w:color w:val="auto"/>
          <w:lang w:val="en-US"/>
        </w:rPr>
        <w:fldChar w:fldCharType="separate"/>
      </w:r>
      <w:r w:rsidR="0059768C" w:rsidRPr="00F17E05">
        <w:rPr>
          <w:rFonts w:asciiTheme="minorHAnsi" w:hAnsiTheme="minorHAnsi" w:cstheme="minorHAnsi"/>
          <w:noProof/>
          <w:color w:val="auto"/>
          <w:lang w:val="en-US"/>
        </w:rPr>
        <w:t>2</w:t>
      </w:r>
      <w:r w:rsidR="0059768C" w:rsidRPr="00F17E05">
        <w:rPr>
          <w:rFonts w:asciiTheme="minorHAnsi" w:hAnsiTheme="minorHAnsi" w:cstheme="minorHAnsi"/>
          <w:color w:val="auto"/>
          <w:lang w:val="en-US"/>
        </w:rPr>
        <w:fldChar w:fldCharType="end"/>
      </w:r>
      <w:r w:rsidRPr="00F17E05">
        <w:rPr>
          <w:rFonts w:asciiTheme="minorHAnsi" w:hAnsiTheme="minorHAnsi" w:cstheme="minorHAnsi"/>
          <w:color w:val="auto"/>
          <w:lang w:val="en-US"/>
        </w:rPr>
        <w:t>: Overview on the reviewed models</w:t>
      </w:r>
    </w:p>
    <w:p w14:paraId="2BD57011" w14:textId="77777777" w:rsidR="00867325" w:rsidRPr="00BC1B75" w:rsidRDefault="00867325" w:rsidP="0055760E">
      <w:pPr>
        <w:rPr>
          <w:lang w:val="en-US" w:eastAsia="de-DE"/>
        </w:rPr>
      </w:pPr>
    </w:p>
    <w:p w14:paraId="363902AF" w14:textId="1AFFDA7E" w:rsidR="0006150A" w:rsidRPr="00BC1B75" w:rsidRDefault="0006150A" w:rsidP="0055760E">
      <w:pPr>
        <w:pStyle w:val="Caption"/>
        <w:rPr>
          <w:color w:val="auto"/>
          <w:lang w:val="en-US"/>
        </w:rPr>
      </w:pPr>
    </w:p>
    <w:p w14:paraId="79BEBB8C" w14:textId="77777777" w:rsidR="0006150A" w:rsidRPr="00BC1B75" w:rsidRDefault="0006150A" w:rsidP="0006150A">
      <w:pPr>
        <w:rPr>
          <w:lang w:val="en-US" w:eastAsia="de-DE"/>
        </w:rPr>
      </w:pPr>
    </w:p>
    <w:p w14:paraId="6A995AAA" w14:textId="77777777" w:rsidR="0006150A" w:rsidRPr="00BC1B75" w:rsidRDefault="0006150A" w:rsidP="0006150A">
      <w:pPr>
        <w:rPr>
          <w:lang w:val="en-US" w:eastAsia="de-DE"/>
        </w:rPr>
      </w:pPr>
    </w:p>
    <w:p w14:paraId="3C1583E5" w14:textId="77777777" w:rsidR="0006150A" w:rsidRPr="00BC1B75" w:rsidRDefault="0006150A" w:rsidP="0006150A">
      <w:pPr>
        <w:rPr>
          <w:lang w:val="en-US" w:eastAsia="de-DE"/>
        </w:rPr>
      </w:pPr>
    </w:p>
    <w:p w14:paraId="47FF5523" w14:textId="77777777" w:rsidR="0006150A" w:rsidRPr="00BC1B75" w:rsidRDefault="0006150A" w:rsidP="0006150A">
      <w:pPr>
        <w:rPr>
          <w:lang w:val="en-US" w:eastAsia="de-DE"/>
        </w:rPr>
      </w:pPr>
    </w:p>
    <w:p w14:paraId="15572490" w14:textId="77777777" w:rsidR="0006150A" w:rsidRPr="00BC1B75" w:rsidRDefault="0006150A" w:rsidP="0006150A">
      <w:pPr>
        <w:rPr>
          <w:lang w:val="en-US" w:eastAsia="de-DE"/>
        </w:rPr>
      </w:pPr>
    </w:p>
    <w:p w14:paraId="7FC38A94" w14:textId="77777777" w:rsidR="0006150A" w:rsidRPr="00BC1B75" w:rsidRDefault="0006150A" w:rsidP="0006150A">
      <w:pPr>
        <w:rPr>
          <w:lang w:val="en-US" w:eastAsia="de-DE"/>
        </w:rPr>
      </w:pPr>
    </w:p>
    <w:p w14:paraId="519DDF99" w14:textId="77777777" w:rsidR="0006150A" w:rsidRPr="00BC1B75" w:rsidRDefault="0006150A" w:rsidP="0006150A">
      <w:pPr>
        <w:rPr>
          <w:lang w:val="en-US" w:eastAsia="de-DE"/>
        </w:rPr>
      </w:pPr>
    </w:p>
    <w:p w14:paraId="4B70F511" w14:textId="77777777" w:rsidR="0006150A" w:rsidRPr="00BC1B75" w:rsidRDefault="0006150A" w:rsidP="0006150A">
      <w:pPr>
        <w:rPr>
          <w:lang w:val="en-US" w:eastAsia="de-DE"/>
        </w:rPr>
      </w:pPr>
    </w:p>
    <w:p w14:paraId="27321568" w14:textId="77777777" w:rsidR="0006150A" w:rsidRPr="00BC1B75" w:rsidRDefault="0006150A" w:rsidP="0006150A">
      <w:pPr>
        <w:rPr>
          <w:lang w:val="en-US" w:eastAsia="de-DE"/>
        </w:rPr>
      </w:pPr>
    </w:p>
    <w:p w14:paraId="16AFA1FB" w14:textId="77777777" w:rsidR="0006150A" w:rsidRPr="00BC1B75" w:rsidRDefault="0006150A" w:rsidP="0006150A">
      <w:pPr>
        <w:rPr>
          <w:lang w:val="en-US" w:eastAsia="de-DE"/>
        </w:rPr>
      </w:pPr>
    </w:p>
    <w:p w14:paraId="0F68630A" w14:textId="77777777" w:rsidR="0006150A" w:rsidRPr="00BC1B75" w:rsidRDefault="0006150A" w:rsidP="0006150A">
      <w:pPr>
        <w:rPr>
          <w:lang w:val="en-US" w:eastAsia="de-DE"/>
        </w:rPr>
      </w:pPr>
    </w:p>
    <w:p w14:paraId="646DC3A7" w14:textId="67CA661C" w:rsidR="0006150A" w:rsidRPr="00BC1B75" w:rsidRDefault="0006150A" w:rsidP="0006150A">
      <w:pPr>
        <w:tabs>
          <w:tab w:val="left" w:pos="2367"/>
        </w:tabs>
        <w:rPr>
          <w:lang w:val="en-US" w:eastAsia="de-DE"/>
        </w:rPr>
      </w:pPr>
      <w:r w:rsidRPr="00BC1B75">
        <w:rPr>
          <w:lang w:val="en-US" w:eastAsia="de-DE"/>
        </w:rPr>
        <w:tab/>
      </w:r>
    </w:p>
    <w:p w14:paraId="14F1A227" w14:textId="14E672AF" w:rsidR="0055760E" w:rsidRPr="00BC1B75" w:rsidRDefault="0006150A" w:rsidP="0006150A">
      <w:pPr>
        <w:tabs>
          <w:tab w:val="left" w:pos="2367"/>
        </w:tabs>
        <w:rPr>
          <w:lang w:val="en-US" w:eastAsia="de-DE"/>
        </w:rPr>
        <w:sectPr w:rsidR="0055760E" w:rsidRPr="00BC1B75" w:rsidSect="00761F2D">
          <w:pgSz w:w="16838" w:h="11906" w:orient="landscape"/>
          <w:pgMar w:top="1134" w:right="1134" w:bottom="1134" w:left="1134" w:header="709" w:footer="850" w:gutter="0"/>
          <w:cols w:space="720"/>
          <w:docGrid w:linePitch="326"/>
        </w:sectPr>
      </w:pPr>
      <w:r w:rsidRPr="00BC1B75">
        <w:rPr>
          <w:lang w:val="en-US" w:eastAsia="de-DE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80"/>
        <w:gridCol w:w="2103"/>
        <w:gridCol w:w="513"/>
        <w:gridCol w:w="563"/>
        <w:gridCol w:w="584"/>
        <w:gridCol w:w="550"/>
        <w:gridCol w:w="4223"/>
      </w:tblGrid>
      <w:tr w:rsidR="0053493B" w:rsidRPr="00B849F0" w14:paraId="4CAA6C0F" w14:textId="77777777" w:rsidTr="00700F80">
        <w:tc>
          <w:tcPr>
            <w:tcW w:w="266" w:type="pct"/>
            <w:shd w:val="clear" w:color="auto" w:fill="auto"/>
          </w:tcPr>
          <w:p w14:paraId="1281D444" w14:textId="77777777" w:rsidR="0053493B" w:rsidRPr="00444EE7" w:rsidRDefault="0053493B" w:rsidP="00700F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lastRenderedPageBreak/>
              <w:t>No.</w:t>
            </w:r>
          </w:p>
        </w:tc>
        <w:tc>
          <w:tcPr>
            <w:tcW w:w="1167" w:type="pct"/>
            <w:shd w:val="clear" w:color="auto" w:fill="auto"/>
          </w:tcPr>
          <w:p w14:paraId="19B8F37F" w14:textId="77777777" w:rsidR="0053493B" w:rsidRPr="00444EE7" w:rsidRDefault="0053493B" w:rsidP="00700F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Desired features of a ‘new approach in economics’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shd w:val="clear" w:color="auto" w:fill="auto"/>
          </w:tcPr>
          <w:p w14:paraId="67620ADA" w14:textId="77777777" w:rsidR="0053493B" w:rsidRPr="00444EE7" w:rsidRDefault="0053493B" w:rsidP="00700F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E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</w:tcPr>
          <w:p w14:paraId="3747447B" w14:textId="77777777" w:rsidR="0053493B" w:rsidRPr="00444EE7" w:rsidRDefault="0053493B" w:rsidP="00700F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SD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shd w:val="clear" w:color="auto" w:fill="auto"/>
          </w:tcPr>
          <w:p w14:paraId="441B031E" w14:textId="77777777" w:rsidR="0053493B" w:rsidRPr="00444EE7" w:rsidRDefault="0053493B" w:rsidP="00700F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ABM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shd w:val="clear" w:color="auto" w:fill="auto"/>
          </w:tcPr>
          <w:p w14:paraId="5B5366F8" w14:textId="77777777" w:rsidR="0053493B" w:rsidRPr="00444EE7" w:rsidRDefault="0053493B" w:rsidP="00700F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SFC</w:t>
            </w:r>
          </w:p>
        </w:tc>
        <w:tc>
          <w:tcPr>
            <w:tcW w:w="2342" w:type="pct"/>
            <w:tcBorders>
              <w:bottom w:val="single" w:sz="4" w:space="0" w:color="auto"/>
            </w:tcBorders>
            <w:shd w:val="clear" w:color="auto" w:fill="auto"/>
          </w:tcPr>
          <w:p w14:paraId="29A22677" w14:textId="77777777" w:rsidR="0053493B" w:rsidRPr="00444EE7" w:rsidRDefault="0053493B" w:rsidP="00700F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Relevance for the understanding of e</w:t>
            </w:r>
            <w:r w:rsidRPr="00444EE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nergy transition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</w:t>
            </w:r>
          </w:p>
        </w:tc>
      </w:tr>
      <w:tr w:rsidR="0053493B" w:rsidRPr="00B849F0" w14:paraId="6AE3F0AB" w14:textId="77777777" w:rsidTr="00700F80">
        <w:tc>
          <w:tcPr>
            <w:tcW w:w="266" w:type="pct"/>
            <w:shd w:val="clear" w:color="auto" w:fill="FFFFFF" w:themeFill="background1"/>
          </w:tcPr>
          <w:p w14:paraId="41006A91" w14:textId="77777777" w:rsidR="0053493B" w:rsidRPr="009F1689" w:rsidRDefault="0053493B" w:rsidP="00700F80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9F1689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1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80524D3" w14:textId="77777777" w:rsidR="0053493B" w:rsidRPr="00525476" w:rsidRDefault="0053493B" w:rsidP="00700F8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2547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Complexity, non-linearity, non-</w:t>
            </w:r>
            <w:proofErr w:type="spellStart"/>
            <w:r w:rsidRPr="0052547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ergocity</w:t>
            </w:r>
            <w:proofErr w:type="spellEnd"/>
            <w:r w:rsidRPr="0052547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and deep uncertainty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08629EED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4A77AFA1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6C99A2E7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0B7BF1" w14:textId="77777777" w:rsidR="0053493B" w:rsidRPr="00525476" w:rsidRDefault="0053493B" w:rsidP="00700F80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  <w:p w14:paraId="1C9EA87E" w14:textId="77777777" w:rsidR="0053493B" w:rsidRPr="00525476" w:rsidRDefault="0053493B" w:rsidP="00700F80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highlight w:val="lightGray"/>
                <w:lang w:val="en-GB"/>
              </w:rPr>
              <w:t>*</w:t>
            </w: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29862" w14:textId="77777777" w:rsidR="0053493B" w:rsidRDefault="0053493B" w:rsidP="00700F80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Impacts model results and policy implications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(see section 3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);</w:t>
            </w:r>
            <w:proofErr w:type="gramEnd"/>
          </w:p>
          <w:p w14:paraId="178C9A55" w14:textId="77777777" w:rsidR="0053493B" w:rsidRPr="00444EE7" w:rsidRDefault="0053493B" w:rsidP="00700F80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Energy transitions are influenced by, and impact, other areas such as consumption,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production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or labour market (e.g. changes in skills requirements) and include delays (e.g. changes in regulations, in skills etc.) and are thus characterised by complexity. </w:t>
            </w:r>
          </w:p>
          <w:p w14:paraId="0809613C" w14:textId="77777777" w:rsidR="0053493B" w:rsidRPr="00444EE7" w:rsidRDefault="0053493B" w:rsidP="00700F80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Non-</w:t>
            </w:r>
            <w:proofErr w:type="spellStart"/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ergocity</w:t>
            </w:r>
            <w:proofErr w:type="spellEnd"/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relevant is relevant as in sustainability transitions future 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changes</w:t>
            </w:r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are likely to be di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fferent to past data patterns. </w:t>
            </w:r>
          </w:p>
        </w:tc>
      </w:tr>
      <w:tr w:rsidR="0053493B" w:rsidRPr="00B849F0" w14:paraId="5E9BE015" w14:textId="77777777" w:rsidTr="00700F80">
        <w:tc>
          <w:tcPr>
            <w:tcW w:w="266" w:type="pct"/>
            <w:shd w:val="clear" w:color="auto" w:fill="FFFFFF" w:themeFill="background1"/>
          </w:tcPr>
          <w:p w14:paraId="4594C0F7" w14:textId="77777777" w:rsidR="0053493B" w:rsidRPr="009F1689" w:rsidRDefault="0053493B" w:rsidP="00700F80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9F1689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2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6BB8C7C" w14:textId="77777777" w:rsidR="0053493B" w:rsidRPr="00525476" w:rsidRDefault="0053493B" w:rsidP="00700F8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25476">
              <w:rPr>
                <w:rStyle w:val="Ohne"/>
                <w:rFonts w:asciiTheme="minorHAnsi" w:hAnsiTheme="minorHAnsi" w:cstheme="minorHAnsi"/>
                <w:sz w:val="18"/>
                <w:szCs w:val="18"/>
                <w:u w:color="000000"/>
                <w:lang w:val="en-GB"/>
              </w:rPr>
              <w:t xml:space="preserve">Importance of time, </w:t>
            </w:r>
            <w:r w:rsidRPr="0052547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path-dependency, lock-in and irreversibility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14095933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45AFBF96" w14:textId="77777777" w:rsidR="0053493B" w:rsidRPr="00525476" w:rsidRDefault="0053493B" w:rsidP="00700F80">
            <w:pPr>
              <w:shd w:val="clear" w:color="auto" w:fill="2E74B5" w:themeFill="accent1" w:themeFillShade="BF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0255B0F7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05" w:type="pct"/>
            <w:vMerge/>
            <w:tcBorders>
              <w:left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C72B48C" w14:textId="77777777" w:rsidR="0053493B" w:rsidRPr="00525476" w:rsidRDefault="0053493B" w:rsidP="00700F80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8516E8" w14:textId="77777777" w:rsidR="0053493B" w:rsidRPr="00444EE7" w:rsidRDefault="0053493B" w:rsidP="00700F80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Representation 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of</w:t>
            </w:r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infrastructure lock-in 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or cost decreases due to learning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effects;</w:t>
            </w:r>
            <w:proofErr w:type="gramEnd"/>
          </w:p>
          <w:p w14:paraId="57CCAE07" w14:textId="77777777" w:rsidR="0053493B" w:rsidRDefault="0053493B" w:rsidP="00700F80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Technical potential for different energy sources or availability of resources required for </w:t>
            </w:r>
            <w:proofErr w:type="gramStart"/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equipment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;</w:t>
            </w:r>
            <w:proofErr w:type="gramEnd"/>
          </w:p>
          <w:p w14:paraId="623D2406" w14:textId="77777777" w:rsidR="0053493B" w:rsidRPr="00444EE7" w:rsidRDefault="0053493B" w:rsidP="00700F80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Changes in actor behaviour over time. </w:t>
            </w:r>
          </w:p>
        </w:tc>
      </w:tr>
      <w:tr w:rsidR="0053493B" w:rsidRPr="00B849F0" w14:paraId="504EEB27" w14:textId="77777777" w:rsidTr="00700F80">
        <w:tc>
          <w:tcPr>
            <w:tcW w:w="266" w:type="pct"/>
            <w:shd w:val="clear" w:color="auto" w:fill="FFFFFF" w:themeFill="background1"/>
          </w:tcPr>
          <w:p w14:paraId="1CF060AB" w14:textId="77777777" w:rsidR="0053493B" w:rsidRPr="009F1689" w:rsidRDefault="0053493B" w:rsidP="00700F80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9F1689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3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CB94E32" w14:textId="77777777" w:rsidR="0053493B" w:rsidRPr="00525476" w:rsidRDefault="0053493B" w:rsidP="00700F8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25476">
              <w:rPr>
                <w:rFonts w:asciiTheme="minorHAnsi" w:eastAsia="Times New Roman" w:hAnsiTheme="minorHAnsi" w:cstheme="minorHAnsi"/>
                <w:sz w:val="18"/>
                <w:szCs w:val="18"/>
                <w:lang w:val="en-GB"/>
              </w:rPr>
              <w:t>Agents’ heterogeneity and behavioural elements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7BF9B857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3621DC30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4C08FD92" w14:textId="77777777" w:rsidR="0053493B" w:rsidRPr="00525476" w:rsidRDefault="0053493B" w:rsidP="00700F80">
            <w:pPr>
              <w:shd w:val="clear" w:color="auto" w:fill="2E74B5" w:themeFill="accent1" w:themeFillShade="BF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05" w:type="pct"/>
            <w:vMerge/>
            <w:tcBorders>
              <w:left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FF4A59B" w14:textId="77777777" w:rsidR="0053493B" w:rsidRPr="00525476" w:rsidRDefault="0053493B" w:rsidP="00700F80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81DD70" w14:textId="77777777" w:rsidR="0053493B" w:rsidRDefault="0053493B" w:rsidP="00700F80">
            <w:pPr>
              <w:pStyle w:val="ListParagraph"/>
              <w:numPr>
                <w:ilvl w:val="0"/>
                <w:numId w:val="4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Investigation of</w:t>
            </w:r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consumer, energy producer, financial investor and government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interactions;</w:t>
            </w:r>
            <w:proofErr w:type="gramEnd"/>
          </w:p>
          <w:p w14:paraId="0C18D906" w14:textId="77777777" w:rsidR="0053493B" w:rsidRDefault="0053493B" w:rsidP="00700F80">
            <w:pPr>
              <w:pStyle w:val="ListParagraph"/>
              <w:numPr>
                <w:ilvl w:val="0"/>
                <w:numId w:val="4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Understanding renewable energy technology innovation or adoption from a bottom-up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perspective;</w:t>
            </w:r>
            <w:proofErr w:type="gramEnd"/>
          </w:p>
          <w:p w14:paraId="304A6BA9" w14:textId="77777777" w:rsidR="0053493B" w:rsidRPr="00444EE7" w:rsidRDefault="0053493B" w:rsidP="00700F80">
            <w:pPr>
              <w:pStyle w:val="ListParagraph"/>
              <w:numPr>
                <w:ilvl w:val="0"/>
                <w:numId w:val="4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Representation of the different skill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requirements;</w:t>
            </w:r>
            <w:proofErr w:type="gramEnd"/>
          </w:p>
          <w:p w14:paraId="3210F9E1" w14:textId="77777777" w:rsidR="0053493B" w:rsidRPr="00444EE7" w:rsidRDefault="0053493B" w:rsidP="00700F80">
            <w:pPr>
              <w:pStyle w:val="ListParagraph"/>
              <w:numPr>
                <w:ilvl w:val="0"/>
                <w:numId w:val="41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Evaluation of distributional effects of policy interventions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</w:p>
        </w:tc>
      </w:tr>
      <w:tr w:rsidR="0053493B" w:rsidRPr="00B849F0" w14:paraId="349AEA4C" w14:textId="77777777" w:rsidTr="00700F80">
        <w:tc>
          <w:tcPr>
            <w:tcW w:w="266" w:type="pct"/>
            <w:shd w:val="clear" w:color="auto" w:fill="FFFFFF" w:themeFill="background1"/>
          </w:tcPr>
          <w:p w14:paraId="7EA01CC4" w14:textId="77777777" w:rsidR="0053493B" w:rsidRPr="009F1689" w:rsidRDefault="0053493B" w:rsidP="00700F80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9F1689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4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5F7C9718" w14:textId="77777777" w:rsidR="0053493B" w:rsidRPr="00525476" w:rsidRDefault="0053493B" w:rsidP="00700F8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2547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Interdisciplinary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49BD525A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7F0D3057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38047E28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05" w:type="pct"/>
            <w:vMerge/>
            <w:tcBorders>
              <w:left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F688473" w14:textId="77777777" w:rsidR="0053493B" w:rsidRPr="002B266A" w:rsidRDefault="0053493B" w:rsidP="00700F80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ADE0EF" w14:textId="77777777" w:rsidR="0053493B" w:rsidRPr="00444EE7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Simulation of the relevant political, social, institutional, technical,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organisational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or economic aspects on energy transitions</w:t>
            </w:r>
          </w:p>
        </w:tc>
      </w:tr>
      <w:tr w:rsidR="0053493B" w:rsidRPr="00B849F0" w14:paraId="4FA3D5E9" w14:textId="77777777" w:rsidTr="00700F80">
        <w:tc>
          <w:tcPr>
            <w:tcW w:w="266" w:type="pct"/>
            <w:shd w:val="clear" w:color="auto" w:fill="FFFFFF" w:themeFill="background1"/>
          </w:tcPr>
          <w:p w14:paraId="361B254D" w14:textId="77777777" w:rsidR="0053493B" w:rsidRPr="009F1689" w:rsidRDefault="0053493B" w:rsidP="00700F80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9F1689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5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4A72BD95" w14:textId="77777777" w:rsidR="0053493B" w:rsidRPr="00525476" w:rsidRDefault="0053493B" w:rsidP="00700F8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2547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Role of institutions and social context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2EDFE954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5F06FA14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29B4C4CF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05" w:type="pct"/>
            <w:vMerge/>
            <w:tcBorders>
              <w:left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6EEF020" w14:textId="77777777" w:rsidR="0053493B" w:rsidRPr="002B266A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7EB492" w14:textId="77777777" w:rsidR="0053493B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Representation of institutional influences on regulations or frameworks (e.g. climate related risk disclosures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);</w:t>
            </w:r>
            <w:proofErr w:type="gramEnd"/>
          </w:p>
          <w:p w14:paraId="02E220AE" w14:textId="77777777" w:rsidR="0053493B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Influences of syndicates or other interest groups on wage formation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process;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380C6C4F" w14:textId="77777777" w:rsidR="0053493B" w:rsidRPr="007C48F6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Representation of lobbying on political processes,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regulations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or frameworks. </w:t>
            </w:r>
          </w:p>
        </w:tc>
      </w:tr>
      <w:tr w:rsidR="0053493B" w:rsidRPr="00B849F0" w14:paraId="69F271F0" w14:textId="77777777" w:rsidTr="00700F80">
        <w:tc>
          <w:tcPr>
            <w:tcW w:w="266" w:type="pct"/>
            <w:shd w:val="clear" w:color="auto" w:fill="FFFFFF" w:themeFill="background1"/>
          </w:tcPr>
          <w:p w14:paraId="5B5239DD" w14:textId="77777777" w:rsidR="0053493B" w:rsidRPr="009F1689" w:rsidRDefault="0053493B" w:rsidP="00700F80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9F1689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6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7C82B48A" w14:textId="77777777" w:rsidR="0053493B" w:rsidRPr="00525476" w:rsidRDefault="0053493B" w:rsidP="00700F8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2547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Ethical and moral philosophical aspects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3D55097E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025A0E41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2E74B5" w:themeFill="accent1" w:themeFillShade="BF"/>
            <w:vAlign w:val="center"/>
          </w:tcPr>
          <w:p w14:paraId="53E1812B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05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D253940" w14:textId="77777777" w:rsidR="0053493B" w:rsidRPr="002B266A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highlight w:val="lightGray"/>
                <w:lang w:val="en-GB"/>
              </w:rPr>
            </w:pP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0292" w14:textId="77777777" w:rsidR="0053493B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Relevant to understand how different policy objectives should or could be prioritised when there are trade-offs between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them;</w:t>
            </w:r>
            <w:proofErr w:type="gramEnd"/>
          </w:p>
          <w:p w14:paraId="15F98F55" w14:textId="77777777" w:rsidR="0053493B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Understanding of what does a ‘just energy transition’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mean;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21FC5FC3" w14:textId="77777777" w:rsidR="0053493B" w:rsidRPr="007C48F6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Ethics might be relevant for actor’s behaviour. </w:t>
            </w:r>
          </w:p>
        </w:tc>
      </w:tr>
      <w:tr w:rsidR="0053493B" w:rsidRPr="009F1689" w14:paraId="4BDA0159" w14:textId="77777777" w:rsidTr="00700F80">
        <w:tc>
          <w:tcPr>
            <w:tcW w:w="266" w:type="pct"/>
            <w:shd w:val="clear" w:color="auto" w:fill="FFFFFF" w:themeFill="background1"/>
          </w:tcPr>
          <w:p w14:paraId="1509E393" w14:textId="77777777" w:rsidR="0053493B" w:rsidRPr="009F1689" w:rsidRDefault="0053493B" w:rsidP="00700F80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9F1689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7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376C3AA5" w14:textId="77777777" w:rsidR="0053493B" w:rsidRPr="00525476" w:rsidRDefault="0053493B" w:rsidP="00700F8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2547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Finance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4E12A747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3CA838BE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9CC2E5" w:themeFill="accent1" w:themeFillTint="99"/>
            <w:vAlign w:val="center"/>
          </w:tcPr>
          <w:p w14:paraId="1C95A4B9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0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2E74B5" w:themeFill="accent1" w:themeFillShade="BF"/>
            <w:vAlign w:val="center"/>
          </w:tcPr>
          <w:p w14:paraId="33DCFC90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D1F25C" w14:textId="77777777" w:rsidR="0053493B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7C48F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How can the energy transition be financed?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744B8949" w14:textId="77777777" w:rsidR="0053493B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What are the implications of a (very quick or very slow) energy transition on the stability of the financial system? </w:t>
            </w:r>
          </w:p>
          <w:p w14:paraId="10DEBBDF" w14:textId="77777777" w:rsidR="0053493B" w:rsidRPr="007C48F6" w:rsidRDefault="0053493B" w:rsidP="00700F80">
            <w:pPr>
              <w:pStyle w:val="ListParagraph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What are the effects of increased investments on GDP? (see section 3)</w:t>
            </w:r>
          </w:p>
        </w:tc>
      </w:tr>
      <w:tr w:rsidR="0053493B" w:rsidRPr="00B849F0" w14:paraId="05A67D71" w14:textId="77777777" w:rsidTr="00700F80">
        <w:tc>
          <w:tcPr>
            <w:tcW w:w="266" w:type="pct"/>
            <w:shd w:val="clear" w:color="auto" w:fill="FFFFFF" w:themeFill="background1"/>
          </w:tcPr>
          <w:p w14:paraId="05729B09" w14:textId="77777777" w:rsidR="0053493B" w:rsidRPr="009F1689" w:rsidRDefault="0053493B" w:rsidP="00700F80">
            <w:p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9F1689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8</w:t>
            </w:r>
          </w:p>
        </w:tc>
        <w:tc>
          <w:tcPr>
            <w:tcW w:w="1167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8B26ABC" w14:textId="77777777" w:rsidR="0053493B" w:rsidRPr="00525476" w:rsidRDefault="0053493B" w:rsidP="00700F80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525476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Multiple equilibria/disequilibrium</w:t>
            </w:r>
          </w:p>
        </w:tc>
        <w:tc>
          <w:tcPr>
            <w:tcW w:w="2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0FB56632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1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3D1E52F9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2E74B5" w:themeFill="accent1" w:themeFillShade="BF"/>
            <w:vAlign w:val="center"/>
          </w:tcPr>
          <w:p w14:paraId="4F61E6E2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vAlign w:val="center"/>
          </w:tcPr>
          <w:p w14:paraId="79E3506D" w14:textId="77777777" w:rsidR="0053493B" w:rsidRPr="00525476" w:rsidRDefault="0053493B" w:rsidP="00700F80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sym w:font="Wingdings" w:char="F0FC"/>
            </w:r>
          </w:p>
        </w:tc>
        <w:tc>
          <w:tcPr>
            <w:tcW w:w="2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916E1F" w14:textId="77777777" w:rsidR="0053493B" w:rsidRDefault="0053493B" w:rsidP="00700F80">
            <w:pPr>
              <w:pStyle w:val="ListParagraph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444EE7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Impacts model results and policy implications</w:t>
            </w: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(see section 3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);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  <w:p w14:paraId="063A4CF1" w14:textId="77777777" w:rsidR="0053493B" w:rsidRPr="00B05584" w:rsidRDefault="0053493B" w:rsidP="00700F80">
            <w:pPr>
              <w:pStyle w:val="ListParagraph"/>
              <w:keepNext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lastRenderedPageBreak/>
              <w:t xml:space="preserve">Energy-transitions involve deep structural non-marginal changes and are therefore likely out-of-equilibrium </w:t>
            </w:r>
            <w:proofErr w:type="gramStart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transitions’</w:t>
            </w:r>
            <w:proofErr w:type="gramEnd"/>
            <w:r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. </w:t>
            </w:r>
          </w:p>
        </w:tc>
      </w:tr>
    </w:tbl>
    <w:p w14:paraId="5F26FAE4" w14:textId="77777777" w:rsidR="0053493B" w:rsidRPr="00C3657C" w:rsidRDefault="0053493B" w:rsidP="0053493B">
      <w:pPr>
        <w:pStyle w:val="Caption"/>
        <w:rPr>
          <w:lang w:val="en-GB"/>
        </w:rPr>
      </w:pPr>
      <w:r>
        <w:rPr>
          <w:lang w:val="en-GB"/>
        </w:rPr>
        <w:lastRenderedPageBreak/>
        <w:t xml:space="preserve">Table </w:t>
      </w:r>
      <w:r>
        <w:rPr>
          <w:lang w:val="en-GB"/>
        </w:rPr>
        <w:fldChar w:fldCharType="begin"/>
      </w:r>
      <w:r>
        <w:rPr>
          <w:lang w:val="en-GB"/>
        </w:rPr>
        <w:instrText xml:space="preserve"> STYLEREF 1 \s </w:instrText>
      </w:r>
      <w:r>
        <w:rPr>
          <w:lang w:val="en-GB"/>
        </w:rPr>
        <w:fldChar w:fldCharType="end"/>
      </w:r>
      <w:r>
        <w:rPr>
          <w:lang w:val="en-GB"/>
        </w:rPr>
        <w:fldChar w:fldCharType="begin"/>
      </w:r>
      <w:r>
        <w:rPr>
          <w:lang w:val="en-GB"/>
        </w:rPr>
        <w:instrText xml:space="preserve"> SEQ Table \* ARABIC \s 1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3</w:t>
      </w:r>
      <w:r>
        <w:rPr>
          <w:lang w:val="en-GB"/>
        </w:rPr>
        <w:fldChar w:fldCharType="end"/>
      </w:r>
      <w:r w:rsidRPr="007D2A85">
        <w:rPr>
          <w:lang w:val="en-GB"/>
        </w:rPr>
        <w:t>: Overview on evaluated</w:t>
      </w:r>
      <w:r w:rsidRPr="003B1B6F">
        <w:rPr>
          <w:lang w:val="en-GB"/>
        </w:rPr>
        <w:t xml:space="preserve"> features </w:t>
      </w:r>
      <w:r>
        <w:rPr>
          <w:lang w:val="en-GB"/>
        </w:rPr>
        <w:t>compared to the potential of</w:t>
      </w:r>
      <w:r w:rsidRPr="003B1B6F">
        <w:rPr>
          <w:lang w:val="en-GB"/>
        </w:rPr>
        <w:t xml:space="preserve"> different modelling approaches</w:t>
      </w:r>
      <w:r>
        <w:rPr>
          <w:lang w:val="en-GB"/>
        </w:rPr>
        <w:t xml:space="preserve"> to capture them</w:t>
      </w:r>
    </w:p>
    <w:p w14:paraId="7573E86C" w14:textId="77777777" w:rsidR="0053493B" w:rsidRPr="003835FA" w:rsidRDefault="0053493B" w:rsidP="0053493B">
      <w:pPr>
        <w:rPr>
          <w:i/>
          <w:sz w:val="18"/>
          <w:szCs w:val="18"/>
          <w:lang w:val="en-GB"/>
        </w:rPr>
      </w:pPr>
      <w:r w:rsidRPr="003835FA">
        <w:rPr>
          <w:i/>
          <w:sz w:val="18"/>
          <w:szCs w:val="18"/>
          <w:lang w:val="en-GB"/>
        </w:rPr>
        <w:t xml:space="preserve">* This depends </w:t>
      </w:r>
      <w:proofErr w:type="gramStart"/>
      <w:r w:rsidRPr="003835FA">
        <w:rPr>
          <w:i/>
          <w:sz w:val="18"/>
          <w:szCs w:val="18"/>
          <w:lang w:val="en-GB"/>
        </w:rPr>
        <w:t>with</w:t>
      </w:r>
      <w:proofErr w:type="gramEnd"/>
      <w:r w:rsidRPr="003835FA">
        <w:rPr>
          <w:i/>
          <w:sz w:val="18"/>
          <w:szCs w:val="18"/>
          <w:lang w:val="en-GB"/>
        </w:rPr>
        <w:t xml:space="preserve"> what modelling approach the SFC approach is combined</w:t>
      </w:r>
      <w:r>
        <w:rPr>
          <w:i/>
          <w:sz w:val="18"/>
          <w:szCs w:val="18"/>
          <w:lang w:val="en-GB"/>
        </w:rPr>
        <w:t xml:space="preserve"> (see section 4.1.4.)</w:t>
      </w:r>
    </w:p>
    <w:p w14:paraId="7AA87124" w14:textId="77777777" w:rsidR="0053493B" w:rsidRPr="003835FA" w:rsidRDefault="0053493B" w:rsidP="0053493B">
      <w:pPr>
        <w:rPr>
          <w:i/>
          <w:sz w:val="18"/>
          <w:szCs w:val="18"/>
          <w:lang w:val="en-GB"/>
        </w:rPr>
      </w:pPr>
    </w:p>
    <w:p w14:paraId="2B09604D" w14:textId="77777777" w:rsidR="0053493B" w:rsidRPr="003835FA" w:rsidRDefault="0053493B" w:rsidP="0053493B">
      <w:pPr>
        <w:rPr>
          <w:i/>
          <w:sz w:val="18"/>
          <w:szCs w:val="18"/>
          <w:lang w:val="en-GB"/>
        </w:rPr>
      </w:pPr>
      <w:r w:rsidRPr="003835FA">
        <w:rPr>
          <w:i/>
          <w:sz w:val="18"/>
          <w:szCs w:val="18"/>
          <w:lang w:val="en-GB"/>
        </w:rPr>
        <w:t xml:space="preserve">Legend: </w:t>
      </w:r>
    </w:p>
    <w:p w14:paraId="21C024F2" w14:textId="77777777" w:rsidR="0053493B" w:rsidRPr="003835FA" w:rsidRDefault="0053493B" w:rsidP="0053493B">
      <w:pPr>
        <w:rPr>
          <w:rFonts w:cstheme="minorHAnsi"/>
          <w:i/>
          <w:sz w:val="18"/>
          <w:szCs w:val="18"/>
          <w:lang w:val="en-GB"/>
        </w:rPr>
      </w:pPr>
      <w:r w:rsidRPr="003835FA">
        <w:rPr>
          <w:rFonts w:cstheme="minorHAnsi"/>
          <w:i/>
          <w:sz w:val="18"/>
          <w:szCs w:val="18"/>
          <w:lang w:val="en-GB"/>
        </w:rPr>
        <w:t>E: Econometrics</w:t>
      </w:r>
    </w:p>
    <w:p w14:paraId="63560984" w14:textId="77777777" w:rsidR="0053493B" w:rsidRPr="003835FA" w:rsidRDefault="0053493B" w:rsidP="0053493B">
      <w:pPr>
        <w:rPr>
          <w:rFonts w:cstheme="minorHAnsi"/>
          <w:i/>
          <w:sz w:val="18"/>
          <w:szCs w:val="18"/>
          <w:lang w:val="en-GB"/>
        </w:rPr>
      </w:pPr>
      <w:r w:rsidRPr="003835FA">
        <w:rPr>
          <w:rFonts w:cstheme="minorHAnsi"/>
          <w:i/>
          <w:sz w:val="18"/>
          <w:szCs w:val="18"/>
          <w:lang w:val="en-GB"/>
        </w:rPr>
        <w:t>SD: System Dynamics</w:t>
      </w:r>
    </w:p>
    <w:p w14:paraId="76B7F03B" w14:textId="77777777" w:rsidR="0053493B" w:rsidRPr="003835FA" w:rsidRDefault="0053493B" w:rsidP="0053493B">
      <w:pPr>
        <w:rPr>
          <w:rFonts w:cstheme="minorHAnsi"/>
          <w:i/>
          <w:sz w:val="18"/>
          <w:szCs w:val="18"/>
          <w:lang w:val="en-GB"/>
        </w:rPr>
      </w:pPr>
      <w:r w:rsidRPr="003835FA">
        <w:rPr>
          <w:rFonts w:cstheme="minorHAnsi"/>
          <w:i/>
          <w:sz w:val="18"/>
          <w:szCs w:val="18"/>
          <w:lang w:val="en-GB"/>
        </w:rPr>
        <w:t>ABM: Agent-based modelling</w:t>
      </w:r>
    </w:p>
    <w:p w14:paraId="0987FB20" w14:textId="77777777" w:rsidR="0053493B" w:rsidRPr="003835FA" w:rsidRDefault="0053493B" w:rsidP="0053493B">
      <w:pPr>
        <w:rPr>
          <w:rFonts w:cstheme="minorHAnsi"/>
          <w:i/>
          <w:sz w:val="18"/>
          <w:szCs w:val="18"/>
          <w:lang w:val="en-GB"/>
        </w:rPr>
      </w:pPr>
      <w:r w:rsidRPr="003835FA">
        <w:rPr>
          <w:rFonts w:cstheme="minorHAnsi"/>
          <w:i/>
          <w:sz w:val="18"/>
          <w:szCs w:val="18"/>
          <w:lang w:val="en-GB"/>
        </w:rPr>
        <w:t>SFC: stock-flow-consistent modelling</w:t>
      </w:r>
    </w:p>
    <w:p w14:paraId="735BAC0A" w14:textId="0C1E8CEC" w:rsidR="00B849F0" w:rsidRDefault="00B849F0">
      <w:pPr>
        <w:spacing w:after="160" w:line="259" w:lineRule="auto"/>
        <w:rPr>
          <w:lang w:val="en-US" w:eastAsia="de-DE"/>
        </w:rPr>
      </w:pPr>
      <w:r>
        <w:rPr>
          <w:lang w:val="en-US" w:eastAsia="de-DE"/>
        </w:rPr>
        <w:br w:type="page"/>
      </w:r>
    </w:p>
    <w:p w14:paraId="0B10F4B5" w14:textId="77777777" w:rsidR="00B849F0" w:rsidRDefault="00B849F0">
      <w:pPr>
        <w:spacing w:after="160" w:line="259" w:lineRule="auto"/>
        <w:rPr>
          <w:lang w:val="en-US" w:eastAsia="de-D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4494"/>
        <w:gridCol w:w="944"/>
        <w:gridCol w:w="729"/>
        <w:gridCol w:w="651"/>
        <w:gridCol w:w="729"/>
        <w:gridCol w:w="622"/>
      </w:tblGrid>
      <w:tr w:rsidR="00B849F0" w:rsidRPr="000B618E" w14:paraId="6B380541" w14:textId="77777777" w:rsidTr="00AB435C">
        <w:trPr>
          <w:trHeight w:val="221"/>
        </w:trPr>
        <w:tc>
          <w:tcPr>
            <w:tcW w:w="472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EE3E642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452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280537B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Production function</w:t>
            </w:r>
          </w:p>
        </w:tc>
      </w:tr>
      <w:tr w:rsidR="00B849F0" w:rsidRPr="000B618E" w14:paraId="79C03269" w14:textId="77777777" w:rsidTr="00AB435C">
        <w:trPr>
          <w:trHeight w:val="221"/>
        </w:trPr>
        <w:tc>
          <w:tcPr>
            <w:tcW w:w="4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2E864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6E2086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Static I/O-coefficients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869B44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Dynamic I/O-coefficients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0A37007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CES-function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B19668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AK-growth model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87F946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 xml:space="preserve">CB-function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16CE5F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Other</w:t>
            </w:r>
          </w:p>
        </w:tc>
      </w:tr>
      <w:tr w:rsidR="00B849F0" w:rsidRPr="000B618E" w14:paraId="30E36EBC" w14:textId="77777777" w:rsidTr="00AB435C">
        <w:trPr>
          <w:trHeight w:val="158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D5AF12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E1A37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488DE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 xml:space="preserve">X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77CA6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9DA1B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510B4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B302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41FF0679" w14:textId="77777777" w:rsidTr="00AB435C">
        <w:trPr>
          <w:trHeight w:val="196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01BF3F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PANTA RHEI/</w:t>
            </w:r>
          </w:p>
          <w:p w14:paraId="6B6B4A7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GINFORS 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454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5A2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 xml:space="preserve">X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890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989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46D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08A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7E0752E0" w14:textId="77777777" w:rsidTr="00AB435C">
        <w:trPr>
          <w:trHeight w:val="158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FA829F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E088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 xml:space="preserve">X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9CDD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DA0CF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130F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0FCC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 xml:space="preserve"> 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D3D5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1AA4CAAC" w14:textId="77777777" w:rsidTr="00AB435C">
        <w:trPr>
          <w:trHeight w:val="158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A0357F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314B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BD4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E59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7D6C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72F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9CC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3A721F65" w14:textId="77777777" w:rsidTr="00AB435C">
        <w:trPr>
          <w:trHeight w:val="175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EFFE1B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82242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 (E)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183B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61F0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02CF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B939F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 (C&amp;L)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1DB2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0AD88EA4" w14:textId="77777777" w:rsidTr="00AB435C">
        <w:trPr>
          <w:trHeight w:val="158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72B3B8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8BCE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4EA7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31E8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E64E2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51CBD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06F45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B8B09CD" w14:textId="77777777" w:rsidTr="00AB435C">
        <w:trPr>
          <w:trHeight w:val="158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0E4E5A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BC4E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D044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A843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E28A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9D12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9A2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4B241DB2" w14:textId="77777777" w:rsidTr="00AB435C">
        <w:trPr>
          <w:trHeight w:val="158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003FC8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C897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23E5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A4F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A656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0EE9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D1BE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</w:tr>
      <w:tr w:rsidR="00B849F0" w:rsidRPr="000B618E" w14:paraId="3F771B2B" w14:textId="77777777" w:rsidTr="00AB435C">
        <w:trPr>
          <w:trHeight w:val="158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394190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A91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 xml:space="preserve">X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47E4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1AD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B5F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1C6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197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526E9800" w14:textId="77777777" w:rsidTr="00AB435C">
        <w:trPr>
          <w:trHeight w:val="122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75A080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2D25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B06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DE0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A6E4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D14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D7C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3A4C11F9" w14:textId="77777777" w:rsidTr="00AB435C">
        <w:trPr>
          <w:trHeight w:val="158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7CA265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2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ED35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 (C, L, E)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9FB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2645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E35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F96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62090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</w:tbl>
    <w:p w14:paraId="135A593F" w14:textId="77777777" w:rsidR="00B849F0" w:rsidRPr="000B618E" w:rsidRDefault="00B849F0" w:rsidP="00B849F0">
      <w:pPr>
        <w:pStyle w:val="Caption"/>
        <w:rPr>
          <w:rFonts w:asciiTheme="minorHAnsi" w:hAnsiTheme="minorHAnsi" w:cstheme="minorHAnsi"/>
          <w:lang w:val="en-GB"/>
        </w:rPr>
      </w:pPr>
      <w:r w:rsidRPr="000B618E">
        <w:rPr>
          <w:rFonts w:asciiTheme="minorHAnsi" w:hAnsiTheme="minorHAnsi" w:cstheme="minorHAnsi"/>
          <w:lang w:val="en-GB"/>
        </w:rPr>
        <w:t xml:space="preserve">Table A </w:t>
      </w:r>
      <w:r w:rsidRPr="000B618E">
        <w:rPr>
          <w:rFonts w:asciiTheme="minorHAnsi" w:hAnsiTheme="minorHAnsi" w:cstheme="minorHAnsi"/>
        </w:rPr>
        <w:fldChar w:fldCharType="begin"/>
      </w:r>
      <w:r w:rsidRPr="000B618E">
        <w:rPr>
          <w:rFonts w:asciiTheme="minorHAnsi" w:hAnsiTheme="minorHAnsi" w:cstheme="minorHAnsi"/>
          <w:lang w:val="en-GB"/>
        </w:rPr>
        <w:instrText xml:space="preserve"> SEQ A \* ARABIC </w:instrText>
      </w:r>
      <w:r w:rsidRPr="000B618E">
        <w:rPr>
          <w:rFonts w:asciiTheme="minorHAnsi" w:hAnsiTheme="minorHAnsi" w:cstheme="minorHAnsi"/>
        </w:rPr>
        <w:fldChar w:fldCharType="separate"/>
      </w:r>
      <w:r w:rsidRPr="000B618E">
        <w:rPr>
          <w:rFonts w:asciiTheme="minorHAnsi" w:hAnsiTheme="minorHAnsi" w:cstheme="minorHAnsi"/>
          <w:noProof/>
          <w:lang w:val="en-GB"/>
        </w:rPr>
        <w:t>1</w:t>
      </w:r>
      <w:r w:rsidRPr="000B618E">
        <w:rPr>
          <w:rFonts w:asciiTheme="minorHAnsi" w:hAnsiTheme="minorHAnsi" w:cstheme="minorHAnsi"/>
        </w:rPr>
        <w:fldChar w:fldCharType="end"/>
      </w:r>
      <w:r w:rsidRPr="000B618E">
        <w:rPr>
          <w:rFonts w:asciiTheme="minorHAnsi" w:hAnsiTheme="minorHAnsi" w:cstheme="minorHAnsi"/>
          <w:lang w:val="en-GB"/>
        </w:rPr>
        <w:t>: Overview on the Production function</w:t>
      </w:r>
    </w:p>
    <w:p w14:paraId="31FD5F7A" w14:textId="77777777" w:rsidR="00B849F0" w:rsidRPr="0098716C" w:rsidRDefault="00B849F0" w:rsidP="00B849F0">
      <w:pPr>
        <w:jc w:val="both"/>
        <w:rPr>
          <w:rFonts w:cstheme="minorHAnsi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403"/>
        <w:gridCol w:w="3917"/>
      </w:tblGrid>
      <w:tr w:rsidR="00B849F0" w:rsidRPr="000B618E" w14:paraId="26EE141D" w14:textId="77777777" w:rsidTr="00AB435C">
        <w:trPr>
          <w:trHeight w:val="285"/>
        </w:trPr>
        <w:tc>
          <w:tcPr>
            <w:tcW w:w="943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044864A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40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3FE09CD9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Demand vs. Supply-led production function approach</w:t>
            </w:r>
          </w:p>
        </w:tc>
      </w:tr>
      <w:tr w:rsidR="00B849F0" w:rsidRPr="000B618E" w14:paraId="3DA0399D" w14:textId="77777777" w:rsidTr="00AB435C">
        <w:trPr>
          <w:trHeight w:val="285"/>
        </w:trPr>
        <w:tc>
          <w:tcPr>
            <w:tcW w:w="94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8669DD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3D98082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 xml:space="preserve">Demand-led 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0C7D4A8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Supply-led</w:t>
            </w:r>
          </w:p>
        </w:tc>
      </w:tr>
      <w:tr w:rsidR="00B849F0" w:rsidRPr="000B618E" w14:paraId="4A45B51F" w14:textId="77777777" w:rsidTr="00AB435C">
        <w:trPr>
          <w:trHeight w:val="204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CF147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0668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93DD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0AFDE209" w14:textId="77777777" w:rsidTr="00AB435C">
        <w:trPr>
          <w:trHeight w:val="253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F424E8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PANTA RHEI/</w:t>
            </w:r>
          </w:p>
          <w:p w14:paraId="5DCCBE2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GINFORS 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E84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6231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14F303EA" w14:textId="77777777" w:rsidTr="00AB435C">
        <w:trPr>
          <w:trHeight w:val="204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8D5263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281FF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 xml:space="preserve">X 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F169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 xml:space="preserve"> </w:t>
            </w:r>
          </w:p>
        </w:tc>
      </w:tr>
      <w:tr w:rsidR="00B849F0" w:rsidRPr="000B618E" w14:paraId="41E48E0C" w14:textId="77777777" w:rsidTr="00AB435C">
        <w:trPr>
          <w:trHeight w:val="204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9E9E60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B5A7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B381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</w:tr>
      <w:tr w:rsidR="00B849F0" w:rsidRPr="000B618E" w14:paraId="2064DFE6" w14:textId="77777777" w:rsidTr="00AB435C">
        <w:trPr>
          <w:trHeight w:val="225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82A303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856E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7A498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297B4CB5" w14:textId="77777777" w:rsidTr="00AB435C">
        <w:trPr>
          <w:trHeight w:val="204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EE321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3F39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X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4EF4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46FCE5E9" w14:textId="77777777" w:rsidTr="00AB435C">
        <w:trPr>
          <w:trHeight w:val="204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A3A892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8F5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48F5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CBE39A3" w14:textId="77777777" w:rsidTr="00AB435C">
        <w:trPr>
          <w:trHeight w:val="204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F0CF08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74B04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9A8A7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23FD698C" w14:textId="77777777" w:rsidTr="00AB435C">
        <w:trPr>
          <w:trHeight w:val="204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8B6169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090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1708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55680B7C" w14:textId="77777777" w:rsidTr="00AB435C">
        <w:trPr>
          <w:trHeight w:val="157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BC6D8F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F23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1FF32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5B0EB6B1" w14:textId="77777777" w:rsidTr="00AB435C">
        <w:trPr>
          <w:trHeight w:val="204"/>
        </w:trPr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38D8A9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1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5D9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D73C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</w:tbl>
    <w:p w14:paraId="5E839059" w14:textId="29EB8D67" w:rsidR="00B849F0" w:rsidRDefault="00B849F0" w:rsidP="00B849F0">
      <w:pPr>
        <w:pStyle w:val="Caption"/>
        <w:rPr>
          <w:rFonts w:asciiTheme="minorHAnsi" w:hAnsiTheme="minorHAnsi" w:cstheme="minorHAnsi"/>
          <w:lang w:val="en-GB"/>
        </w:rPr>
      </w:pPr>
      <w:r w:rsidRPr="000B618E">
        <w:rPr>
          <w:rFonts w:asciiTheme="minorHAnsi" w:hAnsiTheme="minorHAnsi" w:cstheme="minorHAnsi"/>
          <w:lang w:val="en-GB"/>
        </w:rPr>
        <w:t xml:space="preserve">Table A2: Overview on subtopic (3) Supply vs. demand-led production function approach </w:t>
      </w:r>
    </w:p>
    <w:p w14:paraId="4C9C6137" w14:textId="77777777" w:rsidR="00B849F0" w:rsidRPr="0098716C" w:rsidRDefault="00B849F0" w:rsidP="0098716C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54"/>
        <w:gridCol w:w="2201"/>
        <w:gridCol w:w="2201"/>
        <w:gridCol w:w="2165"/>
      </w:tblGrid>
      <w:tr w:rsidR="00B849F0" w:rsidRPr="000B618E" w14:paraId="1B4E4CD9" w14:textId="77777777" w:rsidTr="00AB435C">
        <w:trPr>
          <w:trHeight w:val="221"/>
        </w:trPr>
        <w:tc>
          <w:tcPr>
            <w:tcW w:w="1360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4D07F705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  <w:lang w:val="en-GB"/>
              </w:rPr>
            </w:pPr>
          </w:p>
        </w:tc>
        <w:tc>
          <w:tcPr>
            <w:tcW w:w="36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  <w:vAlign w:val="center"/>
          </w:tcPr>
          <w:p w14:paraId="459C615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Pricing</w:t>
            </w:r>
          </w:p>
        </w:tc>
      </w:tr>
      <w:tr w:rsidR="00B849F0" w:rsidRPr="000B618E" w14:paraId="18DAA6C2" w14:textId="77777777" w:rsidTr="00AB435C">
        <w:trPr>
          <w:trHeight w:val="221"/>
        </w:trPr>
        <w:tc>
          <w:tcPr>
            <w:tcW w:w="13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E6F44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6"/>
                <w:szCs w:val="16"/>
              </w:rPr>
            </w:pPr>
            <w:r w:rsidRPr="000B618E">
              <w:rPr>
                <w:rFonts w:eastAsia="Times New Roman" w:cstheme="minorHAnsi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2837152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 xml:space="preserve">Static Mark-up 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6433313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 xml:space="preserve">Dynamic Mark-up 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1AF3DFB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Excluded</w:t>
            </w:r>
          </w:p>
        </w:tc>
      </w:tr>
      <w:tr w:rsidR="00B849F0" w:rsidRPr="000B618E" w14:paraId="7F28D61E" w14:textId="77777777" w:rsidTr="00AB435C">
        <w:trPr>
          <w:trHeight w:val="158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173C1F3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8575E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9670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33DD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79DEC120" w14:textId="77777777" w:rsidTr="00AB435C">
        <w:trPr>
          <w:trHeight w:val="19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5CAB3BC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PANTA RHEI/</w:t>
            </w:r>
          </w:p>
          <w:p w14:paraId="3020228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GINFORS 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2620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 X (depends on market structure of each industry)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8835A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D27C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0B618E" w14:paraId="17D4FCC2" w14:textId="77777777" w:rsidTr="00AB435C">
        <w:trPr>
          <w:trHeight w:val="158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71A3DFE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D1CE1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BA66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BFF7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</w:tr>
      <w:tr w:rsidR="00B849F0" w:rsidRPr="000B618E" w14:paraId="7164848A" w14:textId="77777777" w:rsidTr="00AB435C">
        <w:trPr>
          <w:trHeight w:val="158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60F1679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89F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3D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CFFF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</w:tr>
      <w:tr w:rsidR="00B849F0" w:rsidRPr="000B618E" w14:paraId="1B865E6A" w14:textId="77777777" w:rsidTr="00AB435C">
        <w:trPr>
          <w:trHeight w:val="175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383D8BD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B35C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B491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F045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2F94EFD8" w14:textId="77777777" w:rsidTr="00AB435C">
        <w:trPr>
          <w:trHeight w:val="158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0CE0D61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80D73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D23A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X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ECE1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415C1E0E" w14:textId="77777777" w:rsidTr="00AB435C">
        <w:trPr>
          <w:trHeight w:val="158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7FC200B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3599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16E6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 xml:space="preserve">X 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4DF6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039D037" w14:textId="77777777" w:rsidTr="00AB435C">
        <w:trPr>
          <w:trHeight w:val="158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05F9E78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  <w:highlight w:val="yellow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4548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9C80A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 xml:space="preserve">X 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FB7C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53ABFC02" w14:textId="77777777" w:rsidTr="00AB435C">
        <w:trPr>
          <w:trHeight w:val="158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24F5AB0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F8F6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240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0B6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71274EA8" w14:textId="77777777" w:rsidTr="00AB435C">
        <w:trPr>
          <w:trHeight w:val="122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07EFC76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5266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Implicitly by the ratio of aggregate demand and supply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CB53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F18CD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</w:tr>
      <w:tr w:rsidR="00B849F0" w:rsidRPr="000B618E" w14:paraId="32D9A9B7" w14:textId="77777777" w:rsidTr="00AB435C">
        <w:trPr>
          <w:trHeight w:val="158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0C01693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F35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5AE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F56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</w:tbl>
    <w:p w14:paraId="6350B2E3" w14:textId="77777777" w:rsidR="00B849F0" w:rsidRPr="000B618E" w:rsidRDefault="00B849F0" w:rsidP="00B849F0">
      <w:pPr>
        <w:pStyle w:val="Caption"/>
        <w:rPr>
          <w:rFonts w:asciiTheme="minorHAnsi" w:hAnsiTheme="minorHAnsi" w:cstheme="minorHAnsi"/>
          <w:color w:val="auto"/>
          <w:lang w:val="en-US"/>
        </w:rPr>
      </w:pPr>
      <w:r w:rsidRPr="000B618E">
        <w:rPr>
          <w:rFonts w:asciiTheme="minorHAnsi" w:hAnsiTheme="minorHAnsi" w:cstheme="minorHAnsi"/>
          <w:color w:val="auto"/>
          <w:lang w:val="en-US"/>
        </w:rPr>
        <w:t xml:space="preserve">Table </w:t>
      </w:r>
      <w:r w:rsidRPr="000B618E">
        <w:rPr>
          <w:rFonts w:asciiTheme="minorHAnsi" w:hAnsiTheme="minorHAnsi" w:cstheme="minorHAnsi"/>
          <w:color w:val="auto"/>
          <w:lang w:val="en-GB"/>
        </w:rPr>
        <w:t>A3</w:t>
      </w:r>
      <w:r w:rsidRPr="000B618E">
        <w:rPr>
          <w:rFonts w:asciiTheme="minorHAnsi" w:hAnsiTheme="minorHAnsi" w:cstheme="minorHAnsi"/>
          <w:color w:val="auto"/>
          <w:lang w:val="en-US"/>
        </w:rPr>
        <w:t xml:space="preserve">: </w:t>
      </w:r>
      <w:r w:rsidRPr="000B618E">
        <w:rPr>
          <w:rFonts w:asciiTheme="minorHAnsi" w:hAnsiTheme="minorHAnsi" w:cstheme="minorHAnsi"/>
          <w:color w:val="auto"/>
          <w:lang w:val="en-GB"/>
        </w:rPr>
        <w:t>Overview on the subtopic (4) Pricing</w:t>
      </w:r>
      <w:r w:rsidRPr="000B618E">
        <w:rPr>
          <w:rFonts w:asciiTheme="minorHAnsi" w:hAnsiTheme="minorHAnsi" w:cstheme="minorHAnsi"/>
          <w:lang w:val="en-GB"/>
        </w:rPr>
        <w:tab/>
      </w:r>
    </w:p>
    <w:p w14:paraId="3242E436" w14:textId="7EB59513" w:rsidR="00B849F0" w:rsidRDefault="00B849F0">
      <w:pPr>
        <w:spacing w:after="160" w:line="259" w:lineRule="auto"/>
        <w:rPr>
          <w:lang w:val="en-US" w:eastAsia="de-DE"/>
        </w:rPr>
      </w:pPr>
      <w:r>
        <w:rPr>
          <w:lang w:val="en-US" w:eastAsia="de-DE"/>
        </w:rPr>
        <w:br w:type="page"/>
      </w:r>
    </w:p>
    <w:tbl>
      <w:tblPr>
        <w:tblpPr w:leftFromText="180" w:rightFromText="180" w:vertAnchor="text" w:horzAnchor="margin" w:tblpY="39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548"/>
        <w:gridCol w:w="1550"/>
        <w:gridCol w:w="1550"/>
        <w:gridCol w:w="1550"/>
        <w:gridCol w:w="1546"/>
      </w:tblGrid>
      <w:tr w:rsidR="00B849F0" w:rsidRPr="000B618E" w14:paraId="4A51D466" w14:textId="77777777" w:rsidTr="00AB435C">
        <w:trPr>
          <w:trHeight w:val="245"/>
        </w:trPr>
        <w:tc>
          <w:tcPr>
            <w:tcW w:w="708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6B16B0BF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42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08786F8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Investment function (determination of Gross fixed capital)</w:t>
            </w:r>
          </w:p>
        </w:tc>
      </w:tr>
      <w:tr w:rsidR="00B849F0" w:rsidRPr="000B618E" w14:paraId="47373FA4" w14:textId="77777777" w:rsidTr="00AB435C">
        <w:trPr>
          <w:trHeight w:val="254"/>
        </w:trPr>
        <w:tc>
          <w:tcPr>
            <w:tcW w:w="70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4E3402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2DFA3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Capacity utilisation/output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5E58A8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Interest rates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200B98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Prices of other inputs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0DB6C3A" w14:textId="77777777" w:rsidR="00B849F0" w:rsidRPr="0098716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Profit/Rate of return/NPV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CD3DFA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Other</w:t>
            </w:r>
          </w:p>
        </w:tc>
      </w:tr>
      <w:tr w:rsidR="00B849F0" w:rsidRPr="000B618E" w14:paraId="44D0C552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D913EB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20891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711B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E75D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B77F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64E25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  <w:lang w:val="en-US"/>
              </w:rPr>
            </w:pPr>
            <w:r w:rsidRPr="000B618E">
              <w:rPr>
                <w:rFonts w:eastAsia="Times New Roman" w:cstheme="minorHAnsi"/>
                <w:sz w:val="12"/>
                <w:szCs w:val="12"/>
                <w:lang w:val="en-US"/>
              </w:rPr>
              <w:t>X (</w:t>
            </w:r>
            <w:proofErr w:type="spellStart"/>
            <w:r w:rsidRPr="000B618E">
              <w:rPr>
                <w:rFonts w:eastAsia="Times New Roman" w:cstheme="minorHAnsi"/>
                <w:sz w:val="12"/>
                <w:szCs w:val="12"/>
                <w:lang w:val="en-US"/>
              </w:rPr>
              <w:t>labour</w:t>
            </w:r>
            <w:proofErr w:type="spellEnd"/>
            <w:r w:rsidRPr="000B618E">
              <w:rPr>
                <w:rFonts w:eastAsia="Times New Roman" w:cstheme="minorHAnsi"/>
                <w:sz w:val="12"/>
                <w:szCs w:val="12"/>
                <w:lang w:val="en-US"/>
              </w:rPr>
              <w:t xml:space="preserve"> costs, oil-prices, lagged change in investment)</w:t>
            </w:r>
          </w:p>
        </w:tc>
      </w:tr>
      <w:tr w:rsidR="00B849F0" w:rsidRPr="000B618E" w14:paraId="67FD959D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82EB98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PANTA RHEI/</w:t>
            </w:r>
          </w:p>
          <w:p w14:paraId="538F2DC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GINFORS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1F2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E7E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3C1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66F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460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  <w:lang w:val="en-US"/>
              </w:rPr>
              <w:t xml:space="preserve">Capital productivity of the sector and chg. 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>In CPI</w:t>
            </w:r>
          </w:p>
        </w:tc>
      </w:tr>
      <w:tr w:rsidR="00B849F0" w:rsidRPr="000B618E" w14:paraId="3EF19139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6618E8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60A3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1CD4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CB73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EA3E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DC91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53101616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545D1CC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262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BB6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F1C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275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B3795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7779D920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B2C245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7B932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C8D55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D882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E262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B618B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Inventory stock</w:t>
            </w:r>
          </w:p>
        </w:tc>
      </w:tr>
      <w:tr w:rsidR="00B849F0" w:rsidRPr="000B618E" w14:paraId="40153B0E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188B935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04E0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DEC2E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7052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CC99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8D557B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  <w:highlight w:val="yellow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Availability of finance</w:t>
            </w:r>
          </w:p>
        </w:tc>
      </w:tr>
      <w:tr w:rsidR="00B849F0" w:rsidRPr="000B618E" w14:paraId="78D0FF67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9876D1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DF8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0AA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4FB7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F62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69A79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Availability of finance</w:t>
            </w:r>
          </w:p>
        </w:tc>
      </w:tr>
      <w:tr w:rsidR="00B849F0" w:rsidRPr="000B618E" w14:paraId="74692348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4E2FE8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BD22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CA93E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8444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7F54D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E5C2A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70A3DC6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07B7E3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5BD9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8A9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EF4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25A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A2B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8637295" w14:textId="77777777" w:rsidTr="00AB435C">
        <w:trPr>
          <w:trHeight w:val="65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0EF0B27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BD6E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F201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E446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40D6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2C8F0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GDP-Growth</w:t>
            </w:r>
          </w:p>
        </w:tc>
      </w:tr>
      <w:tr w:rsidR="00B849F0" w:rsidRPr="000B618E" w14:paraId="07AE2C99" w14:textId="77777777" w:rsidTr="00AB435C">
        <w:trPr>
          <w:trHeight w:val="254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A2F9E5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2BC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E1F4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394A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BAA8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9FCA5" w14:textId="77777777" w:rsidR="00B849F0" w:rsidRPr="000B618E" w:rsidRDefault="00B849F0" w:rsidP="00AB435C">
            <w:pPr>
              <w:keepNext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Constrained by credit-availability</w:t>
            </w:r>
          </w:p>
        </w:tc>
      </w:tr>
    </w:tbl>
    <w:p w14:paraId="36DF490C" w14:textId="656F3836" w:rsidR="00B849F0" w:rsidRDefault="00B849F0" w:rsidP="00B849F0">
      <w:pPr>
        <w:pStyle w:val="Caption"/>
        <w:rPr>
          <w:rFonts w:asciiTheme="minorHAnsi" w:hAnsiTheme="minorHAnsi" w:cstheme="minorHAnsi"/>
          <w:lang w:val="en-GB"/>
        </w:rPr>
      </w:pPr>
      <w:r w:rsidRPr="000B618E">
        <w:rPr>
          <w:rFonts w:asciiTheme="minorHAnsi" w:hAnsiTheme="minorHAnsi" w:cstheme="minorHAnsi"/>
          <w:lang w:val="en-GB"/>
        </w:rPr>
        <w:t>Table A4: Overview on subtopic (5) Investment</w:t>
      </w:r>
    </w:p>
    <w:p w14:paraId="76CC6780" w14:textId="77777777" w:rsidR="00B849F0" w:rsidRPr="0098716C" w:rsidRDefault="00B849F0" w:rsidP="0098716C">
      <w:pPr>
        <w:rPr>
          <w:lang w:val="en-GB"/>
        </w:rPr>
      </w:pPr>
    </w:p>
    <w:tbl>
      <w:tblPr>
        <w:tblpPr w:leftFromText="180" w:rightFromText="180" w:vertAnchor="text" w:horzAnchor="margin" w:tblpY="39"/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3435"/>
        <w:gridCol w:w="2364"/>
        <w:gridCol w:w="2087"/>
      </w:tblGrid>
      <w:tr w:rsidR="00B849F0" w:rsidRPr="000B618E" w14:paraId="672F2214" w14:textId="77777777" w:rsidTr="00AB435C">
        <w:trPr>
          <w:trHeight w:val="245"/>
        </w:trPr>
        <w:tc>
          <w:tcPr>
            <w:tcW w:w="62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4F74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  <w:t> </w:t>
            </w:r>
          </w:p>
        </w:tc>
        <w:tc>
          <w:tcPr>
            <w:tcW w:w="43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</w:tcPr>
          <w:p w14:paraId="325E4FF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Unemployment</w:t>
            </w:r>
          </w:p>
        </w:tc>
      </w:tr>
      <w:tr w:rsidR="00B849F0" w:rsidRPr="000B618E" w14:paraId="22A45038" w14:textId="77777777" w:rsidTr="00AB435C">
        <w:trPr>
          <w:trHeight w:val="254"/>
        </w:trPr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B479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  <w:t> 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7B35212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Residual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4046883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Different skills included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6CE4DAA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Excluded</w:t>
            </w:r>
          </w:p>
        </w:tc>
      </w:tr>
      <w:tr w:rsidR="00B849F0" w:rsidRPr="000B618E" w14:paraId="79978DB1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14A6466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7403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69E2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3DE56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1825CAA0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4623AC5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PANTA RHEI/</w:t>
            </w:r>
          </w:p>
          <w:p w14:paraId="6196AAB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GINFORS 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220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5F71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7FD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43D38875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7CDB111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D60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C4C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DD7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</w:tr>
      <w:tr w:rsidR="00B849F0" w:rsidRPr="000B618E" w14:paraId="3DD67661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2526C30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B05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FDAA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3B7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2475E9F3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67884BA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AC72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47885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796E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7BCFB1B1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5A9CDFA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DC5D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C9D3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 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87BFA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79C71429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69E0DF9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98B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728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F95E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2B84A87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655D674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0B8E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378F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D5B61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0F1C7B2F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53100EA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44C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5DA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EE4B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783031ED" w14:textId="77777777" w:rsidTr="00AB435C">
        <w:trPr>
          <w:trHeight w:val="41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52AE611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F16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CAB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EDA9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5BBAF100" w14:textId="77777777" w:rsidTr="00AB435C">
        <w:trPr>
          <w:trHeight w:val="254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6BF8408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FE5B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73C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51673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</w:tbl>
    <w:p w14:paraId="2F018072" w14:textId="2ECFFF9B" w:rsidR="00B849F0" w:rsidRDefault="00B849F0" w:rsidP="00B849F0">
      <w:pPr>
        <w:pStyle w:val="Caption"/>
        <w:jc w:val="both"/>
        <w:rPr>
          <w:rFonts w:asciiTheme="minorHAnsi" w:hAnsiTheme="minorHAnsi" w:cstheme="minorHAnsi"/>
          <w:color w:val="auto"/>
          <w:lang w:val="en-GB"/>
        </w:rPr>
      </w:pPr>
      <w:r w:rsidRPr="000B618E">
        <w:rPr>
          <w:rFonts w:asciiTheme="minorHAnsi" w:hAnsiTheme="minorHAnsi" w:cstheme="minorHAnsi"/>
          <w:color w:val="auto"/>
          <w:lang w:val="en-GB"/>
        </w:rPr>
        <w:t xml:space="preserve">Table A5: Overview on subtopic (6) unemployment and representation labour skills </w:t>
      </w:r>
    </w:p>
    <w:p w14:paraId="7C8DB738" w14:textId="77777777" w:rsidR="00B849F0" w:rsidRPr="0098716C" w:rsidRDefault="00B849F0" w:rsidP="0098716C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"/>
        <w:gridCol w:w="1425"/>
        <w:gridCol w:w="3601"/>
        <w:gridCol w:w="1663"/>
        <w:gridCol w:w="1511"/>
      </w:tblGrid>
      <w:tr w:rsidR="00B849F0" w:rsidRPr="000B618E" w14:paraId="73B2E4EE" w14:textId="77777777" w:rsidTr="00AB435C">
        <w:trPr>
          <w:trHeight w:val="241"/>
        </w:trPr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5EB9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  <w:t> </w:t>
            </w:r>
          </w:p>
        </w:tc>
        <w:tc>
          <w:tcPr>
            <w:tcW w:w="45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</w:tcPr>
          <w:p w14:paraId="75DB28A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Wage rate</w:t>
            </w:r>
          </w:p>
        </w:tc>
      </w:tr>
      <w:tr w:rsidR="00B849F0" w:rsidRPr="000B618E" w14:paraId="2D7CE7FE" w14:textId="77777777" w:rsidTr="00AB435C">
        <w:trPr>
          <w:trHeight w:val="250"/>
        </w:trPr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5781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  <w:t> 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39DC1CE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 xml:space="preserve">Unemployment </w:t>
            </w: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4C4CFBD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Other variables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40665CF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Exogenous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</w:tcPr>
          <w:p w14:paraId="3209653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Excluded</w:t>
            </w:r>
          </w:p>
        </w:tc>
      </w:tr>
      <w:tr w:rsidR="00B849F0" w:rsidRPr="00AB435C" w14:paraId="2F0264F4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2BDCBC2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B564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998C0D" w14:textId="77777777" w:rsidR="00B849F0" w:rsidRPr="00AB435C" w:rsidRDefault="00B849F0" w:rsidP="00AB435C">
            <w:pPr>
              <w:rPr>
                <w:rFonts w:eastAsia="Times New Roman" w:cstheme="minorHAnsi"/>
                <w:sz w:val="14"/>
                <w:szCs w:val="14"/>
                <w:lang w:val="en-GB"/>
              </w:rPr>
            </w:pPr>
            <w:r w:rsidRPr="00AB435C">
              <w:rPr>
                <w:rFonts w:cstheme="minorHAnsi"/>
                <w:sz w:val="14"/>
                <w:szCs w:val="14"/>
                <w:lang w:val="en-GB"/>
              </w:rPr>
              <w:t xml:space="preserve">External industry &amp; regional wage rates, productivity, benefit rate, consumer prices, wage retention rate, normal/actual </w:t>
            </w:r>
            <w:proofErr w:type="gramStart"/>
            <w:r w:rsidRPr="00AB435C">
              <w:rPr>
                <w:rFonts w:cstheme="minorHAnsi"/>
                <w:sz w:val="14"/>
                <w:szCs w:val="14"/>
                <w:lang w:val="en-GB"/>
              </w:rPr>
              <w:t>output</w:t>
            </w:r>
            <w:proofErr w:type="gramEnd"/>
            <w:r w:rsidRPr="00AB435C">
              <w:rPr>
                <w:rFonts w:cstheme="minorHAnsi"/>
                <w:sz w:val="14"/>
                <w:szCs w:val="14"/>
                <w:lang w:val="en-GB"/>
              </w:rPr>
              <w:t xml:space="preserve"> and the lagged change in wage rates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9EB9A5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4D093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AB435C" w14:paraId="6D0AD21A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09E7BE6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PANTA RHEI/</w:t>
            </w:r>
          </w:p>
          <w:p w14:paraId="1A80667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GINFORS 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8808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8BBCC" w14:textId="77777777" w:rsidR="00B849F0" w:rsidRPr="00AB435C" w:rsidRDefault="00B849F0" w:rsidP="00AB435C">
            <w:pPr>
              <w:rPr>
                <w:rFonts w:eastAsia="Times New Roman" w:cstheme="minorHAnsi"/>
                <w:sz w:val="14"/>
                <w:szCs w:val="14"/>
                <w:lang w:val="en-GB"/>
              </w:rPr>
            </w:pPr>
            <w:r w:rsidRPr="00AB435C">
              <w:rPr>
                <w:rFonts w:eastAsia="Times New Roman" w:cstheme="minorHAnsi"/>
                <w:sz w:val="14"/>
                <w:szCs w:val="14"/>
                <w:lang w:val="en-GB"/>
              </w:rPr>
              <w:t xml:space="preserve">Sector-specific productivity, </w:t>
            </w:r>
            <w:r w:rsidRPr="00AB435C">
              <w:rPr>
                <w:rFonts w:cstheme="minorHAnsi"/>
                <w:color w:val="000000" w:themeColor="text1"/>
                <w:sz w:val="14"/>
                <w:szCs w:val="14"/>
                <w:lang w:val="en-GB"/>
              </w:rPr>
              <w:t>macroeconomic labour productivity, deflator for aggregate consumption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76C0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5DF9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0B618E" w14:paraId="1109F143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532B2C9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9EA6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4E70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D55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8218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</w:tr>
      <w:tr w:rsidR="00B849F0" w:rsidRPr="000B618E" w14:paraId="3A9E1459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45794EF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1E7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57F6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Total factor productivity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34D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BF9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6B7EDBAC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5D7F6F3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AD63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57F2A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4332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2B343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AB435C" w14:paraId="4C156510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7CBE507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0DBB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9AAFAA" w14:textId="77777777" w:rsidR="00B849F0" w:rsidRPr="00AB435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Industry-specific employment, (automation-)technology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1C39B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9E9A6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AB435C" w14:paraId="5CD7AF0F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6BD2F5E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3F4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BF58" w14:textId="77777777" w:rsidR="00B849F0" w:rsidRPr="00AB435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Supply and demand of labour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550E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DBDE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AB435C" w14:paraId="507D4CB2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5963C35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ABCB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6DB4D" w14:textId="77777777" w:rsidR="00B849F0" w:rsidRPr="00AB435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Changes in average labour productivity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7E77F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8DAC3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0B618E" w14:paraId="17EE6DC4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71F42B0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31C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08B1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673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 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4914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1288092B" w14:textId="77777777" w:rsidTr="00AB435C">
        <w:trPr>
          <w:trHeight w:val="391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30F5C87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D23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A48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D3D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B8771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72689708" w14:textId="77777777" w:rsidTr="00AB435C">
        <w:trPr>
          <w:trHeight w:val="250"/>
        </w:trPr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07D467B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B16E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1301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CFA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6F02C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</w:tr>
    </w:tbl>
    <w:p w14:paraId="3D45D270" w14:textId="63BADE58" w:rsidR="00B849F0" w:rsidRPr="000B618E" w:rsidRDefault="00B849F0" w:rsidP="00B849F0">
      <w:pPr>
        <w:pStyle w:val="Caption"/>
        <w:jc w:val="both"/>
        <w:rPr>
          <w:rFonts w:asciiTheme="minorHAnsi" w:hAnsiTheme="minorHAnsi" w:cstheme="minorHAnsi"/>
          <w:color w:val="auto"/>
          <w:lang w:val="en-GB"/>
        </w:rPr>
      </w:pPr>
      <w:r w:rsidRPr="000B618E">
        <w:rPr>
          <w:rFonts w:asciiTheme="minorHAnsi" w:hAnsiTheme="minorHAnsi" w:cstheme="minorHAnsi"/>
          <w:color w:val="auto"/>
          <w:lang w:val="en-GB"/>
        </w:rPr>
        <w:t xml:space="preserve">Table A6: Overview on subtopic (8) Wage </w:t>
      </w:r>
      <w:proofErr w:type="gramStart"/>
      <w:r w:rsidRPr="000B618E">
        <w:rPr>
          <w:rFonts w:asciiTheme="minorHAnsi" w:hAnsiTheme="minorHAnsi" w:cstheme="minorHAnsi"/>
          <w:color w:val="auto"/>
          <w:lang w:val="en-GB"/>
        </w:rPr>
        <w:t>rate</w:t>
      </w:r>
      <w:proofErr w:type="gramEnd"/>
      <w:r w:rsidRPr="000B618E">
        <w:rPr>
          <w:rFonts w:asciiTheme="minorHAnsi" w:hAnsiTheme="minorHAnsi" w:cstheme="minorHAnsi"/>
          <w:color w:val="auto"/>
          <w:lang w:val="en-GB"/>
        </w:rPr>
        <w:t xml:space="preserve"> </w:t>
      </w:r>
    </w:p>
    <w:p w14:paraId="6AEC627A" w14:textId="77777777" w:rsidR="00B849F0" w:rsidRDefault="00B849F0">
      <w:pPr>
        <w:spacing w:after="160" w:line="259" w:lineRule="auto"/>
        <w:rPr>
          <w:lang w:val="en-US" w:eastAsia="de-DE"/>
        </w:rPr>
      </w:pPr>
    </w:p>
    <w:p w14:paraId="2F5AA96D" w14:textId="77777777" w:rsidR="00B849F0" w:rsidRDefault="00B849F0">
      <w:pPr>
        <w:spacing w:after="160" w:line="259" w:lineRule="auto"/>
        <w:rPr>
          <w:lang w:val="en-US" w:eastAsia="de-DE"/>
        </w:rPr>
      </w:pPr>
    </w:p>
    <w:p w14:paraId="56972B38" w14:textId="77777777" w:rsidR="00B849F0" w:rsidRPr="00AB435C" w:rsidRDefault="00B849F0" w:rsidP="00B849F0">
      <w:pPr>
        <w:jc w:val="both"/>
        <w:rPr>
          <w:rFonts w:cstheme="minorHAnsi"/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"/>
        <w:gridCol w:w="774"/>
        <w:gridCol w:w="2911"/>
        <w:gridCol w:w="1088"/>
        <w:gridCol w:w="1376"/>
        <w:gridCol w:w="2051"/>
      </w:tblGrid>
      <w:tr w:rsidR="00B849F0" w:rsidRPr="000B618E" w14:paraId="4FDCCA54" w14:textId="77777777" w:rsidTr="00AB435C">
        <w:trPr>
          <w:trHeight w:val="313"/>
        </w:trPr>
        <w:tc>
          <w:tcPr>
            <w:tcW w:w="53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1E66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  <w:t> </w:t>
            </w:r>
          </w:p>
        </w:tc>
        <w:tc>
          <w:tcPr>
            <w:tcW w:w="44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6D0B5D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Household consumption</w:t>
            </w:r>
          </w:p>
        </w:tc>
      </w:tr>
      <w:tr w:rsidR="00B849F0" w:rsidRPr="000B618E" w14:paraId="5EAB98C1" w14:textId="77777777" w:rsidTr="00AB435C">
        <w:trPr>
          <w:trHeight w:val="185"/>
        </w:trPr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ADCD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7072CA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Disposable income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947CE0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Wealth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B74BC4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AB435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Static Propensity to consume/save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E26FA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Dynamic propensity to consume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E21E2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Other</w:t>
            </w:r>
          </w:p>
        </w:tc>
      </w:tr>
      <w:tr w:rsidR="00B849F0" w:rsidRPr="00AB435C" w14:paraId="5A29DC2B" w14:textId="77777777" w:rsidTr="00AB435C">
        <w:trPr>
          <w:trHeight w:val="18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7810151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6835A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9E5BE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7FE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A2DD0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5230" w14:textId="77777777" w:rsidR="00B849F0" w:rsidRPr="00AB435C" w:rsidRDefault="00B849F0" w:rsidP="00AB435C">
            <w:pPr>
              <w:rPr>
                <w:rFonts w:eastAsia="Calibri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Unemployment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on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short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-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term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consumption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,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child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dependency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ratio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,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CPI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,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lagged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change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in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consumers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expenditure</w:t>
            </w:r>
          </w:p>
        </w:tc>
      </w:tr>
      <w:tr w:rsidR="00B849F0" w:rsidRPr="000B618E" w14:paraId="2451BA28" w14:textId="77777777" w:rsidTr="00AB435C">
        <w:trPr>
          <w:trHeight w:val="147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12F04A9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PANTA RHEI/ GINFORS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7A90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B0A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8649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89722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9A64" w14:textId="77777777" w:rsidR="00B849F0" w:rsidRPr="000B618E" w:rsidRDefault="00B849F0" w:rsidP="00AB435C">
            <w:pPr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Nr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 xml:space="preserve">. </w:t>
            </w:r>
            <w:r w:rsidRPr="000B618E">
              <w:rPr>
                <w:rFonts w:eastAsia="Calibri" w:cstheme="minorHAnsi"/>
                <w:sz w:val="12"/>
                <w:szCs w:val="12"/>
              </w:rPr>
              <w:t>of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 xml:space="preserve"> </w:t>
            </w:r>
            <w:r w:rsidRPr="000B618E">
              <w:rPr>
                <w:rFonts w:eastAsia="Calibri" w:cstheme="minorHAnsi"/>
                <w:sz w:val="12"/>
                <w:szCs w:val="12"/>
              </w:rPr>
              <w:t>households</w:t>
            </w:r>
          </w:p>
        </w:tc>
      </w:tr>
      <w:tr w:rsidR="00B849F0" w:rsidRPr="000B618E" w14:paraId="42BC1BFF" w14:textId="77777777" w:rsidTr="00AB435C">
        <w:trPr>
          <w:trHeight w:val="18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6E5F637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1C1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A26A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748A" w14:textId="77777777" w:rsidR="00B849F0" w:rsidRPr="00AB435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X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(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labour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share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instead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of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real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disposable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income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)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CD16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C80C" w14:textId="77777777" w:rsidR="00B849F0" w:rsidRPr="000B618E" w:rsidRDefault="00B849F0" w:rsidP="00AB435C">
            <w:pPr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Labour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>-</w:t>
            </w:r>
            <w:r w:rsidRPr="000B618E">
              <w:rPr>
                <w:rFonts w:eastAsia="Calibri" w:cstheme="minorHAnsi"/>
                <w:sz w:val="12"/>
                <w:szCs w:val="12"/>
              </w:rPr>
              <w:t>share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 xml:space="preserve"> </w:t>
            </w:r>
            <w:r w:rsidRPr="000B618E">
              <w:rPr>
                <w:rFonts w:eastAsia="Calibri" w:cstheme="minorHAnsi"/>
                <w:sz w:val="12"/>
                <w:szCs w:val="12"/>
              </w:rPr>
              <w:t>of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 xml:space="preserve"> </w:t>
            </w:r>
            <w:r w:rsidRPr="000B618E">
              <w:rPr>
                <w:rFonts w:eastAsia="Calibri" w:cstheme="minorHAnsi"/>
                <w:sz w:val="12"/>
                <w:szCs w:val="12"/>
              </w:rPr>
              <w:t>GDP</w:t>
            </w:r>
          </w:p>
        </w:tc>
      </w:tr>
      <w:tr w:rsidR="00B849F0" w:rsidRPr="000B618E" w14:paraId="35DCCC68" w14:textId="77777777" w:rsidTr="00AB435C">
        <w:trPr>
          <w:trHeight w:val="20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458AE2D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D772B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B2B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024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A72B9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E765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5EF874C4" w14:textId="77777777" w:rsidTr="00AB435C">
        <w:trPr>
          <w:trHeight w:val="18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729A8CE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C023D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97EF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610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FBA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BCD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3754EED" w14:textId="77777777" w:rsidTr="00AB435C">
        <w:trPr>
          <w:trHeight w:val="18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7CA4710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BE23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2A6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F2AD3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ABB1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446A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AB435C" w14:paraId="686E9801" w14:textId="77777777" w:rsidTr="00AB435C">
        <w:trPr>
          <w:trHeight w:val="18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2661D1A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5FC8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53AE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19FC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C32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98C0D" w14:textId="77777777" w:rsidR="00B849F0" w:rsidRPr="00AB435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Interdependence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of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preferences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of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consumers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(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.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g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.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snob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and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network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effect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)</w:t>
            </w:r>
          </w:p>
        </w:tc>
      </w:tr>
      <w:tr w:rsidR="00B849F0" w:rsidRPr="000B618E" w14:paraId="40557FF2" w14:textId="77777777" w:rsidTr="00AB435C">
        <w:trPr>
          <w:trHeight w:val="18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75CA419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4465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C61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FDE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B900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92B2" w14:textId="77777777" w:rsidR="00B849F0" w:rsidRPr="000B618E" w:rsidRDefault="00B849F0" w:rsidP="00AB435C">
            <w:pPr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</w:tr>
      <w:tr w:rsidR="00B849F0" w:rsidRPr="000B618E" w14:paraId="25848EFC" w14:textId="77777777" w:rsidTr="00AB435C">
        <w:trPr>
          <w:trHeight w:val="18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2B1A331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D553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F994F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94277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B61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12B6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07B998CE" w14:textId="77777777" w:rsidTr="00AB435C">
        <w:trPr>
          <w:trHeight w:val="18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696E1C3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DF699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A2C64" w14:textId="77777777" w:rsidR="00B849F0" w:rsidRPr="00AB435C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 xml:space="preserve">X (consumption is restricted by the loan-to-income ratio)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F5C5E2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5228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9799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AB435C" w14:paraId="7E03251E" w14:textId="77777777" w:rsidTr="00AB435C">
        <w:trPr>
          <w:trHeight w:val="185"/>
        </w:trPr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7627C43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05B35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7F49F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 xml:space="preserve">X 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02EAF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BCEE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C8FBD" w14:textId="77777777" w:rsidR="00B849F0" w:rsidRPr="00AB435C" w:rsidRDefault="00B849F0" w:rsidP="00AB435C">
            <w:pPr>
              <w:keepNext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Applies a target-wealth to income ratio </w:t>
            </w:r>
          </w:p>
        </w:tc>
      </w:tr>
    </w:tbl>
    <w:p w14:paraId="2AB7382E" w14:textId="2E88E51A" w:rsidR="00B849F0" w:rsidRDefault="00B849F0" w:rsidP="0098716C">
      <w:pPr>
        <w:pStyle w:val="Caption"/>
        <w:rPr>
          <w:rFonts w:cstheme="minorHAnsi"/>
          <w:lang w:val="en-GB"/>
        </w:rPr>
      </w:pPr>
      <w:r w:rsidRPr="000B618E">
        <w:rPr>
          <w:rFonts w:asciiTheme="minorHAnsi" w:hAnsiTheme="minorHAnsi" w:cstheme="minorHAnsi"/>
          <w:lang w:val="en-GB"/>
        </w:rPr>
        <w:t>Table A7: Overview on subtopic (9) Household consumption</w:t>
      </w:r>
    </w:p>
    <w:p w14:paraId="54C9ED83" w14:textId="77777777" w:rsidR="00B849F0" w:rsidRPr="00B849F0" w:rsidRDefault="00B849F0" w:rsidP="0098716C">
      <w:pPr>
        <w:rPr>
          <w:lang w:val="en-GB" w:eastAsia="de-DE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3"/>
        <w:gridCol w:w="720"/>
        <w:gridCol w:w="1382"/>
        <w:gridCol w:w="1292"/>
        <w:gridCol w:w="1292"/>
        <w:gridCol w:w="1552"/>
        <w:gridCol w:w="817"/>
        <w:gridCol w:w="1223"/>
      </w:tblGrid>
      <w:tr w:rsidR="00B849F0" w:rsidRPr="000B618E" w14:paraId="7CA1B854" w14:textId="77777777" w:rsidTr="00AB435C">
        <w:trPr>
          <w:trHeight w:val="313"/>
        </w:trPr>
        <w:tc>
          <w:tcPr>
            <w:tcW w:w="41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135B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  <w:lang w:val="en-US"/>
              </w:rPr>
              <w:t> </w:t>
            </w:r>
          </w:p>
        </w:tc>
        <w:tc>
          <w:tcPr>
            <w:tcW w:w="345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0E96233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Household consumption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0D1D33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Income distribution</w:t>
            </w:r>
          </w:p>
        </w:tc>
      </w:tr>
      <w:tr w:rsidR="00B849F0" w:rsidRPr="000B618E" w14:paraId="7D8DB812" w14:textId="77777777" w:rsidTr="00AB435C">
        <w:trPr>
          <w:trHeight w:val="185"/>
        </w:trPr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29614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86D1A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Disposable income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02648E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Wealth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C810E6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AB435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Static Propensity to consume/save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3D23D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Dynamic propensity to consume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95CD1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Other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E9FC9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Functional income distribution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8B216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Wage income distribution</w:t>
            </w:r>
          </w:p>
        </w:tc>
      </w:tr>
      <w:tr w:rsidR="00B849F0" w:rsidRPr="000B618E" w14:paraId="44AF2FDD" w14:textId="77777777" w:rsidTr="00AB435C">
        <w:trPr>
          <w:trHeight w:val="18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40DB7F3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C0B0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EEC3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38BF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C731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86AF" w14:textId="77777777" w:rsidR="00B849F0" w:rsidRPr="00AB435C" w:rsidRDefault="00B849F0" w:rsidP="00AB435C">
            <w:pPr>
              <w:rPr>
                <w:rFonts w:eastAsia="Calibri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Unemployment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on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short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-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term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consumption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,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child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dependency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ratio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,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CPI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,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lagged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change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in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consumers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expenditure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E9FFF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CADD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</w:tr>
      <w:tr w:rsidR="00B849F0" w:rsidRPr="000B618E" w14:paraId="72FA9193" w14:textId="77777777" w:rsidTr="00AB435C">
        <w:trPr>
          <w:trHeight w:val="147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0FCC183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PANTA RHEI/ GINFORS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A5AB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4BD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546B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7D66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7E69" w14:textId="77777777" w:rsidR="00B849F0" w:rsidRPr="000B618E" w:rsidRDefault="00B849F0" w:rsidP="00AB435C">
            <w:pPr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Nr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 xml:space="preserve">. </w:t>
            </w:r>
            <w:r w:rsidRPr="000B618E">
              <w:rPr>
                <w:rFonts w:eastAsia="Calibri" w:cstheme="minorHAnsi"/>
                <w:sz w:val="12"/>
                <w:szCs w:val="12"/>
              </w:rPr>
              <w:t>of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 xml:space="preserve"> </w:t>
            </w:r>
            <w:r w:rsidRPr="000B618E">
              <w:rPr>
                <w:rFonts w:eastAsia="Calibri" w:cstheme="minorHAnsi"/>
                <w:sz w:val="12"/>
                <w:szCs w:val="12"/>
              </w:rPr>
              <w:t>households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F3924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005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34A0E8F" w14:textId="77777777" w:rsidTr="00AB435C">
        <w:trPr>
          <w:trHeight w:val="18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11AFB19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753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71DD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FBC67" w14:textId="77777777" w:rsidR="00B849F0" w:rsidRPr="00AB435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X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(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labour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share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instead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of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real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disposable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income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)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BC7C3" w14:textId="77777777" w:rsidR="00B849F0" w:rsidRPr="00AB435C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B3F8F" w14:textId="77777777" w:rsidR="00B849F0" w:rsidRPr="000B618E" w:rsidRDefault="00B849F0" w:rsidP="00AB435C">
            <w:pPr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Labour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>-</w:t>
            </w:r>
            <w:r w:rsidRPr="000B618E">
              <w:rPr>
                <w:rFonts w:eastAsia="Calibri" w:cstheme="minorHAnsi"/>
                <w:sz w:val="12"/>
                <w:szCs w:val="12"/>
              </w:rPr>
              <w:t>share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 xml:space="preserve"> </w:t>
            </w:r>
            <w:r w:rsidRPr="000B618E">
              <w:rPr>
                <w:rFonts w:eastAsia="Calibri" w:cstheme="minorHAnsi"/>
                <w:sz w:val="12"/>
                <w:szCs w:val="12"/>
              </w:rPr>
              <w:t>of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 xml:space="preserve"> </w:t>
            </w:r>
            <w:r w:rsidRPr="000B618E">
              <w:rPr>
                <w:rFonts w:eastAsia="Calibri" w:cstheme="minorHAnsi"/>
                <w:sz w:val="12"/>
                <w:szCs w:val="12"/>
              </w:rPr>
              <w:t>GDP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221DE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A487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510CA044" w14:textId="77777777" w:rsidTr="00AB435C">
        <w:trPr>
          <w:trHeight w:val="20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2B1D794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D098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205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DAF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E709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0BAD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C9A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1BC1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</w:tr>
      <w:tr w:rsidR="00B849F0" w:rsidRPr="000B618E" w14:paraId="51D58B9A" w14:textId="77777777" w:rsidTr="00AB435C">
        <w:trPr>
          <w:trHeight w:val="18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6C6D32C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219F1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12FB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1E9F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E81C5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2B66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EB0D0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DD5A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</w:tr>
      <w:tr w:rsidR="00B849F0" w:rsidRPr="000B618E" w14:paraId="397A0BD1" w14:textId="77777777" w:rsidTr="00AB435C">
        <w:trPr>
          <w:trHeight w:val="18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08597ED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ED85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C0B5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E48C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7D7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9175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7D94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79F8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  (3 wage income categories)</w:t>
            </w:r>
          </w:p>
        </w:tc>
      </w:tr>
      <w:tr w:rsidR="00B849F0" w:rsidRPr="000B618E" w14:paraId="742039E1" w14:textId="77777777" w:rsidTr="00AB435C">
        <w:trPr>
          <w:trHeight w:val="18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1A2419FC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8FD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C2D4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0416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81E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35B4F" w14:textId="77777777" w:rsidR="00B849F0" w:rsidRPr="00AB435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Interdependence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of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preferences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of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consumers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(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e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.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g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.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snob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and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network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</w:t>
            </w: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>effect</w:t>
            </w: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>)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A2FD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 xml:space="preserve"> 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B414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42B18757" w14:textId="77777777" w:rsidTr="00AB435C">
        <w:trPr>
          <w:trHeight w:val="18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13596C0B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2ACD9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DEC47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E4BC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6E3A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809C" w14:textId="77777777" w:rsidR="00B849F0" w:rsidRPr="000B618E" w:rsidRDefault="00B849F0" w:rsidP="00AB435C">
            <w:pPr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4BCD5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D2141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001A2D08" w14:textId="77777777" w:rsidTr="00AB435C">
        <w:trPr>
          <w:trHeight w:val="18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2FA1EE72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55D15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EE61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5F3E7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AB7A3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D66F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4195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EC220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57C05B5B" w14:textId="77777777" w:rsidTr="00AB435C">
        <w:trPr>
          <w:trHeight w:val="18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073E3280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3FA84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E9401" w14:textId="77777777" w:rsidR="00B849F0" w:rsidRPr="00AB435C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Calibri" w:cstheme="minorHAnsi"/>
                <w:sz w:val="12"/>
                <w:szCs w:val="12"/>
                <w:lang w:val="en-GB"/>
              </w:rPr>
              <w:t xml:space="preserve">X (consumption is restricted by the loan-to-income ratio)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0B0DF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E31EE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E45EA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CDC4D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C5BF4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X(exogenous)</w:t>
            </w:r>
          </w:p>
        </w:tc>
      </w:tr>
      <w:tr w:rsidR="00B849F0" w:rsidRPr="000B618E" w14:paraId="37A2565D" w14:textId="77777777" w:rsidTr="00AB435C">
        <w:trPr>
          <w:trHeight w:val="185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097DA959" w14:textId="77777777" w:rsidR="00B849F0" w:rsidRPr="000B618E" w:rsidRDefault="00B849F0" w:rsidP="00AB435C">
            <w:pPr>
              <w:jc w:val="center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7567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2C17E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 xml:space="preserve">X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5C6C8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7AF7D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4172A" w14:textId="77777777" w:rsidR="00B849F0" w:rsidRPr="00AB435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AB435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Applies a target-wealth to income ratio 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98E6A" w14:textId="77777777" w:rsidR="00B849F0" w:rsidRPr="000B618E" w:rsidRDefault="00B849F0" w:rsidP="00AB435C">
            <w:pPr>
              <w:jc w:val="center"/>
              <w:rPr>
                <w:rFonts w:eastAsia="Calibri" w:cstheme="minorHAnsi"/>
                <w:sz w:val="12"/>
                <w:szCs w:val="12"/>
              </w:rPr>
            </w:pPr>
            <w:r w:rsidRPr="000B618E">
              <w:rPr>
                <w:rFonts w:eastAsia="Calibri" w:cstheme="minorHAnsi"/>
                <w:sz w:val="12"/>
                <w:szCs w:val="12"/>
              </w:rPr>
              <w:t>X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91833" w14:textId="77777777" w:rsidR="00B849F0" w:rsidRPr="000B618E" w:rsidRDefault="00B849F0" w:rsidP="00AB435C">
            <w:pPr>
              <w:keepNext/>
              <w:jc w:val="center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</w:tr>
    </w:tbl>
    <w:p w14:paraId="69D7EE99" w14:textId="77777777" w:rsidR="00B849F0" w:rsidRPr="000B618E" w:rsidRDefault="00B849F0" w:rsidP="00B849F0">
      <w:pPr>
        <w:tabs>
          <w:tab w:val="left" w:pos="1218"/>
          <w:tab w:val="left" w:pos="1606"/>
          <w:tab w:val="left" w:pos="2016"/>
        </w:tabs>
        <w:jc w:val="both"/>
        <w:rPr>
          <w:rFonts w:cstheme="minorHAnsi"/>
        </w:rPr>
      </w:pPr>
      <w:r w:rsidRPr="000B618E">
        <w:rPr>
          <w:rFonts w:cstheme="minorHAnsi"/>
        </w:rPr>
        <w:tab/>
      </w:r>
      <w:r w:rsidRPr="000B618E">
        <w:rPr>
          <w:rFonts w:cstheme="minorHAnsi"/>
        </w:rPr>
        <w:tab/>
      </w:r>
      <w:r w:rsidRPr="000B618E">
        <w:rPr>
          <w:rFonts w:cstheme="minorHAnsi"/>
        </w:rPr>
        <w:tab/>
      </w:r>
    </w:p>
    <w:p w14:paraId="1BE941FF" w14:textId="34716155" w:rsidR="00B849F0" w:rsidRDefault="00B849F0" w:rsidP="00B849F0">
      <w:pPr>
        <w:pStyle w:val="Caption"/>
        <w:jc w:val="both"/>
        <w:rPr>
          <w:rFonts w:asciiTheme="minorHAnsi" w:hAnsiTheme="minorHAnsi" w:cstheme="minorHAnsi"/>
          <w:color w:val="auto"/>
          <w:lang w:val="en-GB"/>
        </w:rPr>
      </w:pPr>
      <w:r w:rsidRPr="000B618E">
        <w:rPr>
          <w:rFonts w:asciiTheme="minorHAnsi" w:hAnsiTheme="minorHAnsi" w:cstheme="minorHAnsi"/>
          <w:color w:val="auto"/>
          <w:lang w:val="en-GB"/>
        </w:rPr>
        <w:t>Table A8: Overview on subtopics (9) Household consumption and (10) Income distribution</w:t>
      </w:r>
    </w:p>
    <w:p w14:paraId="7CAFB85E" w14:textId="7C40DAB7" w:rsidR="00B849F0" w:rsidRDefault="00B849F0">
      <w:pPr>
        <w:spacing w:after="160" w:line="259" w:lineRule="auto"/>
        <w:rPr>
          <w:lang w:val="en-GB" w:eastAsia="de-DE"/>
        </w:rPr>
      </w:pPr>
      <w:r>
        <w:rPr>
          <w:lang w:val="en-GB" w:eastAsia="de-DE"/>
        </w:rPr>
        <w:br w:type="page"/>
      </w:r>
    </w:p>
    <w:p w14:paraId="5F13A653" w14:textId="77777777" w:rsidR="00B849F0" w:rsidRPr="0098716C" w:rsidRDefault="00B849F0" w:rsidP="0098716C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1"/>
        <w:gridCol w:w="3009"/>
        <w:gridCol w:w="2957"/>
        <w:gridCol w:w="1914"/>
      </w:tblGrid>
      <w:tr w:rsidR="00B849F0" w:rsidRPr="000B618E" w14:paraId="5BBF4F22" w14:textId="77777777" w:rsidTr="00AB435C">
        <w:trPr>
          <w:trHeight w:val="53"/>
        </w:trPr>
        <w:tc>
          <w:tcPr>
            <w:tcW w:w="63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4671D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 </w:t>
            </w:r>
          </w:p>
        </w:tc>
        <w:tc>
          <w:tcPr>
            <w:tcW w:w="4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2F4932F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Treatment of Finance</w:t>
            </w:r>
          </w:p>
        </w:tc>
      </w:tr>
      <w:tr w:rsidR="00B849F0" w:rsidRPr="000B618E" w14:paraId="756E519D" w14:textId="77777777" w:rsidTr="00AB435C">
        <w:trPr>
          <w:trHeight w:val="14"/>
        </w:trPr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BBC1E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57CB2E6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  <w:t xml:space="preserve">Implicit inclusion of endogenous money supply 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E7FFE4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  <w:t>Includes finance in the model and assumes endogenous money supply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509B9A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Implicit exogenous money supply </w:t>
            </w:r>
          </w:p>
        </w:tc>
      </w:tr>
      <w:tr w:rsidR="00B849F0" w:rsidRPr="000B618E" w14:paraId="0BA5A6A7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243DD8D1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3893D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4D5A8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56878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4092AAD3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6CF70D16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PANTA RHEI/</w:t>
            </w:r>
          </w:p>
          <w:p w14:paraId="5CBDFC94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GINFORS 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F8FB4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F9B5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05E69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50F33BA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55B041D5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A78C5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80918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183EF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51F3FADD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1340407D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ADB0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0E34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D5DA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</w:tr>
      <w:tr w:rsidR="00B849F0" w:rsidRPr="000B618E" w14:paraId="21E206B3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17EBD511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9AC6A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440A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(SFC, inclusion of commercial banks)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EBD3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0B618E" w14:paraId="03E4A362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7727BD0B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C3BCB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X (inclusion of different types of assets </w:t>
            </w:r>
            <w:proofErr w:type="gramStart"/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(.e.</w:t>
            </w:r>
            <w:proofErr w:type="gramEnd"/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bonds, equity)</w:t>
            </w:r>
          </w:p>
          <w:p w14:paraId="00DEAAB3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In which different actors invest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413B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E7B15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</w:tr>
      <w:tr w:rsidR="00B849F0" w:rsidRPr="000B618E" w14:paraId="08EC35B6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755C9667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2E945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0603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(Inclusion of interbank lending market and debt of firms, tracks financial flows)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6400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0B618E" w14:paraId="02BFBA3A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68D53532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6B433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FE17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91F7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76CE8277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1058028A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15D8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C24E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(SFC, inclusion of commercial banks)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B0513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0B618E" w14:paraId="6F37BC96" w14:textId="77777777" w:rsidTr="00AB435C">
        <w:trPr>
          <w:trHeight w:val="18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6B7003E4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23AFD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DCACF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(SFC, inclusion of commercial banks)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A4B4D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</w:tr>
      <w:tr w:rsidR="00B849F0" w:rsidRPr="000B618E" w14:paraId="78D6B787" w14:textId="77777777" w:rsidTr="00AB435C">
        <w:trPr>
          <w:trHeight w:val="17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484AAABF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53CB9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6F28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(SFC, inclusion of commercial banks)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02560" w14:textId="77777777" w:rsidR="00B849F0" w:rsidRPr="0098716C" w:rsidRDefault="00B849F0" w:rsidP="00AB435C">
            <w:pPr>
              <w:keepNext/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</w:tr>
    </w:tbl>
    <w:p w14:paraId="604BA635" w14:textId="0B18E16D" w:rsidR="00B849F0" w:rsidRDefault="00B849F0" w:rsidP="00B849F0">
      <w:pPr>
        <w:pStyle w:val="Caption"/>
        <w:jc w:val="both"/>
        <w:rPr>
          <w:rFonts w:asciiTheme="minorHAnsi" w:hAnsiTheme="minorHAnsi" w:cstheme="minorHAnsi"/>
          <w:lang w:val="en-GB"/>
        </w:rPr>
      </w:pPr>
      <w:r w:rsidRPr="000B618E">
        <w:rPr>
          <w:rFonts w:asciiTheme="minorHAnsi" w:hAnsiTheme="minorHAnsi" w:cstheme="minorHAnsi"/>
          <w:lang w:val="en-GB"/>
        </w:rPr>
        <w:t xml:space="preserve">Table A9: Overview on subtopic (11) Treatment of finance </w:t>
      </w:r>
    </w:p>
    <w:p w14:paraId="548CC0E7" w14:textId="77777777" w:rsidR="00B849F0" w:rsidRPr="0098716C" w:rsidRDefault="00B849F0" w:rsidP="0098716C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4"/>
        <w:gridCol w:w="1345"/>
        <w:gridCol w:w="2608"/>
        <w:gridCol w:w="1823"/>
        <w:gridCol w:w="1591"/>
      </w:tblGrid>
      <w:tr w:rsidR="00B849F0" w:rsidRPr="000B618E" w14:paraId="56C10B08" w14:textId="77777777" w:rsidTr="00AB435C">
        <w:trPr>
          <w:trHeight w:val="53"/>
        </w:trPr>
        <w:tc>
          <w:tcPr>
            <w:tcW w:w="95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13E5F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 </w:t>
            </w:r>
          </w:p>
        </w:tc>
        <w:tc>
          <w:tcPr>
            <w:tcW w:w="40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0A32B7C7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Simulation of the avg. interest rate</w:t>
            </w:r>
          </w:p>
        </w:tc>
      </w:tr>
      <w:tr w:rsidR="00B849F0" w:rsidRPr="000B618E" w14:paraId="35C000A5" w14:textId="77777777" w:rsidTr="00AB435C">
        <w:trPr>
          <w:trHeight w:val="14"/>
        </w:trPr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12585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  <w:t> 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994392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  <w:t>Exogenous mark-up of the CB-rate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2C21339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Other (endogenously)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A687416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Exogenously given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3A2591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Excluded</w:t>
            </w:r>
          </w:p>
        </w:tc>
      </w:tr>
      <w:tr w:rsidR="00B849F0" w:rsidRPr="000B618E" w14:paraId="2BA471FD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21E59309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729E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819FF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FA3C8D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F1E32A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064BB415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5EB5C56F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PANTA RHEI/</w:t>
            </w:r>
          </w:p>
          <w:p w14:paraId="7E641AF2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GINFORS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ABE22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00E2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(lending &amp; borrowing of institutional transactors, US interest rates for government bonds)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B279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(for countries of the EURO area)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693A9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0B618E" w14:paraId="488D8D96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21483C82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60783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B26F2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20394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033BC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</w:tr>
      <w:tr w:rsidR="00B849F0" w:rsidRPr="000B618E" w14:paraId="614A11DE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797D889C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AFB2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3693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(influenced on aggregated level by the level of debt in the economy)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895B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4DBC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 </w:t>
            </w:r>
          </w:p>
        </w:tc>
      </w:tr>
      <w:tr w:rsidR="00B849F0" w:rsidRPr="000B618E" w14:paraId="37324C2F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719C5321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FEE5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4BDE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 (credit-worthiness)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51BA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0A63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0B2619DB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1FA18736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D7D2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x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456A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E133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5EBC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48D1A1FA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4FBAABF1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1E08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3FECF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263D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C03D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1BD054C7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2D3FC80B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A07C5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C5C3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C8B3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3300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6D87141D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22511E9A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B84A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DA727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26CD1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6C44" w14:textId="77777777" w:rsidR="00B849F0" w:rsidRPr="000B618E" w:rsidRDefault="00B849F0" w:rsidP="00AB435C">
            <w:pPr>
              <w:keepNext/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 </w:t>
            </w:r>
          </w:p>
        </w:tc>
      </w:tr>
      <w:tr w:rsidR="00B849F0" w:rsidRPr="000B618E" w14:paraId="29F0DB72" w14:textId="77777777" w:rsidTr="00AB435C">
        <w:trPr>
          <w:trHeight w:val="18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721B8B34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82EAC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33BCD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9ED9C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D2DBE" w14:textId="77777777" w:rsidR="00B849F0" w:rsidRPr="000B618E" w:rsidRDefault="00B849F0" w:rsidP="00AB435C">
            <w:pPr>
              <w:keepNext/>
              <w:jc w:val="both"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130D88B9" w14:textId="77777777" w:rsidTr="00AB435C">
        <w:trPr>
          <w:trHeight w:val="170"/>
        </w:trPr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181F5CFD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F0EB6" w14:textId="77777777" w:rsidR="00B849F0" w:rsidRPr="000B618E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40375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(debt-to equity ratio of firms)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560D7" w14:textId="77777777" w:rsidR="00B849F0" w:rsidRPr="0098716C" w:rsidRDefault="00B849F0" w:rsidP="00AB435C">
            <w:pPr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100ED" w14:textId="77777777" w:rsidR="00B849F0" w:rsidRPr="0098716C" w:rsidRDefault="00B849F0" w:rsidP="00AB435C">
            <w:pPr>
              <w:keepNext/>
              <w:jc w:val="both"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</w:tr>
    </w:tbl>
    <w:p w14:paraId="66D16D9F" w14:textId="08122AA8" w:rsidR="00B849F0" w:rsidRDefault="00B849F0" w:rsidP="00B849F0">
      <w:pPr>
        <w:pStyle w:val="Caption"/>
        <w:jc w:val="both"/>
        <w:rPr>
          <w:rFonts w:asciiTheme="minorHAnsi" w:hAnsiTheme="minorHAnsi" w:cstheme="minorHAnsi"/>
          <w:color w:val="auto"/>
          <w:lang w:val="en-GB"/>
        </w:rPr>
      </w:pPr>
      <w:r w:rsidRPr="000B618E">
        <w:rPr>
          <w:rFonts w:asciiTheme="minorHAnsi" w:hAnsiTheme="minorHAnsi" w:cstheme="minorHAnsi"/>
          <w:color w:val="auto"/>
          <w:lang w:val="en-GB"/>
        </w:rPr>
        <w:t>Table A10: Overview on subtopic (12) interest rates</w:t>
      </w:r>
    </w:p>
    <w:p w14:paraId="3BFB1DB6" w14:textId="77777777" w:rsidR="00B849F0" w:rsidRPr="0098716C" w:rsidRDefault="00B849F0" w:rsidP="0098716C">
      <w:pPr>
        <w:rPr>
          <w:lang w:val="en-GB"/>
        </w:rPr>
      </w:pPr>
    </w:p>
    <w:tbl>
      <w:tblPr>
        <w:tblW w:w="9759" w:type="dxa"/>
        <w:tblInd w:w="-42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1498"/>
        <w:gridCol w:w="709"/>
        <w:gridCol w:w="709"/>
        <w:gridCol w:w="992"/>
        <w:gridCol w:w="2126"/>
        <w:gridCol w:w="759"/>
        <w:gridCol w:w="1350"/>
        <w:gridCol w:w="526"/>
        <w:gridCol w:w="460"/>
      </w:tblGrid>
      <w:tr w:rsidR="00B849F0" w:rsidRPr="000B618E" w14:paraId="4BFCA8A0" w14:textId="77777777" w:rsidTr="00AB435C">
        <w:trPr>
          <w:trHeight w:val="65"/>
        </w:trPr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0D06" w14:textId="77777777" w:rsidR="00B849F0" w:rsidRPr="0098716C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  <w:t> </w:t>
            </w:r>
          </w:p>
        </w:tc>
        <w:tc>
          <w:tcPr>
            <w:tcW w:w="2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2C56A41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Total factor productivity</w:t>
            </w:r>
          </w:p>
        </w:tc>
        <w:tc>
          <w:tcPr>
            <w:tcW w:w="3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1A8A3FF8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Labour productivity</w:t>
            </w:r>
          </w:p>
        </w:tc>
        <w:tc>
          <w:tcPr>
            <w:tcW w:w="2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4C4C66A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 xml:space="preserve">Energy efficiency </w:t>
            </w:r>
          </w:p>
        </w:tc>
      </w:tr>
      <w:tr w:rsidR="00B849F0" w:rsidRPr="000B618E" w14:paraId="471CDBFF" w14:textId="77777777" w:rsidTr="00AB435C">
        <w:trPr>
          <w:trHeight w:val="170"/>
        </w:trPr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DCCFB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0D7E44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Endogenous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B1E2AC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Exogenous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51D6F3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Excluded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3AFE280" w14:textId="77777777" w:rsidR="00B849F0" w:rsidRPr="0098716C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2"/>
                <w:szCs w:val="12"/>
                <w:lang w:val="en-GB"/>
              </w:rPr>
              <w:t>Capital or R&amp;D Investments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D910126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Other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E5CE92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Exogenous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132809E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Endogenous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7D1579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Exogenous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EADA842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Excluded</w:t>
            </w:r>
          </w:p>
        </w:tc>
      </w:tr>
      <w:tr w:rsidR="00B849F0" w:rsidRPr="000B618E" w14:paraId="4E76E378" w14:textId="77777777" w:rsidTr="00AB435C">
        <w:trPr>
          <w:trHeight w:val="1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39308E51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D09A9C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Technological progress: Investment and R&amp;D expenditures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81CB3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1EA8D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FEFCD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F5761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7D7CA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E3906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7E707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CBA6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78EEC0F2" w14:textId="77777777" w:rsidTr="00AB435C">
        <w:trPr>
          <w:trHeight w:val="1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42015054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Panta Rhei /</w:t>
            </w:r>
          </w:p>
          <w:p w14:paraId="47738945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GINFORS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055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7BC51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1D83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D2E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FCE1F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Real wage rate and technological trends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34BCF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2827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Cost-push and time-trend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145FF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71BB5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</w:tr>
      <w:tr w:rsidR="00B849F0" w:rsidRPr="000B618E" w14:paraId="681C98C1" w14:textId="77777777" w:rsidTr="00AB435C">
        <w:trPr>
          <w:trHeight w:val="1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7A6D0E14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2135F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F1F6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GDP-growth-trend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84B06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30B29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FDF89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F7B16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1DF8C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Price pressure (due to energy scarcity) - transport sector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CE8F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0F7B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</w:tr>
      <w:tr w:rsidR="00B849F0" w:rsidRPr="000B618E" w14:paraId="567C0C35" w14:textId="77777777" w:rsidTr="00AB435C">
        <w:trPr>
          <w:trHeight w:val="2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2C1D115C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FC9D0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Macro-stability, openness to trade, energy prices, governance, climate change, education, health, access to electricity, female </w:t>
            </w:r>
            <w:proofErr w:type="gramStart"/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participation</w:t>
            </w:r>
            <w:proofErr w:type="gramEnd"/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 and transportation infrastructure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E3723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5F5E1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B379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FF0D0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Education, cost of technology/cost of labour vs. energy, global avg. 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>Technology level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3CD1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81549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 xml:space="preserve">Cost of technology, cost of labour vs. energy, global avg. </w:t>
            </w:r>
            <w:r w:rsidRPr="000B618E">
              <w:rPr>
                <w:rFonts w:eastAsia="Times New Roman" w:cstheme="minorHAnsi"/>
                <w:sz w:val="12"/>
                <w:szCs w:val="12"/>
              </w:rPr>
              <w:t>Technology level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78FF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A28E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17FE69B3" w14:textId="77777777" w:rsidTr="00AB435C">
        <w:trPr>
          <w:trHeight w:val="1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6FED395F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EF5D5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X (quality of capital and skills of workers)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9E431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3F05C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8DAFA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595B1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Individual learning effects dependent on skills and produced output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C7E38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2F8CB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9F646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BA965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29DB6B41" w14:textId="77777777" w:rsidTr="00AB435C">
        <w:trPr>
          <w:trHeight w:val="1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1629C1FC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39EBC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D895C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B59F4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69CB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6DF5D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- technical change Increases of labour productivity, substitutes middle-skill and complements high-skill workers</w:t>
            </w:r>
          </w:p>
          <w:p w14:paraId="5393C62E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-driven by labour costs and Innovation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26B2EB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AAC3E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Energy-costs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A4949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4A6396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6075FB9D" w14:textId="77777777" w:rsidTr="00AB435C">
        <w:trPr>
          <w:trHeight w:val="1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61AE5688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A88E7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Firms engage in a search process for better technological solutions through R&amp;D activities or by copying the industry's best practices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FC87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EB591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2C2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C203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D205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D6FF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6AB8F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06C4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072DD88C" w14:textId="77777777" w:rsidTr="00AB435C">
        <w:trPr>
          <w:trHeight w:val="1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2942957F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DEC58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10E98C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C8A2F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DFD3F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9415D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D60C8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66A3E3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R&amp;D investments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9FD0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CCCE9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1D378DA5" w14:textId="77777777" w:rsidTr="00AB435C">
        <w:trPr>
          <w:trHeight w:val="1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04D9146E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81D3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488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4AD2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023B8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23FC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41BB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6BD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E6D5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7370C" w14:textId="77777777" w:rsidR="00B849F0" w:rsidRPr="000B618E" w:rsidRDefault="00B849F0" w:rsidP="00AB435C">
            <w:pPr>
              <w:keepNext/>
              <w:rPr>
                <w:rFonts w:eastAsia="Times New Roman" w:cstheme="minorHAnsi"/>
                <w:sz w:val="12"/>
                <w:szCs w:val="12"/>
              </w:rPr>
            </w:pPr>
          </w:p>
        </w:tc>
      </w:tr>
      <w:tr w:rsidR="00B849F0" w:rsidRPr="000B618E" w14:paraId="18F990EB" w14:textId="77777777" w:rsidTr="00AB435C">
        <w:trPr>
          <w:trHeight w:val="3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7741B4F3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7CF75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E74AD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EDB0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6EA3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24DEA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3D6A9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EE444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  <w:r w:rsidRPr="0098716C">
              <w:rPr>
                <w:rFonts w:eastAsia="Times New Roman" w:cstheme="minorHAnsi"/>
                <w:sz w:val="12"/>
                <w:szCs w:val="12"/>
                <w:lang w:val="en-GB"/>
              </w:rPr>
              <w:t>Investments in brown vs. green capital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7DA80" w14:textId="77777777" w:rsidR="00B849F0" w:rsidRPr="0098716C" w:rsidRDefault="00B849F0" w:rsidP="00AB435C">
            <w:pPr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61326" w14:textId="77777777" w:rsidR="00B849F0" w:rsidRPr="0098716C" w:rsidRDefault="00B849F0" w:rsidP="00AB435C">
            <w:pPr>
              <w:keepNext/>
              <w:rPr>
                <w:rFonts w:eastAsia="Times New Roman" w:cstheme="minorHAnsi"/>
                <w:sz w:val="12"/>
                <w:szCs w:val="12"/>
                <w:lang w:val="en-GB"/>
              </w:rPr>
            </w:pPr>
          </w:p>
        </w:tc>
      </w:tr>
      <w:tr w:rsidR="00B849F0" w:rsidRPr="000B618E" w14:paraId="1B102E31" w14:textId="77777777" w:rsidTr="00AB435C">
        <w:trPr>
          <w:trHeight w:val="13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3939415E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2"/>
                <w:szCs w:val="12"/>
              </w:rPr>
            </w:pPr>
            <w:r w:rsidRPr="000B618E">
              <w:rPr>
                <w:rFonts w:eastAsia="Times New Roman" w:cstheme="minorHAnsi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D7D40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AF2BE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F2B7A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3D9F6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D88EA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249E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B904C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B97B7" w14:textId="77777777" w:rsidR="00B849F0" w:rsidRPr="000B618E" w:rsidRDefault="00B849F0" w:rsidP="00AB435C">
            <w:pPr>
              <w:rPr>
                <w:rFonts w:eastAsia="Times New Roman" w:cstheme="minorHAnsi"/>
                <w:sz w:val="12"/>
                <w:szCs w:val="12"/>
              </w:rPr>
            </w:pPr>
            <w:r w:rsidRPr="000B618E">
              <w:rPr>
                <w:rFonts w:eastAsia="Times New Roman" w:cstheme="minorHAnsi"/>
                <w:sz w:val="12"/>
                <w:szCs w:val="12"/>
              </w:rPr>
              <w:t>X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814BB" w14:textId="77777777" w:rsidR="00B849F0" w:rsidRPr="000B618E" w:rsidRDefault="00B849F0" w:rsidP="00AB435C">
            <w:pPr>
              <w:keepNext/>
              <w:rPr>
                <w:rFonts w:eastAsia="Times New Roman" w:cstheme="minorHAnsi"/>
                <w:sz w:val="12"/>
                <w:szCs w:val="12"/>
              </w:rPr>
            </w:pPr>
          </w:p>
        </w:tc>
      </w:tr>
    </w:tbl>
    <w:p w14:paraId="6EDF5022" w14:textId="0DE025F2" w:rsidR="00B849F0" w:rsidRDefault="00B849F0" w:rsidP="00B849F0">
      <w:pPr>
        <w:pStyle w:val="Caption"/>
        <w:rPr>
          <w:rFonts w:cstheme="minorHAnsi"/>
          <w:color w:val="auto"/>
          <w:lang w:val="en-GB"/>
        </w:rPr>
      </w:pPr>
      <w:r w:rsidRPr="000B618E">
        <w:rPr>
          <w:rFonts w:cstheme="minorHAnsi"/>
          <w:color w:val="auto"/>
          <w:lang w:val="en-GB"/>
        </w:rPr>
        <w:t>Table A11: Overview on the models’ core B (Technology treatment)</w:t>
      </w:r>
    </w:p>
    <w:p w14:paraId="6B1C6B29" w14:textId="77777777" w:rsidR="00B849F0" w:rsidRPr="0098716C" w:rsidRDefault="00B849F0" w:rsidP="0098716C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7"/>
        <w:gridCol w:w="2176"/>
        <w:gridCol w:w="1790"/>
        <w:gridCol w:w="1790"/>
        <w:gridCol w:w="1828"/>
      </w:tblGrid>
      <w:tr w:rsidR="00B849F0" w:rsidRPr="000B618E" w14:paraId="1E199475" w14:textId="77777777" w:rsidTr="00AB435C">
        <w:trPr>
          <w:trHeight w:val="282"/>
        </w:trPr>
        <w:tc>
          <w:tcPr>
            <w:tcW w:w="79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0E0F0" w14:textId="77777777" w:rsidR="00B849F0" w:rsidRPr="0098716C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lastRenderedPageBreak/>
              <w:t> </w:t>
            </w:r>
          </w:p>
        </w:tc>
        <w:tc>
          <w:tcPr>
            <w:tcW w:w="420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14:paraId="11023E38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Simulation of behavioural equations</w:t>
            </w:r>
          </w:p>
        </w:tc>
      </w:tr>
      <w:tr w:rsidR="00B849F0" w:rsidRPr="000B618E" w14:paraId="29863E73" w14:textId="77777777" w:rsidTr="00AB435C">
        <w:trPr>
          <w:trHeight w:val="282"/>
        </w:trPr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0320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C1CC6C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Econometric estimations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FCC375B" w14:textId="77777777" w:rsidR="00B849F0" w:rsidRPr="0098716C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Econometric studies or other studies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8747C05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Expert knowledge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7C69D1D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 xml:space="preserve"> "Heuristics"</w:t>
            </w:r>
          </w:p>
        </w:tc>
      </w:tr>
      <w:tr w:rsidR="00B849F0" w:rsidRPr="000B618E" w14:paraId="595F9AF4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1E167E3F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E3ME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600C4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83CC9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0E634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C240B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</w:tr>
      <w:tr w:rsidR="00B849F0" w:rsidRPr="000B618E" w14:paraId="3C8993AD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43C85E21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PANTA RHEI/</w:t>
            </w:r>
          </w:p>
          <w:p w14:paraId="78CFE982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GINFORS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120B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70689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2AE1A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E10DB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</w:tr>
      <w:tr w:rsidR="00B849F0" w:rsidRPr="000B618E" w14:paraId="2A70D40D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04F31FE7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MEDEAS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BA267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2402F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4FACD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7F5C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</w:tr>
      <w:tr w:rsidR="00B849F0" w:rsidRPr="000B618E" w14:paraId="4DA5F135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4583B237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T21/SDGi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8CA5C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81838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EC4B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CBD1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13DF12E0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722367C0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EURACE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0275C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2E2F1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90E52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7204E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34ACA6C0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6FE3DA3D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EUROGREEN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83F36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DDC791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DF46C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698B2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07CD81E2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5E85F588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S&amp;B, 2017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3DD1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56BD8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70D0C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3517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003A251B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71FC7C5D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ENGAGE/DSK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3BDDA3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B2BF1C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A699E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2A112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61BBA2CC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51AE300F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Naqvi, 2015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9295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2BE8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B2B97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FE33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5287A06E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766155C1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LowGrow SFC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3D1AA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F26AB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B6C00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B1BD5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62CC5AE4" w14:textId="77777777" w:rsidTr="00AB435C">
        <w:trPr>
          <w:trHeight w:val="228"/>
        </w:trPr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382284F0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EIRIN</w:t>
            </w:r>
          </w:p>
        </w:tc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2B106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DF1BF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FF991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E699" w14:textId="77777777" w:rsidR="00B849F0" w:rsidRPr="000B618E" w:rsidRDefault="00B849F0" w:rsidP="00AB435C">
            <w:pPr>
              <w:keepNext/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</w:tbl>
    <w:p w14:paraId="54C7B877" w14:textId="6C397845" w:rsidR="00B849F0" w:rsidRDefault="00B849F0" w:rsidP="00B849F0">
      <w:pPr>
        <w:pStyle w:val="Caption"/>
        <w:rPr>
          <w:rFonts w:cstheme="minorHAnsi"/>
          <w:color w:val="auto"/>
          <w:lang w:val="en-GB"/>
        </w:rPr>
      </w:pPr>
      <w:r w:rsidRPr="000B618E">
        <w:rPr>
          <w:rFonts w:cstheme="minorHAnsi"/>
          <w:lang w:val="en-GB"/>
        </w:rPr>
        <w:t>Table A1</w:t>
      </w:r>
      <w:r w:rsidRPr="000B618E">
        <w:rPr>
          <w:rFonts w:cstheme="minorHAnsi"/>
        </w:rPr>
        <w:fldChar w:fldCharType="begin"/>
      </w:r>
      <w:r w:rsidRPr="000B618E">
        <w:rPr>
          <w:rFonts w:cstheme="minorHAnsi"/>
          <w:lang w:val="en-GB"/>
        </w:rPr>
        <w:instrText xml:space="preserve"> SEQ A \* ARABIC </w:instrText>
      </w:r>
      <w:r w:rsidRPr="000B618E">
        <w:rPr>
          <w:rFonts w:cstheme="minorHAnsi"/>
        </w:rPr>
        <w:fldChar w:fldCharType="separate"/>
      </w:r>
      <w:r w:rsidRPr="000B618E">
        <w:rPr>
          <w:rFonts w:cstheme="minorHAnsi"/>
          <w:noProof/>
          <w:lang w:val="en-GB"/>
        </w:rPr>
        <w:t>2</w:t>
      </w:r>
      <w:r w:rsidRPr="000B618E">
        <w:rPr>
          <w:rFonts w:cstheme="minorHAnsi"/>
        </w:rPr>
        <w:fldChar w:fldCharType="end"/>
      </w:r>
      <w:r w:rsidRPr="000B618E">
        <w:rPr>
          <w:rFonts w:cstheme="minorHAnsi"/>
          <w:lang w:val="en-GB"/>
        </w:rPr>
        <w:t xml:space="preserve">: </w:t>
      </w:r>
      <w:r w:rsidRPr="000B618E">
        <w:rPr>
          <w:rFonts w:cstheme="minorHAnsi"/>
          <w:color w:val="auto"/>
          <w:lang w:val="en-GB"/>
        </w:rPr>
        <w:t>Overview on subtopic (2) Representation of behavioural equations</w:t>
      </w:r>
    </w:p>
    <w:p w14:paraId="73C7D318" w14:textId="77777777" w:rsidR="00B849F0" w:rsidRPr="0098716C" w:rsidRDefault="00B849F0" w:rsidP="0098716C">
      <w:pPr>
        <w:rPr>
          <w:lang w:val="en-GB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9"/>
        <w:gridCol w:w="3363"/>
        <w:gridCol w:w="2959"/>
      </w:tblGrid>
      <w:tr w:rsidR="00B849F0" w:rsidRPr="000B618E" w14:paraId="053F9F20" w14:textId="77777777" w:rsidTr="00AB435C">
        <w:trPr>
          <w:trHeight w:val="282"/>
        </w:trPr>
        <w:tc>
          <w:tcPr>
            <w:tcW w:w="149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7E10E3" w14:textId="77777777" w:rsidR="00B849F0" w:rsidRPr="0098716C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 </w:t>
            </w:r>
          </w:p>
        </w:tc>
        <w:tc>
          <w:tcPr>
            <w:tcW w:w="35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45AAA2E" w14:textId="77777777" w:rsidR="00B849F0" w:rsidRPr="0098716C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Heterogeneity of agents/interactions of agents</w:t>
            </w:r>
          </w:p>
        </w:tc>
      </w:tr>
      <w:tr w:rsidR="00B849F0" w:rsidRPr="000B618E" w14:paraId="165F1B3C" w14:textId="77777777" w:rsidTr="00AB435C">
        <w:trPr>
          <w:trHeight w:val="282"/>
        </w:trPr>
        <w:tc>
          <w:tcPr>
            <w:tcW w:w="1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83E20" w14:textId="77777777" w:rsidR="00B849F0" w:rsidRPr="0098716C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 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0457F9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 xml:space="preserve">Aggregated/sectorial level 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EAFB928" w14:textId="77777777" w:rsidR="00B849F0" w:rsidRPr="0098716C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</w:pPr>
            <w:r w:rsidRPr="0098716C">
              <w:rPr>
                <w:rFonts w:eastAsia="Times New Roman" w:cstheme="minorHAnsi"/>
                <w:b/>
                <w:bCs/>
                <w:sz w:val="14"/>
                <w:szCs w:val="14"/>
                <w:lang w:val="en-GB"/>
              </w:rPr>
              <w:t>Heterogeneous agents and interactions between them</w:t>
            </w:r>
          </w:p>
        </w:tc>
      </w:tr>
      <w:tr w:rsidR="00B849F0" w:rsidRPr="000B618E" w14:paraId="2FEB1586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59A48F42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E3ME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8B53D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EDABF7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</w:tr>
      <w:tr w:rsidR="00B849F0" w:rsidRPr="000B618E" w14:paraId="35A40804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68A573A5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PANTA RHEI/</w:t>
            </w:r>
          </w:p>
          <w:p w14:paraId="2E526319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GINFORS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8DF9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365C4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</w:tr>
      <w:tr w:rsidR="00B849F0" w:rsidRPr="000B618E" w14:paraId="0BD36239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70D44603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MEDEAS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EC2A6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CE20F6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</w:tr>
      <w:tr w:rsidR="00B849F0" w:rsidRPr="000B618E" w14:paraId="1E091F9E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476BEB11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T21/SDGi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B429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3939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</w:tr>
      <w:tr w:rsidR="00B849F0" w:rsidRPr="000B618E" w14:paraId="7F6DA2E1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5F0EB70E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EURACE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9178F0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97BC3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78A914FC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vAlign w:val="center"/>
            <w:hideMark/>
          </w:tcPr>
          <w:p w14:paraId="2C0E970A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EUROGREEN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C51381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8A1089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</w:tr>
      <w:tr w:rsidR="00B849F0" w:rsidRPr="000B618E" w14:paraId="72EA343F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0996F0C0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S&amp;B, 2017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EAA1F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6631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44BA3348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1DE35BE9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ENGAGE/DSK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9B969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5ABAB9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</w:tr>
      <w:tr w:rsidR="00B849F0" w:rsidRPr="000B618E" w14:paraId="541439C1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  <w:hideMark/>
          </w:tcPr>
          <w:p w14:paraId="364E3676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Naqvi, 2015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C1685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DB5D" w14:textId="77777777" w:rsidR="00B849F0" w:rsidRPr="000B618E" w:rsidRDefault="00B849F0" w:rsidP="00AB435C">
            <w:pPr>
              <w:keepNext/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 </w:t>
            </w:r>
          </w:p>
        </w:tc>
      </w:tr>
      <w:tr w:rsidR="00B849F0" w:rsidRPr="000B618E" w14:paraId="2DBE6D4C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26F87915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LowGrow SFC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9D78C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E330" w14:textId="77777777" w:rsidR="00B849F0" w:rsidRPr="000B618E" w:rsidRDefault="00B849F0" w:rsidP="00AB435C">
            <w:pPr>
              <w:keepNext/>
              <w:rPr>
                <w:rFonts w:eastAsia="Times New Roman" w:cstheme="minorHAnsi"/>
                <w:sz w:val="14"/>
                <w:szCs w:val="14"/>
              </w:rPr>
            </w:pPr>
          </w:p>
        </w:tc>
      </w:tr>
      <w:tr w:rsidR="00B849F0" w:rsidRPr="000B618E" w14:paraId="73BE8C36" w14:textId="77777777" w:rsidTr="00AB435C">
        <w:trPr>
          <w:trHeight w:val="228"/>
        </w:trPr>
        <w:tc>
          <w:tcPr>
            <w:tcW w:w="1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6EE" w:themeFill="accent1" w:themeFillTint="66"/>
            <w:noWrap/>
            <w:vAlign w:val="center"/>
          </w:tcPr>
          <w:p w14:paraId="7D73D3AC" w14:textId="77777777" w:rsidR="00B849F0" w:rsidRPr="000B618E" w:rsidRDefault="00B849F0" w:rsidP="00AB435C">
            <w:pPr>
              <w:rPr>
                <w:rFonts w:eastAsia="Times New Roman" w:cstheme="minorHAnsi"/>
                <w:b/>
                <w:bCs/>
                <w:sz w:val="14"/>
                <w:szCs w:val="14"/>
              </w:rPr>
            </w:pPr>
            <w:r w:rsidRPr="000B618E">
              <w:rPr>
                <w:rFonts w:eastAsia="Times New Roman" w:cstheme="minorHAnsi"/>
                <w:b/>
                <w:bCs/>
                <w:sz w:val="14"/>
                <w:szCs w:val="14"/>
              </w:rPr>
              <w:t>EIRIN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C703C" w14:textId="77777777" w:rsidR="00B849F0" w:rsidRPr="000B618E" w:rsidRDefault="00B849F0" w:rsidP="00AB435C">
            <w:pPr>
              <w:rPr>
                <w:rFonts w:eastAsia="Times New Roman" w:cstheme="minorHAnsi"/>
                <w:sz w:val="14"/>
                <w:szCs w:val="14"/>
              </w:rPr>
            </w:pPr>
            <w:r w:rsidRPr="000B618E">
              <w:rPr>
                <w:rFonts w:eastAsia="Times New Roman" w:cstheme="minorHAnsi"/>
                <w:sz w:val="14"/>
                <w:szCs w:val="14"/>
              </w:rPr>
              <w:t>X</w:t>
            </w:r>
          </w:p>
        </w:tc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A864A" w14:textId="77777777" w:rsidR="00B849F0" w:rsidRPr="000B618E" w:rsidRDefault="00B849F0" w:rsidP="00AB435C">
            <w:pPr>
              <w:keepNext/>
              <w:rPr>
                <w:rFonts w:eastAsia="Times New Roman" w:cstheme="minorHAnsi"/>
                <w:sz w:val="14"/>
                <w:szCs w:val="14"/>
              </w:rPr>
            </w:pPr>
          </w:p>
        </w:tc>
      </w:tr>
    </w:tbl>
    <w:p w14:paraId="40132D88" w14:textId="54154D78" w:rsidR="00B849F0" w:rsidRDefault="00B849F0" w:rsidP="0098716C">
      <w:pPr>
        <w:pStyle w:val="Caption"/>
        <w:rPr>
          <w:rFonts w:cstheme="minorHAnsi"/>
          <w:bdr w:val="nil"/>
          <w:lang w:val="en-GB"/>
        </w:rPr>
      </w:pPr>
      <w:r w:rsidRPr="000B618E">
        <w:rPr>
          <w:rFonts w:cstheme="minorHAnsi"/>
          <w:color w:val="auto"/>
          <w:lang w:val="en-GB"/>
        </w:rPr>
        <w:t>Table A13: Overview on subtopic</w:t>
      </w:r>
      <w:r w:rsidRPr="000B618E">
        <w:rPr>
          <w:rFonts w:cstheme="minorHAnsi"/>
          <w:color w:val="auto"/>
          <w:bdr w:val="nil"/>
          <w:lang w:val="en-GB"/>
        </w:rPr>
        <w:t xml:space="preserve"> (3) Heterogeneity of agents and interactions of agents </w:t>
      </w:r>
    </w:p>
    <w:p w14:paraId="5049D061" w14:textId="77777777" w:rsidR="00B849F0" w:rsidRPr="0098716C" w:rsidRDefault="00B849F0" w:rsidP="0098716C">
      <w:pPr>
        <w:rPr>
          <w:lang w:val="en-GB" w:eastAsia="de-D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7"/>
        <w:gridCol w:w="1848"/>
        <w:gridCol w:w="1119"/>
        <w:gridCol w:w="1007"/>
        <w:gridCol w:w="875"/>
        <w:gridCol w:w="893"/>
        <w:gridCol w:w="1021"/>
        <w:gridCol w:w="1191"/>
      </w:tblGrid>
      <w:tr w:rsidR="00B849F0" w:rsidRPr="00BC1B75" w14:paraId="7D4954E7" w14:textId="77777777" w:rsidTr="00AB435C">
        <w:trPr>
          <w:trHeight w:val="201"/>
        </w:trPr>
        <w:tc>
          <w:tcPr>
            <w:tcW w:w="59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68CD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4"/>
                <w:szCs w:val="14"/>
                <w:lang w:val="en-US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4"/>
                <w:szCs w:val="14"/>
                <w:lang w:val="en-US"/>
              </w:rPr>
              <w:t> </w:t>
            </w:r>
          </w:p>
        </w:tc>
        <w:tc>
          <w:tcPr>
            <w:tcW w:w="2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E15735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4"/>
                <w:szCs w:val="14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4"/>
                <w:szCs w:val="14"/>
              </w:rPr>
              <w:t>Government</w:t>
            </w:r>
          </w:p>
        </w:tc>
        <w:tc>
          <w:tcPr>
            <w:tcW w:w="22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 w:themeFill="background2" w:themeFillShade="BF"/>
            <w:vAlign w:val="center"/>
            <w:hideMark/>
          </w:tcPr>
          <w:p w14:paraId="47F7822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4"/>
                <w:szCs w:val="14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4"/>
                <w:szCs w:val="14"/>
              </w:rPr>
              <w:t>Central bank</w:t>
            </w:r>
          </w:p>
        </w:tc>
      </w:tr>
      <w:tr w:rsidR="00B849F0" w:rsidRPr="00BC1B75" w14:paraId="33B731B5" w14:textId="77777777" w:rsidTr="00AB435C">
        <w:trPr>
          <w:trHeight w:val="175"/>
        </w:trPr>
        <w:tc>
          <w:tcPr>
            <w:tcW w:w="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B255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AE46B86" w14:textId="77777777" w:rsidR="00B849F0" w:rsidRPr="0098716C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  <w:t>Treatment of policies: Implementation challenges of policies are not accounted for in the model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FDC341" w14:textId="77777777" w:rsidR="00B849F0" w:rsidRPr="0098716C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  <w:t xml:space="preserve">Captures Government income and expenditure 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D38762C" w14:textId="77777777" w:rsidR="00B849F0" w:rsidRPr="0098716C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  <w:t>Other policies than carbon price is simulated in the model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1A3C7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Sets interest rate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8F84B0" w14:textId="77777777" w:rsidR="00B849F0" w:rsidRPr="0098716C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</w:pPr>
            <w:r w:rsidRPr="0098716C"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  <w:t xml:space="preserve">Provides money to commercial banks/lender of last resort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BE248B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No role assigned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30DCE7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Other</w:t>
            </w:r>
          </w:p>
        </w:tc>
      </w:tr>
      <w:tr w:rsidR="00B849F0" w:rsidRPr="00BC1B75" w14:paraId="0EB645D0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5FAAB3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C88561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55BB82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B3828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A4871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9E00AE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30DF4B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71D2F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5BE47502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1A1036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PANTA RHEI/ GINFORS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0B1FF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AD51E8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D009B9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5E962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B4026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2CD234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2CE356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1C01B759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6669A27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D8AC02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FA0A2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647BB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X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EEB1DD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E5367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0687B1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4793E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37E00D49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8E38E4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D4FA9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9DC4A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C8D053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90D053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38CDAD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B4C3E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ACD0FB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78346D10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296A796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BFE34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7F98A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10016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 xml:space="preserve">X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313ACBC" w14:textId="77777777" w:rsidR="00B849F0" w:rsidRPr="00BC1B75" w:rsidRDefault="00B849F0" w:rsidP="00AB435C">
            <w:pPr>
              <w:jc w:val="center"/>
              <w:rPr>
                <w:rFonts w:ascii="Calibri" w:eastAsia="Times New Roman" w:hAnsi="Calibri"/>
                <w:sz w:val="12"/>
                <w:szCs w:val="12"/>
              </w:rPr>
            </w:pPr>
            <w:r w:rsidRPr="00BC1B75">
              <w:rPr>
                <w:rFonts w:ascii="Calibri" w:eastAsia="Times New Roman" w:hAnsi="Calibri"/>
                <w:sz w:val="12"/>
                <w:szCs w:val="12"/>
              </w:rPr>
              <w:t>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D66A1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0B093E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26CA8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 (Quantitative easing)</w:t>
            </w:r>
          </w:p>
        </w:tc>
      </w:tr>
      <w:tr w:rsidR="00B849F0" w:rsidRPr="00BC1B75" w14:paraId="0F245B6B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0E48FEB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1608EB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04FF35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6367FC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3D00FB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FF6C77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X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94E71E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75615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0A58C454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0D3C15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6ABC3D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84B98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CCF4AE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778B93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D652E4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 xml:space="preserve">X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DADD48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BE29D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1D483C25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0A70711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6AFE13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5EDA1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5E23EA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8BA99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FF62D5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2357B5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8CA205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4E5CE3BD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77381F4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1587D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0A20C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799011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3CB6DB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E3C5B9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 xml:space="preserve">X 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92C1D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224279" w14:textId="77777777" w:rsidR="00B849F0" w:rsidRPr="00BC1B75" w:rsidRDefault="00B849F0" w:rsidP="00AB435C">
            <w:pPr>
              <w:keepNext/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 (Quantitative easing)</w:t>
            </w:r>
          </w:p>
        </w:tc>
      </w:tr>
      <w:tr w:rsidR="00B849F0" w:rsidRPr="00BC1B75" w14:paraId="74BCF724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5C99A3F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33766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51E7B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334E5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0566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FE3F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897A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9CBD" w14:textId="77777777" w:rsidR="00B849F0" w:rsidRPr="00BC1B75" w:rsidRDefault="00B849F0" w:rsidP="00AB435C">
            <w:pPr>
              <w:keepNext/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</w:tr>
      <w:tr w:rsidR="00B849F0" w:rsidRPr="00BC1B75" w14:paraId="7FDFD06E" w14:textId="77777777" w:rsidTr="00AB435C">
        <w:trPr>
          <w:trHeight w:val="227"/>
        </w:trPr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1062234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F036B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7078E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EDB0F0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 xml:space="preserve">X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DB987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74034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AEF87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DB043" w14:textId="77777777" w:rsidR="00B849F0" w:rsidRPr="00BC1B75" w:rsidRDefault="00B849F0" w:rsidP="00AB435C">
            <w:pPr>
              <w:keepNext/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</w:tr>
    </w:tbl>
    <w:p w14:paraId="26C96C76" w14:textId="3BA8AF6B" w:rsidR="00B849F0" w:rsidRDefault="00B849F0" w:rsidP="00B849F0">
      <w:pPr>
        <w:pStyle w:val="Caption"/>
        <w:jc w:val="both"/>
        <w:rPr>
          <w:color w:val="auto"/>
          <w:bdr w:val="nil"/>
          <w:lang w:val="en-GB"/>
        </w:rPr>
      </w:pPr>
      <w:r w:rsidRPr="00B176BF">
        <w:rPr>
          <w:color w:val="auto"/>
          <w:lang w:val="en-GB"/>
        </w:rPr>
        <w:t xml:space="preserve">Table </w:t>
      </w:r>
      <w:r>
        <w:rPr>
          <w:color w:val="auto"/>
          <w:lang w:val="en-GB"/>
        </w:rPr>
        <w:t>A14</w:t>
      </w:r>
      <w:r w:rsidRPr="00B176BF">
        <w:rPr>
          <w:color w:val="auto"/>
          <w:lang w:val="en-GB"/>
        </w:rPr>
        <w:t xml:space="preserve">: Overview on the </w:t>
      </w:r>
      <w:proofErr w:type="gramStart"/>
      <w:r w:rsidRPr="00B176BF">
        <w:rPr>
          <w:color w:val="auto"/>
          <w:lang w:val="en-GB"/>
        </w:rPr>
        <w:t>models</w:t>
      </w:r>
      <w:proofErr w:type="gramEnd"/>
      <w:r w:rsidRPr="00B176BF">
        <w:rPr>
          <w:color w:val="auto"/>
          <w:lang w:val="en-GB"/>
        </w:rPr>
        <w:t xml:space="preserve"> core D</w:t>
      </w:r>
      <w:r w:rsidRPr="00B176BF">
        <w:rPr>
          <w:color w:val="auto"/>
          <w:bdr w:val="nil"/>
          <w:lang w:val="en-GB"/>
        </w:rPr>
        <w:t xml:space="preserve"> (Appearance of government and central bank)</w:t>
      </w:r>
    </w:p>
    <w:p w14:paraId="515E5FFB" w14:textId="77777777" w:rsidR="00B849F0" w:rsidRPr="0098716C" w:rsidRDefault="00B849F0" w:rsidP="0098716C">
      <w:pPr>
        <w:rPr>
          <w:lang w:val="en-GB"/>
        </w:rPr>
      </w:pPr>
    </w:p>
    <w:p w14:paraId="52BABB9A" w14:textId="36824EBB" w:rsidR="00B849F0" w:rsidRDefault="00B849F0">
      <w:pPr>
        <w:spacing w:after="160" w:line="259" w:lineRule="auto"/>
        <w:rPr>
          <w:lang w:val="en-US" w:eastAsia="de-DE"/>
        </w:rPr>
      </w:pPr>
      <w:r>
        <w:rPr>
          <w:lang w:val="en-US" w:eastAsia="de-DE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552"/>
        <w:gridCol w:w="469"/>
        <w:gridCol w:w="779"/>
        <w:gridCol w:w="464"/>
        <w:gridCol w:w="781"/>
        <w:gridCol w:w="603"/>
        <w:gridCol w:w="399"/>
        <w:gridCol w:w="823"/>
        <w:gridCol w:w="729"/>
        <w:gridCol w:w="743"/>
        <w:gridCol w:w="815"/>
        <w:gridCol w:w="931"/>
      </w:tblGrid>
      <w:tr w:rsidR="00B849F0" w:rsidRPr="00BC1B75" w14:paraId="0FBCC7BC" w14:textId="77777777" w:rsidTr="00AB435C">
        <w:trPr>
          <w:trHeight w:val="21"/>
        </w:trPr>
        <w:tc>
          <w:tcPr>
            <w:tcW w:w="5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E80A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US"/>
              </w:rPr>
              <w:lastRenderedPageBreak/>
              <w:t> </w:t>
            </w:r>
          </w:p>
        </w:tc>
        <w:tc>
          <w:tcPr>
            <w:tcW w:w="5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CBB1D4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 xml:space="preserve">Primary energy </w:t>
            </w:r>
          </w:p>
        </w:tc>
        <w:tc>
          <w:tcPr>
            <w:tcW w:w="11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15E1E21" w14:textId="77777777" w:rsidR="00B849F0" w:rsidRPr="00AB435C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</w:pPr>
            <w:r w:rsidRPr="00AB435C"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  <w:t xml:space="preserve">Simulation of the market-share of each technology </w:t>
            </w:r>
          </w:p>
        </w:tc>
        <w:tc>
          <w:tcPr>
            <w:tcW w:w="10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2B6B7D2" w14:textId="77777777" w:rsidR="00B849F0" w:rsidRPr="00AB435C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</w:pPr>
            <w:r w:rsidRPr="00AB435C">
              <w:rPr>
                <w:rFonts w:ascii="Arial Narrow" w:eastAsia="Times New Roman" w:hAnsi="Arial Narrow"/>
                <w:b/>
                <w:bCs/>
                <w:sz w:val="12"/>
                <w:szCs w:val="12"/>
                <w:lang w:val="en-GB"/>
              </w:rPr>
              <w:t>Simulation of costs of renewable energy</w:t>
            </w:r>
          </w:p>
        </w:tc>
        <w:tc>
          <w:tcPr>
            <w:tcW w:w="1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66B6D95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Simulation of constraints</w:t>
            </w:r>
          </w:p>
        </w:tc>
      </w:tr>
      <w:tr w:rsidR="00B849F0" w:rsidRPr="00BC1B75" w14:paraId="7A5B8DCE" w14:textId="77777777" w:rsidTr="00AB435C">
        <w:trPr>
          <w:trHeight w:val="21"/>
        </w:trPr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724B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 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C57EA1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Yes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BBCF3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No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08610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(LCOE)/NPV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77FBF7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Other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AE0CAE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Exogenous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CD4491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Learning rates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70412E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EROI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255055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 xml:space="preserve">Exogenous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2BA14D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Availability of primary energy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7BE9E8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 xml:space="preserve">Renewable </w:t>
            </w:r>
            <w:r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 xml:space="preserve">energy </w:t>
            </w: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constraints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D5594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 xml:space="preserve">Material constraints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1CE81E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Not considered</w:t>
            </w:r>
          </w:p>
        </w:tc>
      </w:tr>
      <w:tr w:rsidR="00B849F0" w:rsidRPr="00BC1B75" w14:paraId="69B90E82" w14:textId="77777777" w:rsidTr="00AB435C">
        <w:trPr>
          <w:trHeight w:val="22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55C0BD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E3ME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E7E6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3628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872B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6D3B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X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F4F48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5281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101A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86B8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3204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9D04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26F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98BE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79A1C0E8" w14:textId="77777777" w:rsidTr="00AB435C">
        <w:trPr>
          <w:trHeight w:val="22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7B6E792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Panta Rhei GINFORS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2AA48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6EDD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E40C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88BE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7B126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7CCC5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7C27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BBED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460A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D6CF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B233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1DD4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75CFC638" w14:textId="77777777" w:rsidTr="00AB435C">
        <w:trPr>
          <w:trHeight w:val="22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4D726A42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MEDEAS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3480F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0385F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F74F2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638FC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09E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A453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DA4A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2362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  <w:t>X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DC8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EBE76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35A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 xml:space="preserve">X 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F111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7411E9C7" w14:textId="77777777" w:rsidTr="00AB435C">
        <w:trPr>
          <w:trHeight w:val="22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3EF43FF7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T21/SDGi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B6AE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03C9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EFF0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B3B0" w14:textId="77777777" w:rsidR="00B849F0" w:rsidRPr="0076646F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76646F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373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8F48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621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DD8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  <w:t>X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092E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19D3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0EF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0C8B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</w:tr>
      <w:tr w:rsidR="00B849F0" w:rsidRPr="00BC1B75" w14:paraId="035CA124" w14:textId="77777777" w:rsidTr="00AB435C">
        <w:trPr>
          <w:trHeight w:val="22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6E425F7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EURACE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45E7A" w14:textId="77777777" w:rsidR="00B849F0" w:rsidRPr="00BC1B75" w:rsidRDefault="00B849F0" w:rsidP="00AB435C">
            <w:pPr>
              <w:jc w:val="center"/>
              <w:rPr>
                <w:rFonts w:ascii="Calibri" w:eastAsia="Times New Roman" w:hAnsi="Calibri"/>
                <w:sz w:val="12"/>
                <w:szCs w:val="12"/>
              </w:rPr>
            </w:pPr>
            <w:r w:rsidRPr="00BC1B75">
              <w:rPr>
                <w:rFonts w:ascii="Calibri" w:eastAsia="Times New Roman" w:hAnsi="Calibri"/>
                <w:sz w:val="12"/>
                <w:szCs w:val="12"/>
              </w:rPr>
              <w:t>X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1B8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EBA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D0A3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E6BD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4BA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048F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4E7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65E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2E1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3CB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2AE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</w:tr>
      <w:tr w:rsidR="00B849F0" w:rsidRPr="00BC1B75" w14:paraId="3090AF32" w14:textId="77777777" w:rsidTr="00AB435C">
        <w:trPr>
          <w:trHeight w:val="22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  <w:hideMark/>
          </w:tcPr>
          <w:p w14:paraId="139E89C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EUROGREEN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EE9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X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DE8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E78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474B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A92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 xml:space="preserve">X 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2AD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C372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B47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  <w:t xml:space="preserve">X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446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6D61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FC1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D06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</w:tr>
      <w:tr w:rsidR="00B849F0" w:rsidRPr="00BC1B75" w14:paraId="24DFD48E" w14:textId="77777777" w:rsidTr="00AB435C">
        <w:trPr>
          <w:trHeight w:val="22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99DCD1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S&amp;B, 2017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26AA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C34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D99D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4A506" w14:textId="77777777" w:rsidR="00B849F0" w:rsidRPr="00BC1B75" w:rsidRDefault="00B849F0" w:rsidP="00AB435C">
            <w:pPr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X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CD3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ADD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C1B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64F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  <w:t xml:space="preserve">X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298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C77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9BC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C38E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</w:tr>
      <w:tr w:rsidR="00B849F0" w:rsidRPr="00BC1B75" w14:paraId="719FAFB8" w14:textId="77777777" w:rsidTr="00AB435C">
        <w:trPr>
          <w:trHeight w:val="227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39EA0ED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ENGAGE/DSK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95F3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E75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D1B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E7D9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FC3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1137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443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FEF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50A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5222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C211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D361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</w:tr>
      <w:tr w:rsidR="00B849F0" w:rsidRPr="00BC1B75" w14:paraId="6A841D41" w14:textId="77777777" w:rsidTr="00AB435C">
        <w:trPr>
          <w:trHeight w:val="282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  <w:hideMark/>
          </w:tcPr>
          <w:p w14:paraId="1625109F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Naqvi, 2015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B511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DB7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929B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E72B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166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D5E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645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 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651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highlight w:val="lightGray"/>
              </w:rPr>
              <w:t>X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2D1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 xml:space="preserve">X 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2C5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 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AD79C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3DC2" w14:textId="77777777" w:rsidR="00B849F0" w:rsidRPr="00BC1B75" w:rsidRDefault="00B849F0" w:rsidP="00AB435C">
            <w:pPr>
              <w:keepNext/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 </w:t>
            </w:r>
          </w:p>
        </w:tc>
      </w:tr>
      <w:tr w:rsidR="00B849F0" w:rsidRPr="00BC1B75" w14:paraId="337D953D" w14:textId="77777777" w:rsidTr="00AB435C">
        <w:trPr>
          <w:trHeight w:val="282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6963486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LowGrow SFC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DCEEE2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523AD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679F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0E11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77D8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85E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8C20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7D7C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 xml:space="preserve">X 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E2D0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28523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A8BDE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4C31A" w14:textId="77777777" w:rsidR="00B849F0" w:rsidRPr="00BC1B75" w:rsidRDefault="00B849F0" w:rsidP="00AB435C">
            <w:pPr>
              <w:keepNext/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X</w:t>
            </w:r>
          </w:p>
        </w:tc>
      </w:tr>
      <w:tr w:rsidR="00B849F0" w:rsidRPr="00BC1B75" w14:paraId="6BA29B87" w14:textId="77777777" w:rsidTr="00AB435C">
        <w:trPr>
          <w:trHeight w:val="282"/>
        </w:trPr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73D3020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b/>
                <w:bCs/>
                <w:sz w:val="12"/>
                <w:szCs w:val="12"/>
              </w:rPr>
              <w:t>EIRIN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100A6B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8D04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A7801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A7F49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20F90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BE905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7394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C8E04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</w:rPr>
              <w:t>X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0FEA6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62648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77B4A" w14:textId="77777777" w:rsidR="00B849F0" w:rsidRPr="00BC1B75" w:rsidRDefault="00B849F0" w:rsidP="00AB435C">
            <w:pPr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18547" w14:textId="77777777" w:rsidR="00B849F0" w:rsidRPr="00BC1B75" w:rsidRDefault="00B849F0" w:rsidP="00AB435C">
            <w:pPr>
              <w:keepNext/>
              <w:jc w:val="center"/>
              <w:rPr>
                <w:rFonts w:ascii="Arial Narrow" w:eastAsia="Times New Roman" w:hAnsi="Arial Narrow"/>
                <w:sz w:val="12"/>
                <w:szCs w:val="12"/>
                <w:lang w:val="en-US"/>
              </w:rPr>
            </w:pPr>
            <w:r w:rsidRPr="00BC1B75">
              <w:rPr>
                <w:rFonts w:ascii="Arial Narrow" w:eastAsia="Times New Roman" w:hAnsi="Arial Narrow"/>
                <w:sz w:val="12"/>
                <w:szCs w:val="12"/>
                <w:lang w:val="en-US"/>
              </w:rPr>
              <w:t>X</w:t>
            </w:r>
          </w:p>
        </w:tc>
      </w:tr>
    </w:tbl>
    <w:p w14:paraId="187E4AA4" w14:textId="3ACC06A2" w:rsidR="00B849F0" w:rsidRPr="00B176BF" w:rsidRDefault="00B849F0" w:rsidP="00B849F0">
      <w:pPr>
        <w:pStyle w:val="Caption"/>
        <w:jc w:val="both"/>
        <w:rPr>
          <w:color w:val="auto"/>
          <w:lang w:val="en-GB"/>
        </w:rPr>
      </w:pPr>
      <w:r w:rsidRPr="00B176BF">
        <w:rPr>
          <w:color w:val="auto"/>
          <w:lang w:val="en-GB"/>
        </w:rPr>
        <w:t xml:space="preserve">Table </w:t>
      </w:r>
      <w:r>
        <w:rPr>
          <w:color w:val="auto"/>
          <w:lang w:val="en-GB"/>
        </w:rPr>
        <w:t>A15</w:t>
      </w:r>
      <w:r w:rsidRPr="00B176BF">
        <w:rPr>
          <w:color w:val="auto"/>
          <w:lang w:val="en-GB"/>
        </w:rPr>
        <w:t>: Overview on the models’ ‘Energy supply core’</w:t>
      </w:r>
    </w:p>
    <w:p w14:paraId="5FA127B3" w14:textId="77777777" w:rsidR="002B4B3C" w:rsidRPr="00BC1B75" w:rsidRDefault="002B4B3C" w:rsidP="0098716C">
      <w:pPr>
        <w:spacing w:after="160" w:line="259" w:lineRule="auto"/>
        <w:rPr>
          <w:lang w:val="en-GB"/>
        </w:rPr>
      </w:pPr>
    </w:p>
    <w:sectPr w:rsidR="002B4B3C" w:rsidRPr="00BC1B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7D2C6" w14:textId="77777777" w:rsidR="009433D3" w:rsidRDefault="009433D3" w:rsidP="0055760E">
      <w:r>
        <w:separator/>
      </w:r>
    </w:p>
  </w:endnote>
  <w:endnote w:type="continuationSeparator" w:id="0">
    <w:p w14:paraId="64BB554D" w14:textId="77777777" w:rsidR="009433D3" w:rsidRDefault="009433D3" w:rsidP="00557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4552B" w14:textId="77777777" w:rsidR="009433D3" w:rsidRDefault="009433D3" w:rsidP="0055760E">
      <w:r>
        <w:separator/>
      </w:r>
    </w:p>
  </w:footnote>
  <w:footnote w:type="continuationSeparator" w:id="0">
    <w:p w14:paraId="26BFB580" w14:textId="77777777" w:rsidR="009433D3" w:rsidRDefault="009433D3" w:rsidP="0055760E">
      <w:r>
        <w:continuationSeparator/>
      </w:r>
    </w:p>
  </w:footnote>
  <w:footnote w:id="1">
    <w:p w14:paraId="5AF1269F" w14:textId="429C2034" w:rsidR="009433D3" w:rsidRPr="00F17E05" w:rsidRDefault="009433D3" w:rsidP="00822704">
      <w:pPr>
        <w:pStyle w:val="FootnoteText"/>
        <w:rPr>
          <w:rFonts w:ascii="Calibri" w:hAnsi="Calibri" w:cs="Calibri"/>
          <w:sz w:val="16"/>
          <w:szCs w:val="16"/>
        </w:rPr>
      </w:pPr>
      <w:r w:rsidRPr="00F17E05">
        <w:rPr>
          <w:rStyle w:val="FootnoteReference"/>
          <w:rFonts w:ascii="Calibri" w:hAnsi="Calibri" w:cs="Calibri"/>
          <w:sz w:val="16"/>
          <w:szCs w:val="16"/>
        </w:rPr>
        <w:footnoteRef/>
      </w:r>
      <w:r w:rsidRPr="00F17E05">
        <w:rPr>
          <w:rFonts w:ascii="Calibri" w:hAnsi="Calibri" w:cs="Calibri"/>
          <w:sz w:val="16"/>
          <w:szCs w:val="16"/>
        </w:rPr>
        <w:t xml:space="preserve"> S&amp;B, 2017 refers to the model introduced in </w:t>
      </w:r>
      <w:proofErr w:type="spellStart"/>
      <w:r w:rsidR="00F17E05">
        <w:rPr>
          <w:rFonts w:ascii="Calibri" w:hAnsi="Calibri" w:cs="Calibri"/>
          <w:sz w:val="16"/>
          <w:szCs w:val="16"/>
        </w:rPr>
        <w:t>Safarzyńska</w:t>
      </w:r>
      <w:proofErr w:type="spellEnd"/>
      <w:r w:rsidR="00F17E05">
        <w:rPr>
          <w:rFonts w:ascii="Calibri" w:hAnsi="Calibri" w:cs="Calibri"/>
          <w:sz w:val="16"/>
          <w:szCs w:val="16"/>
        </w:rPr>
        <w:t xml:space="preserve"> &amp; van den Bergh</w:t>
      </w:r>
      <w:r w:rsidRPr="00F17E05">
        <w:rPr>
          <w:rFonts w:ascii="Calibri" w:hAnsi="Calibri" w:cs="Calibri"/>
          <w:sz w:val="16"/>
          <w:szCs w:val="16"/>
        </w:rPr>
        <w:t xml:space="preserve"> (2017).</w:t>
      </w:r>
    </w:p>
  </w:footnote>
  <w:footnote w:id="2">
    <w:p w14:paraId="50CA06E5" w14:textId="3397DBA2" w:rsidR="00F625DC" w:rsidRPr="0098716C" w:rsidRDefault="00F625DC">
      <w:pPr>
        <w:pStyle w:val="FootnoteText"/>
        <w:rPr>
          <w:rFonts w:ascii="Calibri" w:hAnsi="Calibri"/>
          <w:sz w:val="16"/>
          <w:szCs w:val="16"/>
        </w:rPr>
      </w:pPr>
      <w:r w:rsidRPr="0098716C">
        <w:rPr>
          <w:rStyle w:val="FootnoteReference"/>
          <w:rFonts w:ascii="Calibri" w:hAnsi="Calibri"/>
          <w:sz w:val="16"/>
          <w:szCs w:val="16"/>
        </w:rPr>
        <w:footnoteRef/>
      </w:r>
      <w:r w:rsidRPr="0098716C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 xml:space="preserve">The </w:t>
      </w:r>
      <w:r w:rsidR="00C14AD7" w:rsidRPr="00DF5F92">
        <w:rPr>
          <w:rFonts w:ascii="Arial Narrow" w:eastAsia="Times New Roman" w:hAnsi="Arial Narrow"/>
          <w:sz w:val="16"/>
          <w:szCs w:val="16"/>
        </w:rPr>
        <w:t>Dystopian Schumpeter meeting Keyne</w:t>
      </w:r>
      <w:r w:rsidR="00C14AD7">
        <w:rPr>
          <w:rFonts w:ascii="Arial Narrow" w:eastAsia="Times New Roman" w:hAnsi="Arial Narrow"/>
          <w:sz w:val="16"/>
          <w:szCs w:val="16"/>
        </w:rPr>
        <w:t>s (</w:t>
      </w:r>
      <w:r w:rsidRPr="0098716C">
        <w:rPr>
          <w:rFonts w:ascii="Calibri" w:hAnsi="Calibri" w:cstheme="minorHAnsi"/>
          <w:i/>
          <w:sz w:val="16"/>
          <w:szCs w:val="16"/>
        </w:rPr>
        <w:t>DSK</w:t>
      </w:r>
      <w:r w:rsidR="00C14AD7">
        <w:rPr>
          <w:rFonts w:ascii="Calibri" w:hAnsi="Calibri" w:cstheme="minorHAnsi"/>
          <w:i/>
          <w:sz w:val="16"/>
          <w:szCs w:val="16"/>
        </w:rPr>
        <w:t>)</w:t>
      </w:r>
      <w:r w:rsidRPr="0098716C">
        <w:rPr>
          <w:rFonts w:ascii="Calibri" w:hAnsi="Calibri" w:cstheme="minorHAnsi"/>
          <w:i/>
          <w:sz w:val="16"/>
          <w:szCs w:val="16"/>
        </w:rPr>
        <w:t xml:space="preserve"> </w:t>
      </w:r>
      <w:r>
        <w:rPr>
          <w:rFonts w:ascii="Calibri" w:hAnsi="Calibri" w:cstheme="minorHAnsi"/>
          <w:i/>
          <w:sz w:val="16"/>
          <w:szCs w:val="16"/>
        </w:rPr>
        <w:t xml:space="preserve">model </w:t>
      </w:r>
      <w:proofErr w:type="gramStart"/>
      <w:r w:rsidRPr="0098716C">
        <w:rPr>
          <w:rFonts w:ascii="Calibri" w:hAnsi="Calibri" w:cstheme="minorHAnsi"/>
          <w:i/>
          <w:sz w:val="16"/>
          <w:szCs w:val="16"/>
        </w:rPr>
        <w:t xml:space="preserve">can </w:t>
      </w:r>
      <w:r w:rsidR="00C14AD7" w:rsidRPr="00C14AD7">
        <w:rPr>
          <w:rFonts w:ascii="Calibri" w:hAnsi="Calibri" w:cstheme="minorHAnsi"/>
          <w:i/>
          <w:sz w:val="16"/>
          <w:szCs w:val="16"/>
        </w:rPr>
        <w:t>be seen as</w:t>
      </w:r>
      <w:proofErr w:type="gramEnd"/>
      <w:r w:rsidR="00C14AD7" w:rsidRPr="00C14AD7">
        <w:rPr>
          <w:rFonts w:ascii="Calibri" w:hAnsi="Calibri" w:cstheme="minorHAnsi"/>
          <w:i/>
          <w:sz w:val="16"/>
          <w:szCs w:val="16"/>
        </w:rPr>
        <w:t xml:space="preserve"> evolution of ENGAGE that is </w:t>
      </w:r>
      <w:r w:rsidR="00C14AD7">
        <w:rPr>
          <w:rFonts w:ascii="Calibri" w:hAnsi="Calibri" w:cstheme="minorHAnsi"/>
          <w:i/>
          <w:sz w:val="16"/>
          <w:szCs w:val="16"/>
        </w:rPr>
        <w:t>on the</w:t>
      </w:r>
      <w:r w:rsidRPr="0098716C">
        <w:rPr>
          <w:rFonts w:ascii="Calibri" w:hAnsi="Calibri" w:cstheme="minorHAnsi"/>
          <w:i/>
          <w:sz w:val="16"/>
          <w:szCs w:val="16"/>
        </w:rPr>
        <w:t xml:space="preserve"> global level</w:t>
      </w:r>
      <w:r>
        <w:rPr>
          <w:rFonts w:ascii="Calibri" w:hAnsi="Calibri" w:cstheme="minorHAnsi"/>
          <w:i/>
          <w:sz w:val="16"/>
          <w:szCs w:val="16"/>
        </w:rPr>
        <w:t xml:space="preserve">. </w:t>
      </w:r>
    </w:p>
  </w:footnote>
  <w:footnote w:id="3">
    <w:p w14:paraId="57667021" w14:textId="77777777" w:rsidR="009433D3" w:rsidRPr="00F17E05" w:rsidRDefault="009433D3">
      <w:pPr>
        <w:pStyle w:val="FootnoteText"/>
        <w:rPr>
          <w:rFonts w:asciiTheme="minorHAnsi" w:hAnsiTheme="minorHAnsi" w:cstheme="minorHAnsi"/>
          <w:sz w:val="16"/>
          <w:szCs w:val="16"/>
          <w:lang w:val="en-GB"/>
        </w:rPr>
      </w:pPr>
      <w:r w:rsidRPr="00F17E05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F17E05">
        <w:rPr>
          <w:rFonts w:asciiTheme="minorHAnsi" w:hAnsiTheme="minorHAnsi" w:cstheme="minorHAnsi"/>
          <w:sz w:val="16"/>
          <w:szCs w:val="16"/>
        </w:rPr>
        <w:t xml:space="preserve"> Naqvi, 2015 refers to the model introduced in Naqvi (2015).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E1449"/>
    <w:multiLevelType w:val="hybridMultilevel"/>
    <w:tmpl w:val="B3B601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4B45BE"/>
    <w:multiLevelType w:val="hybridMultilevel"/>
    <w:tmpl w:val="AC4695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9448A9"/>
    <w:multiLevelType w:val="hybridMultilevel"/>
    <w:tmpl w:val="953CC0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58100F"/>
    <w:multiLevelType w:val="hybridMultilevel"/>
    <w:tmpl w:val="8C7E3E70"/>
    <w:lvl w:ilvl="0" w:tplc="DEFE537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F679E"/>
    <w:multiLevelType w:val="hybridMultilevel"/>
    <w:tmpl w:val="0EF661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AC7BCA"/>
    <w:multiLevelType w:val="hybridMultilevel"/>
    <w:tmpl w:val="A296E0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86008F"/>
    <w:multiLevelType w:val="hybridMultilevel"/>
    <w:tmpl w:val="63BE0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75D10"/>
    <w:multiLevelType w:val="hybridMultilevel"/>
    <w:tmpl w:val="86223D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E41811"/>
    <w:multiLevelType w:val="hybridMultilevel"/>
    <w:tmpl w:val="0D9690B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DB12BE"/>
    <w:multiLevelType w:val="hybridMultilevel"/>
    <w:tmpl w:val="620A8C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E4256"/>
    <w:multiLevelType w:val="hybridMultilevel"/>
    <w:tmpl w:val="A7F030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CB4547"/>
    <w:multiLevelType w:val="hybridMultilevel"/>
    <w:tmpl w:val="F9D2A1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75070D7"/>
    <w:multiLevelType w:val="hybridMultilevel"/>
    <w:tmpl w:val="5E4E3BB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7E374BF"/>
    <w:multiLevelType w:val="hybridMultilevel"/>
    <w:tmpl w:val="33D4D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6D187D"/>
    <w:multiLevelType w:val="hybridMultilevel"/>
    <w:tmpl w:val="2EC0FE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696BBF"/>
    <w:multiLevelType w:val="hybridMultilevel"/>
    <w:tmpl w:val="A7E0EBB8"/>
    <w:lvl w:ilvl="0" w:tplc="DEFE537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F6340"/>
    <w:multiLevelType w:val="hybridMultilevel"/>
    <w:tmpl w:val="46B8581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DD2D94"/>
    <w:multiLevelType w:val="hybridMultilevel"/>
    <w:tmpl w:val="64F4533E"/>
    <w:lvl w:ilvl="0" w:tplc="A28C4FD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0011EA"/>
    <w:multiLevelType w:val="hybridMultilevel"/>
    <w:tmpl w:val="EDE2BF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33B2C3E"/>
    <w:multiLevelType w:val="hybridMultilevel"/>
    <w:tmpl w:val="16DC4A7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72D6ADB"/>
    <w:multiLevelType w:val="hybridMultilevel"/>
    <w:tmpl w:val="1C9C0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EB57AD"/>
    <w:multiLevelType w:val="hybridMultilevel"/>
    <w:tmpl w:val="8B8E4A62"/>
    <w:lvl w:ilvl="0" w:tplc="DEFE537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2DD6087"/>
    <w:multiLevelType w:val="hybridMultilevel"/>
    <w:tmpl w:val="EBFCC7B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F42D47"/>
    <w:multiLevelType w:val="hybridMultilevel"/>
    <w:tmpl w:val="65FA8B3A"/>
    <w:lvl w:ilvl="0" w:tplc="DEFE537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F5D07"/>
    <w:multiLevelType w:val="hybridMultilevel"/>
    <w:tmpl w:val="53EC16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250293"/>
    <w:multiLevelType w:val="hybridMultilevel"/>
    <w:tmpl w:val="9A2AEB6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FA7B4D"/>
    <w:multiLevelType w:val="hybridMultilevel"/>
    <w:tmpl w:val="37C86D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B169E3"/>
    <w:multiLevelType w:val="hybridMultilevel"/>
    <w:tmpl w:val="FBBCF8C4"/>
    <w:lvl w:ilvl="0" w:tplc="DEFE537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0E4776"/>
    <w:multiLevelType w:val="hybridMultilevel"/>
    <w:tmpl w:val="6E3207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9A3F8D"/>
    <w:multiLevelType w:val="hybridMultilevel"/>
    <w:tmpl w:val="98987E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F53C2E"/>
    <w:multiLevelType w:val="hybridMultilevel"/>
    <w:tmpl w:val="9C1A1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45724D"/>
    <w:multiLevelType w:val="hybridMultilevel"/>
    <w:tmpl w:val="7DBC0434"/>
    <w:lvl w:ilvl="0" w:tplc="DEFE537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02687F"/>
    <w:multiLevelType w:val="hybridMultilevel"/>
    <w:tmpl w:val="3280BF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AE1C06"/>
    <w:multiLevelType w:val="hybridMultilevel"/>
    <w:tmpl w:val="80FCDD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2"/>
  </w:num>
  <w:num w:numId="3">
    <w:abstractNumId w:val="32"/>
  </w:num>
  <w:num w:numId="4">
    <w:abstractNumId w:val="24"/>
  </w:num>
  <w:num w:numId="5">
    <w:abstractNumId w:val="4"/>
  </w:num>
  <w:num w:numId="6">
    <w:abstractNumId w:val="16"/>
  </w:num>
  <w:num w:numId="7">
    <w:abstractNumId w:val="28"/>
  </w:num>
  <w:num w:numId="8">
    <w:abstractNumId w:val="26"/>
  </w:num>
  <w:num w:numId="9">
    <w:abstractNumId w:val="12"/>
  </w:num>
  <w:num w:numId="10">
    <w:abstractNumId w:val="19"/>
  </w:num>
  <w:num w:numId="11">
    <w:abstractNumId w:val="23"/>
  </w:num>
  <w:num w:numId="12">
    <w:abstractNumId w:val="7"/>
  </w:num>
  <w:num w:numId="13">
    <w:abstractNumId w:val="25"/>
  </w:num>
  <w:num w:numId="14">
    <w:abstractNumId w:val="13"/>
  </w:num>
  <w:num w:numId="15">
    <w:abstractNumId w:val="30"/>
  </w:num>
  <w:num w:numId="16">
    <w:abstractNumId w:val="14"/>
  </w:num>
  <w:num w:numId="17">
    <w:abstractNumId w:val="29"/>
  </w:num>
  <w:num w:numId="18">
    <w:abstractNumId w:val="31"/>
  </w:num>
  <w:num w:numId="19">
    <w:abstractNumId w:val="10"/>
  </w:num>
  <w:num w:numId="20">
    <w:abstractNumId w:val="9"/>
  </w:num>
  <w:num w:numId="21">
    <w:abstractNumId w:val="8"/>
  </w:num>
  <w:num w:numId="22">
    <w:abstractNumId w:val="6"/>
  </w:num>
  <w:num w:numId="23">
    <w:abstractNumId w:val="0"/>
  </w:num>
  <w:num w:numId="24">
    <w:abstractNumId w:val="27"/>
  </w:num>
  <w:num w:numId="25">
    <w:abstractNumId w:val="34"/>
  </w:num>
  <w:num w:numId="26">
    <w:abstractNumId w:val="3"/>
  </w:num>
  <w:num w:numId="27">
    <w:abstractNumId w:val="20"/>
  </w:num>
  <w:num w:numId="28">
    <w:abstractNumId w:val="15"/>
  </w:num>
  <w:num w:numId="29">
    <w:abstractNumId w:val="3"/>
  </w:num>
  <w:num w:numId="30">
    <w:abstractNumId w:val="15"/>
  </w:num>
  <w:num w:numId="31">
    <w:abstractNumId w:val="23"/>
  </w:num>
  <w:num w:numId="32">
    <w:abstractNumId w:val="20"/>
  </w:num>
  <w:num w:numId="33">
    <w:abstractNumId w:val="33"/>
  </w:num>
  <w:num w:numId="34">
    <w:abstractNumId w:val="27"/>
  </w:num>
  <w:num w:numId="35">
    <w:abstractNumId w:val="19"/>
  </w:num>
  <w:num w:numId="36">
    <w:abstractNumId w:val="12"/>
  </w:num>
  <w:num w:numId="37">
    <w:abstractNumId w:val="26"/>
  </w:num>
  <w:num w:numId="38">
    <w:abstractNumId w:val="2"/>
  </w:num>
  <w:num w:numId="39">
    <w:abstractNumId w:val="1"/>
  </w:num>
  <w:num w:numId="40">
    <w:abstractNumId w:val="11"/>
  </w:num>
  <w:num w:numId="41">
    <w:abstractNumId w:val="21"/>
  </w:num>
  <w:num w:numId="42">
    <w:abstractNumId w:val="5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60E"/>
    <w:rsid w:val="00031E34"/>
    <w:rsid w:val="00056FDB"/>
    <w:rsid w:val="0006150A"/>
    <w:rsid w:val="000B073F"/>
    <w:rsid w:val="000E147C"/>
    <w:rsid w:val="00102475"/>
    <w:rsid w:val="0010780C"/>
    <w:rsid w:val="00127126"/>
    <w:rsid w:val="00156979"/>
    <w:rsid w:val="00165E4A"/>
    <w:rsid w:val="0017119A"/>
    <w:rsid w:val="0017465C"/>
    <w:rsid w:val="00187D50"/>
    <w:rsid w:val="001C5D1E"/>
    <w:rsid w:val="0025091B"/>
    <w:rsid w:val="00292238"/>
    <w:rsid w:val="002B11CF"/>
    <w:rsid w:val="002B4B3C"/>
    <w:rsid w:val="002D2DAE"/>
    <w:rsid w:val="002D38B9"/>
    <w:rsid w:val="003107BF"/>
    <w:rsid w:val="003558C4"/>
    <w:rsid w:val="003835FA"/>
    <w:rsid w:val="003A3E95"/>
    <w:rsid w:val="00456E46"/>
    <w:rsid w:val="004725CD"/>
    <w:rsid w:val="0048353A"/>
    <w:rsid w:val="00497845"/>
    <w:rsid w:val="004C777C"/>
    <w:rsid w:val="004E31A5"/>
    <w:rsid w:val="004E5563"/>
    <w:rsid w:val="0053493B"/>
    <w:rsid w:val="0055760E"/>
    <w:rsid w:val="00586C79"/>
    <w:rsid w:val="0059768C"/>
    <w:rsid w:val="005C24BD"/>
    <w:rsid w:val="005D6BA7"/>
    <w:rsid w:val="005E3B2A"/>
    <w:rsid w:val="006445EA"/>
    <w:rsid w:val="00654696"/>
    <w:rsid w:val="00663557"/>
    <w:rsid w:val="006A60C6"/>
    <w:rsid w:val="006C4190"/>
    <w:rsid w:val="00704B94"/>
    <w:rsid w:val="00761F2D"/>
    <w:rsid w:val="0076646F"/>
    <w:rsid w:val="007D2A85"/>
    <w:rsid w:val="00822704"/>
    <w:rsid w:val="008270D4"/>
    <w:rsid w:val="0083462E"/>
    <w:rsid w:val="008615CD"/>
    <w:rsid w:val="00867325"/>
    <w:rsid w:val="00876413"/>
    <w:rsid w:val="008846AF"/>
    <w:rsid w:val="008953D2"/>
    <w:rsid w:val="00897C9B"/>
    <w:rsid w:val="00941921"/>
    <w:rsid w:val="009433D3"/>
    <w:rsid w:val="00947A29"/>
    <w:rsid w:val="0098716C"/>
    <w:rsid w:val="00995AB6"/>
    <w:rsid w:val="00A83611"/>
    <w:rsid w:val="00AD515D"/>
    <w:rsid w:val="00AF26F3"/>
    <w:rsid w:val="00B00B4B"/>
    <w:rsid w:val="00B849F0"/>
    <w:rsid w:val="00BB5D59"/>
    <w:rsid w:val="00BC1B75"/>
    <w:rsid w:val="00BD1BF8"/>
    <w:rsid w:val="00BE0CBB"/>
    <w:rsid w:val="00BE3D93"/>
    <w:rsid w:val="00BE4933"/>
    <w:rsid w:val="00C004C4"/>
    <w:rsid w:val="00C065E1"/>
    <w:rsid w:val="00C14AD7"/>
    <w:rsid w:val="00C16F39"/>
    <w:rsid w:val="00C22236"/>
    <w:rsid w:val="00C3657C"/>
    <w:rsid w:val="00C419F4"/>
    <w:rsid w:val="00CD41B5"/>
    <w:rsid w:val="00D0751E"/>
    <w:rsid w:val="00D15749"/>
    <w:rsid w:val="00DC14A3"/>
    <w:rsid w:val="00DD590D"/>
    <w:rsid w:val="00DF5F92"/>
    <w:rsid w:val="00E47F6B"/>
    <w:rsid w:val="00E55114"/>
    <w:rsid w:val="00E553BC"/>
    <w:rsid w:val="00E57718"/>
    <w:rsid w:val="00E87A40"/>
    <w:rsid w:val="00E96FDA"/>
    <w:rsid w:val="00EA78DA"/>
    <w:rsid w:val="00F17E05"/>
    <w:rsid w:val="00F316E2"/>
    <w:rsid w:val="00F34EA9"/>
    <w:rsid w:val="00F4649D"/>
    <w:rsid w:val="00F625DC"/>
    <w:rsid w:val="00FB4808"/>
    <w:rsid w:val="00FD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2EAE4"/>
  <w15:chartTrackingRefBased/>
  <w15:docId w15:val="{5F5755AF-E91D-449E-81ED-AEB82959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60E"/>
    <w:pPr>
      <w:spacing w:after="0" w:line="240" w:lineRule="auto"/>
    </w:pPr>
    <w:rPr>
      <w:sz w:val="24"/>
      <w:szCs w:val="24"/>
      <w:lang w:val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576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760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DE"/>
    </w:rPr>
  </w:style>
  <w:style w:type="paragraph" w:styleId="Caption">
    <w:name w:val="caption"/>
    <w:basedOn w:val="Normal"/>
    <w:next w:val="Normal"/>
    <w:uiPriority w:val="35"/>
    <w:unhideWhenUsed/>
    <w:qFormat/>
    <w:rsid w:val="0055760E"/>
    <w:pPr>
      <w:spacing w:after="200"/>
    </w:pPr>
    <w:rPr>
      <w:rFonts w:ascii="Times New Roman" w:eastAsia="Arial Unicode MS" w:hAnsi="Times New Roman" w:cs="Times New Roman"/>
      <w:i/>
      <w:iCs/>
      <w:color w:val="44546A" w:themeColor="text2"/>
      <w:sz w:val="18"/>
      <w:szCs w:val="18"/>
      <w:lang w:eastAsia="de-DE"/>
    </w:rPr>
  </w:style>
  <w:style w:type="paragraph" w:styleId="FootnoteText">
    <w:name w:val="footnote text"/>
    <w:basedOn w:val="Normal"/>
    <w:link w:val="FootnoteTextChar"/>
    <w:unhideWhenUsed/>
    <w:rsid w:val="0055760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bdr w:val="nil"/>
      <w:lang w:val="en-US" w:eastAsia="de-DE"/>
    </w:rPr>
  </w:style>
  <w:style w:type="character" w:customStyle="1" w:styleId="FootnoteTextChar">
    <w:name w:val="Footnote Text Char"/>
    <w:basedOn w:val="DefaultParagraphFont"/>
    <w:link w:val="FootnoteText"/>
    <w:rsid w:val="0055760E"/>
    <w:rPr>
      <w:rFonts w:ascii="Helvetica" w:eastAsia="Arial Unicode MS" w:hAnsi="Helvetica" w:cs="Arial Unicode MS"/>
      <w:color w:val="000000"/>
      <w:sz w:val="24"/>
      <w:szCs w:val="24"/>
      <w:bdr w:val="nil"/>
      <w:lang w:val="en-US" w:eastAsia="de-DE"/>
    </w:rPr>
  </w:style>
  <w:style w:type="character" w:styleId="FootnoteReference">
    <w:name w:val="footnote reference"/>
    <w:basedOn w:val="DefaultParagraphFont"/>
    <w:unhideWhenUsed/>
    <w:rsid w:val="0055760E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55760E"/>
    <w:pPr>
      <w:ind w:left="720"/>
      <w:contextualSpacing/>
    </w:pPr>
    <w:rPr>
      <w:rFonts w:ascii="Times New Roman" w:eastAsia="Arial Unicode MS" w:hAnsi="Times New Roman" w:cs="Times New Roman"/>
      <w:lang w:eastAsia="de-DE"/>
    </w:rPr>
  </w:style>
  <w:style w:type="character" w:styleId="Hyperlink">
    <w:name w:val="Hyperlink"/>
    <w:rsid w:val="0055760E"/>
    <w:rPr>
      <w:u w:val="single"/>
    </w:rPr>
  </w:style>
  <w:style w:type="character" w:customStyle="1" w:styleId="apple-converted-space">
    <w:name w:val="apple-converted-space"/>
    <w:basedOn w:val="DefaultParagraphFont"/>
    <w:rsid w:val="0055760E"/>
  </w:style>
  <w:style w:type="paragraph" w:styleId="NormalWeb">
    <w:name w:val="Normal (Web)"/>
    <w:basedOn w:val="Normal"/>
    <w:uiPriority w:val="99"/>
    <w:unhideWhenUsed/>
    <w:rsid w:val="0055760E"/>
    <w:pPr>
      <w:spacing w:before="100" w:beforeAutospacing="1" w:after="100" w:afterAutospacing="1"/>
    </w:pPr>
    <w:rPr>
      <w:rFonts w:ascii="Times New Roman" w:eastAsia="Arial Unicode MS" w:hAnsi="Times New Roman" w:cs="Times New Roman"/>
      <w:lang w:eastAsia="de-DE"/>
    </w:rPr>
  </w:style>
  <w:style w:type="table" w:styleId="TableGrid">
    <w:name w:val="Table Grid"/>
    <w:basedOn w:val="TableNormal"/>
    <w:uiPriority w:val="39"/>
    <w:rsid w:val="005576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rsid w:val="0055760E"/>
    <w:rPr>
      <w:rFonts w:ascii="Times New Roman" w:eastAsia="Arial Unicode MS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55760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60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60E"/>
    <w:rPr>
      <w:sz w:val="24"/>
      <w:szCs w:val="24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60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60E"/>
    <w:rPr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60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60E"/>
    <w:rPr>
      <w:rFonts w:ascii="Times New Roman" w:hAnsi="Times New Roman" w:cs="Times New Roman"/>
      <w:sz w:val="18"/>
      <w:szCs w:val="18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55760E"/>
    <w:rPr>
      <w:vertAlign w:val="superscript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760E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760E"/>
    <w:rPr>
      <w:rFonts w:ascii="Times New Roman" w:hAnsi="Times New Roman" w:cs="Times New Roman"/>
      <w:sz w:val="24"/>
      <w:szCs w:val="24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5576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760E"/>
    <w:rPr>
      <w:sz w:val="24"/>
      <w:szCs w:val="24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5576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760E"/>
    <w:rPr>
      <w:sz w:val="24"/>
      <w:szCs w:val="24"/>
      <w:lang w:val="de-DE"/>
    </w:rPr>
  </w:style>
  <w:style w:type="table" w:styleId="GridTable4-Accent3">
    <w:name w:val="Grid Table 4 Accent 3"/>
    <w:basedOn w:val="TableNormal"/>
    <w:uiPriority w:val="49"/>
    <w:rsid w:val="000E147C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5Dark-Accent3">
    <w:name w:val="Grid Table 5 Dark Accent 3"/>
    <w:basedOn w:val="TableNormal"/>
    <w:uiPriority w:val="50"/>
    <w:rsid w:val="001746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customStyle="1" w:styleId="Ohne">
    <w:name w:val="Ohne"/>
    <w:rsid w:val="00C36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6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deas.eu/model/medeas-mode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urace.org/?page_id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66B4B-F004-4DAF-9F82-676502BC4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3234</TotalTime>
  <Pages>11</Pages>
  <Words>3091</Words>
  <Characters>17625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20675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Hafner, Sarah</dc:creator>
  <cp:keywords/>
  <dc:description/>
  <cp:lastModifiedBy>Blanshard, Lisa</cp:lastModifiedBy>
  <cp:revision>52</cp:revision>
  <dcterms:created xsi:type="dcterms:W3CDTF">2019-04-25T12:23:00Z</dcterms:created>
  <dcterms:modified xsi:type="dcterms:W3CDTF">2020-10-19T15:38:00Z</dcterms:modified>
</cp:coreProperties>
</file>