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922107" w14:textId="461FDA08" w:rsidR="0025664D" w:rsidRPr="00AE6D77" w:rsidRDefault="0025664D" w:rsidP="00160576">
      <w:pPr>
        <w:pStyle w:val="Heading1"/>
        <w:rPr>
          <w:color w:val="auto"/>
          <w:sz w:val="24"/>
          <w:szCs w:val="24"/>
        </w:rPr>
      </w:pPr>
      <w:r w:rsidRPr="00AE6D77">
        <w:rPr>
          <w:color w:val="auto"/>
          <w:sz w:val="24"/>
          <w:szCs w:val="24"/>
        </w:rPr>
        <w:t xml:space="preserve">Emergence of new economics energy transition models: a review </w:t>
      </w:r>
    </w:p>
    <w:p w14:paraId="3C977A89" w14:textId="0ADF4621" w:rsidR="00701D2B" w:rsidRPr="00AE6D77" w:rsidRDefault="00701D2B" w:rsidP="00160576">
      <w:pPr>
        <w:pStyle w:val="Heading1"/>
        <w:rPr>
          <w:color w:val="auto"/>
          <w:sz w:val="24"/>
          <w:szCs w:val="24"/>
        </w:rPr>
      </w:pPr>
      <w:r w:rsidRPr="00AE6D77">
        <w:rPr>
          <w:color w:val="auto"/>
          <w:sz w:val="24"/>
          <w:szCs w:val="24"/>
        </w:rPr>
        <w:t>Abstract</w:t>
      </w:r>
    </w:p>
    <w:p w14:paraId="0CE8F0FC" w14:textId="77777777" w:rsidR="00C728AB" w:rsidRPr="00AE6D77" w:rsidRDefault="00C728AB" w:rsidP="00160576">
      <w:pPr>
        <w:rPr>
          <w:lang w:val="en-GB"/>
        </w:rPr>
      </w:pPr>
    </w:p>
    <w:p w14:paraId="486CA4EE" w14:textId="66BC88CC" w:rsidR="00320A26" w:rsidRPr="00AE6D77" w:rsidRDefault="00DA1D41" w:rsidP="00160576">
      <w:pPr>
        <w:rPr>
          <w:lang w:val="en-GB"/>
        </w:rPr>
      </w:pPr>
      <w:r w:rsidRPr="00AE6D77">
        <w:rPr>
          <w:lang w:val="en-GB"/>
        </w:rPr>
        <w:t>W</w:t>
      </w:r>
      <w:r w:rsidR="007D14C8" w:rsidRPr="00AE6D77">
        <w:rPr>
          <w:lang w:val="en-GB"/>
        </w:rPr>
        <w:t>ell-known academi</w:t>
      </w:r>
      <w:r w:rsidR="004D0770" w:rsidRPr="00AE6D77">
        <w:rPr>
          <w:lang w:val="en-GB"/>
        </w:rPr>
        <w:t>c and non-academic institutions</w:t>
      </w:r>
      <w:r w:rsidR="0043129B" w:rsidRPr="00AE6D77">
        <w:rPr>
          <w:lang w:val="en-GB"/>
        </w:rPr>
        <w:t xml:space="preserve"> </w:t>
      </w:r>
      <w:r w:rsidR="007D14C8" w:rsidRPr="00AE6D77">
        <w:rPr>
          <w:lang w:val="en-GB"/>
        </w:rPr>
        <w:t>call fo</w:t>
      </w:r>
      <w:r w:rsidR="00B176BF" w:rsidRPr="00AE6D77">
        <w:rPr>
          <w:lang w:val="en-GB"/>
        </w:rPr>
        <w:t xml:space="preserve">r a new approach in economics </w:t>
      </w:r>
      <w:r w:rsidR="003B6E55" w:rsidRPr="00AE6D77">
        <w:rPr>
          <w:lang w:val="en-GB"/>
        </w:rPr>
        <w:t>able to capture</w:t>
      </w:r>
      <w:r w:rsidR="002C32F0" w:rsidRPr="00AE6D77">
        <w:rPr>
          <w:lang w:val="en-GB"/>
        </w:rPr>
        <w:t xml:space="preserve"> </w:t>
      </w:r>
      <w:r w:rsidR="007D14C8" w:rsidRPr="00AE6D77">
        <w:rPr>
          <w:lang w:val="en-GB"/>
        </w:rPr>
        <w:t xml:space="preserve">features </w:t>
      </w:r>
      <w:r w:rsidR="00594EFB" w:rsidRPr="00AE6D77">
        <w:rPr>
          <w:lang w:val="en-GB"/>
        </w:rPr>
        <w:t>of modern economies</w:t>
      </w:r>
      <w:r w:rsidR="007D14C8" w:rsidRPr="00AE6D77">
        <w:rPr>
          <w:lang w:val="en-GB"/>
        </w:rPr>
        <w:t xml:space="preserve"> </w:t>
      </w:r>
      <w:r w:rsidR="00EF099D" w:rsidRPr="00AE6D77">
        <w:rPr>
          <w:lang w:val="en-GB"/>
        </w:rPr>
        <w:t>including</w:t>
      </w:r>
      <w:r w:rsidR="00612D05" w:rsidRPr="00AE6D77">
        <w:rPr>
          <w:lang w:val="en-GB"/>
        </w:rPr>
        <w:t>,</w:t>
      </w:r>
      <w:r w:rsidR="00462F9F" w:rsidRPr="00AE6D77">
        <w:rPr>
          <w:lang w:val="en-GB"/>
        </w:rPr>
        <w:t xml:space="preserve"> but not limited to</w:t>
      </w:r>
      <w:r w:rsidR="00612D05" w:rsidRPr="00AE6D77">
        <w:rPr>
          <w:lang w:val="en-GB"/>
        </w:rPr>
        <w:t>,</w:t>
      </w:r>
      <w:r w:rsidR="007D14C8" w:rsidRPr="00AE6D77">
        <w:rPr>
          <w:lang w:val="en-GB"/>
        </w:rPr>
        <w:t xml:space="preserve"> complexity, non-equilibrium </w:t>
      </w:r>
      <w:r w:rsidR="004E7FE1" w:rsidRPr="00AE6D77">
        <w:rPr>
          <w:lang w:val="en-GB"/>
        </w:rPr>
        <w:t>and</w:t>
      </w:r>
      <w:r w:rsidR="007D14C8" w:rsidRPr="00AE6D77">
        <w:rPr>
          <w:lang w:val="en-GB"/>
        </w:rPr>
        <w:t xml:space="preserve"> uncertainty. In this </w:t>
      </w:r>
      <w:r w:rsidR="0074336E" w:rsidRPr="00AE6D77">
        <w:rPr>
          <w:lang w:val="en-GB"/>
        </w:rPr>
        <w:t>paper</w:t>
      </w:r>
      <w:r w:rsidR="007D14C8" w:rsidRPr="00AE6D77">
        <w:rPr>
          <w:lang w:val="en-GB"/>
        </w:rPr>
        <w:t xml:space="preserve">, we provide a </w:t>
      </w:r>
      <w:r w:rsidR="00FA25F8" w:rsidRPr="00AE6D77">
        <w:rPr>
          <w:lang w:val="en-GB"/>
        </w:rPr>
        <w:t xml:space="preserve">systematic </w:t>
      </w:r>
      <w:r w:rsidR="007D14C8" w:rsidRPr="00AE6D77">
        <w:rPr>
          <w:lang w:val="en-GB"/>
        </w:rPr>
        <w:t xml:space="preserve">review of ecological </w:t>
      </w:r>
      <w:r w:rsidR="006C6D2D" w:rsidRPr="00AE6D77">
        <w:rPr>
          <w:lang w:val="en-GB"/>
        </w:rPr>
        <w:t>macro</w:t>
      </w:r>
      <w:r w:rsidR="007D14C8" w:rsidRPr="00AE6D77">
        <w:rPr>
          <w:lang w:val="en-GB"/>
        </w:rPr>
        <w:t xml:space="preserve">economic </w:t>
      </w:r>
      <w:r w:rsidR="0057155E" w:rsidRPr="00AE6D77">
        <w:rPr>
          <w:lang w:val="en-GB"/>
        </w:rPr>
        <w:t>models</w:t>
      </w:r>
      <w:r w:rsidR="0008626C" w:rsidRPr="00AE6D77">
        <w:rPr>
          <w:lang w:val="en-GB"/>
        </w:rPr>
        <w:t xml:space="preserve"> that are </w:t>
      </w:r>
      <w:r w:rsidR="009410B7" w:rsidRPr="00AE6D77">
        <w:rPr>
          <w:lang w:val="en-GB"/>
        </w:rPr>
        <w:t xml:space="preserve">suitable </w:t>
      </w:r>
      <w:r w:rsidR="001A5DA1" w:rsidRPr="00AE6D77">
        <w:rPr>
          <w:lang w:val="en-GB"/>
        </w:rPr>
        <w:t>for the investigation of</w:t>
      </w:r>
      <w:r w:rsidR="007D14C8" w:rsidRPr="00AE6D77">
        <w:rPr>
          <w:lang w:val="en-GB"/>
        </w:rPr>
        <w:t xml:space="preserve"> </w:t>
      </w:r>
      <w:r w:rsidR="006C6D2D" w:rsidRPr="00AE6D77">
        <w:rPr>
          <w:lang w:val="en-GB"/>
        </w:rPr>
        <w:t xml:space="preserve">low-carbon </w:t>
      </w:r>
      <w:r w:rsidR="007D14C8" w:rsidRPr="00AE6D77">
        <w:rPr>
          <w:lang w:val="en-GB"/>
        </w:rPr>
        <w:t>energy transition</w:t>
      </w:r>
      <w:r w:rsidR="00D00F6E" w:rsidRPr="00AE6D77">
        <w:rPr>
          <w:lang w:val="en-GB"/>
        </w:rPr>
        <w:t>s</w:t>
      </w:r>
      <w:r w:rsidR="00566909" w:rsidRPr="00AE6D77">
        <w:rPr>
          <w:lang w:val="en-GB"/>
        </w:rPr>
        <w:t xml:space="preserve"> and assess </w:t>
      </w:r>
      <w:r w:rsidR="00462F9F" w:rsidRPr="00AE6D77">
        <w:rPr>
          <w:lang w:val="en-GB"/>
        </w:rPr>
        <w:t xml:space="preserve">them </w:t>
      </w:r>
      <w:r w:rsidR="00612D05" w:rsidRPr="00AE6D77">
        <w:rPr>
          <w:lang w:val="en-GB"/>
        </w:rPr>
        <w:t xml:space="preserve">based </w:t>
      </w:r>
      <w:r w:rsidR="00462F9F" w:rsidRPr="00AE6D77">
        <w:rPr>
          <w:lang w:val="en-GB"/>
        </w:rPr>
        <w:t xml:space="preserve">on the </w:t>
      </w:r>
      <w:r w:rsidR="00566909" w:rsidRPr="00AE6D77">
        <w:rPr>
          <w:lang w:val="en-GB"/>
        </w:rPr>
        <w:t xml:space="preserve">features considered desirable </w:t>
      </w:r>
      <w:r w:rsidR="00612D05" w:rsidRPr="00AE6D77">
        <w:rPr>
          <w:lang w:val="en-GB"/>
        </w:rPr>
        <w:t>for</w:t>
      </w:r>
      <w:r w:rsidR="00C63234" w:rsidRPr="00AE6D77">
        <w:rPr>
          <w:lang w:val="en-GB"/>
        </w:rPr>
        <w:t xml:space="preserve"> a </w:t>
      </w:r>
      <w:r w:rsidR="00566909" w:rsidRPr="00AE6D77">
        <w:rPr>
          <w:lang w:val="en-GB"/>
        </w:rPr>
        <w:t>new approach</w:t>
      </w:r>
      <w:r w:rsidR="00462F9F" w:rsidRPr="00AE6D77">
        <w:rPr>
          <w:lang w:val="en-GB"/>
        </w:rPr>
        <w:t xml:space="preserve"> </w:t>
      </w:r>
      <w:r w:rsidR="00C63234" w:rsidRPr="00AE6D77">
        <w:rPr>
          <w:lang w:val="en-GB"/>
        </w:rPr>
        <w:t>in economics</w:t>
      </w:r>
      <w:r w:rsidR="00566909" w:rsidRPr="00AE6D77">
        <w:rPr>
          <w:lang w:val="en-GB"/>
        </w:rPr>
        <w:t>.</w:t>
      </w:r>
      <w:r w:rsidR="00C31673" w:rsidRPr="00AE6D77">
        <w:rPr>
          <w:lang w:val="en-GB"/>
        </w:rPr>
        <w:t xml:space="preserve"> </w:t>
      </w:r>
      <w:r w:rsidR="00BB6732" w:rsidRPr="00AE6D77">
        <w:rPr>
          <w:lang w:val="en-GB"/>
        </w:rPr>
        <w:t xml:space="preserve">We </w:t>
      </w:r>
      <w:r w:rsidR="00462F9F" w:rsidRPr="00AE6D77">
        <w:rPr>
          <w:lang w:val="en-GB"/>
        </w:rPr>
        <w:t>draw t</w:t>
      </w:r>
      <w:r w:rsidR="00EF099D" w:rsidRPr="00AE6D77">
        <w:rPr>
          <w:lang w:val="en-GB"/>
        </w:rPr>
        <w:t>w</w:t>
      </w:r>
      <w:r w:rsidR="00462F9F" w:rsidRPr="00AE6D77">
        <w:rPr>
          <w:lang w:val="en-GB"/>
        </w:rPr>
        <w:t>o main conclusions: first</w:t>
      </w:r>
      <w:r w:rsidR="00612D05" w:rsidRPr="00AE6D77">
        <w:rPr>
          <w:lang w:val="en-GB"/>
        </w:rPr>
        <w:t>ly</w:t>
      </w:r>
      <w:r w:rsidR="00462F9F" w:rsidRPr="00AE6D77">
        <w:rPr>
          <w:lang w:val="en-GB"/>
        </w:rPr>
        <w:t xml:space="preserve">, </w:t>
      </w:r>
      <w:r w:rsidR="00566909" w:rsidRPr="00AE6D77">
        <w:rPr>
          <w:lang w:val="en-GB"/>
        </w:rPr>
        <w:t xml:space="preserve">the knowledge base and structure of </w:t>
      </w:r>
      <w:r w:rsidR="00EF11DA" w:rsidRPr="00AE6D77">
        <w:rPr>
          <w:lang w:val="en-GB"/>
        </w:rPr>
        <w:t xml:space="preserve">these </w:t>
      </w:r>
      <w:r w:rsidR="00566909" w:rsidRPr="00AE6D77">
        <w:rPr>
          <w:lang w:val="en-GB"/>
        </w:rPr>
        <w:t xml:space="preserve">existing ecological </w:t>
      </w:r>
      <w:r w:rsidR="00565BD3" w:rsidRPr="00AE6D77">
        <w:rPr>
          <w:lang w:val="en-GB"/>
        </w:rPr>
        <w:t>macro</w:t>
      </w:r>
      <w:r w:rsidR="00566909" w:rsidRPr="00AE6D77">
        <w:rPr>
          <w:lang w:val="en-GB"/>
        </w:rPr>
        <w:t>economic models</w:t>
      </w:r>
      <w:r w:rsidR="00565BD3" w:rsidRPr="00AE6D77">
        <w:rPr>
          <w:lang w:val="en-GB"/>
        </w:rPr>
        <w:t xml:space="preserve"> </w:t>
      </w:r>
      <w:r w:rsidR="00994C6E" w:rsidRPr="00AE6D77">
        <w:rPr>
          <w:lang w:val="en-GB"/>
        </w:rPr>
        <w:t>are relevant</w:t>
      </w:r>
      <w:r w:rsidR="00566909" w:rsidRPr="00AE6D77">
        <w:rPr>
          <w:lang w:val="en-GB"/>
        </w:rPr>
        <w:t xml:space="preserve">, alongside other types of models, </w:t>
      </w:r>
      <w:r w:rsidR="00994C6E" w:rsidRPr="00AE6D77">
        <w:rPr>
          <w:lang w:val="en-GB"/>
        </w:rPr>
        <w:t>for</w:t>
      </w:r>
      <w:r w:rsidR="00C63234" w:rsidRPr="00AE6D77">
        <w:rPr>
          <w:lang w:val="en-GB"/>
        </w:rPr>
        <w:t xml:space="preserve"> the creation of a new approach in economics</w:t>
      </w:r>
      <w:r w:rsidR="00566909" w:rsidRPr="00AE6D77">
        <w:rPr>
          <w:lang w:val="en-GB"/>
        </w:rPr>
        <w:t xml:space="preserve">. </w:t>
      </w:r>
      <w:r w:rsidR="00462F9F" w:rsidRPr="00AE6D77">
        <w:rPr>
          <w:lang w:val="en-GB"/>
        </w:rPr>
        <w:t>Second</w:t>
      </w:r>
      <w:r w:rsidR="00612D05" w:rsidRPr="00AE6D77">
        <w:rPr>
          <w:lang w:val="en-GB"/>
        </w:rPr>
        <w:t>ly</w:t>
      </w:r>
      <w:r w:rsidR="00462F9F" w:rsidRPr="00AE6D77">
        <w:rPr>
          <w:lang w:val="en-GB"/>
        </w:rPr>
        <w:t xml:space="preserve">, the reviewed </w:t>
      </w:r>
      <w:r w:rsidR="00BB6732" w:rsidRPr="00AE6D77">
        <w:rPr>
          <w:lang w:val="en-GB"/>
        </w:rPr>
        <w:t>model</w:t>
      </w:r>
      <w:r w:rsidR="0057155E" w:rsidRPr="00AE6D77">
        <w:rPr>
          <w:lang w:val="en-GB"/>
        </w:rPr>
        <w:t>s</w:t>
      </w:r>
      <w:r w:rsidR="00BB6732" w:rsidRPr="00AE6D77">
        <w:rPr>
          <w:lang w:val="en-GB"/>
        </w:rPr>
        <w:t xml:space="preserve"> </w:t>
      </w:r>
      <w:r w:rsidR="0057155E" w:rsidRPr="00AE6D77">
        <w:rPr>
          <w:lang w:val="en-GB"/>
        </w:rPr>
        <w:t>are</w:t>
      </w:r>
      <w:r w:rsidR="00BB6732" w:rsidRPr="00AE6D77">
        <w:rPr>
          <w:lang w:val="en-GB"/>
        </w:rPr>
        <w:t xml:space="preserve"> policy relevant</w:t>
      </w:r>
      <w:r w:rsidR="003B6E55" w:rsidRPr="00AE6D77">
        <w:rPr>
          <w:lang w:val="en-GB"/>
        </w:rPr>
        <w:t>, especially in the context of</w:t>
      </w:r>
      <w:r w:rsidR="0057155E" w:rsidRPr="00AE6D77">
        <w:rPr>
          <w:lang w:val="en-GB"/>
        </w:rPr>
        <w:t xml:space="preserve"> </w:t>
      </w:r>
      <w:r w:rsidR="003B6E55" w:rsidRPr="00AE6D77">
        <w:rPr>
          <w:lang w:val="en-GB"/>
        </w:rPr>
        <w:t>the</w:t>
      </w:r>
      <w:r w:rsidR="0057155E" w:rsidRPr="00AE6D77">
        <w:rPr>
          <w:lang w:val="en-GB"/>
        </w:rPr>
        <w:t xml:space="preserve"> complexity</w:t>
      </w:r>
      <w:r w:rsidR="000B0FE3" w:rsidRPr="00AE6D77">
        <w:rPr>
          <w:lang w:val="en-GB"/>
        </w:rPr>
        <w:t xml:space="preserve"> </w:t>
      </w:r>
      <w:r w:rsidR="0047591E" w:rsidRPr="00AE6D77">
        <w:rPr>
          <w:lang w:val="en-GB"/>
        </w:rPr>
        <w:t xml:space="preserve">and urgency </w:t>
      </w:r>
      <w:r w:rsidR="000B0FE3" w:rsidRPr="00AE6D77">
        <w:rPr>
          <w:lang w:val="en-GB"/>
        </w:rPr>
        <w:t xml:space="preserve">of </w:t>
      </w:r>
      <w:r w:rsidR="003B6E55" w:rsidRPr="00AE6D77">
        <w:rPr>
          <w:lang w:val="en-GB"/>
        </w:rPr>
        <w:t xml:space="preserve">rapid </w:t>
      </w:r>
      <w:r w:rsidR="000B0FE3" w:rsidRPr="00AE6D77">
        <w:rPr>
          <w:lang w:val="en-GB"/>
        </w:rPr>
        <w:t>energy transitions</w:t>
      </w:r>
      <w:r w:rsidR="0057155E" w:rsidRPr="00AE6D77">
        <w:rPr>
          <w:lang w:val="en-GB"/>
        </w:rPr>
        <w:t xml:space="preserve">, </w:t>
      </w:r>
      <w:r w:rsidR="003B6E55" w:rsidRPr="00AE6D77">
        <w:rPr>
          <w:lang w:val="en-GB"/>
        </w:rPr>
        <w:t xml:space="preserve">where </w:t>
      </w:r>
      <w:r w:rsidR="00D253FD" w:rsidRPr="00AE6D77">
        <w:rPr>
          <w:lang w:val="en-GB"/>
        </w:rPr>
        <w:t xml:space="preserve">increasingly </w:t>
      </w:r>
      <w:r w:rsidR="00BB6732" w:rsidRPr="00AE6D77">
        <w:rPr>
          <w:lang w:val="en-GB"/>
        </w:rPr>
        <w:t xml:space="preserve">policymakers </w:t>
      </w:r>
      <w:r w:rsidR="00EA12A1" w:rsidRPr="00AE6D77">
        <w:rPr>
          <w:lang w:val="en-GB"/>
        </w:rPr>
        <w:t>require</w:t>
      </w:r>
      <w:r w:rsidR="00BB6732" w:rsidRPr="00AE6D77">
        <w:rPr>
          <w:lang w:val="en-GB"/>
        </w:rPr>
        <w:t xml:space="preserve"> </w:t>
      </w:r>
      <w:r w:rsidR="00A678B6" w:rsidRPr="00AE6D77">
        <w:rPr>
          <w:lang w:val="en-GB"/>
        </w:rPr>
        <w:t xml:space="preserve">economic </w:t>
      </w:r>
      <w:r w:rsidR="00BB6732" w:rsidRPr="00AE6D77">
        <w:rPr>
          <w:lang w:val="en-GB"/>
        </w:rPr>
        <w:t xml:space="preserve">models able to capture real-world characteristics. </w:t>
      </w:r>
      <w:r w:rsidR="0046643A" w:rsidRPr="00AE6D77">
        <w:rPr>
          <w:lang w:val="en-GB"/>
        </w:rPr>
        <w:t>However</w:t>
      </w:r>
      <w:r w:rsidR="00BC2F48" w:rsidRPr="00AE6D77">
        <w:rPr>
          <w:lang w:val="en-GB"/>
        </w:rPr>
        <w:t>,</w:t>
      </w:r>
      <w:r w:rsidR="0046643A" w:rsidRPr="00AE6D77">
        <w:rPr>
          <w:lang w:val="en-GB"/>
        </w:rPr>
        <w:t xml:space="preserve"> further improvements are needed</w:t>
      </w:r>
      <w:r w:rsidR="00612D05" w:rsidRPr="00AE6D77">
        <w:rPr>
          <w:lang w:val="en-GB"/>
        </w:rPr>
        <w:t xml:space="preserve"> to these models</w:t>
      </w:r>
      <w:r w:rsidR="0046643A" w:rsidRPr="00AE6D77">
        <w:rPr>
          <w:lang w:val="en-GB"/>
        </w:rPr>
        <w:t xml:space="preserve"> and </w:t>
      </w:r>
      <w:r w:rsidR="0057155E" w:rsidRPr="00AE6D77">
        <w:rPr>
          <w:lang w:val="en-GB"/>
        </w:rPr>
        <w:t>future research</w:t>
      </w:r>
      <w:r w:rsidR="0046643A" w:rsidRPr="00AE6D77">
        <w:rPr>
          <w:lang w:val="en-GB"/>
        </w:rPr>
        <w:t xml:space="preserve"> </w:t>
      </w:r>
      <w:r w:rsidR="007D14C8" w:rsidRPr="00AE6D77">
        <w:rPr>
          <w:lang w:val="en-GB"/>
        </w:rPr>
        <w:t>should focus on i) assuring comparability of models’ results and</w:t>
      </w:r>
      <w:r w:rsidR="00612D05" w:rsidRPr="00AE6D77">
        <w:rPr>
          <w:lang w:val="en-GB"/>
        </w:rPr>
        <w:t xml:space="preserve"> their</w:t>
      </w:r>
      <w:r w:rsidR="007D14C8" w:rsidRPr="00AE6D77">
        <w:rPr>
          <w:lang w:val="en-GB"/>
        </w:rPr>
        <w:t xml:space="preserve"> policy insights, ii) </w:t>
      </w:r>
      <w:r w:rsidR="00612D05" w:rsidRPr="00AE6D77">
        <w:rPr>
          <w:lang w:val="en-GB"/>
        </w:rPr>
        <w:t>incorporation of</w:t>
      </w:r>
      <w:r w:rsidR="007D14C8" w:rsidRPr="00AE6D77">
        <w:rPr>
          <w:lang w:val="en-GB"/>
        </w:rPr>
        <w:t xml:space="preserve"> the relationship</w:t>
      </w:r>
      <w:r w:rsidR="00612D05" w:rsidRPr="00AE6D77">
        <w:rPr>
          <w:lang w:val="en-GB"/>
        </w:rPr>
        <w:t>s</w:t>
      </w:r>
      <w:r w:rsidR="007D14C8" w:rsidRPr="00AE6D77">
        <w:rPr>
          <w:lang w:val="en-GB"/>
        </w:rPr>
        <w:t xml:space="preserve"> between macroeconomics, finance and sustainability and iii) the institutionalization of </w:t>
      </w:r>
      <w:r w:rsidR="003B3B5D" w:rsidRPr="00AE6D77">
        <w:rPr>
          <w:lang w:val="en-GB"/>
        </w:rPr>
        <w:t>a</w:t>
      </w:r>
      <w:r w:rsidR="007D14C8" w:rsidRPr="00AE6D77">
        <w:rPr>
          <w:lang w:val="en-GB"/>
        </w:rPr>
        <w:t xml:space="preserve"> new approach in economics.</w:t>
      </w:r>
      <w:r w:rsidR="00FA25F8" w:rsidRPr="00AE6D77">
        <w:rPr>
          <w:lang w:val="en-GB"/>
        </w:rPr>
        <w:t xml:space="preserve"> </w:t>
      </w:r>
    </w:p>
    <w:p w14:paraId="4B2E444E" w14:textId="77777777" w:rsidR="007D14C8" w:rsidRPr="00AE6D77" w:rsidRDefault="007D14C8" w:rsidP="00160576">
      <w:pPr>
        <w:rPr>
          <w:b/>
          <w:lang w:val="en-GB"/>
        </w:rPr>
      </w:pPr>
    </w:p>
    <w:p w14:paraId="66C6DCAB" w14:textId="63EC9CBC" w:rsidR="00A604C7" w:rsidRPr="00AE6D77" w:rsidRDefault="00C11D64" w:rsidP="00A604C7">
      <w:pPr>
        <w:rPr>
          <w:lang w:val="en-GB"/>
        </w:rPr>
      </w:pPr>
      <w:r w:rsidRPr="00AE6D77">
        <w:rPr>
          <w:b/>
          <w:lang w:val="en-GB"/>
        </w:rPr>
        <w:t>Keywords</w:t>
      </w:r>
      <w:r w:rsidR="009D7A93" w:rsidRPr="00AE6D77">
        <w:rPr>
          <w:lang w:val="en-GB"/>
        </w:rPr>
        <w:t xml:space="preserve">: </w:t>
      </w:r>
      <w:r w:rsidR="00DC1EA5" w:rsidRPr="00AE6D77">
        <w:rPr>
          <w:lang w:val="en-GB"/>
        </w:rPr>
        <w:t>Rebuilding macroeconomics; New approaches in economics;</w:t>
      </w:r>
      <w:r w:rsidR="00D8084B" w:rsidRPr="00AE6D77">
        <w:rPr>
          <w:lang w:val="en-GB"/>
        </w:rPr>
        <w:t xml:space="preserve"> </w:t>
      </w:r>
      <w:r w:rsidR="00B023D9" w:rsidRPr="00AE6D77">
        <w:rPr>
          <w:lang w:val="en-GB"/>
        </w:rPr>
        <w:t>Ecological macro</w:t>
      </w:r>
      <w:r w:rsidR="007B0644" w:rsidRPr="00AE6D77">
        <w:rPr>
          <w:lang w:val="en-GB"/>
        </w:rPr>
        <w:t>economic</w:t>
      </w:r>
      <w:r w:rsidR="00DC1EA5" w:rsidRPr="00AE6D77">
        <w:rPr>
          <w:lang w:val="en-GB"/>
        </w:rPr>
        <w:t xml:space="preserve"> models; </w:t>
      </w:r>
      <w:r w:rsidR="0017755E" w:rsidRPr="0026588B">
        <w:rPr>
          <w:lang w:val="en-GB"/>
        </w:rPr>
        <w:t>Energy-</w:t>
      </w:r>
      <w:r w:rsidR="0017755E" w:rsidRPr="00AE6D77">
        <w:rPr>
          <w:lang w:val="en-GB"/>
        </w:rPr>
        <w:t>economic models</w:t>
      </w:r>
      <w:r w:rsidR="00DC1EA5" w:rsidRPr="00AE6D77">
        <w:rPr>
          <w:lang w:val="en-GB"/>
        </w:rPr>
        <w:t>;</w:t>
      </w:r>
      <w:r w:rsidR="009D7A93" w:rsidRPr="00AE6D77">
        <w:rPr>
          <w:lang w:val="en-GB"/>
        </w:rPr>
        <w:t xml:space="preserve"> </w:t>
      </w:r>
      <w:r w:rsidR="00535739" w:rsidRPr="00AE6D77">
        <w:rPr>
          <w:lang w:val="en-GB"/>
        </w:rPr>
        <w:t>L</w:t>
      </w:r>
      <w:r w:rsidR="007B0644" w:rsidRPr="00AE6D77">
        <w:rPr>
          <w:lang w:val="en-GB"/>
        </w:rPr>
        <w:t>ow-carbon energy transition</w:t>
      </w:r>
      <w:r w:rsidR="00A604C7" w:rsidRPr="00AE6D77">
        <w:rPr>
          <w:lang w:val="en-GB"/>
        </w:rPr>
        <w:br w:type="page"/>
      </w:r>
    </w:p>
    <w:p w14:paraId="333E5BF8" w14:textId="470D5D73" w:rsidR="00701D2B" w:rsidRPr="00AE6D77" w:rsidRDefault="00701D2B" w:rsidP="00160576">
      <w:pPr>
        <w:pStyle w:val="Heading1"/>
        <w:rPr>
          <w:rFonts w:eastAsia="Times New Roman"/>
          <w:color w:val="auto"/>
          <w:sz w:val="24"/>
          <w:szCs w:val="24"/>
        </w:rPr>
      </w:pPr>
      <w:r w:rsidRPr="00AE6D77">
        <w:rPr>
          <w:color w:val="auto"/>
          <w:sz w:val="24"/>
          <w:szCs w:val="24"/>
        </w:rPr>
        <w:lastRenderedPageBreak/>
        <w:t xml:space="preserve">1. Introduction </w:t>
      </w:r>
    </w:p>
    <w:p w14:paraId="7A5B0059" w14:textId="77777777" w:rsidR="00701D2B" w:rsidRPr="00AE6D77" w:rsidRDefault="00701D2B" w:rsidP="001605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eastAsia="Times New Roman"/>
          <w:u w:color="000000"/>
          <w:lang w:val="en-GB"/>
        </w:rPr>
      </w:pPr>
    </w:p>
    <w:p w14:paraId="10294C92" w14:textId="517020AD" w:rsidR="00701D2B" w:rsidRPr="00AE6D77" w:rsidRDefault="00701D2B" w:rsidP="001605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Cs w:val="22"/>
          <w:lang w:val="en-GB"/>
        </w:rPr>
      </w:pPr>
      <w:r w:rsidRPr="00AE6D77">
        <w:rPr>
          <w:szCs w:val="22"/>
          <w:lang w:val="en-GB"/>
        </w:rPr>
        <w:t xml:space="preserve">Until </w:t>
      </w:r>
      <w:r w:rsidR="005B4762" w:rsidRPr="00AE6D77">
        <w:rPr>
          <w:szCs w:val="22"/>
          <w:lang w:val="en-GB"/>
        </w:rPr>
        <w:t>the Great Financial Crisis</w:t>
      </w:r>
      <w:r w:rsidR="002B20D2" w:rsidRPr="00AE6D77">
        <w:rPr>
          <w:szCs w:val="22"/>
          <w:lang w:val="en-GB"/>
        </w:rPr>
        <w:t xml:space="preserve"> (GFC)</w:t>
      </w:r>
      <w:r w:rsidR="005B4762" w:rsidRPr="00AE6D77">
        <w:rPr>
          <w:szCs w:val="22"/>
          <w:lang w:val="en-GB"/>
        </w:rPr>
        <w:t xml:space="preserve"> </w:t>
      </w:r>
      <w:r w:rsidR="009C2CB1" w:rsidRPr="00AE6D77">
        <w:rPr>
          <w:szCs w:val="22"/>
          <w:lang w:val="en-GB"/>
        </w:rPr>
        <w:t xml:space="preserve">in </w:t>
      </w:r>
      <w:r w:rsidR="005B4762" w:rsidRPr="00AE6D77">
        <w:rPr>
          <w:szCs w:val="22"/>
          <w:lang w:val="en-GB"/>
        </w:rPr>
        <w:t>2008</w:t>
      </w:r>
      <w:r w:rsidR="00576DE8" w:rsidRPr="00AE6D77">
        <w:rPr>
          <w:szCs w:val="22"/>
          <w:lang w:val="en-GB"/>
        </w:rPr>
        <w:t xml:space="preserve">, </w:t>
      </w:r>
      <w:r w:rsidR="00107021" w:rsidRPr="00AE6D77">
        <w:rPr>
          <w:szCs w:val="22"/>
          <w:lang w:val="en-GB"/>
        </w:rPr>
        <w:t>most neoclassical</w:t>
      </w:r>
      <w:r w:rsidR="00D8084B" w:rsidRPr="00AE6D77">
        <w:rPr>
          <w:szCs w:val="22"/>
          <w:lang w:val="en-GB"/>
        </w:rPr>
        <w:t xml:space="preserve"> </w:t>
      </w:r>
      <w:r w:rsidRPr="00AE6D77">
        <w:rPr>
          <w:szCs w:val="22"/>
          <w:lang w:val="en-GB"/>
        </w:rPr>
        <w:t>economists</w:t>
      </w:r>
      <w:r w:rsidR="00576DE8" w:rsidRPr="00AE6D77">
        <w:rPr>
          <w:szCs w:val="22"/>
          <w:lang w:val="en-GB"/>
        </w:rPr>
        <w:t xml:space="preserve"> </w:t>
      </w:r>
      <w:r w:rsidR="00CA206A" w:rsidRPr="00AE6D77">
        <w:rPr>
          <w:szCs w:val="22"/>
          <w:lang w:val="en-GB"/>
        </w:rPr>
        <w:t>were confident</w:t>
      </w:r>
      <w:r w:rsidR="00EF099D" w:rsidRPr="00AE6D77">
        <w:rPr>
          <w:szCs w:val="22"/>
          <w:lang w:val="en-GB"/>
        </w:rPr>
        <w:t xml:space="preserve"> </w:t>
      </w:r>
      <w:r w:rsidR="00002654" w:rsidRPr="00AE6D77">
        <w:rPr>
          <w:szCs w:val="22"/>
          <w:lang w:val="en-GB"/>
        </w:rPr>
        <w:t>about</w:t>
      </w:r>
      <w:r w:rsidR="00576DE8" w:rsidRPr="00AE6D77">
        <w:rPr>
          <w:szCs w:val="22"/>
          <w:lang w:val="en-GB"/>
        </w:rPr>
        <w:t xml:space="preserve"> the ability of </w:t>
      </w:r>
      <w:r w:rsidR="0047591E" w:rsidRPr="00AE6D77">
        <w:rPr>
          <w:szCs w:val="22"/>
          <w:lang w:val="en-GB"/>
        </w:rPr>
        <w:t xml:space="preserve">their </w:t>
      </w:r>
      <w:r w:rsidR="00901999" w:rsidRPr="00AE6D77">
        <w:rPr>
          <w:szCs w:val="22"/>
          <w:lang w:val="en-GB"/>
        </w:rPr>
        <w:t>macroeconomic models, which include</w:t>
      </w:r>
      <w:r w:rsidR="00576DE8" w:rsidRPr="00AE6D77">
        <w:rPr>
          <w:szCs w:val="22"/>
          <w:lang w:val="en-GB"/>
        </w:rPr>
        <w:t xml:space="preserve"> Dynamic Stochastic General Equilibrium (DGSE) or </w:t>
      </w:r>
      <w:r w:rsidR="00D776BB" w:rsidRPr="00AE6D77">
        <w:rPr>
          <w:szCs w:val="22"/>
          <w:lang w:val="en-GB"/>
        </w:rPr>
        <w:t xml:space="preserve">Computational </w:t>
      </w:r>
      <w:r w:rsidR="00576DE8" w:rsidRPr="00AE6D77">
        <w:rPr>
          <w:szCs w:val="22"/>
          <w:lang w:val="en-GB"/>
        </w:rPr>
        <w:t>General Equilibrium (CGE) models</w:t>
      </w:r>
      <w:r w:rsidR="004E5E17" w:rsidRPr="00AE6D77">
        <w:rPr>
          <w:szCs w:val="22"/>
          <w:lang w:val="en-GB"/>
        </w:rPr>
        <w:t>,</w:t>
      </w:r>
      <w:r w:rsidR="00576DE8" w:rsidRPr="00AE6D77">
        <w:rPr>
          <w:szCs w:val="22"/>
          <w:lang w:val="en-GB"/>
        </w:rPr>
        <w:t xml:space="preserve"> to represent and understand the main</w:t>
      </w:r>
      <w:r w:rsidRPr="00AE6D77">
        <w:rPr>
          <w:szCs w:val="22"/>
          <w:lang w:val="en-GB"/>
        </w:rPr>
        <w:t xml:space="preserve"> </w:t>
      </w:r>
      <w:r w:rsidR="00576DE8" w:rsidRPr="00AE6D77">
        <w:rPr>
          <w:szCs w:val="22"/>
          <w:lang w:val="en-GB"/>
        </w:rPr>
        <w:t xml:space="preserve">macroeconomic </w:t>
      </w:r>
      <w:r w:rsidRPr="00AE6D77">
        <w:rPr>
          <w:szCs w:val="22"/>
          <w:lang w:val="en-GB"/>
        </w:rPr>
        <w:t>mechanisms</w:t>
      </w:r>
      <w:r w:rsidR="009C0085" w:rsidRPr="00AE6D77">
        <w:rPr>
          <w:szCs w:val="22"/>
          <w:lang w:val="en-GB"/>
        </w:rPr>
        <w:t xml:space="preserve"> (</w:t>
      </w:r>
      <w:r w:rsidR="002F5E19" w:rsidRPr="00AE6D77">
        <w:rPr>
          <w:szCs w:val="22"/>
          <w:lang w:val="en-GB"/>
        </w:rPr>
        <w:t xml:space="preserve">Blanchard, </w:t>
      </w:r>
      <w:r w:rsidR="00D412D8" w:rsidRPr="00AE6D77">
        <w:rPr>
          <w:szCs w:val="22"/>
          <w:lang w:val="en-GB"/>
        </w:rPr>
        <w:t>2009</w:t>
      </w:r>
      <w:r w:rsidR="00107021" w:rsidRPr="00AE6D77">
        <w:rPr>
          <w:szCs w:val="22"/>
          <w:lang w:val="en-GB"/>
        </w:rPr>
        <w:t>; Stiglitz, 2018</w:t>
      </w:r>
      <w:r w:rsidR="009C0085" w:rsidRPr="00AE6D77">
        <w:rPr>
          <w:szCs w:val="22"/>
          <w:lang w:val="en-GB"/>
        </w:rPr>
        <w:t>)</w:t>
      </w:r>
      <w:r w:rsidR="00576DE8" w:rsidRPr="00AE6D77">
        <w:rPr>
          <w:szCs w:val="22"/>
          <w:lang w:val="en-GB"/>
        </w:rPr>
        <w:t xml:space="preserve">. </w:t>
      </w:r>
      <w:r w:rsidR="00704888" w:rsidRPr="00AE6D77">
        <w:rPr>
          <w:szCs w:val="22"/>
          <w:lang w:val="en-GB"/>
        </w:rPr>
        <w:t>U</w:t>
      </w:r>
      <w:r w:rsidR="00002654" w:rsidRPr="00AE6D77">
        <w:rPr>
          <w:szCs w:val="22"/>
          <w:lang w:val="en-GB"/>
        </w:rPr>
        <w:t xml:space="preserve">sing the above mentioned modelling approaches </w:t>
      </w:r>
      <w:r w:rsidR="00107021" w:rsidRPr="00AE6D77">
        <w:rPr>
          <w:szCs w:val="22"/>
          <w:lang w:val="en-GB"/>
        </w:rPr>
        <w:t xml:space="preserve">these </w:t>
      </w:r>
      <w:r w:rsidR="002B3219" w:rsidRPr="00AE6D77">
        <w:rPr>
          <w:szCs w:val="22"/>
          <w:lang w:val="en-GB"/>
        </w:rPr>
        <w:t>economists also believed that the main challenges of the real economy</w:t>
      </w:r>
      <w:r w:rsidR="00576DE8" w:rsidRPr="00AE6D77">
        <w:rPr>
          <w:szCs w:val="22"/>
          <w:lang w:val="en-GB"/>
        </w:rPr>
        <w:t xml:space="preserve">, i.e. </w:t>
      </w:r>
      <w:r w:rsidR="005B4762" w:rsidRPr="00AE6D77">
        <w:rPr>
          <w:szCs w:val="22"/>
          <w:lang w:val="en-GB"/>
        </w:rPr>
        <w:t xml:space="preserve">economic </w:t>
      </w:r>
      <w:r w:rsidR="00576DE8" w:rsidRPr="00AE6D77">
        <w:rPr>
          <w:szCs w:val="22"/>
          <w:lang w:val="en-GB"/>
        </w:rPr>
        <w:t xml:space="preserve">instability and crises, could be considered as </w:t>
      </w:r>
      <w:r w:rsidRPr="00AE6D77">
        <w:rPr>
          <w:szCs w:val="22"/>
          <w:lang w:val="en-GB"/>
        </w:rPr>
        <w:t>solved</w:t>
      </w:r>
      <w:r w:rsidR="00107021" w:rsidRPr="00AE6D77">
        <w:rPr>
          <w:szCs w:val="22"/>
          <w:lang w:val="en-GB"/>
        </w:rPr>
        <w:t xml:space="preserve"> </w:t>
      </w:r>
      <w:r w:rsidR="002B3219" w:rsidRPr="00AE6D77">
        <w:rPr>
          <w:szCs w:val="22"/>
          <w:lang w:val="en-GB"/>
        </w:rPr>
        <w:t>(</w:t>
      </w:r>
      <w:r w:rsidR="00D8084B" w:rsidRPr="00AE6D77">
        <w:rPr>
          <w:szCs w:val="22"/>
          <w:lang w:val="en-GB"/>
        </w:rPr>
        <w:t xml:space="preserve">e.g. </w:t>
      </w:r>
      <w:r w:rsidR="002B3219" w:rsidRPr="00AE6D77">
        <w:rPr>
          <w:szCs w:val="22"/>
          <w:lang w:val="en-GB"/>
        </w:rPr>
        <w:t>Blanchard, 2009</w:t>
      </w:r>
      <w:r w:rsidR="00165B71" w:rsidRPr="00AE6D77">
        <w:rPr>
          <w:szCs w:val="22"/>
          <w:lang w:val="en-GB"/>
        </w:rPr>
        <w:t>; Lucas, 2003</w:t>
      </w:r>
      <w:r w:rsidR="00D8084B" w:rsidRPr="00AE6D77">
        <w:rPr>
          <w:szCs w:val="22"/>
          <w:lang w:val="en-GB"/>
        </w:rPr>
        <w:t>, Christiano et al</w:t>
      </w:r>
      <w:r w:rsidR="009A3A5B" w:rsidRPr="00AE6D77">
        <w:rPr>
          <w:szCs w:val="22"/>
          <w:lang w:val="en-GB"/>
        </w:rPr>
        <w:t>.</w:t>
      </w:r>
      <w:r w:rsidR="00D8084B" w:rsidRPr="00AE6D77">
        <w:rPr>
          <w:szCs w:val="22"/>
          <w:lang w:val="en-GB"/>
        </w:rPr>
        <w:t xml:space="preserve"> 2018</w:t>
      </w:r>
      <w:r w:rsidR="002B3219" w:rsidRPr="00AE6D77">
        <w:rPr>
          <w:szCs w:val="22"/>
          <w:lang w:val="en-GB"/>
        </w:rPr>
        <w:t>)</w:t>
      </w:r>
      <w:r w:rsidRPr="00AE6D77">
        <w:rPr>
          <w:szCs w:val="22"/>
          <w:lang w:val="en-GB"/>
        </w:rPr>
        <w:t xml:space="preserve">. </w:t>
      </w:r>
    </w:p>
    <w:p w14:paraId="1B6B48CB" w14:textId="77777777" w:rsidR="00701D2B" w:rsidRPr="00AE6D77" w:rsidRDefault="00701D2B" w:rsidP="001605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Cs w:val="22"/>
          <w:lang w:val="en-GB"/>
        </w:rPr>
      </w:pPr>
    </w:p>
    <w:p w14:paraId="7DD45FB8" w14:textId="777E8D80" w:rsidR="00701D2B" w:rsidRPr="00AE6D77" w:rsidRDefault="00901999" w:rsidP="00160576">
      <w:pPr>
        <w:rPr>
          <w:szCs w:val="22"/>
          <w:lang w:val="en-GB"/>
        </w:rPr>
      </w:pPr>
      <w:r w:rsidRPr="00AE6D77">
        <w:rPr>
          <w:szCs w:val="22"/>
          <w:lang w:val="en-GB"/>
        </w:rPr>
        <w:t xml:space="preserve">However, the </w:t>
      </w:r>
      <w:r w:rsidR="002B20D2" w:rsidRPr="00AE6D77">
        <w:rPr>
          <w:szCs w:val="22"/>
          <w:lang w:val="en-GB"/>
        </w:rPr>
        <w:t xml:space="preserve">GFC </w:t>
      </w:r>
      <w:r w:rsidR="004E1C5B" w:rsidRPr="00AE6D77">
        <w:rPr>
          <w:szCs w:val="22"/>
          <w:lang w:val="en-GB"/>
        </w:rPr>
        <w:t xml:space="preserve">challenged this </w:t>
      </w:r>
      <w:r w:rsidR="00D776BB" w:rsidRPr="00AE6D77">
        <w:rPr>
          <w:szCs w:val="22"/>
          <w:lang w:val="en-GB"/>
        </w:rPr>
        <w:t xml:space="preserve">belief </w:t>
      </w:r>
      <w:r w:rsidR="004E1C5B" w:rsidRPr="00AE6D77">
        <w:rPr>
          <w:szCs w:val="22"/>
          <w:lang w:val="en-GB"/>
        </w:rPr>
        <w:t>and put economists unde</w:t>
      </w:r>
      <w:r w:rsidR="00E50C70" w:rsidRPr="00AE6D77">
        <w:rPr>
          <w:szCs w:val="22"/>
          <w:lang w:val="en-GB"/>
        </w:rPr>
        <w:t xml:space="preserve">r pressure from </w:t>
      </w:r>
      <w:r w:rsidR="00D8084B" w:rsidRPr="00AE6D77">
        <w:rPr>
          <w:szCs w:val="22"/>
          <w:lang w:val="en-GB"/>
        </w:rPr>
        <w:t>academic and non-academic experts</w:t>
      </w:r>
      <w:r w:rsidR="00E50C70" w:rsidRPr="00AE6D77">
        <w:rPr>
          <w:szCs w:val="22"/>
          <w:lang w:val="en-GB"/>
        </w:rPr>
        <w:t>. T</w:t>
      </w:r>
      <w:r w:rsidRPr="00AE6D77">
        <w:rPr>
          <w:szCs w:val="22"/>
          <w:lang w:val="en-GB"/>
        </w:rPr>
        <w:t xml:space="preserve">he </w:t>
      </w:r>
      <w:r w:rsidR="00D8084B" w:rsidRPr="00AE6D77">
        <w:rPr>
          <w:szCs w:val="22"/>
          <w:lang w:val="en-GB"/>
        </w:rPr>
        <w:t xml:space="preserve">inability </w:t>
      </w:r>
      <w:r w:rsidR="00B724B3" w:rsidRPr="00AE6D77">
        <w:rPr>
          <w:szCs w:val="22"/>
          <w:lang w:val="en-GB"/>
        </w:rPr>
        <w:t xml:space="preserve">of </w:t>
      </w:r>
      <w:r w:rsidR="00805F45" w:rsidRPr="00AE6D77">
        <w:rPr>
          <w:szCs w:val="22"/>
          <w:lang w:val="en-GB"/>
        </w:rPr>
        <w:t>mainstream economics</w:t>
      </w:r>
      <w:r w:rsidR="00B724B3" w:rsidRPr="00AE6D77">
        <w:rPr>
          <w:szCs w:val="22"/>
          <w:lang w:val="en-GB"/>
        </w:rPr>
        <w:t xml:space="preserve"> </w:t>
      </w:r>
      <w:r w:rsidR="00D8084B" w:rsidRPr="00AE6D77">
        <w:rPr>
          <w:szCs w:val="22"/>
          <w:lang w:val="en-GB"/>
        </w:rPr>
        <w:t xml:space="preserve">models </w:t>
      </w:r>
      <w:r w:rsidR="00B724B3" w:rsidRPr="00AE6D77">
        <w:rPr>
          <w:szCs w:val="22"/>
          <w:lang w:val="en-GB"/>
        </w:rPr>
        <w:t>to foresee the financial crisis</w:t>
      </w:r>
      <w:r w:rsidR="007A442A" w:rsidRPr="00AE6D77">
        <w:rPr>
          <w:szCs w:val="22"/>
          <w:lang w:val="en-GB"/>
        </w:rPr>
        <w:t xml:space="preserve"> </w:t>
      </w:r>
      <w:r w:rsidR="004E1C5B" w:rsidRPr="00AE6D77">
        <w:rPr>
          <w:szCs w:val="22"/>
          <w:lang w:val="en-GB"/>
        </w:rPr>
        <w:t xml:space="preserve">was considered by several economists as a </w:t>
      </w:r>
      <w:r w:rsidR="00804FC4" w:rsidRPr="00AE6D77">
        <w:rPr>
          <w:szCs w:val="22"/>
          <w:lang w:val="en-GB"/>
        </w:rPr>
        <w:t>‘</w:t>
      </w:r>
      <w:r w:rsidR="004E1C5B" w:rsidRPr="00AE6D77">
        <w:rPr>
          <w:szCs w:val="22"/>
          <w:lang w:val="en-GB"/>
        </w:rPr>
        <w:t>problem of imagination</w:t>
      </w:r>
      <w:r w:rsidR="00804FC4" w:rsidRPr="00AE6D77">
        <w:rPr>
          <w:szCs w:val="22"/>
          <w:lang w:val="en-GB"/>
        </w:rPr>
        <w:t>’</w:t>
      </w:r>
      <w:r w:rsidR="004E1C5B" w:rsidRPr="00AE6D77">
        <w:rPr>
          <w:szCs w:val="22"/>
          <w:lang w:val="en-GB"/>
        </w:rPr>
        <w:t xml:space="preserve"> (Posner 2009), </w:t>
      </w:r>
      <w:r w:rsidR="00002654" w:rsidRPr="00AE6D77">
        <w:rPr>
          <w:szCs w:val="22"/>
          <w:lang w:val="en-GB"/>
        </w:rPr>
        <w:t>or a</w:t>
      </w:r>
      <w:r w:rsidR="00565BD3" w:rsidRPr="00AE6D77">
        <w:rPr>
          <w:szCs w:val="22"/>
          <w:lang w:val="en-GB"/>
        </w:rPr>
        <w:t>s</w:t>
      </w:r>
      <w:r w:rsidR="00002654" w:rsidRPr="00AE6D77">
        <w:rPr>
          <w:szCs w:val="22"/>
          <w:lang w:val="en-GB"/>
        </w:rPr>
        <w:t xml:space="preserve"> </w:t>
      </w:r>
      <w:r w:rsidR="00565BD3" w:rsidRPr="00AE6D77">
        <w:rPr>
          <w:szCs w:val="22"/>
          <w:lang w:val="en-GB"/>
        </w:rPr>
        <w:t>‘</w:t>
      </w:r>
      <w:r w:rsidR="004E1C5B" w:rsidRPr="00AE6D77">
        <w:rPr>
          <w:szCs w:val="22"/>
          <w:lang w:val="en-GB"/>
        </w:rPr>
        <w:t>wishful thinking and hubris</w:t>
      </w:r>
      <w:r w:rsidR="00565BD3" w:rsidRPr="00AE6D77">
        <w:rPr>
          <w:szCs w:val="22"/>
          <w:lang w:val="en-GB"/>
        </w:rPr>
        <w:t>’</w:t>
      </w:r>
      <w:r w:rsidR="004E1C5B" w:rsidRPr="00AE6D77">
        <w:rPr>
          <w:szCs w:val="22"/>
          <w:lang w:val="en-GB"/>
        </w:rPr>
        <w:t xml:space="preserve"> (</w:t>
      </w:r>
      <w:r w:rsidR="00766A4F" w:rsidRPr="00AE6D77">
        <w:rPr>
          <w:szCs w:val="22"/>
          <w:lang w:val="en-GB"/>
        </w:rPr>
        <w:t>Giles, 200</w:t>
      </w:r>
      <w:r w:rsidR="00830E4B" w:rsidRPr="00AE6D77">
        <w:rPr>
          <w:szCs w:val="22"/>
          <w:lang w:val="en-GB"/>
        </w:rPr>
        <w:t>9</w:t>
      </w:r>
      <w:r w:rsidR="004E1C5B" w:rsidRPr="00AE6D77">
        <w:rPr>
          <w:szCs w:val="22"/>
          <w:lang w:val="en-GB"/>
        </w:rPr>
        <w:t xml:space="preserve">). The </w:t>
      </w:r>
      <w:r w:rsidR="00C2136A" w:rsidRPr="00AE6D77">
        <w:rPr>
          <w:szCs w:val="22"/>
          <w:lang w:val="en-GB"/>
        </w:rPr>
        <w:t>GFC</w:t>
      </w:r>
      <w:r w:rsidR="004E1C5B" w:rsidRPr="00AE6D77">
        <w:rPr>
          <w:szCs w:val="22"/>
          <w:lang w:val="en-GB"/>
        </w:rPr>
        <w:t xml:space="preserve"> highlighted some of the major challenges behind </w:t>
      </w:r>
      <w:r w:rsidR="00D51CB5" w:rsidRPr="00AE6D77">
        <w:rPr>
          <w:szCs w:val="22"/>
          <w:lang w:val="en-GB"/>
        </w:rPr>
        <w:t>mainstream</w:t>
      </w:r>
      <w:r w:rsidR="004E1C5B" w:rsidRPr="00AE6D77">
        <w:rPr>
          <w:szCs w:val="22"/>
          <w:lang w:val="en-GB"/>
        </w:rPr>
        <w:t xml:space="preserve"> approaches, and in particular the consequences of their </w:t>
      </w:r>
      <w:r w:rsidR="0047591E" w:rsidRPr="00AE6D77">
        <w:rPr>
          <w:szCs w:val="22"/>
          <w:lang w:val="en-GB"/>
        </w:rPr>
        <w:t>shortcoming</w:t>
      </w:r>
      <w:r w:rsidR="004E1C5B" w:rsidRPr="00AE6D77">
        <w:rPr>
          <w:szCs w:val="22"/>
          <w:lang w:val="en-GB"/>
        </w:rPr>
        <w:t xml:space="preserve"> to </w:t>
      </w:r>
      <w:r w:rsidR="0047591E" w:rsidRPr="00AE6D77">
        <w:rPr>
          <w:szCs w:val="22"/>
          <w:lang w:val="en-GB"/>
        </w:rPr>
        <w:t>represent</w:t>
      </w:r>
      <w:r w:rsidR="004E1C5B" w:rsidRPr="00AE6D77">
        <w:rPr>
          <w:szCs w:val="22"/>
          <w:lang w:val="en-GB"/>
        </w:rPr>
        <w:t xml:space="preserve"> t</w:t>
      </w:r>
      <w:r w:rsidR="005E4C72" w:rsidRPr="00AE6D77">
        <w:rPr>
          <w:szCs w:val="22"/>
          <w:lang w:val="en-GB"/>
        </w:rPr>
        <w:t xml:space="preserve">he </w:t>
      </w:r>
      <w:r w:rsidR="00804FC4" w:rsidRPr="00AE6D77">
        <w:rPr>
          <w:szCs w:val="22"/>
          <w:lang w:val="en-GB"/>
        </w:rPr>
        <w:t>‘</w:t>
      </w:r>
      <w:r w:rsidR="005E4C72" w:rsidRPr="00AE6D77">
        <w:rPr>
          <w:szCs w:val="22"/>
          <w:lang w:val="en-GB"/>
        </w:rPr>
        <w:t>bigger picture</w:t>
      </w:r>
      <w:r w:rsidR="00804FC4" w:rsidRPr="00AE6D77">
        <w:rPr>
          <w:szCs w:val="22"/>
          <w:lang w:val="en-GB"/>
        </w:rPr>
        <w:t>’</w:t>
      </w:r>
      <w:r w:rsidR="004E1C5B" w:rsidRPr="00AE6D77">
        <w:rPr>
          <w:szCs w:val="22"/>
          <w:lang w:val="en-GB"/>
        </w:rPr>
        <w:t>, i.e. the way society, politics</w:t>
      </w:r>
      <w:r w:rsidR="009869A6" w:rsidRPr="00AE6D77">
        <w:rPr>
          <w:szCs w:val="22"/>
          <w:lang w:val="en-GB"/>
        </w:rPr>
        <w:t>, economics</w:t>
      </w:r>
      <w:r w:rsidR="004E1C5B" w:rsidRPr="00AE6D77">
        <w:rPr>
          <w:szCs w:val="22"/>
          <w:lang w:val="en-GB"/>
        </w:rPr>
        <w:t xml:space="preserve"> and </w:t>
      </w:r>
      <w:r w:rsidR="009869A6" w:rsidRPr="00AE6D77">
        <w:rPr>
          <w:szCs w:val="22"/>
          <w:lang w:val="en-GB"/>
        </w:rPr>
        <w:t>finance</w:t>
      </w:r>
      <w:r w:rsidR="004E1C5B" w:rsidRPr="00AE6D77">
        <w:rPr>
          <w:szCs w:val="22"/>
          <w:lang w:val="en-GB"/>
        </w:rPr>
        <w:t xml:space="preserve"> constitute an organic whole, where everything has </w:t>
      </w:r>
      <w:r w:rsidR="004E1C5B" w:rsidRPr="00327326">
        <w:rPr>
          <w:szCs w:val="22"/>
          <w:lang w:val="en-GB"/>
        </w:rPr>
        <w:t>consequence</w:t>
      </w:r>
      <w:r w:rsidR="00631E60" w:rsidRPr="00327326">
        <w:rPr>
          <w:szCs w:val="22"/>
          <w:lang w:val="en-GB"/>
        </w:rPr>
        <w:t>s</w:t>
      </w:r>
      <w:r w:rsidR="004E1C5B" w:rsidRPr="00327326">
        <w:rPr>
          <w:szCs w:val="22"/>
          <w:lang w:val="en-GB"/>
        </w:rPr>
        <w:t xml:space="preserve"> in the short and long term (</w:t>
      </w:r>
      <w:r w:rsidR="006C5EEF" w:rsidRPr="00327326">
        <w:rPr>
          <w:szCs w:val="22"/>
          <w:lang w:val="en-GB"/>
        </w:rPr>
        <w:t xml:space="preserve">Stiglitz, </w:t>
      </w:r>
      <w:r w:rsidR="009116CC" w:rsidRPr="00327326">
        <w:rPr>
          <w:szCs w:val="22"/>
          <w:lang w:val="en-GB"/>
        </w:rPr>
        <w:t xml:space="preserve">2018; </w:t>
      </w:r>
      <w:r w:rsidR="006C5EEF" w:rsidRPr="00327326">
        <w:rPr>
          <w:szCs w:val="22"/>
          <w:lang w:val="en-GB"/>
        </w:rPr>
        <w:t xml:space="preserve">Keen, </w:t>
      </w:r>
      <w:r w:rsidR="00A07EC9" w:rsidRPr="00327326">
        <w:rPr>
          <w:szCs w:val="22"/>
          <w:lang w:val="en-GB"/>
        </w:rPr>
        <w:t>2011</w:t>
      </w:r>
      <w:r w:rsidR="004E1C5B" w:rsidRPr="00327326">
        <w:rPr>
          <w:szCs w:val="22"/>
          <w:lang w:val="en-GB"/>
        </w:rPr>
        <w:t>).</w:t>
      </w:r>
      <w:r w:rsidR="00F9644A" w:rsidRPr="00327326">
        <w:rPr>
          <w:szCs w:val="22"/>
          <w:lang w:val="en-GB"/>
        </w:rPr>
        <w:t xml:space="preserve"> </w:t>
      </w:r>
      <w:r w:rsidR="00891D65" w:rsidRPr="00327326">
        <w:rPr>
          <w:szCs w:val="22"/>
          <w:lang w:val="en-GB"/>
        </w:rPr>
        <w:t>V</w:t>
      </w:r>
      <w:r w:rsidR="00296FCC" w:rsidRPr="00327326">
        <w:rPr>
          <w:szCs w:val="22"/>
          <w:lang w:val="en-GB"/>
        </w:rPr>
        <w:t xml:space="preserve">arious </w:t>
      </w:r>
      <w:r w:rsidR="001C342C" w:rsidRPr="00327326">
        <w:rPr>
          <w:szCs w:val="22"/>
          <w:lang w:val="en-GB"/>
        </w:rPr>
        <w:t>authors</w:t>
      </w:r>
      <w:r w:rsidR="00C728AB" w:rsidRPr="00327326">
        <w:rPr>
          <w:szCs w:val="22"/>
          <w:lang w:val="en-GB"/>
        </w:rPr>
        <w:t xml:space="preserve"> from different schools of economic thought</w:t>
      </w:r>
      <w:r w:rsidR="00180B8B" w:rsidRPr="00327326">
        <w:rPr>
          <w:szCs w:val="22"/>
          <w:lang w:val="en-GB"/>
        </w:rPr>
        <w:t xml:space="preserve"> </w:t>
      </w:r>
      <w:r w:rsidR="009C0085" w:rsidRPr="00327326">
        <w:rPr>
          <w:szCs w:val="22"/>
          <w:lang w:val="en-GB"/>
        </w:rPr>
        <w:t>highlight</w:t>
      </w:r>
      <w:r w:rsidR="00701D2B" w:rsidRPr="00327326">
        <w:rPr>
          <w:szCs w:val="22"/>
          <w:lang w:val="en-GB"/>
        </w:rPr>
        <w:t xml:space="preserve"> limitations </w:t>
      </w:r>
      <w:r w:rsidR="00E87A8F" w:rsidRPr="00327326">
        <w:rPr>
          <w:szCs w:val="22"/>
          <w:lang w:val="en-GB"/>
        </w:rPr>
        <w:t xml:space="preserve">and deficiencies </w:t>
      </w:r>
      <w:r w:rsidR="00701D2B" w:rsidRPr="00327326">
        <w:rPr>
          <w:szCs w:val="22"/>
          <w:lang w:val="en-GB"/>
        </w:rPr>
        <w:t>of current macroeconomic models (e.g. Colander et al., 2009; Kirman</w:t>
      </w:r>
      <w:r w:rsidR="002D40F7" w:rsidRPr="00327326">
        <w:rPr>
          <w:szCs w:val="22"/>
          <w:lang w:val="en-GB"/>
        </w:rPr>
        <w:t>, 2010; Haldane &amp; Turrell, 2018</w:t>
      </w:r>
      <w:r w:rsidR="00701D2B" w:rsidRPr="00327326">
        <w:rPr>
          <w:szCs w:val="22"/>
          <w:lang w:val="en-GB"/>
        </w:rPr>
        <w:t>; Stiglitz, 2018;</w:t>
      </w:r>
      <w:r w:rsidR="00E87A8F" w:rsidRPr="00327326">
        <w:rPr>
          <w:szCs w:val="22"/>
          <w:bdr w:val="nil"/>
          <w:lang w:val="en-GB"/>
        </w:rPr>
        <w:t xml:space="preserve"> Blanchard</w:t>
      </w:r>
      <w:r w:rsidR="00565BD3" w:rsidRPr="00327326">
        <w:rPr>
          <w:szCs w:val="22"/>
          <w:bdr w:val="nil"/>
          <w:lang w:val="en-GB"/>
        </w:rPr>
        <w:t>,</w:t>
      </w:r>
      <w:r w:rsidR="00E87A8F" w:rsidRPr="00327326">
        <w:rPr>
          <w:szCs w:val="22"/>
          <w:bdr w:val="nil"/>
          <w:lang w:val="en-GB"/>
        </w:rPr>
        <w:t xml:space="preserve"> 2018</w:t>
      </w:r>
      <w:r w:rsidR="00D33CA8" w:rsidRPr="00327326">
        <w:rPr>
          <w:szCs w:val="22"/>
          <w:bdr w:val="nil"/>
          <w:lang w:val="en-GB"/>
        </w:rPr>
        <w:t>; Lavoie, 2014; Barker, 2011</w:t>
      </w:r>
      <w:r w:rsidR="00701D2B" w:rsidRPr="00327326">
        <w:rPr>
          <w:szCs w:val="22"/>
          <w:lang w:val="en-GB"/>
        </w:rPr>
        <w:t xml:space="preserve">). </w:t>
      </w:r>
      <w:r w:rsidR="005A249B" w:rsidRPr="00327326">
        <w:rPr>
          <w:szCs w:val="22"/>
          <w:lang w:val="en-GB"/>
        </w:rPr>
        <w:t xml:space="preserve">In particular, </w:t>
      </w:r>
      <w:r w:rsidR="005A249B" w:rsidRPr="00327326">
        <w:rPr>
          <w:szCs w:val="22"/>
          <w:u w:color="000000"/>
          <w:lang w:val="en-GB"/>
        </w:rPr>
        <w:t xml:space="preserve">Colander et al. (2009) claim that </w:t>
      </w:r>
      <w:r w:rsidR="001C342C" w:rsidRPr="00327326">
        <w:rPr>
          <w:szCs w:val="22"/>
          <w:u w:color="000000"/>
          <w:lang w:val="en-GB"/>
        </w:rPr>
        <w:t>the</w:t>
      </w:r>
      <w:r w:rsidR="008C6221" w:rsidRPr="00327326">
        <w:rPr>
          <w:szCs w:val="22"/>
          <w:u w:color="000000"/>
          <w:lang w:val="en-GB"/>
        </w:rPr>
        <w:t>se models</w:t>
      </w:r>
      <w:r w:rsidR="005A249B" w:rsidRPr="00327326">
        <w:rPr>
          <w:szCs w:val="22"/>
          <w:u w:color="000000"/>
          <w:lang w:val="en-GB"/>
        </w:rPr>
        <w:t xml:space="preserve"> </w:t>
      </w:r>
      <w:r w:rsidR="00804FC4" w:rsidRPr="00327326">
        <w:rPr>
          <w:szCs w:val="22"/>
          <w:u w:color="000000"/>
          <w:lang w:val="en-GB"/>
        </w:rPr>
        <w:t>‘</w:t>
      </w:r>
      <w:r w:rsidR="005A249B" w:rsidRPr="00327326">
        <w:rPr>
          <w:szCs w:val="22"/>
          <w:bdr w:val="nil"/>
          <w:lang w:val="en-GB"/>
        </w:rPr>
        <w:t>by design, disregard key elements driving outcomes in real-world markets</w:t>
      </w:r>
      <w:r w:rsidR="00804FC4" w:rsidRPr="00327326">
        <w:rPr>
          <w:szCs w:val="22"/>
          <w:bdr w:val="nil"/>
          <w:lang w:val="en-GB"/>
        </w:rPr>
        <w:t>’</w:t>
      </w:r>
      <w:r w:rsidR="005A249B" w:rsidRPr="00327326">
        <w:rPr>
          <w:szCs w:val="22"/>
          <w:bdr w:val="nil"/>
          <w:lang w:val="en-GB"/>
        </w:rPr>
        <w:t xml:space="preserve"> </w:t>
      </w:r>
      <w:r w:rsidR="005A249B" w:rsidRPr="00327326">
        <w:rPr>
          <w:szCs w:val="22"/>
          <w:u w:color="000000"/>
          <w:lang w:val="en-GB"/>
        </w:rPr>
        <w:t>and Haldane &amp; Turrell (2018)</w:t>
      </w:r>
      <w:r w:rsidR="006C5EEF" w:rsidRPr="00327326">
        <w:rPr>
          <w:szCs w:val="22"/>
          <w:u w:color="000000"/>
          <w:lang w:val="en-GB"/>
        </w:rPr>
        <w:t xml:space="preserve"> </w:t>
      </w:r>
      <w:r w:rsidR="001C342C" w:rsidRPr="00327326">
        <w:rPr>
          <w:szCs w:val="22"/>
          <w:u w:color="000000"/>
          <w:lang w:val="en-GB"/>
        </w:rPr>
        <w:t>and</w:t>
      </w:r>
      <w:r w:rsidR="006C5EEF" w:rsidRPr="00327326">
        <w:rPr>
          <w:szCs w:val="22"/>
          <w:u w:color="000000"/>
          <w:lang w:val="en-GB"/>
        </w:rPr>
        <w:t xml:space="preserve"> Kirman (2010) </w:t>
      </w:r>
      <w:r w:rsidR="005A249B" w:rsidRPr="00327326">
        <w:rPr>
          <w:szCs w:val="22"/>
          <w:u w:color="000000"/>
          <w:lang w:val="en-GB"/>
        </w:rPr>
        <w:t xml:space="preserve">call for new approaches in economics to overcome the over-simplifying assumptions in CGE/DSGE models, </w:t>
      </w:r>
      <w:r w:rsidR="008C6221" w:rsidRPr="00327326">
        <w:rPr>
          <w:szCs w:val="22"/>
          <w:u w:color="000000"/>
          <w:lang w:val="en-GB"/>
        </w:rPr>
        <w:t>such as</w:t>
      </w:r>
      <w:r w:rsidR="005A249B" w:rsidRPr="00327326">
        <w:rPr>
          <w:szCs w:val="22"/>
          <w:u w:color="000000"/>
          <w:lang w:val="en-GB"/>
        </w:rPr>
        <w:t xml:space="preserve"> the assumption of </w:t>
      </w:r>
      <w:r w:rsidR="00D51CB5" w:rsidRPr="00327326">
        <w:rPr>
          <w:szCs w:val="22"/>
          <w:u w:color="000000"/>
          <w:lang w:val="en-GB"/>
        </w:rPr>
        <w:t>representative</w:t>
      </w:r>
      <w:r w:rsidR="005A249B" w:rsidRPr="00327326">
        <w:rPr>
          <w:szCs w:val="22"/>
          <w:u w:color="000000"/>
          <w:lang w:val="en-GB"/>
        </w:rPr>
        <w:t xml:space="preserve"> agents</w:t>
      </w:r>
      <w:r w:rsidR="00891D65" w:rsidRPr="00327326">
        <w:rPr>
          <w:szCs w:val="22"/>
          <w:u w:color="000000"/>
          <w:lang w:val="en-GB"/>
        </w:rPr>
        <w:t>, rationality</w:t>
      </w:r>
      <w:r w:rsidR="005A249B" w:rsidRPr="00327326">
        <w:rPr>
          <w:szCs w:val="22"/>
          <w:u w:color="000000"/>
          <w:lang w:val="en-GB"/>
        </w:rPr>
        <w:t xml:space="preserve"> and optim</w:t>
      </w:r>
      <w:r w:rsidR="008C6221" w:rsidRPr="00327326">
        <w:rPr>
          <w:szCs w:val="22"/>
          <w:u w:color="000000"/>
          <w:lang w:val="en-GB"/>
        </w:rPr>
        <w:t>ising</w:t>
      </w:r>
      <w:r w:rsidR="001C342C" w:rsidRPr="00327326">
        <w:rPr>
          <w:szCs w:val="22"/>
          <w:u w:color="000000"/>
          <w:lang w:val="en-GB"/>
        </w:rPr>
        <w:t xml:space="preserve"> behaviour</w:t>
      </w:r>
      <w:r w:rsidR="005A249B" w:rsidRPr="00327326">
        <w:rPr>
          <w:szCs w:val="22"/>
          <w:u w:color="000000"/>
          <w:lang w:val="en-GB"/>
        </w:rPr>
        <w:t>.</w:t>
      </w:r>
      <w:r w:rsidR="0027659A" w:rsidRPr="00327326">
        <w:rPr>
          <w:szCs w:val="22"/>
          <w:u w:color="000000"/>
          <w:lang w:val="en-GB"/>
        </w:rPr>
        <w:t xml:space="preserve"> </w:t>
      </w:r>
    </w:p>
    <w:p w14:paraId="7C858CDB" w14:textId="77777777" w:rsidR="00AD1EE2" w:rsidRPr="00AE6D77" w:rsidRDefault="00AD1EE2" w:rsidP="001605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Cs w:val="22"/>
          <w:u w:color="000000"/>
          <w:lang w:val="en-GB"/>
        </w:rPr>
      </w:pPr>
    </w:p>
    <w:p w14:paraId="768DCFF2" w14:textId="52B2A939" w:rsidR="00701D2B" w:rsidRPr="00327326" w:rsidRDefault="001C342C" w:rsidP="001605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Style w:val="Ohne"/>
          <w:szCs w:val="22"/>
          <w:u w:color="000000"/>
          <w:lang w:val="en-GB"/>
        </w:rPr>
      </w:pPr>
      <w:r w:rsidRPr="00327326">
        <w:rPr>
          <w:szCs w:val="22"/>
          <w:u w:color="000000"/>
          <w:lang w:val="en-GB"/>
        </w:rPr>
        <w:t xml:space="preserve">This </w:t>
      </w:r>
      <w:r w:rsidRPr="00327326">
        <w:rPr>
          <w:u w:color="000000"/>
          <w:lang w:val="en-GB"/>
        </w:rPr>
        <w:t>call</w:t>
      </w:r>
      <w:r w:rsidR="00701D2B" w:rsidRPr="00327326">
        <w:rPr>
          <w:u w:color="000000"/>
          <w:lang w:val="en-GB"/>
        </w:rPr>
        <w:t xml:space="preserve"> for a new economics approach </w:t>
      </w:r>
      <w:r w:rsidRPr="00327326">
        <w:rPr>
          <w:u w:color="000000"/>
          <w:lang w:val="en-GB"/>
        </w:rPr>
        <w:t xml:space="preserve">has </w:t>
      </w:r>
      <w:r w:rsidR="008C5A82" w:rsidRPr="00327326">
        <w:rPr>
          <w:u w:color="000000"/>
          <w:lang w:val="en-GB"/>
        </w:rPr>
        <w:t>emerged from both academic</w:t>
      </w:r>
      <w:r w:rsidR="00E87A8F" w:rsidRPr="00327326">
        <w:rPr>
          <w:u w:color="000000"/>
          <w:lang w:val="en-GB"/>
        </w:rPr>
        <w:t xml:space="preserve"> (</w:t>
      </w:r>
      <w:r w:rsidR="00B23146" w:rsidRPr="00327326">
        <w:rPr>
          <w:u w:color="000000"/>
          <w:lang w:val="en-GB"/>
        </w:rPr>
        <w:t xml:space="preserve">e.g. Haldane &amp; Turrell, 2018; </w:t>
      </w:r>
      <w:r w:rsidR="00B23146" w:rsidRPr="00327326">
        <w:rPr>
          <w:lang w:val="en-GB"/>
        </w:rPr>
        <w:t>McKibbin &amp; Stoeckel</w:t>
      </w:r>
      <w:r w:rsidR="00D33CA8" w:rsidRPr="00327326">
        <w:rPr>
          <w:rStyle w:val="FootnoteReference"/>
          <w:lang w:val="en-GB"/>
        </w:rPr>
        <w:footnoteReference w:id="1"/>
      </w:r>
      <w:r w:rsidR="00B23146" w:rsidRPr="00327326">
        <w:rPr>
          <w:lang w:val="en-GB"/>
        </w:rPr>
        <w:t>)</w:t>
      </w:r>
      <w:r w:rsidR="00B23146" w:rsidRPr="00327326" w:rsidDel="00B23146">
        <w:rPr>
          <w:u w:color="000000"/>
          <w:lang w:val="en-GB"/>
        </w:rPr>
        <w:t xml:space="preserve"> </w:t>
      </w:r>
      <w:r w:rsidR="00E87A8F" w:rsidRPr="00327326">
        <w:rPr>
          <w:u w:color="000000"/>
          <w:lang w:val="en-GB"/>
        </w:rPr>
        <w:t>and</w:t>
      </w:r>
      <w:r w:rsidR="008C5A82" w:rsidRPr="00327326">
        <w:rPr>
          <w:szCs w:val="22"/>
          <w:u w:color="000000"/>
          <w:lang w:val="en-GB"/>
        </w:rPr>
        <w:t xml:space="preserve"> non-academic</w:t>
      </w:r>
      <w:r w:rsidR="00AD1EE2" w:rsidRPr="00327326">
        <w:rPr>
          <w:szCs w:val="22"/>
          <w:u w:color="000000"/>
          <w:lang w:val="en-GB"/>
        </w:rPr>
        <w:t xml:space="preserve"> </w:t>
      </w:r>
      <w:r w:rsidR="00C1791B" w:rsidRPr="00327326">
        <w:rPr>
          <w:szCs w:val="22"/>
          <w:u w:color="000000"/>
          <w:lang w:val="en-GB"/>
        </w:rPr>
        <w:t xml:space="preserve">institutions </w:t>
      </w:r>
      <w:r w:rsidR="00565BD3" w:rsidRPr="00327326">
        <w:rPr>
          <w:szCs w:val="22"/>
          <w:u w:color="000000"/>
          <w:lang w:val="en-GB"/>
        </w:rPr>
        <w:t>(e.g. OECD,</w:t>
      </w:r>
      <w:r w:rsidR="00AD1EE2" w:rsidRPr="00327326">
        <w:rPr>
          <w:szCs w:val="22"/>
          <w:u w:color="000000"/>
          <w:lang w:val="en-GB"/>
        </w:rPr>
        <w:t xml:space="preserve"> </w:t>
      </w:r>
      <w:r w:rsidR="00474D9A" w:rsidRPr="00327326">
        <w:rPr>
          <w:szCs w:val="22"/>
          <w:u w:color="000000"/>
          <w:lang w:val="en-GB"/>
        </w:rPr>
        <w:t>2017</w:t>
      </w:r>
      <w:r w:rsidR="00216669" w:rsidRPr="00327326">
        <w:rPr>
          <w:szCs w:val="22"/>
          <w:u w:color="000000"/>
          <w:lang w:val="en-GB"/>
        </w:rPr>
        <w:t xml:space="preserve">; </w:t>
      </w:r>
      <w:r w:rsidR="00AD1EE2" w:rsidRPr="00327326">
        <w:rPr>
          <w:szCs w:val="22"/>
          <w:u w:color="000000"/>
          <w:lang w:val="en-GB"/>
        </w:rPr>
        <w:t>Institute of New Economics Thinking (INET</w:t>
      </w:r>
      <w:r w:rsidR="00AD1EE2" w:rsidRPr="00327326">
        <w:rPr>
          <w:rFonts w:eastAsia="Times New Roman"/>
          <w:szCs w:val="22"/>
          <w:u w:color="000000"/>
          <w:vertAlign w:val="superscript"/>
          <w:lang w:val="en-GB"/>
        </w:rPr>
        <w:footnoteReference w:id="2"/>
      </w:r>
      <w:r w:rsidR="00AD1EE2" w:rsidRPr="00327326">
        <w:rPr>
          <w:szCs w:val="22"/>
          <w:u w:color="000000"/>
          <w:lang w:val="en-GB"/>
        </w:rPr>
        <w:t>)</w:t>
      </w:r>
      <w:r w:rsidR="00E533D5" w:rsidRPr="00327326">
        <w:rPr>
          <w:szCs w:val="22"/>
          <w:u w:color="000000"/>
          <w:lang w:val="en-GB"/>
        </w:rPr>
        <w:t>)</w:t>
      </w:r>
      <w:r w:rsidR="00701D2B" w:rsidRPr="00327326">
        <w:rPr>
          <w:szCs w:val="22"/>
          <w:u w:color="000000"/>
          <w:lang w:val="en-GB"/>
        </w:rPr>
        <w:t xml:space="preserve">. </w:t>
      </w:r>
      <w:r w:rsidR="00B3526B" w:rsidRPr="00327326">
        <w:rPr>
          <w:szCs w:val="22"/>
          <w:u w:color="000000"/>
          <w:lang w:val="en-GB"/>
        </w:rPr>
        <w:t xml:space="preserve">The </w:t>
      </w:r>
      <w:r w:rsidR="00BD0CC7" w:rsidRPr="00327326">
        <w:rPr>
          <w:szCs w:val="22"/>
          <w:u w:color="000000"/>
          <w:lang w:val="en-GB"/>
        </w:rPr>
        <w:t xml:space="preserve">various </w:t>
      </w:r>
      <w:r w:rsidR="00B3526B" w:rsidRPr="00327326">
        <w:rPr>
          <w:szCs w:val="22"/>
          <w:u w:color="000000"/>
          <w:lang w:val="en-GB"/>
        </w:rPr>
        <w:t xml:space="preserve">proponents </w:t>
      </w:r>
      <w:r w:rsidR="00565BD3" w:rsidRPr="00327326">
        <w:rPr>
          <w:szCs w:val="22"/>
          <w:u w:color="000000"/>
          <w:lang w:val="en-GB"/>
        </w:rPr>
        <w:t xml:space="preserve">of a new approach </w:t>
      </w:r>
      <w:r w:rsidR="00B3526B" w:rsidRPr="00327326">
        <w:rPr>
          <w:szCs w:val="22"/>
          <w:u w:color="000000"/>
          <w:lang w:val="en-GB"/>
        </w:rPr>
        <w:t>emphasise the importance of</w:t>
      </w:r>
      <w:r w:rsidR="00701D2B" w:rsidRPr="00327326">
        <w:rPr>
          <w:szCs w:val="22"/>
          <w:u w:color="000000"/>
          <w:lang w:val="en-GB"/>
        </w:rPr>
        <w:t xml:space="preserve"> </w:t>
      </w:r>
      <w:r w:rsidR="00E50C70" w:rsidRPr="00327326">
        <w:rPr>
          <w:szCs w:val="22"/>
          <w:u w:color="000000"/>
          <w:lang w:val="en-GB"/>
        </w:rPr>
        <w:t>multidisciplinary</w:t>
      </w:r>
      <w:r w:rsidR="008C6221" w:rsidRPr="00327326">
        <w:rPr>
          <w:szCs w:val="22"/>
          <w:u w:color="000000"/>
          <w:lang w:val="en-GB"/>
        </w:rPr>
        <w:t xml:space="preserve"> approaches to economics</w:t>
      </w:r>
      <w:r w:rsidR="00E50C70" w:rsidRPr="00327326">
        <w:rPr>
          <w:szCs w:val="22"/>
          <w:u w:color="000000"/>
          <w:lang w:val="en-GB"/>
        </w:rPr>
        <w:t xml:space="preserve">, </w:t>
      </w:r>
      <w:r w:rsidR="005A249B" w:rsidRPr="00327326">
        <w:rPr>
          <w:szCs w:val="22"/>
          <w:u w:color="000000"/>
          <w:lang w:val="en-GB"/>
        </w:rPr>
        <w:t>both in term</w:t>
      </w:r>
      <w:r w:rsidR="00FB2108" w:rsidRPr="00327326">
        <w:rPr>
          <w:szCs w:val="22"/>
          <w:u w:color="000000"/>
          <w:lang w:val="en-GB"/>
        </w:rPr>
        <w:t xml:space="preserve">s of methods and research areas </w:t>
      </w:r>
      <w:r w:rsidR="00394A16" w:rsidRPr="00327326">
        <w:rPr>
          <w:szCs w:val="22"/>
          <w:u w:color="000000"/>
          <w:lang w:val="en-GB"/>
        </w:rPr>
        <w:t xml:space="preserve">involved, </w:t>
      </w:r>
      <w:r w:rsidR="00565BD3" w:rsidRPr="00327326">
        <w:rPr>
          <w:szCs w:val="22"/>
          <w:u w:color="000000"/>
          <w:lang w:val="en-GB"/>
        </w:rPr>
        <w:t xml:space="preserve">and </w:t>
      </w:r>
      <w:r w:rsidR="003C097D" w:rsidRPr="00327326">
        <w:rPr>
          <w:szCs w:val="22"/>
          <w:u w:color="000000"/>
          <w:lang w:val="en-GB"/>
        </w:rPr>
        <w:t>call for development of</w:t>
      </w:r>
      <w:r w:rsidR="00DE2779" w:rsidRPr="00327326">
        <w:rPr>
          <w:szCs w:val="22"/>
          <w:u w:color="000000"/>
          <w:lang w:val="en-GB"/>
        </w:rPr>
        <w:t xml:space="preserve"> </w:t>
      </w:r>
      <w:r w:rsidR="00D704E9" w:rsidRPr="00327326">
        <w:rPr>
          <w:szCs w:val="22"/>
          <w:u w:color="000000"/>
          <w:lang w:val="en-GB"/>
        </w:rPr>
        <w:t>analytical</w:t>
      </w:r>
      <w:r w:rsidR="005A249B" w:rsidRPr="00327326">
        <w:rPr>
          <w:szCs w:val="22"/>
          <w:u w:color="000000"/>
          <w:lang w:val="en-GB"/>
        </w:rPr>
        <w:t xml:space="preserve"> tools that capture features such as complexity, radical</w:t>
      </w:r>
      <w:r w:rsidR="0076437A" w:rsidRPr="00327326">
        <w:rPr>
          <w:szCs w:val="22"/>
          <w:u w:color="000000"/>
          <w:lang w:val="en-GB"/>
        </w:rPr>
        <w:t xml:space="preserve"> or deep</w:t>
      </w:r>
      <w:r w:rsidR="005A249B" w:rsidRPr="00327326">
        <w:rPr>
          <w:szCs w:val="22"/>
          <w:u w:color="000000"/>
          <w:lang w:val="en-GB"/>
        </w:rPr>
        <w:t xml:space="preserve"> uncertainty</w:t>
      </w:r>
      <w:r w:rsidR="0076437A" w:rsidRPr="00327326">
        <w:rPr>
          <w:szCs w:val="22"/>
          <w:u w:color="000000"/>
          <w:lang w:val="en-GB"/>
        </w:rPr>
        <w:t xml:space="preserve"> (Knight, 1921)</w:t>
      </w:r>
      <w:r w:rsidR="005A249B" w:rsidRPr="00327326">
        <w:rPr>
          <w:szCs w:val="22"/>
          <w:u w:color="000000"/>
          <w:lang w:val="en-GB"/>
        </w:rPr>
        <w:t xml:space="preserve">, non-ergodicity, discontinuities, </w:t>
      </w:r>
      <w:r w:rsidR="00565BD3" w:rsidRPr="00327326">
        <w:rPr>
          <w:szCs w:val="22"/>
          <w:u w:color="000000"/>
          <w:lang w:val="en-GB"/>
        </w:rPr>
        <w:t xml:space="preserve">tipping points, path-dependency and </w:t>
      </w:r>
      <w:r w:rsidR="00686FDA" w:rsidRPr="00327326">
        <w:rPr>
          <w:szCs w:val="22"/>
          <w:u w:color="000000"/>
          <w:lang w:val="en-GB"/>
        </w:rPr>
        <w:t xml:space="preserve">feedback loops. </w:t>
      </w:r>
      <w:r w:rsidR="008C6221" w:rsidRPr="00327326">
        <w:rPr>
          <w:szCs w:val="22"/>
          <w:u w:color="000000"/>
          <w:lang w:val="en-GB"/>
        </w:rPr>
        <w:t>A</w:t>
      </w:r>
      <w:r w:rsidR="004D7AF3" w:rsidRPr="00327326">
        <w:rPr>
          <w:szCs w:val="22"/>
          <w:u w:color="000000"/>
          <w:lang w:val="en-GB"/>
        </w:rPr>
        <w:t xml:space="preserve">ccording to these calls, </w:t>
      </w:r>
      <w:r w:rsidR="00FB2108" w:rsidRPr="00327326">
        <w:rPr>
          <w:szCs w:val="22"/>
          <w:u w:color="000000"/>
          <w:lang w:val="en-GB"/>
        </w:rPr>
        <w:t>new economics modelling</w:t>
      </w:r>
      <w:r w:rsidR="00DE2779" w:rsidRPr="00327326">
        <w:rPr>
          <w:szCs w:val="22"/>
          <w:u w:color="000000"/>
          <w:lang w:val="en-GB"/>
        </w:rPr>
        <w:t xml:space="preserve"> </w:t>
      </w:r>
      <w:r w:rsidR="00E84031" w:rsidRPr="00327326">
        <w:rPr>
          <w:szCs w:val="22"/>
          <w:u w:color="000000"/>
          <w:lang w:val="en-GB"/>
        </w:rPr>
        <w:t xml:space="preserve">should </w:t>
      </w:r>
      <w:r w:rsidR="00686FDA" w:rsidRPr="00327326">
        <w:rPr>
          <w:szCs w:val="22"/>
          <w:u w:color="000000"/>
          <w:lang w:val="en-GB"/>
        </w:rPr>
        <w:t xml:space="preserve">apply a systems-perspective and </w:t>
      </w:r>
      <w:r w:rsidR="004D7AF3" w:rsidRPr="00327326">
        <w:rPr>
          <w:szCs w:val="22"/>
          <w:u w:color="000000"/>
          <w:lang w:val="en-GB"/>
        </w:rPr>
        <w:t xml:space="preserve">be capable </w:t>
      </w:r>
      <w:r w:rsidR="00B86C2A" w:rsidRPr="00327326">
        <w:rPr>
          <w:szCs w:val="22"/>
          <w:u w:color="000000"/>
          <w:lang w:val="en-GB"/>
        </w:rPr>
        <w:t xml:space="preserve">of </w:t>
      </w:r>
      <w:r w:rsidR="00D51CB5" w:rsidRPr="00327326">
        <w:rPr>
          <w:szCs w:val="22"/>
          <w:u w:color="000000"/>
          <w:lang w:val="en-GB"/>
        </w:rPr>
        <w:t>evaluating</w:t>
      </w:r>
      <w:r w:rsidR="00FB2108" w:rsidRPr="00327326">
        <w:rPr>
          <w:szCs w:val="22"/>
          <w:u w:color="000000"/>
          <w:lang w:val="en-GB"/>
        </w:rPr>
        <w:t xml:space="preserve"> multidimensional policy objectives, such as well-being alongside </w:t>
      </w:r>
      <w:r w:rsidR="004D7AF3" w:rsidRPr="00327326">
        <w:rPr>
          <w:szCs w:val="22"/>
          <w:u w:color="000000"/>
          <w:lang w:val="en-GB"/>
        </w:rPr>
        <w:t xml:space="preserve">GDP, environmental sustainability </w:t>
      </w:r>
      <w:r w:rsidR="00FB2108" w:rsidRPr="00327326">
        <w:rPr>
          <w:szCs w:val="22"/>
          <w:u w:color="000000"/>
          <w:lang w:val="en-GB"/>
        </w:rPr>
        <w:t xml:space="preserve">and distributional issues </w:t>
      </w:r>
      <w:r w:rsidR="00FB2108" w:rsidRPr="00327326">
        <w:rPr>
          <w:rStyle w:val="Ohne"/>
          <w:szCs w:val="22"/>
          <w:u w:color="000000"/>
          <w:lang w:val="en-GB"/>
        </w:rPr>
        <w:t>(</w:t>
      </w:r>
      <w:r w:rsidR="00EF11DA" w:rsidRPr="00327326">
        <w:rPr>
          <w:rStyle w:val="Ohne"/>
          <w:szCs w:val="22"/>
          <w:u w:color="000000"/>
          <w:lang w:val="en-GB"/>
        </w:rPr>
        <w:t>OECD, 2015; OECD, 2017</w:t>
      </w:r>
      <w:r w:rsidR="005A249B" w:rsidRPr="00327326">
        <w:rPr>
          <w:rStyle w:val="Ohne"/>
          <w:szCs w:val="22"/>
          <w:u w:color="000000"/>
          <w:lang w:val="en-GB"/>
        </w:rPr>
        <w:t>)</w:t>
      </w:r>
      <w:r w:rsidR="005A249B" w:rsidRPr="00327326">
        <w:rPr>
          <w:szCs w:val="22"/>
          <w:u w:color="000000"/>
          <w:lang w:val="en-GB"/>
        </w:rPr>
        <w:t>.</w:t>
      </w:r>
      <w:r w:rsidR="005A249B" w:rsidRPr="00327326" w:rsidDel="005A249B">
        <w:rPr>
          <w:szCs w:val="22"/>
          <w:u w:color="000000"/>
          <w:lang w:val="en-GB"/>
        </w:rPr>
        <w:t xml:space="preserve"> </w:t>
      </w:r>
    </w:p>
    <w:p w14:paraId="396F79E4" w14:textId="77777777" w:rsidR="00701D2B" w:rsidRPr="00327326" w:rsidRDefault="00701D2B" w:rsidP="001605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Style w:val="Ohne"/>
          <w:szCs w:val="22"/>
          <w:u w:color="000000"/>
          <w:lang w:val="en-GB"/>
        </w:rPr>
      </w:pPr>
    </w:p>
    <w:p w14:paraId="1A2B96B1" w14:textId="4FF777C9" w:rsidR="00701D2B" w:rsidRPr="00AE6D77" w:rsidRDefault="008C6221" w:rsidP="004D21FD">
      <w:pPr>
        <w:autoSpaceDE w:val="0"/>
        <w:autoSpaceDN w:val="0"/>
        <w:adjustRightInd w:val="0"/>
        <w:rPr>
          <w:rStyle w:val="Ohne"/>
          <w:color w:val="4472C4" w:themeColor="accent1"/>
          <w:szCs w:val="22"/>
          <w:bdr w:val="nil"/>
          <w:lang w:val="en-GB"/>
        </w:rPr>
      </w:pPr>
      <w:r w:rsidRPr="00327326">
        <w:rPr>
          <w:rStyle w:val="Ohne"/>
          <w:szCs w:val="22"/>
          <w:u w:color="000000"/>
          <w:lang w:val="en-GB"/>
        </w:rPr>
        <w:t>Despite the above, e</w:t>
      </w:r>
      <w:r w:rsidR="00F33D61" w:rsidRPr="00327326">
        <w:rPr>
          <w:rStyle w:val="Ohne"/>
          <w:szCs w:val="22"/>
          <w:u w:color="000000"/>
          <w:lang w:val="en-GB"/>
        </w:rPr>
        <w:t xml:space="preserve">conomic models </w:t>
      </w:r>
      <w:r w:rsidR="00046994" w:rsidRPr="00327326">
        <w:rPr>
          <w:rStyle w:val="Ohne"/>
          <w:szCs w:val="22"/>
          <w:u w:color="000000"/>
          <w:lang w:val="en-GB"/>
        </w:rPr>
        <w:t xml:space="preserve">with a neoclassical theoretical underpinning </w:t>
      </w:r>
      <w:r w:rsidR="00F33D61" w:rsidRPr="00327326">
        <w:rPr>
          <w:rStyle w:val="Ohne"/>
          <w:szCs w:val="22"/>
          <w:u w:color="000000"/>
          <w:lang w:val="en-GB"/>
        </w:rPr>
        <w:t xml:space="preserve">are </w:t>
      </w:r>
      <w:r w:rsidR="00394A16" w:rsidRPr="00327326">
        <w:rPr>
          <w:rStyle w:val="Ohne"/>
          <w:szCs w:val="22"/>
          <w:u w:color="000000"/>
          <w:lang w:val="en-GB"/>
        </w:rPr>
        <w:t xml:space="preserve">still widely </w:t>
      </w:r>
      <w:r w:rsidR="00F33D61" w:rsidRPr="00327326">
        <w:rPr>
          <w:rStyle w:val="Ohne"/>
          <w:szCs w:val="22"/>
          <w:u w:color="000000"/>
          <w:lang w:val="en-GB"/>
        </w:rPr>
        <w:t xml:space="preserve">applied </w:t>
      </w:r>
      <w:r w:rsidR="005948D6" w:rsidRPr="00327326">
        <w:rPr>
          <w:rStyle w:val="Ohne"/>
          <w:szCs w:val="22"/>
          <w:u w:color="000000"/>
          <w:lang w:val="en-GB"/>
        </w:rPr>
        <w:t xml:space="preserve">for </w:t>
      </w:r>
      <w:r w:rsidR="006B1929" w:rsidRPr="00327326">
        <w:rPr>
          <w:rStyle w:val="Ohne"/>
          <w:szCs w:val="22"/>
          <w:u w:color="000000"/>
          <w:lang w:val="en-GB"/>
        </w:rPr>
        <w:t>macro</w:t>
      </w:r>
      <w:r w:rsidR="004D1FCD" w:rsidRPr="00327326">
        <w:rPr>
          <w:rStyle w:val="Ohne"/>
          <w:szCs w:val="22"/>
          <w:u w:color="000000"/>
          <w:lang w:val="en-GB"/>
        </w:rPr>
        <w:t xml:space="preserve">economic and </w:t>
      </w:r>
      <w:r w:rsidR="00F33D61" w:rsidRPr="00327326">
        <w:rPr>
          <w:rStyle w:val="Ohne"/>
          <w:szCs w:val="22"/>
          <w:u w:color="000000"/>
          <w:lang w:val="en-GB"/>
        </w:rPr>
        <w:t>climate policy analysis</w:t>
      </w:r>
      <w:r w:rsidR="004D1FCD" w:rsidRPr="00327326">
        <w:rPr>
          <w:rStyle w:val="Ohne"/>
          <w:szCs w:val="22"/>
          <w:u w:color="000000"/>
          <w:lang w:val="en-GB"/>
        </w:rPr>
        <w:t xml:space="preserve"> </w:t>
      </w:r>
      <w:r w:rsidR="00F33D61" w:rsidRPr="00327326">
        <w:rPr>
          <w:rStyle w:val="Ohne"/>
          <w:szCs w:val="22"/>
          <w:u w:color="000000"/>
          <w:lang w:val="en-GB"/>
        </w:rPr>
        <w:t>(</w:t>
      </w:r>
      <w:r w:rsidR="00F33D61" w:rsidRPr="00327326">
        <w:rPr>
          <w:szCs w:val="22"/>
          <w:bdr w:val="nil"/>
          <w:lang w:val="en-GB"/>
        </w:rPr>
        <w:t xml:space="preserve">Scrieciu, 2007; </w:t>
      </w:r>
      <w:r w:rsidR="00943A6C" w:rsidRPr="00327326">
        <w:rPr>
          <w:szCs w:val="22"/>
          <w:bdr w:val="nil"/>
          <w:lang w:val="en-GB"/>
        </w:rPr>
        <w:t xml:space="preserve">Scrieciu et al., 2013; </w:t>
      </w:r>
      <w:r w:rsidR="00F33D61" w:rsidRPr="00327326">
        <w:rPr>
          <w:szCs w:val="22"/>
          <w:bdr w:val="nil"/>
          <w:lang w:val="en-GB"/>
        </w:rPr>
        <w:t>Ackerman</w:t>
      </w:r>
      <w:r w:rsidR="00F33D61" w:rsidRPr="00327326">
        <w:rPr>
          <w:bdr w:val="nil"/>
          <w:lang w:val="en-GB"/>
        </w:rPr>
        <w:t>, 2014;</w:t>
      </w:r>
      <w:r w:rsidR="0029725A" w:rsidRPr="00327326">
        <w:rPr>
          <w:bdr w:val="nil"/>
          <w:lang w:val="en-GB"/>
        </w:rPr>
        <w:t xml:space="preserve"> </w:t>
      </w:r>
      <w:r w:rsidR="00F33D61" w:rsidRPr="00327326">
        <w:rPr>
          <w:bdr w:val="nil"/>
          <w:lang w:val="en-GB"/>
        </w:rPr>
        <w:t xml:space="preserve">Haldane &amp; Turrell, 2018). </w:t>
      </w:r>
      <w:r w:rsidR="00E16B79" w:rsidRPr="00327326">
        <w:rPr>
          <w:bdr w:val="nil"/>
          <w:lang w:val="en-GB"/>
        </w:rPr>
        <w:t>However</w:t>
      </w:r>
      <w:r w:rsidR="003C097D" w:rsidRPr="00327326">
        <w:rPr>
          <w:bdr w:val="nil"/>
          <w:lang w:val="en-GB"/>
        </w:rPr>
        <w:t xml:space="preserve">, </w:t>
      </w:r>
      <w:r w:rsidR="00790B96" w:rsidRPr="00327326">
        <w:rPr>
          <w:bdr w:val="nil"/>
          <w:lang w:val="en-GB"/>
        </w:rPr>
        <w:t xml:space="preserve">the consideration of </w:t>
      </w:r>
      <w:r w:rsidR="00EA12A1" w:rsidRPr="00327326">
        <w:rPr>
          <w:bdr w:val="nil"/>
          <w:lang w:val="en-GB"/>
        </w:rPr>
        <w:t>complexity</w:t>
      </w:r>
      <w:r w:rsidR="001B6AF3" w:rsidRPr="00327326">
        <w:rPr>
          <w:bdr w:val="nil"/>
          <w:lang w:val="en-GB"/>
        </w:rPr>
        <w:t>,</w:t>
      </w:r>
      <w:r w:rsidR="00EA12A1" w:rsidRPr="00327326">
        <w:rPr>
          <w:bdr w:val="nil"/>
          <w:lang w:val="en-GB"/>
        </w:rPr>
        <w:t xml:space="preserve"> out-of-equilibrium</w:t>
      </w:r>
      <w:r w:rsidR="001B6AF3" w:rsidRPr="00327326">
        <w:rPr>
          <w:bdr w:val="nil"/>
          <w:lang w:val="en-GB"/>
        </w:rPr>
        <w:t xml:space="preserve"> and other features of real-world economies </w:t>
      </w:r>
      <w:r w:rsidR="002845D6" w:rsidRPr="00327326">
        <w:rPr>
          <w:bdr w:val="nil"/>
          <w:lang w:val="en-GB"/>
        </w:rPr>
        <w:t>is</w:t>
      </w:r>
      <w:r w:rsidR="00496A78" w:rsidRPr="00327326">
        <w:rPr>
          <w:bdr w:val="nil"/>
          <w:lang w:val="en-GB"/>
        </w:rPr>
        <w:t xml:space="preserve"> crucial for meaningful</w:t>
      </w:r>
      <w:r w:rsidR="00EA12A1" w:rsidRPr="00327326">
        <w:rPr>
          <w:bdr w:val="nil"/>
          <w:lang w:val="en-GB"/>
        </w:rPr>
        <w:t xml:space="preserve"> policy intervention</w:t>
      </w:r>
      <w:r w:rsidR="00E16B79" w:rsidRPr="00327326">
        <w:rPr>
          <w:bdr w:val="nil"/>
          <w:lang w:val="en-GB"/>
        </w:rPr>
        <w:t xml:space="preserve"> </w:t>
      </w:r>
      <w:r w:rsidR="001B6AF3" w:rsidRPr="00327326">
        <w:rPr>
          <w:bdr w:val="nil"/>
          <w:lang w:val="en-GB"/>
        </w:rPr>
        <w:t xml:space="preserve">as </w:t>
      </w:r>
      <w:r w:rsidR="00B90FB4" w:rsidRPr="00327326">
        <w:rPr>
          <w:bdr w:val="nil"/>
          <w:lang w:val="en-GB"/>
        </w:rPr>
        <w:t>policy assessment is</w:t>
      </w:r>
      <w:r w:rsidR="001B6AF3" w:rsidRPr="00327326">
        <w:rPr>
          <w:bdr w:val="nil"/>
          <w:lang w:val="en-GB"/>
        </w:rPr>
        <w:t xml:space="preserve"> otherwise biased</w:t>
      </w:r>
      <w:r w:rsidR="00B24A3E" w:rsidRPr="00327326">
        <w:rPr>
          <w:bdr w:val="nil"/>
          <w:lang w:val="en-GB"/>
        </w:rPr>
        <w:t xml:space="preserve"> and </w:t>
      </w:r>
      <w:r w:rsidR="00B90FB4" w:rsidRPr="00327326">
        <w:rPr>
          <w:bdr w:val="nil"/>
          <w:lang w:val="en-GB"/>
        </w:rPr>
        <w:t>policy intervention likely</w:t>
      </w:r>
      <w:r w:rsidR="008C5A82" w:rsidRPr="00327326">
        <w:rPr>
          <w:bdr w:val="nil"/>
          <w:lang w:val="en-GB"/>
        </w:rPr>
        <w:t xml:space="preserve"> lead</w:t>
      </w:r>
      <w:r w:rsidR="00B90FB4" w:rsidRPr="00327326">
        <w:rPr>
          <w:bdr w:val="nil"/>
          <w:lang w:val="en-GB"/>
        </w:rPr>
        <w:t>s</w:t>
      </w:r>
      <w:r w:rsidR="00B24A3E" w:rsidRPr="00327326">
        <w:rPr>
          <w:bdr w:val="nil"/>
          <w:lang w:val="en-GB"/>
        </w:rPr>
        <w:t xml:space="preserve"> </w:t>
      </w:r>
      <w:r w:rsidR="00B90FB4" w:rsidRPr="00327326">
        <w:rPr>
          <w:bdr w:val="nil"/>
          <w:lang w:val="en-GB"/>
        </w:rPr>
        <w:t xml:space="preserve">to sub-optimal policy </w:t>
      </w:r>
      <w:r w:rsidR="001B6AF3" w:rsidRPr="00327326">
        <w:rPr>
          <w:bdr w:val="nil"/>
          <w:lang w:val="en-GB"/>
        </w:rPr>
        <w:t>outcomes</w:t>
      </w:r>
      <w:r w:rsidR="00562C82" w:rsidRPr="00327326">
        <w:rPr>
          <w:bdr w:val="nil"/>
          <w:lang w:val="en-GB"/>
        </w:rPr>
        <w:t xml:space="preserve"> </w:t>
      </w:r>
      <w:r w:rsidR="00562C82" w:rsidRPr="00AE6D77">
        <w:rPr>
          <w:bdr w:val="nil"/>
          <w:lang w:val="en-GB"/>
        </w:rPr>
        <w:lastRenderedPageBreak/>
        <w:t>(e.g. Mercure et al., 2019)</w:t>
      </w:r>
      <w:r w:rsidR="001B6AF3" w:rsidRPr="00AE6D77">
        <w:rPr>
          <w:bdr w:val="nil"/>
          <w:lang w:val="en-GB"/>
        </w:rPr>
        <w:t xml:space="preserve">. </w:t>
      </w:r>
      <w:r w:rsidR="0029725A" w:rsidRPr="00AE6D77">
        <w:rPr>
          <w:rStyle w:val="Ohne"/>
          <w:u w:color="000000"/>
          <w:lang w:val="en-GB"/>
        </w:rPr>
        <w:t>Therefore</w:t>
      </w:r>
      <w:r w:rsidR="00AE0B94" w:rsidRPr="00AE6D77">
        <w:rPr>
          <w:rStyle w:val="Ohne"/>
          <w:szCs w:val="22"/>
          <w:u w:color="000000"/>
          <w:lang w:val="en-GB"/>
        </w:rPr>
        <w:t>,</w:t>
      </w:r>
      <w:r w:rsidR="0029725A" w:rsidRPr="00AE6D77">
        <w:rPr>
          <w:rStyle w:val="Ohne"/>
          <w:szCs w:val="22"/>
          <w:u w:color="000000"/>
          <w:lang w:val="en-GB"/>
        </w:rPr>
        <w:t xml:space="preserve"> </w:t>
      </w:r>
      <w:r w:rsidR="003F461A" w:rsidRPr="00AE6D77">
        <w:rPr>
          <w:rStyle w:val="Ohne"/>
          <w:szCs w:val="22"/>
          <w:u w:color="000000"/>
          <w:lang w:val="en-GB"/>
        </w:rPr>
        <w:t xml:space="preserve">it is important to investigate whether there already exist </w:t>
      </w:r>
      <w:r w:rsidR="004D21FD" w:rsidRPr="00AE6D77">
        <w:rPr>
          <w:rStyle w:val="Ohne"/>
          <w:szCs w:val="22"/>
          <w:u w:color="000000"/>
          <w:lang w:val="en-GB"/>
        </w:rPr>
        <w:t xml:space="preserve">non-equilibrium </w:t>
      </w:r>
      <w:r w:rsidR="003F461A" w:rsidRPr="00AE6D77">
        <w:rPr>
          <w:rStyle w:val="Ohne"/>
          <w:szCs w:val="22"/>
          <w:u w:color="000000"/>
          <w:lang w:val="en-GB"/>
        </w:rPr>
        <w:t xml:space="preserve">models that can be applied to concrete policy </w:t>
      </w:r>
      <w:r w:rsidR="003F461A" w:rsidRPr="00327326">
        <w:rPr>
          <w:rStyle w:val="Ohne"/>
          <w:szCs w:val="22"/>
          <w:u w:color="000000"/>
          <w:lang w:val="en-GB"/>
        </w:rPr>
        <w:t xml:space="preserve">questions overcoming (some of) the </w:t>
      </w:r>
      <w:r w:rsidR="003F461A" w:rsidRPr="00327326">
        <w:rPr>
          <w:lang w:val="en-GB"/>
        </w:rPr>
        <w:t xml:space="preserve">shortcomings </w:t>
      </w:r>
      <w:r w:rsidR="003F461A" w:rsidRPr="00327326">
        <w:rPr>
          <w:rStyle w:val="Ohne"/>
          <w:szCs w:val="22"/>
          <w:u w:color="000000"/>
          <w:lang w:val="en-GB"/>
        </w:rPr>
        <w:t>of economic models, based on a neoclassical framework</w:t>
      </w:r>
      <w:r w:rsidR="00790B96" w:rsidRPr="00327326">
        <w:rPr>
          <w:rStyle w:val="FootnoteReference"/>
          <w:szCs w:val="22"/>
          <w:u w:color="000000"/>
          <w:lang w:val="en-GB"/>
        </w:rPr>
        <w:footnoteReference w:id="3"/>
      </w:r>
      <w:r w:rsidR="00357D42" w:rsidRPr="00327326">
        <w:rPr>
          <w:rStyle w:val="Ohne"/>
          <w:szCs w:val="22"/>
          <w:u w:color="000000"/>
          <w:lang w:val="en-GB"/>
        </w:rPr>
        <w:t xml:space="preserve">. </w:t>
      </w:r>
      <w:r w:rsidR="00704888" w:rsidRPr="00327326">
        <w:rPr>
          <w:rStyle w:val="Ohne"/>
          <w:szCs w:val="22"/>
          <w:u w:color="000000"/>
          <w:lang w:val="en-GB"/>
        </w:rPr>
        <w:t xml:space="preserve">For example, </w:t>
      </w:r>
      <w:r w:rsidR="004D21FD" w:rsidRPr="00327326">
        <w:rPr>
          <w:rStyle w:val="Ohne"/>
          <w:szCs w:val="22"/>
          <w:u w:color="000000"/>
          <w:lang w:val="en-GB"/>
        </w:rPr>
        <w:t>the OECD as well as Rebuilding Macroeconomics discuss non-equilibrium modelling approaches (e.g. stock-flow-consistent modelling or agent-based modelling)</w:t>
      </w:r>
      <w:r w:rsidR="00704888" w:rsidRPr="00327326">
        <w:rPr>
          <w:rStyle w:val="Ohne"/>
          <w:szCs w:val="22"/>
          <w:u w:color="000000"/>
          <w:lang w:val="en-GB"/>
        </w:rPr>
        <w:t xml:space="preserve"> </w:t>
      </w:r>
      <w:r w:rsidR="004D21FD" w:rsidRPr="00327326">
        <w:rPr>
          <w:rStyle w:val="Ohne"/>
          <w:szCs w:val="22"/>
          <w:u w:color="000000"/>
          <w:lang w:val="en-GB"/>
        </w:rPr>
        <w:t>for a new approach in economics</w:t>
      </w:r>
      <w:r w:rsidR="004D21FD" w:rsidRPr="00327326">
        <w:rPr>
          <w:rStyle w:val="FootnoteReference"/>
          <w:szCs w:val="22"/>
          <w:u w:color="000000"/>
          <w:lang w:val="en-GB"/>
        </w:rPr>
        <w:footnoteReference w:id="4"/>
      </w:r>
      <w:r w:rsidR="004D21FD" w:rsidRPr="00327326">
        <w:rPr>
          <w:rStyle w:val="Ohne"/>
          <w:szCs w:val="22"/>
          <w:u w:color="000000"/>
          <w:lang w:val="en-GB"/>
        </w:rPr>
        <w:t xml:space="preserve">. </w:t>
      </w:r>
    </w:p>
    <w:p w14:paraId="692F32B6" w14:textId="77777777" w:rsidR="006D278C" w:rsidRPr="00AE6D77" w:rsidRDefault="006D278C" w:rsidP="00160576">
      <w:pPr>
        <w:rPr>
          <w:rStyle w:val="Ohne"/>
          <w:szCs w:val="22"/>
          <w:u w:color="000000"/>
          <w:lang w:val="en-GB"/>
        </w:rPr>
      </w:pPr>
    </w:p>
    <w:p w14:paraId="1A521C41" w14:textId="0FA71DC2" w:rsidR="00805F45" w:rsidRPr="00AE6D77" w:rsidRDefault="00825ECE" w:rsidP="00160576">
      <w:pPr>
        <w:rPr>
          <w:rStyle w:val="Ohne"/>
          <w:u w:color="000000"/>
          <w:lang w:val="en-GB"/>
        </w:rPr>
      </w:pPr>
      <w:r w:rsidRPr="00AE6D77">
        <w:rPr>
          <w:rStyle w:val="Ohne"/>
          <w:szCs w:val="22"/>
          <w:u w:color="000000"/>
          <w:lang w:val="en-GB"/>
        </w:rPr>
        <w:t>W</w:t>
      </w:r>
      <w:r w:rsidR="00805F45" w:rsidRPr="00AE6D77">
        <w:rPr>
          <w:rStyle w:val="Ohne"/>
          <w:szCs w:val="22"/>
          <w:u w:color="000000"/>
          <w:lang w:val="en-GB"/>
        </w:rPr>
        <w:t>e provide a systematic review of existing non-optimization ecological macro-economic models applicable for policy evaluation of th</w:t>
      </w:r>
      <w:r w:rsidR="002845D6" w:rsidRPr="00AE6D77">
        <w:rPr>
          <w:rStyle w:val="Ohne"/>
          <w:szCs w:val="22"/>
          <w:u w:color="000000"/>
          <w:lang w:val="en-GB"/>
        </w:rPr>
        <w:t>e low-carbon energy transition</w:t>
      </w:r>
      <w:r w:rsidR="005D5853" w:rsidRPr="00AE6D77">
        <w:rPr>
          <w:bdr w:val="nil"/>
          <w:lang w:val="en-GB"/>
        </w:rPr>
        <w:t xml:space="preserve"> </w:t>
      </w:r>
      <w:r w:rsidR="00BA43C6" w:rsidRPr="00AE6D77">
        <w:rPr>
          <w:lang w:val="en-GB"/>
        </w:rPr>
        <w:t>I</w:t>
      </w:r>
      <w:r w:rsidR="005D5853" w:rsidRPr="00AE6D77">
        <w:rPr>
          <w:lang w:val="en-GB"/>
        </w:rPr>
        <w:t xml:space="preserve">n the context of the complexities of rapid decarbonisation of energy systems, decision makers are in need of economic models, able to capture out-of-equilibrium dynamics, complexity and other features of a new approach in economics (see Doukas et al., 2018). </w:t>
      </w:r>
      <w:r w:rsidR="00A52CDB" w:rsidRPr="00AE6D77">
        <w:rPr>
          <w:rStyle w:val="Ohne"/>
          <w:u w:color="000000"/>
          <w:lang w:val="en-GB"/>
        </w:rPr>
        <w:t>We focus on energy transition</w:t>
      </w:r>
      <w:r w:rsidR="005D5853" w:rsidRPr="00AE6D77">
        <w:rPr>
          <w:rStyle w:val="Ohne"/>
          <w:u w:color="000000"/>
          <w:lang w:val="en-GB"/>
        </w:rPr>
        <w:t xml:space="preserve"> models on one hand due to their </w:t>
      </w:r>
      <w:r w:rsidR="00B90FB4" w:rsidRPr="00AE6D77">
        <w:rPr>
          <w:rStyle w:val="Ohne"/>
          <w:u w:color="000000"/>
          <w:lang w:val="en-GB"/>
        </w:rPr>
        <w:t>relevance</w:t>
      </w:r>
      <w:r w:rsidR="005D5853" w:rsidRPr="00AE6D77">
        <w:rPr>
          <w:rStyle w:val="Ohne"/>
          <w:u w:color="000000"/>
          <w:lang w:val="en-GB"/>
        </w:rPr>
        <w:t xml:space="preserve"> in the debate on post-growth economics (Victor, 2012; Ayres &amp; Warr, 2010; Victor &amp; Jackson, 2019). On the other hand, because of the currently high political relevance of energy transitions in the context of the urgently required political action to maintain global temperature below the two-degree target (e.g. EC, 2014; </w:t>
      </w:r>
      <w:r w:rsidR="00562C82" w:rsidRPr="00AE6D77">
        <w:rPr>
          <w:rStyle w:val="Ohne"/>
          <w:u w:color="000000"/>
          <w:lang w:val="en-GB"/>
        </w:rPr>
        <w:t xml:space="preserve">UN, 2018). </w:t>
      </w:r>
      <w:r w:rsidR="00B90FB4" w:rsidRPr="00AE6D77">
        <w:rPr>
          <w:lang w:val="en-GB"/>
        </w:rPr>
        <w:t>I</w:t>
      </w:r>
      <w:r w:rsidR="00357D42" w:rsidRPr="00AE6D77">
        <w:rPr>
          <w:rStyle w:val="Ohne"/>
          <w:u w:color="000000"/>
          <w:lang w:val="en-GB"/>
        </w:rPr>
        <w:t>dentified ecological economics energy</w:t>
      </w:r>
      <w:r w:rsidR="00A52CDB" w:rsidRPr="00AE6D77">
        <w:rPr>
          <w:rStyle w:val="Ohne"/>
          <w:u w:color="000000"/>
          <w:lang w:val="en-GB"/>
        </w:rPr>
        <w:t xml:space="preserve"> </w:t>
      </w:r>
      <w:r w:rsidR="00E322B9" w:rsidRPr="00AE6D77">
        <w:rPr>
          <w:rStyle w:val="Ohne"/>
          <w:u w:color="000000"/>
          <w:lang w:val="en-GB"/>
        </w:rPr>
        <w:t>transition</w:t>
      </w:r>
      <w:r w:rsidR="00357D42" w:rsidRPr="00AE6D77">
        <w:rPr>
          <w:rStyle w:val="Ohne"/>
          <w:u w:color="000000"/>
          <w:lang w:val="en-GB"/>
        </w:rPr>
        <w:t xml:space="preserve"> models are compared against their ability to consider the desired features of a new economic approach (e.g. OECD, 2015</w:t>
      </w:r>
      <w:r w:rsidR="005D5853" w:rsidRPr="00AE6D77">
        <w:rPr>
          <w:rStyle w:val="Ohne"/>
          <w:u w:color="000000"/>
          <w:lang w:val="en-GB"/>
        </w:rPr>
        <w:t>; 2017)</w:t>
      </w:r>
      <w:r w:rsidR="00357D42" w:rsidRPr="00AE6D77">
        <w:rPr>
          <w:rStyle w:val="Ohne"/>
          <w:u w:color="000000"/>
          <w:lang w:val="en-GB"/>
        </w:rPr>
        <w:t>, including: i) complexity, non-linearity, non-ergo</w:t>
      </w:r>
      <w:r w:rsidR="003B3B5D" w:rsidRPr="00AE6D77">
        <w:rPr>
          <w:rStyle w:val="Ohne"/>
          <w:u w:color="000000"/>
          <w:lang w:val="en-GB"/>
        </w:rPr>
        <w:t>di</w:t>
      </w:r>
      <w:r w:rsidR="00357D42" w:rsidRPr="00AE6D77">
        <w:rPr>
          <w:rStyle w:val="Ohne"/>
          <w:u w:color="000000"/>
          <w:lang w:val="en-GB"/>
        </w:rPr>
        <w:t>city and deep uncertainty), (ii) the importance of time, (iii) agents’ heterogeneity and behavioural elements, (iv) interdisciplinary aspects (v) role of institutions and social context, (vi) ethical and philosophical aspects, (vii) finance and viii) mult</w:t>
      </w:r>
      <w:r w:rsidR="00590CE6" w:rsidRPr="00AE6D77">
        <w:rPr>
          <w:rStyle w:val="Ohne"/>
          <w:u w:color="000000"/>
          <w:lang w:val="en-GB"/>
        </w:rPr>
        <w:t xml:space="preserve">iple equilibria/disequilibrium. </w:t>
      </w:r>
    </w:p>
    <w:p w14:paraId="437A3214" w14:textId="2A8E7246" w:rsidR="005D5853" w:rsidRPr="00AE6D77" w:rsidRDefault="005D5853" w:rsidP="00160576">
      <w:pPr>
        <w:rPr>
          <w:rStyle w:val="Ohne"/>
          <w:szCs w:val="22"/>
          <w:u w:color="000000"/>
          <w:lang w:val="en-GB"/>
        </w:rPr>
      </w:pPr>
    </w:p>
    <w:p w14:paraId="1418C78B" w14:textId="092751C5" w:rsidR="00B51A17" w:rsidRDefault="00FA079C" w:rsidP="00160576">
      <w:pPr>
        <w:rPr>
          <w:rStyle w:val="Ohne"/>
          <w:szCs w:val="22"/>
          <w:u w:color="000000"/>
          <w:lang w:val="en-GB"/>
        </w:rPr>
      </w:pPr>
      <w:r w:rsidRPr="00AE6D77">
        <w:rPr>
          <w:rStyle w:val="Ohne"/>
          <w:szCs w:val="22"/>
          <w:u w:color="000000"/>
          <w:lang w:val="en-GB"/>
        </w:rPr>
        <w:t xml:space="preserve">We address </w:t>
      </w:r>
      <w:r w:rsidR="007911C5" w:rsidRPr="00AE6D77">
        <w:rPr>
          <w:rStyle w:val="Ohne"/>
          <w:szCs w:val="22"/>
          <w:u w:color="000000"/>
          <w:lang w:val="en-GB"/>
        </w:rPr>
        <w:t xml:space="preserve">two </w:t>
      </w:r>
      <w:r w:rsidR="006B1929" w:rsidRPr="00AE6D77">
        <w:rPr>
          <w:rStyle w:val="Ohne"/>
          <w:szCs w:val="22"/>
          <w:u w:color="000000"/>
          <w:lang w:val="en-GB"/>
        </w:rPr>
        <w:t>question</w:t>
      </w:r>
      <w:r w:rsidR="007911C5" w:rsidRPr="00AE6D77">
        <w:rPr>
          <w:rStyle w:val="Ohne"/>
          <w:szCs w:val="22"/>
          <w:u w:color="000000"/>
          <w:lang w:val="en-GB"/>
        </w:rPr>
        <w:t>s</w:t>
      </w:r>
      <w:r w:rsidR="00B51A17" w:rsidRPr="00AE6D77">
        <w:rPr>
          <w:rStyle w:val="Ohne"/>
          <w:szCs w:val="22"/>
          <w:u w:color="000000"/>
          <w:lang w:val="en-GB"/>
        </w:rPr>
        <w:t xml:space="preserve">: </w:t>
      </w:r>
    </w:p>
    <w:p w14:paraId="3C688948" w14:textId="77777777" w:rsidR="006B1929" w:rsidRPr="00AE6D77" w:rsidRDefault="006B1929" w:rsidP="00160576">
      <w:pPr>
        <w:rPr>
          <w:rStyle w:val="Ohne"/>
          <w:szCs w:val="22"/>
          <w:u w:color="000000"/>
          <w:lang w:val="en-GB"/>
        </w:rPr>
      </w:pPr>
    </w:p>
    <w:p w14:paraId="36F0A00D" w14:textId="42F6E6E4" w:rsidR="00B51A17" w:rsidRPr="00380144" w:rsidRDefault="00540679" w:rsidP="00160576">
      <w:pPr>
        <w:pStyle w:val="ListParagraph"/>
        <w:numPr>
          <w:ilvl w:val="0"/>
          <w:numId w:val="2"/>
        </w:numPr>
        <w:rPr>
          <w:rStyle w:val="Ohne"/>
          <w:szCs w:val="22"/>
          <w:u w:color="000000"/>
          <w:lang w:val="en-GB"/>
        </w:rPr>
      </w:pPr>
      <w:r w:rsidRPr="00AE6D77">
        <w:rPr>
          <w:rStyle w:val="Ohne"/>
          <w:szCs w:val="22"/>
          <w:u w:color="000000"/>
          <w:lang w:val="en-GB"/>
        </w:rPr>
        <w:t>What</w:t>
      </w:r>
      <w:r w:rsidR="006B1929" w:rsidRPr="00AE6D77">
        <w:rPr>
          <w:rStyle w:val="Ohne"/>
          <w:szCs w:val="22"/>
          <w:u w:color="000000"/>
          <w:lang w:val="en-GB"/>
        </w:rPr>
        <w:t xml:space="preserve"> </w:t>
      </w:r>
      <w:r w:rsidR="00B51A17" w:rsidRPr="00AE6D77">
        <w:rPr>
          <w:rStyle w:val="Ohne"/>
          <w:szCs w:val="22"/>
          <w:u w:color="000000"/>
          <w:lang w:val="en-GB"/>
        </w:rPr>
        <w:t>ecological macroeconomics</w:t>
      </w:r>
      <w:r w:rsidR="00CE400D" w:rsidRPr="00AE6D77">
        <w:rPr>
          <w:rStyle w:val="Ohne"/>
          <w:szCs w:val="22"/>
          <w:u w:color="000000"/>
          <w:lang w:val="en-GB"/>
        </w:rPr>
        <w:t xml:space="preserve"> models</w:t>
      </w:r>
      <w:r w:rsidR="006B1929" w:rsidRPr="00AE6D77">
        <w:rPr>
          <w:rStyle w:val="Ohne"/>
          <w:szCs w:val="22"/>
          <w:u w:color="000000"/>
          <w:lang w:val="en-GB"/>
        </w:rPr>
        <w:t xml:space="preserve">, </w:t>
      </w:r>
      <w:r w:rsidR="00305E96" w:rsidRPr="00AE6D77">
        <w:rPr>
          <w:rStyle w:val="Ohne"/>
          <w:szCs w:val="22"/>
          <w:u w:color="000000"/>
          <w:lang w:val="en-GB"/>
        </w:rPr>
        <w:t>applicable to evaluate climate policies for t</w:t>
      </w:r>
      <w:r w:rsidR="006B1929" w:rsidRPr="00AE6D77">
        <w:rPr>
          <w:rStyle w:val="Ohne"/>
          <w:szCs w:val="22"/>
          <w:u w:color="000000"/>
          <w:lang w:val="en-GB"/>
        </w:rPr>
        <w:t xml:space="preserve">he low-carbon energy transition, </w:t>
      </w:r>
      <w:r w:rsidRPr="00AE6D77">
        <w:rPr>
          <w:rStyle w:val="Ohne"/>
          <w:szCs w:val="22"/>
          <w:u w:color="000000"/>
          <w:lang w:val="en-GB"/>
        </w:rPr>
        <w:t>fulfil</w:t>
      </w:r>
      <w:r w:rsidR="00FA079C" w:rsidRPr="00AE6D77">
        <w:rPr>
          <w:rStyle w:val="Ohne"/>
          <w:szCs w:val="22"/>
          <w:u w:color="000000"/>
          <w:lang w:val="en-GB"/>
        </w:rPr>
        <w:t>, at least</w:t>
      </w:r>
      <w:r w:rsidR="00357D42" w:rsidRPr="00AE6D77">
        <w:rPr>
          <w:rStyle w:val="Ohne"/>
          <w:szCs w:val="22"/>
          <w:u w:color="000000"/>
          <w:lang w:val="en-GB"/>
        </w:rPr>
        <w:t xml:space="preserve"> </w:t>
      </w:r>
      <w:r w:rsidR="006B1929" w:rsidRPr="00AE6D77">
        <w:rPr>
          <w:rStyle w:val="Ohne"/>
          <w:szCs w:val="22"/>
          <w:u w:color="000000"/>
          <w:lang w:val="en-GB"/>
        </w:rPr>
        <w:t>to some degree</w:t>
      </w:r>
      <w:r w:rsidR="00FA079C" w:rsidRPr="00AE6D77">
        <w:rPr>
          <w:rStyle w:val="Ohne"/>
          <w:szCs w:val="22"/>
          <w:u w:color="000000"/>
          <w:lang w:val="en-GB"/>
        </w:rPr>
        <w:t>,</w:t>
      </w:r>
      <w:r w:rsidR="006B1929" w:rsidRPr="00AE6D77">
        <w:rPr>
          <w:rStyle w:val="Ohne"/>
          <w:szCs w:val="22"/>
          <w:u w:color="000000"/>
          <w:lang w:val="en-GB"/>
        </w:rPr>
        <w:t xml:space="preserve"> the desired characteristics </w:t>
      </w:r>
      <w:r w:rsidR="00C5665B" w:rsidRPr="00AE6D77">
        <w:rPr>
          <w:rStyle w:val="Ohne"/>
          <w:szCs w:val="22"/>
          <w:u w:color="000000"/>
          <w:lang w:val="en-GB"/>
        </w:rPr>
        <w:t xml:space="preserve">i) to viii) (see </w:t>
      </w:r>
      <w:r w:rsidR="00357D42" w:rsidRPr="00AE6D77">
        <w:rPr>
          <w:rStyle w:val="Ohne"/>
          <w:szCs w:val="22"/>
          <w:u w:color="000000"/>
          <w:lang w:val="en-GB"/>
        </w:rPr>
        <w:t>above</w:t>
      </w:r>
      <w:r w:rsidR="00C5665B" w:rsidRPr="00AE6D77">
        <w:rPr>
          <w:rStyle w:val="Ohne"/>
          <w:szCs w:val="22"/>
          <w:u w:color="000000"/>
          <w:lang w:val="en-GB"/>
        </w:rPr>
        <w:t xml:space="preserve">) </w:t>
      </w:r>
      <w:r w:rsidR="006B1929" w:rsidRPr="00AE6D77">
        <w:rPr>
          <w:rStyle w:val="Ohne"/>
          <w:szCs w:val="22"/>
          <w:u w:color="000000"/>
          <w:lang w:val="en-GB"/>
        </w:rPr>
        <w:t xml:space="preserve">of </w:t>
      </w:r>
      <w:r w:rsidR="00357D42" w:rsidRPr="00AE6D77">
        <w:rPr>
          <w:rStyle w:val="Ohne"/>
          <w:szCs w:val="22"/>
          <w:u w:color="000000"/>
          <w:lang w:val="en-GB"/>
        </w:rPr>
        <w:t>a new economic approach</w:t>
      </w:r>
      <w:r w:rsidR="006B1929" w:rsidRPr="00AE6D77">
        <w:rPr>
          <w:rStyle w:val="Ohne"/>
          <w:szCs w:val="22"/>
          <w:u w:color="000000"/>
          <w:lang w:val="en-GB"/>
        </w:rPr>
        <w:t xml:space="preserve">? </w:t>
      </w:r>
    </w:p>
    <w:p w14:paraId="7B407CA3" w14:textId="40B79430" w:rsidR="00726855" w:rsidRPr="00380144" w:rsidRDefault="00E96F33" w:rsidP="00160576">
      <w:pPr>
        <w:numPr>
          <w:ilvl w:val="0"/>
          <w:numId w:val="2"/>
        </w:numPr>
        <w:rPr>
          <w:rStyle w:val="Ohne"/>
          <w:szCs w:val="22"/>
          <w:u w:color="000000"/>
          <w:lang w:val="en-GB"/>
        </w:rPr>
      </w:pPr>
      <w:r w:rsidRPr="00AE6D77">
        <w:rPr>
          <w:rStyle w:val="Ohne"/>
          <w:szCs w:val="22"/>
          <w:u w:color="000000"/>
          <w:lang w:val="en-GB"/>
        </w:rPr>
        <w:t xml:space="preserve">How do </w:t>
      </w:r>
      <w:r w:rsidR="006B1929" w:rsidRPr="00AE6D77">
        <w:rPr>
          <w:rStyle w:val="Ohne"/>
          <w:szCs w:val="22"/>
          <w:u w:color="000000"/>
          <w:lang w:val="en-GB"/>
        </w:rPr>
        <w:t xml:space="preserve">current ecological </w:t>
      </w:r>
      <w:r w:rsidR="008C5A82" w:rsidRPr="00AE6D77">
        <w:rPr>
          <w:rStyle w:val="Ohne"/>
          <w:szCs w:val="22"/>
          <w:u w:color="000000"/>
          <w:lang w:val="en-GB"/>
        </w:rPr>
        <w:t>economics</w:t>
      </w:r>
      <w:r w:rsidR="006B1929" w:rsidRPr="00AE6D77">
        <w:rPr>
          <w:rStyle w:val="Ohne"/>
          <w:szCs w:val="22"/>
          <w:u w:color="000000"/>
          <w:lang w:val="en-GB"/>
        </w:rPr>
        <w:t xml:space="preserve"> models, applicable to the energy transition,</w:t>
      </w:r>
      <w:r w:rsidRPr="00AE6D77">
        <w:rPr>
          <w:rStyle w:val="Ohne"/>
          <w:szCs w:val="22"/>
          <w:u w:color="000000"/>
          <w:lang w:val="en-GB"/>
        </w:rPr>
        <w:t xml:space="preserve"> account for the desired characteristics </w:t>
      </w:r>
      <w:r w:rsidR="00892570" w:rsidRPr="00AE6D77">
        <w:rPr>
          <w:rStyle w:val="Ohne"/>
          <w:szCs w:val="22"/>
          <w:u w:color="000000"/>
          <w:lang w:val="en-GB"/>
        </w:rPr>
        <w:t>i) to vii</w:t>
      </w:r>
      <w:r w:rsidR="00540679" w:rsidRPr="00AE6D77">
        <w:rPr>
          <w:rStyle w:val="Ohne"/>
          <w:szCs w:val="22"/>
          <w:u w:color="000000"/>
          <w:lang w:val="en-GB"/>
        </w:rPr>
        <w:t>i</w:t>
      </w:r>
      <w:r w:rsidR="00892570" w:rsidRPr="00AE6D77">
        <w:rPr>
          <w:rStyle w:val="Ohne"/>
          <w:szCs w:val="22"/>
          <w:u w:color="000000"/>
          <w:lang w:val="en-GB"/>
        </w:rPr>
        <w:t xml:space="preserve">) </w:t>
      </w:r>
      <w:r w:rsidR="008D5E1F" w:rsidRPr="00AE6D77">
        <w:rPr>
          <w:rStyle w:val="Ohne"/>
          <w:szCs w:val="22"/>
          <w:u w:color="000000"/>
          <w:lang w:val="en-GB"/>
        </w:rPr>
        <w:t xml:space="preserve">(see </w:t>
      </w:r>
      <w:r w:rsidR="00357D42" w:rsidRPr="00AE6D77">
        <w:rPr>
          <w:rStyle w:val="Ohne"/>
          <w:szCs w:val="22"/>
          <w:u w:color="000000"/>
          <w:lang w:val="en-GB"/>
        </w:rPr>
        <w:t>above</w:t>
      </w:r>
      <w:r w:rsidR="008D5E1F" w:rsidRPr="00AE6D77">
        <w:rPr>
          <w:rStyle w:val="Ohne"/>
          <w:szCs w:val="22"/>
          <w:u w:color="000000"/>
          <w:lang w:val="en-GB"/>
        </w:rPr>
        <w:t>)</w:t>
      </w:r>
      <w:r w:rsidR="00E322B9" w:rsidRPr="00AE6D77">
        <w:rPr>
          <w:rStyle w:val="Ohne"/>
          <w:szCs w:val="22"/>
          <w:u w:color="000000"/>
          <w:lang w:val="en-GB"/>
        </w:rPr>
        <w:t>?</w:t>
      </w:r>
      <w:r w:rsidR="008A769E" w:rsidRPr="00AE6D77">
        <w:rPr>
          <w:rStyle w:val="Ohne"/>
          <w:szCs w:val="22"/>
          <w:u w:color="000000"/>
          <w:lang w:val="en-GB"/>
        </w:rPr>
        <w:t xml:space="preserve"> </w:t>
      </w:r>
    </w:p>
    <w:p w14:paraId="4D36A902" w14:textId="77777777" w:rsidR="00357D42" w:rsidRPr="00AE6D77" w:rsidRDefault="00357D42" w:rsidP="001605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Style w:val="Ohne"/>
          <w:szCs w:val="22"/>
          <w:u w:color="000000"/>
          <w:lang w:val="en-GB"/>
        </w:rPr>
      </w:pPr>
    </w:p>
    <w:p w14:paraId="7F533B4B" w14:textId="4979CF9F" w:rsidR="00701D2B" w:rsidRPr="00AE6D77" w:rsidRDefault="00701D2B" w:rsidP="00790B96">
      <w:pPr>
        <w:rPr>
          <w:lang w:val="en-GB"/>
        </w:rPr>
      </w:pPr>
      <w:r w:rsidRPr="00AE6D77">
        <w:rPr>
          <w:rStyle w:val="Ohne"/>
          <w:szCs w:val="22"/>
          <w:u w:color="000000"/>
          <w:lang w:val="en-GB"/>
        </w:rPr>
        <w:t xml:space="preserve">The first question is addressed </w:t>
      </w:r>
      <w:r w:rsidR="002209E7" w:rsidRPr="00AE6D77">
        <w:rPr>
          <w:rStyle w:val="Ohne"/>
          <w:szCs w:val="22"/>
          <w:u w:color="000000"/>
          <w:lang w:val="en-GB"/>
        </w:rPr>
        <w:t>th</w:t>
      </w:r>
      <w:r w:rsidR="001A14DA" w:rsidRPr="00AE6D77">
        <w:rPr>
          <w:rStyle w:val="Ohne"/>
          <w:szCs w:val="22"/>
          <w:u w:color="000000"/>
          <w:lang w:val="en-GB"/>
        </w:rPr>
        <w:t>r</w:t>
      </w:r>
      <w:r w:rsidR="002209E7" w:rsidRPr="00AE6D77">
        <w:rPr>
          <w:rStyle w:val="Ohne"/>
          <w:szCs w:val="22"/>
          <w:u w:color="000000"/>
          <w:lang w:val="en-GB"/>
        </w:rPr>
        <w:t xml:space="preserve">ough a </w:t>
      </w:r>
      <w:r w:rsidRPr="00AE6D77">
        <w:rPr>
          <w:rStyle w:val="Ohne"/>
          <w:szCs w:val="22"/>
          <w:u w:color="000000"/>
          <w:lang w:val="en-GB"/>
        </w:rPr>
        <w:t>literature review</w:t>
      </w:r>
      <w:r w:rsidR="002209E7" w:rsidRPr="00AE6D77">
        <w:rPr>
          <w:rStyle w:val="Ohne"/>
          <w:szCs w:val="22"/>
          <w:u w:color="000000"/>
          <w:lang w:val="en-GB"/>
        </w:rPr>
        <w:t>, while the</w:t>
      </w:r>
      <w:r w:rsidRPr="00AE6D77">
        <w:rPr>
          <w:rStyle w:val="Ohne"/>
          <w:szCs w:val="22"/>
          <w:u w:color="000000"/>
          <w:lang w:val="en-GB"/>
        </w:rPr>
        <w:t xml:space="preserve"> second is </w:t>
      </w:r>
      <w:r w:rsidR="00FD58CB" w:rsidRPr="00AE6D77">
        <w:rPr>
          <w:rStyle w:val="Ohne"/>
          <w:szCs w:val="22"/>
          <w:u w:color="000000"/>
          <w:lang w:val="en-GB"/>
        </w:rPr>
        <w:t>addressed by a model-review based on the literature and by interviewing leading researcher</w:t>
      </w:r>
      <w:r w:rsidR="00BE601F" w:rsidRPr="00AE6D77">
        <w:rPr>
          <w:rStyle w:val="Ohne"/>
          <w:szCs w:val="22"/>
          <w:u w:color="000000"/>
          <w:lang w:val="en-GB"/>
        </w:rPr>
        <w:t>s</w:t>
      </w:r>
      <w:r w:rsidR="00FD58CB" w:rsidRPr="00AE6D77">
        <w:rPr>
          <w:rStyle w:val="Ohne"/>
          <w:szCs w:val="22"/>
          <w:u w:color="000000"/>
          <w:lang w:val="en-GB"/>
        </w:rPr>
        <w:t xml:space="preserve"> working with those models. </w:t>
      </w:r>
      <w:r w:rsidR="006761E1" w:rsidRPr="00AE6D77">
        <w:rPr>
          <w:lang w:val="en-GB"/>
        </w:rPr>
        <w:t xml:space="preserve">Our review </w:t>
      </w:r>
      <w:r w:rsidR="009963CC" w:rsidRPr="00AE6D77">
        <w:rPr>
          <w:lang w:val="en-GB"/>
        </w:rPr>
        <w:t xml:space="preserve">aims to </w:t>
      </w:r>
      <w:r w:rsidR="00D804C6" w:rsidRPr="00AE6D77">
        <w:rPr>
          <w:lang w:val="en-GB"/>
        </w:rPr>
        <w:t>help</w:t>
      </w:r>
      <w:r w:rsidR="006761E1" w:rsidRPr="00AE6D77">
        <w:rPr>
          <w:lang w:val="en-GB"/>
        </w:rPr>
        <w:t xml:space="preserve"> policymakers and non-modellers</w:t>
      </w:r>
      <w:r w:rsidR="001D6E69" w:rsidRPr="00AE6D77">
        <w:rPr>
          <w:lang w:val="en-GB"/>
        </w:rPr>
        <w:t xml:space="preserve"> </w:t>
      </w:r>
      <w:r w:rsidR="006761E1" w:rsidRPr="00AE6D77">
        <w:rPr>
          <w:lang w:val="en-GB"/>
        </w:rPr>
        <w:t xml:space="preserve"> to understand the structural underpinning of the models they use. </w:t>
      </w:r>
      <w:r w:rsidR="009963CC" w:rsidRPr="00AE6D77">
        <w:rPr>
          <w:lang w:val="en-GB"/>
        </w:rPr>
        <w:t>It also</w:t>
      </w:r>
      <w:r w:rsidR="00215F7A" w:rsidRPr="00AE6D77">
        <w:rPr>
          <w:lang w:val="en-GB"/>
        </w:rPr>
        <w:t xml:space="preserve"> serve</w:t>
      </w:r>
      <w:r w:rsidR="009963CC" w:rsidRPr="00AE6D77">
        <w:rPr>
          <w:lang w:val="en-GB"/>
        </w:rPr>
        <w:t>s</w:t>
      </w:r>
      <w:r w:rsidR="00215F7A" w:rsidRPr="00AE6D77">
        <w:rPr>
          <w:lang w:val="en-GB"/>
        </w:rPr>
        <w:t xml:space="preserve"> as </w:t>
      </w:r>
      <w:r w:rsidR="00DD4D0B" w:rsidRPr="00AE6D77">
        <w:rPr>
          <w:lang w:val="en-GB"/>
        </w:rPr>
        <w:t xml:space="preserve">an </w:t>
      </w:r>
      <w:r w:rsidR="00215F7A" w:rsidRPr="00AE6D77">
        <w:rPr>
          <w:lang w:val="en-GB"/>
        </w:rPr>
        <w:t>information repository on the structure of the</w:t>
      </w:r>
      <w:r w:rsidR="002D40F7" w:rsidRPr="00AE6D77">
        <w:rPr>
          <w:lang w:val="en-GB"/>
        </w:rPr>
        <w:t xml:space="preserve"> </w:t>
      </w:r>
      <w:r w:rsidR="00215F7A" w:rsidRPr="00AE6D77">
        <w:rPr>
          <w:lang w:val="en-GB"/>
        </w:rPr>
        <w:t xml:space="preserve">reviewed </w:t>
      </w:r>
      <w:r w:rsidR="002D40F7" w:rsidRPr="00AE6D77">
        <w:rPr>
          <w:lang w:val="en-GB"/>
        </w:rPr>
        <w:t>model</w:t>
      </w:r>
      <w:r w:rsidR="00215F7A" w:rsidRPr="00AE6D77">
        <w:rPr>
          <w:lang w:val="en-GB"/>
        </w:rPr>
        <w:t>s</w:t>
      </w:r>
      <w:r w:rsidR="00D959B9" w:rsidRPr="00AE6D77">
        <w:rPr>
          <w:lang w:val="en-GB"/>
        </w:rPr>
        <w:t xml:space="preserve">, and as a knowledge basis </w:t>
      </w:r>
      <w:r w:rsidR="002D40F7" w:rsidRPr="00AE6D77">
        <w:rPr>
          <w:lang w:val="en-GB"/>
        </w:rPr>
        <w:t xml:space="preserve">for further </w:t>
      </w:r>
      <w:r w:rsidR="00215F7A" w:rsidRPr="00AE6D77">
        <w:rPr>
          <w:lang w:val="en-GB"/>
        </w:rPr>
        <w:t>model advancemen</w:t>
      </w:r>
      <w:r w:rsidR="00D959B9" w:rsidRPr="00AE6D77">
        <w:rPr>
          <w:lang w:val="en-GB"/>
        </w:rPr>
        <w:t xml:space="preserve">ts of energy transition models </w:t>
      </w:r>
      <w:r w:rsidR="0067186D" w:rsidRPr="00AE6D77">
        <w:rPr>
          <w:lang w:val="en-GB"/>
        </w:rPr>
        <w:t xml:space="preserve">and </w:t>
      </w:r>
      <w:r w:rsidR="00215F7A" w:rsidRPr="00AE6D77">
        <w:rPr>
          <w:lang w:val="en-GB"/>
        </w:rPr>
        <w:t xml:space="preserve">rebuilding macroeconomics. </w:t>
      </w:r>
      <w:r w:rsidR="008C5A82" w:rsidRPr="00AE6D77">
        <w:rPr>
          <w:u w:color="000000"/>
          <w:lang w:val="en-GB"/>
        </w:rPr>
        <w:t>We are not aware of any</w:t>
      </w:r>
      <w:r w:rsidRPr="00AE6D77">
        <w:rPr>
          <w:u w:color="000000"/>
          <w:lang w:val="en-GB"/>
        </w:rPr>
        <w:t xml:space="preserve"> </w:t>
      </w:r>
      <w:r w:rsidR="00C8566C" w:rsidRPr="00AE6D77">
        <w:rPr>
          <w:u w:color="000000"/>
          <w:lang w:val="en-GB"/>
        </w:rPr>
        <w:t xml:space="preserve">previous </w:t>
      </w:r>
      <w:r w:rsidRPr="00AE6D77">
        <w:rPr>
          <w:u w:color="000000"/>
          <w:lang w:val="en-GB"/>
        </w:rPr>
        <w:t>stud</w:t>
      </w:r>
      <w:r w:rsidR="00F33D61" w:rsidRPr="00AE6D77">
        <w:rPr>
          <w:u w:color="000000"/>
          <w:lang w:val="en-GB"/>
        </w:rPr>
        <w:t>y</w:t>
      </w:r>
      <w:r w:rsidR="00810FE0" w:rsidRPr="00AE6D77">
        <w:rPr>
          <w:u w:color="000000"/>
          <w:lang w:val="en-GB"/>
        </w:rPr>
        <w:t xml:space="preserve"> that</w:t>
      </w:r>
      <w:r w:rsidRPr="00AE6D77">
        <w:rPr>
          <w:u w:color="000000"/>
          <w:lang w:val="en-GB"/>
        </w:rPr>
        <w:t xml:space="preserve"> </w:t>
      </w:r>
      <w:r w:rsidR="00F33D61" w:rsidRPr="00AE6D77">
        <w:rPr>
          <w:u w:color="000000"/>
          <w:lang w:val="en-GB"/>
        </w:rPr>
        <w:t xml:space="preserve">has </w:t>
      </w:r>
      <w:r w:rsidR="00810FE0" w:rsidRPr="00AE6D77">
        <w:rPr>
          <w:u w:color="000000"/>
          <w:lang w:val="en-GB"/>
        </w:rPr>
        <w:t xml:space="preserve">reviewed </w:t>
      </w:r>
      <w:r w:rsidR="00C5665B" w:rsidRPr="00AE6D77">
        <w:rPr>
          <w:u w:color="000000"/>
          <w:lang w:val="en-GB"/>
        </w:rPr>
        <w:t>current</w:t>
      </w:r>
      <w:r w:rsidR="00046994" w:rsidRPr="00AE6D77">
        <w:rPr>
          <w:u w:color="000000"/>
          <w:lang w:val="en-GB"/>
        </w:rPr>
        <w:t xml:space="preserve"> energy transition models in </w:t>
      </w:r>
      <w:r w:rsidR="00810FE0" w:rsidRPr="00AE6D77">
        <w:rPr>
          <w:u w:color="000000"/>
          <w:lang w:val="en-GB"/>
        </w:rPr>
        <w:t xml:space="preserve">the </w:t>
      </w:r>
      <w:r w:rsidRPr="00AE6D77">
        <w:rPr>
          <w:u w:color="000000"/>
          <w:lang w:val="en-GB"/>
        </w:rPr>
        <w:t xml:space="preserve">ecological </w:t>
      </w:r>
      <w:r w:rsidR="00F33D61" w:rsidRPr="00AE6D77">
        <w:rPr>
          <w:u w:color="000000"/>
          <w:lang w:val="en-GB"/>
        </w:rPr>
        <w:t>m</w:t>
      </w:r>
      <w:r w:rsidRPr="00AE6D77">
        <w:rPr>
          <w:u w:color="000000"/>
          <w:lang w:val="en-GB"/>
        </w:rPr>
        <w:t>acroeconomic</w:t>
      </w:r>
      <w:r w:rsidR="00810FE0" w:rsidRPr="00AE6D77">
        <w:rPr>
          <w:u w:color="000000"/>
          <w:lang w:val="en-GB"/>
        </w:rPr>
        <w:t>s</w:t>
      </w:r>
      <w:r w:rsidRPr="00AE6D77">
        <w:rPr>
          <w:u w:color="000000"/>
          <w:lang w:val="en-GB"/>
        </w:rPr>
        <w:t xml:space="preserve"> literature </w:t>
      </w:r>
      <w:r w:rsidR="00810FE0" w:rsidRPr="00AE6D77">
        <w:rPr>
          <w:u w:color="000000"/>
          <w:lang w:val="en-GB"/>
        </w:rPr>
        <w:t xml:space="preserve">based </w:t>
      </w:r>
      <w:r w:rsidR="00C8566C" w:rsidRPr="00AE6D77">
        <w:rPr>
          <w:u w:color="000000"/>
          <w:lang w:val="en-GB"/>
        </w:rPr>
        <w:t>on the</w:t>
      </w:r>
      <w:r w:rsidRPr="00AE6D77">
        <w:rPr>
          <w:u w:color="000000"/>
          <w:lang w:val="en-GB"/>
        </w:rPr>
        <w:t xml:space="preserve"> features characteris</w:t>
      </w:r>
      <w:r w:rsidR="00F33D61" w:rsidRPr="00AE6D77">
        <w:rPr>
          <w:u w:color="000000"/>
          <w:lang w:val="en-GB"/>
        </w:rPr>
        <w:t>ing</w:t>
      </w:r>
      <w:r w:rsidRPr="00AE6D77">
        <w:rPr>
          <w:u w:color="000000"/>
          <w:lang w:val="en-GB"/>
        </w:rPr>
        <w:t xml:space="preserve"> </w:t>
      </w:r>
      <w:r w:rsidR="00C8566C" w:rsidRPr="00AE6D77">
        <w:rPr>
          <w:u w:color="000000"/>
          <w:lang w:val="en-GB"/>
        </w:rPr>
        <w:t>a</w:t>
      </w:r>
      <w:r w:rsidRPr="00AE6D77">
        <w:rPr>
          <w:u w:color="000000"/>
          <w:lang w:val="en-GB"/>
        </w:rPr>
        <w:t xml:space="preserve"> new approach </w:t>
      </w:r>
      <w:r w:rsidR="00C8566C" w:rsidRPr="00AE6D77">
        <w:rPr>
          <w:u w:color="000000"/>
          <w:lang w:val="en-GB"/>
        </w:rPr>
        <w:t>in</w:t>
      </w:r>
      <w:r w:rsidRPr="00AE6D77">
        <w:rPr>
          <w:u w:color="000000"/>
          <w:lang w:val="en-GB"/>
        </w:rPr>
        <w:t xml:space="preserve"> economics</w:t>
      </w:r>
      <w:r w:rsidR="008C5A82" w:rsidRPr="00AE6D77">
        <w:rPr>
          <w:u w:color="000000"/>
          <w:lang w:val="en-GB"/>
        </w:rPr>
        <w:t xml:space="preserve"> and our </w:t>
      </w:r>
      <w:r w:rsidR="009963CC" w:rsidRPr="00AE6D77">
        <w:rPr>
          <w:u w:color="000000"/>
          <w:lang w:val="en-GB"/>
        </w:rPr>
        <w:t>paper</w:t>
      </w:r>
      <w:r w:rsidR="008C5A82" w:rsidRPr="00AE6D77">
        <w:rPr>
          <w:u w:color="000000"/>
          <w:lang w:val="en-GB"/>
        </w:rPr>
        <w:t xml:space="preserve"> is thus </w:t>
      </w:r>
      <w:r w:rsidR="00711BDB" w:rsidRPr="00AE6D77">
        <w:rPr>
          <w:u w:color="000000"/>
          <w:lang w:val="en-GB"/>
        </w:rPr>
        <w:t>complementary to the</w:t>
      </w:r>
      <w:r w:rsidR="00F33D61" w:rsidRPr="00AE6D77">
        <w:rPr>
          <w:u w:color="000000"/>
          <w:lang w:val="en-GB"/>
        </w:rPr>
        <w:t xml:space="preserve"> recent </w:t>
      </w:r>
      <w:r w:rsidR="00B24A3E" w:rsidRPr="00AE6D77">
        <w:rPr>
          <w:u w:color="000000"/>
          <w:lang w:val="en-GB"/>
        </w:rPr>
        <w:t xml:space="preserve">systematic </w:t>
      </w:r>
      <w:r w:rsidR="0067186D" w:rsidRPr="00AE6D77">
        <w:rPr>
          <w:u w:color="000000"/>
          <w:lang w:val="en-GB"/>
        </w:rPr>
        <w:t xml:space="preserve">ecological macroeconomic </w:t>
      </w:r>
      <w:r w:rsidR="00E322B9" w:rsidRPr="00AE6D77">
        <w:rPr>
          <w:u w:color="000000"/>
          <w:lang w:val="en-GB"/>
        </w:rPr>
        <w:t>model review</w:t>
      </w:r>
      <w:r w:rsidR="008C5A82" w:rsidRPr="00AE6D77">
        <w:rPr>
          <w:u w:color="000000"/>
          <w:lang w:val="en-GB"/>
        </w:rPr>
        <w:t xml:space="preserve"> </w:t>
      </w:r>
      <w:r w:rsidR="009963CC" w:rsidRPr="00AE6D77">
        <w:rPr>
          <w:u w:color="000000"/>
          <w:lang w:val="en-GB"/>
        </w:rPr>
        <w:t>by</w:t>
      </w:r>
      <w:r w:rsidR="008C5A82" w:rsidRPr="00AE6D77">
        <w:rPr>
          <w:u w:color="000000"/>
          <w:lang w:val="en-GB"/>
        </w:rPr>
        <w:t xml:space="preserve"> Hardt &amp; O’Neil</w:t>
      </w:r>
      <w:r w:rsidR="008A769E" w:rsidRPr="00AE6D77">
        <w:rPr>
          <w:u w:color="000000"/>
          <w:lang w:val="en-GB"/>
        </w:rPr>
        <w:t>l</w:t>
      </w:r>
      <w:r w:rsidR="008C5A82" w:rsidRPr="00AE6D77">
        <w:rPr>
          <w:u w:color="000000"/>
          <w:lang w:val="en-GB"/>
        </w:rPr>
        <w:t xml:space="preserve"> (2017)</w:t>
      </w:r>
      <w:r w:rsidR="00163E4B" w:rsidRPr="00AE6D77">
        <w:rPr>
          <w:rStyle w:val="FootnoteReference"/>
          <w:u w:color="000000"/>
          <w:lang w:val="en-GB"/>
        </w:rPr>
        <w:footnoteReference w:id="5"/>
      </w:r>
      <w:r w:rsidR="0067186D" w:rsidRPr="00AE6D77">
        <w:rPr>
          <w:u w:color="000000"/>
          <w:lang w:val="en-GB"/>
        </w:rPr>
        <w:t xml:space="preserve">. </w:t>
      </w:r>
    </w:p>
    <w:p w14:paraId="09E6E34C" w14:textId="77777777" w:rsidR="009551EC" w:rsidRPr="00AE6D77" w:rsidRDefault="009551EC" w:rsidP="00790B96">
      <w:pPr>
        <w:rPr>
          <w:lang w:val="en-GB"/>
        </w:rPr>
      </w:pPr>
    </w:p>
    <w:p w14:paraId="3716A196" w14:textId="10A1382A" w:rsidR="00701D2B" w:rsidRPr="00AE6D77" w:rsidRDefault="00701D2B" w:rsidP="00790B96">
      <w:pPr>
        <w:rPr>
          <w:rStyle w:val="Ohne"/>
          <w:szCs w:val="22"/>
          <w:lang w:val="en-GB"/>
        </w:rPr>
      </w:pPr>
      <w:r w:rsidRPr="00AE6D77">
        <w:rPr>
          <w:lang w:val="en-GB"/>
        </w:rPr>
        <w:t xml:space="preserve">The </w:t>
      </w:r>
      <w:r w:rsidR="00273485" w:rsidRPr="00AE6D77">
        <w:rPr>
          <w:lang w:val="en-GB"/>
        </w:rPr>
        <w:t>paper</w:t>
      </w:r>
      <w:r w:rsidRPr="00AE6D77">
        <w:rPr>
          <w:lang w:val="en-GB"/>
        </w:rPr>
        <w:t xml:space="preserve"> is organized as follows. </w:t>
      </w:r>
      <w:r w:rsidRPr="00AE6D77">
        <w:rPr>
          <w:rStyle w:val="Ohne"/>
          <w:szCs w:val="22"/>
          <w:lang w:val="en-GB"/>
        </w:rPr>
        <w:t xml:space="preserve">Section 2 </w:t>
      </w:r>
      <w:r w:rsidR="00D704E9" w:rsidRPr="00AE6D77">
        <w:rPr>
          <w:lang w:val="en-GB"/>
        </w:rPr>
        <w:t>gives an overview why a new approach in economics is useful</w:t>
      </w:r>
      <w:r w:rsidRPr="00AE6D77">
        <w:rPr>
          <w:lang w:val="en-GB"/>
        </w:rPr>
        <w:t xml:space="preserve"> and </w:t>
      </w:r>
      <w:r w:rsidR="00C317C2" w:rsidRPr="00AE6D77">
        <w:rPr>
          <w:lang w:val="en-GB"/>
        </w:rPr>
        <w:t xml:space="preserve">introduces the desirable characteristics of </w:t>
      </w:r>
      <w:r w:rsidR="006761E1" w:rsidRPr="00AE6D77">
        <w:rPr>
          <w:lang w:val="en-GB"/>
        </w:rPr>
        <w:t>this new approach</w:t>
      </w:r>
      <w:r w:rsidRPr="00AE6D77">
        <w:rPr>
          <w:lang w:val="en-GB"/>
        </w:rPr>
        <w:t xml:space="preserve">. </w:t>
      </w:r>
      <w:r w:rsidR="00C317C2" w:rsidRPr="00AE6D77">
        <w:rPr>
          <w:lang w:val="en-GB"/>
        </w:rPr>
        <w:t>S</w:t>
      </w:r>
      <w:r w:rsidRPr="00AE6D77">
        <w:rPr>
          <w:lang w:val="en-GB"/>
        </w:rPr>
        <w:t>ection</w:t>
      </w:r>
      <w:r w:rsidR="008C5A82" w:rsidRPr="00AE6D77">
        <w:rPr>
          <w:lang w:val="en-GB"/>
        </w:rPr>
        <w:t xml:space="preserve"> </w:t>
      </w:r>
      <w:r w:rsidRPr="00AE6D77">
        <w:rPr>
          <w:lang w:val="en-GB"/>
        </w:rPr>
        <w:t xml:space="preserve">3 </w:t>
      </w:r>
      <w:r w:rsidR="00C317C2" w:rsidRPr="00AE6D77">
        <w:rPr>
          <w:lang w:val="en-GB"/>
        </w:rPr>
        <w:t xml:space="preserve">describes the </w:t>
      </w:r>
      <w:r w:rsidR="006E77EF" w:rsidRPr="00AE6D77">
        <w:rPr>
          <w:lang w:val="en-GB"/>
        </w:rPr>
        <w:t>evaluation-</w:t>
      </w:r>
      <w:r w:rsidR="00C317C2" w:rsidRPr="00AE6D77">
        <w:rPr>
          <w:lang w:val="en-GB"/>
        </w:rPr>
        <w:t xml:space="preserve">framework </w:t>
      </w:r>
      <w:r w:rsidR="00D704E9" w:rsidRPr="00AE6D77">
        <w:rPr>
          <w:lang w:val="en-GB"/>
        </w:rPr>
        <w:t>for the model review</w:t>
      </w:r>
      <w:r w:rsidR="00D94ABB" w:rsidRPr="00AE6D77">
        <w:rPr>
          <w:lang w:val="en-GB"/>
        </w:rPr>
        <w:t xml:space="preserve"> and the</w:t>
      </w:r>
      <w:r w:rsidR="00D704E9" w:rsidRPr="00AE6D77">
        <w:rPr>
          <w:lang w:val="en-GB"/>
        </w:rPr>
        <w:t xml:space="preserve"> applied</w:t>
      </w:r>
      <w:r w:rsidR="00D94ABB" w:rsidRPr="00AE6D77">
        <w:rPr>
          <w:lang w:val="en-GB"/>
        </w:rPr>
        <w:t xml:space="preserve"> information collection process</w:t>
      </w:r>
      <w:r w:rsidRPr="00AE6D77">
        <w:rPr>
          <w:lang w:val="en-GB"/>
        </w:rPr>
        <w:t xml:space="preserve">. </w:t>
      </w:r>
      <w:r w:rsidR="003045EC" w:rsidRPr="00AE6D77">
        <w:rPr>
          <w:lang w:val="en-GB"/>
        </w:rPr>
        <w:t xml:space="preserve">Section 4 gives a summary of different simulation modelling approaches and </w:t>
      </w:r>
      <w:r w:rsidR="00D94ABB" w:rsidRPr="00AE6D77">
        <w:rPr>
          <w:lang w:val="en-GB"/>
        </w:rPr>
        <w:t>the identified models</w:t>
      </w:r>
      <w:r w:rsidR="009551EC" w:rsidRPr="00AE6D77">
        <w:rPr>
          <w:lang w:val="en-GB"/>
        </w:rPr>
        <w:t>,</w:t>
      </w:r>
      <w:r w:rsidR="00D94ABB" w:rsidRPr="00AE6D77">
        <w:rPr>
          <w:lang w:val="en-GB"/>
        </w:rPr>
        <w:t xml:space="preserve"> and </w:t>
      </w:r>
      <w:r w:rsidR="00C317C2" w:rsidRPr="00AE6D77">
        <w:rPr>
          <w:lang w:val="en-GB"/>
        </w:rPr>
        <w:t xml:space="preserve">discusses </w:t>
      </w:r>
      <w:r w:rsidRPr="00AE6D77">
        <w:rPr>
          <w:lang w:val="en-GB"/>
        </w:rPr>
        <w:t xml:space="preserve">the results </w:t>
      </w:r>
      <w:r w:rsidR="00C317C2" w:rsidRPr="00AE6D77">
        <w:rPr>
          <w:lang w:val="en-GB"/>
        </w:rPr>
        <w:t>highlighting similarities and differences</w:t>
      </w:r>
      <w:r w:rsidR="00711BDB" w:rsidRPr="00AE6D77">
        <w:rPr>
          <w:lang w:val="en-GB"/>
        </w:rPr>
        <w:t xml:space="preserve"> of the models</w:t>
      </w:r>
      <w:r w:rsidR="00C317C2" w:rsidRPr="00AE6D77">
        <w:rPr>
          <w:lang w:val="en-GB"/>
        </w:rPr>
        <w:t>, as well as</w:t>
      </w:r>
      <w:r w:rsidR="00711BDB" w:rsidRPr="00AE6D77">
        <w:rPr>
          <w:lang w:val="en-GB"/>
        </w:rPr>
        <w:t xml:space="preserve"> their</w:t>
      </w:r>
      <w:r w:rsidR="00C317C2" w:rsidRPr="00AE6D77">
        <w:rPr>
          <w:lang w:val="en-GB"/>
        </w:rPr>
        <w:t xml:space="preserve"> strengths and weaknesses</w:t>
      </w:r>
      <w:r w:rsidRPr="00AE6D77">
        <w:rPr>
          <w:lang w:val="en-GB"/>
        </w:rPr>
        <w:t>. Section 5 concludes</w:t>
      </w:r>
      <w:r w:rsidR="00711BDB" w:rsidRPr="00AE6D77">
        <w:rPr>
          <w:lang w:val="en-GB"/>
        </w:rPr>
        <w:t>.</w:t>
      </w:r>
      <w:r w:rsidR="00C317C2" w:rsidRPr="00AE6D77">
        <w:rPr>
          <w:lang w:val="en-GB"/>
        </w:rPr>
        <w:t xml:space="preserve"> </w:t>
      </w:r>
    </w:p>
    <w:p w14:paraId="7A41BC59" w14:textId="5C10A000" w:rsidR="00701D2B" w:rsidRPr="00380144" w:rsidRDefault="00701D2B" w:rsidP="00160576">
      <w:pPr>
        <w:pStyle w:val="Heading1"/>
        <w:rPr>
          <w:rStyle w:val="Ohne"/>
          <w:color w:val="auto"/>
          <w:sz w:val="24"/>
          <w:szCs w:val="24"/>
        </w:rPr>
      </w:pPr>
      <w:r w:rsidRPr="00AE6D77">
        <w:rPr>
          <w:rStyle w:val="Ohne"/>
          <w:color w:val="auto"/>
          <w:sz w:val="24"/>
          <w:szCs w:val="24"/>
        </w:rPr>
        <w:t>2.</w:t>
      </w:r>
      <w:r w:rsidR="00DE2779" w:rsidRPr="00AE6D77">
        <w:rPr>
          <w:rStyle w:val="Ohne"/>
          <w:color w:val="auto"/>
          <w:sz w:val="24"/>
          <w:szCs w:val="24"/>
        </w:rPr>
        <w:t xml:space="preserve"> </w:t>
      </w:r>
      <w:r w:rsidR="00711BDB" w:rsidRPr="00AE6D77">
        <w:rPr>
          <w:rStyle w:val="Ohne"/>
          <w:color w:val="auto"/>
          <w:sz w:val="24"/>
          <w:szCs w:val="24"/>
        </w:rPr>
        <w:t>C</w:t>
      </w:r>
      <w:r w:rsidR="004D4C0B" w:rsidRPr="00AE6D77">
        <w:rPr>
          <w:rStyle w:val="Ohne"/>
          <w:color w:val="auto"/>
          <w:sz w:val="24"/>
          <w:szCs w:val="24"/>
        </w:rPr>
        <w:t>all for a new economic approach</w:t>
      </w:r>
    </w:p>
    <w:p w14:paraId="7BBF9D02" w14:textId="77777777" w:rsidR="00C8566C" w:rsidRPr="00AE6D77" w:rsidRDefault="00C8566C" w:rsidP="00160576">
      <w:pPr>
        <w:rPr>
          <w:lang w:val="en-GB"/>
        </w:rPr>
      </w:pPr>
    </w:p>
    <w:p w14:paraId="62351B88" w14:textId="2003EFFF" w:rsidR="00362A08" w:rsidRPr="00AE6D77" w:rsidRDefault="00711BDB" w:rsidP="00790B96">
      <w:pPr>
        <w:rPr>
          <w:lang w:val="en-GB"/>
        </w:rPr>
      </w:pPr>
      <w:r w:rsidRPr="00AE6D77">
        <w:rPr>
          <w:lang w:val="en-GB"/>
        </w:rPr>
        <w:t>Computational General Equilibrium (CGE)</w:t>
      </w:r>
      <w:r w:rsidR="00DE6A9E" w:rsidRPr="00AE6D77">
        <w:rPr>
          <w:lang w:val="en-GB"/>
        </w:rPr>
        <w:t xml:space="preserve"> models</w:t>
      </w:r>
      <w:r w:rsidR="00594EFB" w:rsidRPr="00AE6D77">
        <w:rPr>
          <w:lang w:val="en-GB"/>
        </w:rPr>
        <w:t xml:space="preserve"> are </w:t>
      </w:r>
      <w:r w:rsidR="00E27F63" w:rsidRPr="00AE6D77">
        <w:rPr>
          <w:lang w:val="en-GB"/>
        </w:rPr>
        <w:t>among</w:t>
      </w:r>
      <w:r w:rsidR="00594EFB" w:rsidRPr="00AE6D77">
        <w:rPr>
          <w:lang w:val="en-GB"/>
        </w:rPr>
        <w:t xml:space="preserve"> the most often used policy</w:t>
      </w:r>
      <w:r w:rsidR="00362A08" w:rsidRPr="00AE6D77">
        <w:rPr>
          <w:lang w:val="en-GB"/>
        </w:rPr>
        <w:t xml:space="preserve"> tools for the assessment of economic and climate policies (e.g. </w:t>
      </w:r>
      <w:r w:rsidR="00362A08" w:rsidRPr="00AE6D77">
        <w:rPr>
          <w:szCs w:val="22"/>
          <w:lang w:val="en-GB"/>
        </w:rPr>
        <w:t>Scrieciu et al., 2013; Ackerman, 2014</w:t>
      </w:r>
      <w:r w:rsidR="00930438" w:rsidRPr="00AE6D77">
        <w:rPr>
          <w:szCs w:val="22"/>
          <w:lang w:val="en-GB"/>
        </w:rPr>
        <w:t>)</w:t>
      </w:r>
      <w:r w:rsidR="00362A08" w:rsidRPr="00AE6D77">
        <w:rPr>
          <w:lang w:val="en-GB"/>
        </w:rPr>
        <w:t xml:space="preserve">. </w:t>
      </w:r>
      <w:r w:rsidR="00594EFB" w:rsidRPr="00AE6D77">
        <w:rPr>
          <w:lang w:val="en-GB"/>
        </w:rPr>
        <w:t xml:space="preserve">These models </w:t>
      </w:r>
      <w:r w:rsidR="00DE6A9E" w:rsidRPr="00AE6D77">
        <w:rPr>
          <w:lang w:val="en-GB"/>
        </w:rPr>
        <w:t>are based on the economic theoretical underpinning of General Equilibrium Theor</w:t>
      </w:r>
      <w:r w:rsidR="00E27F63" w:rsidRPr="00AE6D77">
        <w:rPr>
          <w:lang w:val="en-GB"/>
        </w:rPr>
        <w:t>y and neoclassical economics</w:t>
      </w:r>
      <w:r w:rsidR="00DE6A9E" w:rsidRPr="00AE6D77">
        <w:rPr>
          <w:lang w:val="en-GB"/>
        </w:rPr>
        <w:t>, or in other words ‘CGE models are the quantitative expressions of the marginal analysis of mainstream neoclassical economics’ (Barker, 2004</w:t>
      </w:r>
      <w:r w:rsidR="00594EFB" w:rsidRPr="00AE6D77">
        <w:rPr>
          <w:lang w:val="en-GB"/>
        </w:rPr>
        <w:t>, p.4</w:t>
      </w:r>
      <w:r w:rsidR="00DE6A9E" w:rsidRPr="00AE6D77">
        <w:rPr>
          <w:lang w:val="en-GB"/>
        </w:rPr>
        <w:t>). More specifically, CGE</w:t>
      </w:r>
      <w:r w:rsidR="004C4EEA" w:rsidRPr="00AE6D77">
        <w:rPr>
          <w:lang w:val="en-GB"/>
        </w:rPr>
        <w:t xml:space="preserve"> </w:t>
      </w:r>
      <w:r w:rsidR="00D64158" w:rsidRPr="00AE6D77">
        <w:rPr>
          <w:lang w:val="en-GB"/>
        </w:rPr>
        <w:t>modelling is grounded o</w:t>
      </w:r>
      <w:r w:rsidR="00DE6A9E" w:rsidRPr="00AE6D77">
        <w:rPr>
          <w:lang w:val="en-GB"/>
        </w:rPr>
        <w:t>n economic theory going back to Walras (1874) and Arrow &amp; Debreu (1954). This economic theory imposes a set of assumption</w:t>
      </w:r>
      <w:r w:rsidR="0067186D" w:rsidRPr="00AE6D77">
        <w:rPr>
          <w:lang w:val="en-GB"/>
        </w:rPr>
        <w:t>s</w:t>
      </w:r>
      <w:r w:rsidR="00DE6A9E" w:rsidRPr="00AE6D77">
        <w:rPr>
          <w:lang w:val="en-GB"/>
        </w:rPr>
        <w:t xml:space="preserve"> on CGE</w:t>
      </w:r>
      <w:r w:rsidR="004C4EEA" w:rsidRPr="00AE6D77">
        <w:rPr>
          <w:lang w:val="en-GB"/>
        </w:rPr>
        <w:t xml:space="preserve"> </w:t>
      </w:r>
      <w:r w:rsidR="00DE6A9E" w:rsidRPr="00AE6D77">
        <w:rPr>
          <w:lang w:val="en-GB"/>
        </w:rPr>
        <w:t>models including</w:t>
      </w:r>
      <w:r w:rsidR="0078063A" w:rsidRPr="00AE6D77">
        <w:rPr>
          <w:lang w:val="en-GB"/>
        </w:rPr>
        <w:t xml:space="preserve"> but not limited to rationality, the assumption</w:t>
      </w:r>
      <w:r w:rsidR="00930438" w:rsidRPr="00AE6D77">
        <w:rPr>
          <w:lang w:val="en-GB"/>
        </w:rPr>
        <w:t xml:space="preserve"> of </w:t>
      </w:r>
      <w:r w:rsidR="00DE6A9E" w:rsidRPr="00AE6D77">
        <w:rPr>
          <w:lang w:val="en-GB"/>
        </w:rPr>
        <w:t>representativ</w:t>
      </w:r>
      <w:r w:rsidR="00930438" w:rsidRPr="00AE6D77">
        <w:rPr>
          <w:lang w:val="en-GB"/>
        </w:rPr>
        <w:t>e</w:t>
      </w:r>
      <w:r w:rsidR="00DE6A9E" w:rsidRPr="00AE6D77">
        <w:rPr>
          <w:lang w:val="en-GB"/>
        </w:rPr>
        <w:t xml:space="preserve"> agents and firms, the assumptions of constant returns to scale and t</w:t>
      </w:r>
      <w:r w:rsidR="0078063A" w:rsidRPr="00AE6D77">
        <w:rPr>
          <w:lang w:val="en-GB"/>
        </w:rPr>
        <w:t>he assumption of cleared market</w:t>
      </w:r>
      <w:r w:rsidR="00930438" w:rsidRPr="00AE6D77">
        <w:rPr>
          <w:lang w:val="en-GB"/>
        </w:rPr>
        <w:t>s</w:t>
      </w:r>
      <w:r w:rsidR="00DE6A9E" w:rsidRPr="00AE6D77">
        <w:rPr>
          <w:lang w:val="en-GB"/>
        </w:rPr>
        <w:t xml:space="preserve"> in the long-</w:t>
      </w:r>
      <w:r w:rsidR="0078063A" w:rsidRPr="00AE6D77">
        <w:rPr>
          <w:lang w:val="en-GB"/>
        </w:rPr>
        <w:t>run</w:t>
      </w:r>
      <w:r w:rsidR="00DE6A9E" w:rsidRPr="00AE6D77">
        <w:rPr>
          <w:lang w:val="en-GB"/>
        </w:rPr>
        <w:t xml:space="preserve"> (</w:t>
      </w:r>
      <w:r w:rsidR="0078063A" w:rsidRPr="00AE6D77">
        <w:rPr>
          <w:lang w:val="en-GB"/>
        </w:rPr>
        <w:t xml:space="preserve">Dixon &amp; Jorgenson, 2013; </w:t>
      </w:r>
      <w:r w:rsidR="00DE6A9E" w:rsidRPr="00AE6D77">
        <w:rPr>
          <w:lang w:val="en-GB"/>
        </w:rPr>
        <w:t>DeCanio, 2003</w:t>
      </w:r>
      <w:r w:rsidR="00BA4AF3" w:rsidRPr="00AE6D77">
        <w:rPr>
          <w:lang w:val="en-GB"/>
        </w:rPr>
        <w:t>).</w:t>
      </w:r>
      <w:r w:rsidR="00DE6A9E" w:rsidRPr="00AE6D77">
        <w:rPr>
          <w:lang w:val="en-GB"/>
        </w:rPr>
        <w:t xml:space="preserve"> </w:t>
      </w:r>
      <w:r w:rsidR="007E6277" w:rsidRPr="00AE6D77">
        <w:rPr>
          <w:lang w:val="en-GB"/>
        </w:rPr>
        <w:t xml:space="preserve">The first </w:t>
      </w:r>
      <w:r w:rsidR="006D43B7" w:rsidRPr="00AE6D77">
        <w:rPr>
          <w:lang w:val="en-GB"/>
        </w:rPr>
        <w:t xml:space="preserve">CGE </w:t>
      </w:r>
      <w:r w:rsidR="007E6277" w:rsidRPr="00AE6D77">
        <w:rPr>
          <w:lang w:val="en-GB"/>
        </w:rPr>
        <w:t>model built was in the 1960</w:t>
      </w:r>
      <w:r w:rsidR="00594EFB" w:rsidRPr="00AE6D77">
        <w:rPr>
          <w:lang w:val="en-GB"/>
        </w:rPr>
        <w:t>s by Johansen (Johansen, 1960). C</w:t>
      </w:r>
      <w:r w:rsidR="007E6277" w:rsidRPr="00AE6D77">
        <w:rPr>
          <w:lang w:val="en-GB"/>
        </w:rPr>
        <w:t xml:space="preserve">urrent examples include </w:t>
      </w:r>
      <w:r w:rsidR="00DE6A9E" w:rsidRPr="00AE6D77">
        <w:rPr>
          <w:lang w:val="en-GB"/>
        </w:rPr>
        <w:t>GEM-E3 (Capros et al, 2013) or GTAP</w:t>
      </w:r>
      <w:r w:rsidR="00594EFB" w:rsidRPr="00AE6D77">
        <w:rPr>
          <w:lang w:val="en-GB"/>
        </w:rPr>
        <w:t xml:space="preserve"> </w:t>
      </w:r>
      <w:r w:rsidR="00965BFC" w:rsidRPr="00AE6D77">
        <w:rPr>
          <w:lang w:val="en-GB"/>
        </w:rPr>
        <w:t xml:space="preserve">Model </w:t>
      </w:r>
      <w:r w:rsidR="00594EFB" w:rsidRPr="00AE6D77">
        <w:rPr>
          <w:lang w:val="en-GB"/>
        </w:rPr>
        <w:t xml:space="preserve">(Hertel, 1999), which </w:t>
      </w:r>
      <w:r w:rsidR="00DE6A9E" w:rsidRPr="00AE6D77">
        <w:rPr>
          <w:lang w:val="en-GB"/>
        </w:rPr>
        <w:t>are well-known international CGE</w:t>
      </w:r>
      <w:r w:rsidR="004C4EEA" w:rsidRPr="00AE6D77">
        <w:rPr>
          <w:lang w:val="en-GB"/>
        </w:rPr>
        <w:t xml:space="preserve"> </w:t>
      </w:r>
      <w:r w:rsidR="00DE6A9E" w:rsidRPr="00AE6D77">
        <w:rPr>
          <w:lang w:val="en-GB"/>
        </w:rPr>
        <w:t>model</w:t>
      </w:r>
      <w:r w:rsidR="004C4EEA" w:rsidRPr="00AE6D77">
        <w:rPr>
          <w:lang w:val="en-GB"/>
        </w:rPr>
        <w:t>s</w:t>
      </w:r>
      <w:r w:rsidR="00DE6A9E" w:rsidRPr="00AE6D77">
        <w:rPr>
          <w:lang w:val="en-GB"/>
        </w:rPr>
        <w:t xml:space="preserve"> </w:t>
      </w:r>
      <w:r w:rsidR="0078063A" w:rsidRPr="00AE6D77">
        <w:rPr>
          <w:lang w:val="en-GB"/>
        </w:rPr>
        <w:t xml:space="preserve">applied in the area of climate and </w:t>
      </w:r>
      <w:r w:rsidR="00DE6A9E" w:rsidRPr="00AE6D77">
        <w:rPr>
          <w:lang w:val="en-GB"/>
        </w:rPr>
        <w:t xml:space="preserve">energy economics. </w:t>
      </w:r>
    </w:p>
    <w:p w14:paraId="3569432F" w14:textId="77777777" w:rsidR="00362A08" w:rsidRPr="00AE6D77" w:rsidRDefault="00362A08" w:rsidP="00160576">
      <w:pPr>
        <w:pStyle w:val="CommentText"/>
        <w:rPr>
          <w:rFonts w:ascii="Times New Roman" w:hAnsi="Times New Roman" w:cs="Times New Roman"/>
          <w:color w:val="auto"/>
          <w:lang w:val="en-GB"/>
        </w:rPr>
      </w:pPr>
    </w:p>
    <w:p w14:paraId="3D81C81D" w14:textId="611EDE5A" w:rsidR="009551EC" w:rsidRPr="00AE6D77" w:rsidRDefault="006D43B7" w:rsidP="00641FCE">
      <w:pPr>
        <w:rPr>
          <w:bCs/>
          <w:lang w:val="en-GB"/>
        </w:rPr>
      </w:pPr>
      <w:r w:rsidRPr="00AE6D77">
        <w:rPr>
          <w:lang w:val="en-GB"/>
        </w:rPr>
        <w:t>Dynamic Stochastic General Equilibrium (</w:t>
      </w:r>
      <w:r w:rsidR="00362A08" w:rsidRPr="00AE6D77">
        <w:rPr>
          <w:lang w:val="en-GB"/>
        </w:rPr>
        <w:t>DSGE</w:t>
      </w:r>
      <w:r w:rsidRPr="00AE6D77">
        <w:rPr>
          <w:lang w:val="en-GB"/>
        </w:rPr>
        <w:t>)</w:t>
      </w:r>
      <w:r w:rsidR="00E27F63" w:rsidRPr="00AE6D77">
        <w:rPr>
          <w:lang w:val="en-GB"/>
        </w:rPr>
        <w:t xml:space="preserve"> </w:t>
      </w:r>
      <w:r w:rsidR="00362A08" w:rsidRPr="00AE6D77">
        <w:rPr>
          <w:lang w:val="en-GB"/>
        </w:rPr>
        <w:t xml:space="preserve">models </w:t>
      </w:r>
      <w:r w:rsidR="008A769E" w:rsidRPr="00AE6D77">
        <w:rPr>
          <w:lang w:val="en-GB"/>
        </w:rPr>
        <w:t>are</w:t>
      </w:r>
      <w:r w:rsidR="00930438" w:rsidRPr="00AE6D77">
        <w:rPr>
          <w:lang w:val="en-GB"/>
        </w:rPr>
        <w:t xml:space="preserve"> </w:t>
      </w:r>
      <w:r w:rsidR="0069205D" w:rsidRPr="00AE6D77">
        <w:rPr>
          <w:lang w:val="en-GB"/>
        </w:rPr>
        <w:t>often described as the follower of business cycle models and</w:t>
      </w:r>
      <w:r w:rsidR="00094BE4" w:rsidRPr="00AE6D77">
        <w:rPr>
          <w:lang w:val="en-GB"/>
        </w:rPr>
        <w:t xml:space="preserve"> </w:t>
      </w:r>
      <w:r w:rsidR="00930438" w:rsidRPr="00AE6D77">
        <w:rPr>
          <w:lang w:val="en-GB"/>
        </w:rPr>
        <w:t>generally</w:t>
      </w:r>
      <w:r w:rsidR="00094BE4" w:rsidRPr="00AE6D77">
        <w:rPr>
          <w:lang w:val="en-GB"/>
        </w:rPr>
        <w:t xml:space="preserve"> </w:t>
      </w:r>
      <w:r w:rsidR="009F76A5" w:rsidRPr="00AE6D77">
        <w:rPr>
          <w:lang w:val="en-GB"/>
        </w:rPr>
        <w:t>applied</w:t>
      </w:r>
      <w:r w:rsidR="00094BE4" w:rsidRPr="00AE6D77">
        <w:rPr>
          <w:lang w:val="en-GB"/>
        </w:rPr>
        <w:t xml:space="preserve"> by central banks for economic policy analysis. Thereby, </w:t>
      </w:r>
      <w:r w:rsidR="0069205D" w:rsidRPr="00AE6D77">
        <w:rPr>
          <w:lang w:val="en-GB"/>
        </w:rPr>
        <w:t>these models</w:t>
      </w:r>
      <w:r w:rsidR="00094BE4" w:rsidRPr="00AE6D77">
        <w:rPr>
          <w:lang w:val="en-GB"/>
        </w:rPr>
        <w:t xml:space="preserve"> </w:t>
      </w:r>
      <w:r w:rsidR="00486166" w:rsidRPr="00AE6D77">
        <w:rPr>
          <w:lang w:val="en-GB"/>
        </w:rPr>
        <w:t xml:space="preserve">are </w:t>
      </w:r>
      <w:r w:rsidR="00094BE4" w:rsidRPr="00AE6D77">
        <w:rPr>
          <w:lang w:val="en-GB"/>
        </w:rPr>
        <w:t>said to be</w:t>
      </w:r>
      <w:r w:rsidR="00930438" w:rsidRPr="00AE6D77">
        <w:rPr>
          <w:lang w:val="en-GB"/>
        </w:rPr>
        <w:t xml:space="preserve"> </w:t>
      </w:r>
      <w:r w:rsidR="00486166" w:rsidRPr="00AE6D77">
        <w:rPr>
          <w:lang w:val="en-GB"/>
        </w:rPr>
        <w:t>‘dynamic’ as they account for time (i.e. they distinguish between short- and long-term), they are</w:t>
      </w:r>
      <w:r w:rsidR="00094BE4" w:rsidRPr="00AE6D77">
        <w:rPr>
          <w:lang w:val="en-GB"/>
        </w:rPr>
        <w:t xml:space="preserve"> </w:t>
      </w:r>
      <w:r w:rsidR="00486166" w:rsidRPr="00AE6D77">
        <w:rPr>
          <w:lang w:val="en-GB"/>
        </w:rPr>
        <w:t>‘stochastic’ as they include close to equilibrium stochastic shocks in their simulations, they are ‘general’ as they describe the entire economy and they are ‘equilibrium</w:t>
      </w:r>
      <w:r w:rsidR="007D08EB" w:rsidRPr="00AE6D77">
        <w:rPr>
          <w:lang w:val="en-GB"/>
        </w:rPr>
        <w:t>’</w:t>
      </w:r>
      <w:r w:rsidR="00486166" w:rsidRPr="00AE6D77">
        <w:rPr>
          <w:lang w:val="en-GB"/>
        </w:rPr>
        <w:t xml:space="preserve"> models as they follow the Walras and Arrow-Debreu tradition, </w:t>
      </w:r>
      <w:r w:rsidR="007D08EB" w:rsidRPr="00AE6D77">
        <w:rPr>
          <w:lang w:val="en-GB"/>
        </w:rPr>
        <w:t>al</w:t>
      </w:r>
      <w:r w:rsidR="00486166" w:rsidRPr="00AE6D77">
        <w:rPr>
          <w:lang w:val="en-GB"/>
        </w:rPr>
        <w:t>though they also include some non-Walrasian features (e.g. sticky prices</w:t>
      </w:r>
      <w:r w:rsidR="00094BE4" w:rsidRPr="00AE6D77">
        <w:rPr>
          <w:lang w:val="en-GB"/>
        </w:rPr>
        <w:t>, frictions in financial markets</w:t>
      </w:r>
      <w:r w:rsidR="00486166" w:rsidRPr="00AE6D77">
        <w:rPr>
          <w:lang w:val="en-GB"/>
        </w:rPr>
        <w:t xml:space="preserve">) </w:t>
      </w:r>
      <w:r w:rsidR="00E27F63" w:rsidRPr="00AE6D77">
        <w:rPr>
          <w:bCs/>
          <w:lang w:val="en-GB"/>
        </w:rPr>
        <w:t>(</w:t>
      </w:r>
      <w:r w:rsidR="0069205D" w:rsidRPr="00AE6D77">
        <w:rPr>
          <w:bCs/>
          <w:lang w:val="en-GB"/>
        </w:rPr>
        <w:t xml:space="preserve">Christiano &amp; Eichenbaum, 2018; </w:t>
      </w:r>
      <w:r w:rsidR="00E27F63" w:rsidRPr="00AE6D77">
        <w:rPr>
          <w:lang w:val="en-GB"/>
        </w:rPr>
        <w:t>Galí</w:t>
      </w:r>
      <w:r w:rsidR="00E27F63" w:rsidRPr="00AE6D77">
        <w:rPr>
          <w:bCs/>
          <w:lang w:val="en-GB"/>
        </w:rPr>
        <w:t xml:space="preserve">, 2015). </w:t>
      </w:r>
      <w:r w:rsidR="009F76A5" w:rsidRPr="00AE6D77">
        <w:rPr>
          <w:bCs/>
          <w:lang w:val="en-GB"/>
        </w:rPr>
        <w:t xml:space="preserve">However, </w:t>
      </w:r>
      <w:r w:rsidR="00E27F63" w:rsidRPr="00AE6D77">
        <w:rPr>
          <w:bCs/>
          <w:lang w:val="en-GB"/>
        </w:rPr>
        <w:t xml:space="preserve">DSGE models are generally characterized by the </w:t>
      </w:r>
      <w:r w:rsidR="00486166" w:rsidRPr="00AE6D77">
        <w:rPr>
          <w:bCs/>
          <w:lang w:val="en-GB"/>
        </w:rPr>
        <w:t xml:space="preserve">same </w:t>
      </w:r>
      <w:r w:rsidR="009F76A5" w:rsidRPr="00AE6D77">
        <w:rPr>
          <w:bCs/>
          <w:lang w:val="en-GB"/>
        </w:rPr>
        <w:t>problematic</w:t>
      </w:r>
      <w:r w:rsidR="00E27F63" w:rsidRPr="00AE6D77">
        <w:rPr>
          <w:bCs/>
          <w:lang w:val="en-GB"/>
        </w:rPr>
        <w:t xml:space="preserve"> assumptions </w:t>
      </w:r>
      <w:r w:rsidR="00930438" w:rsidRPr="00AE6D77">
        <w:rPr>
          <w:bCs/>
          <w:lang w:val="en-GB"/>
        </w:rPr>
        <w:t>as</w:t>
      </w:r>
      <w:r w:rsidR="00E27F63" w:rsidRPr="00AE6D77">
        <w:rPr>
          <w:bCs/>
          <w:lang w:val="en-GB"/>
        </w:rPr>
        <w:t xml:space="preserve"> CGE models, including rational expectations, representative agents or perfect markets</w:t>
      </w:r>
      <w:r w:rsidR="004642CE" w:rsidRPr="00AE6D77">
        <w:rPr>
          <w:bCs/>
          <w:lang w:val="en-GB"/>
        </w:rPr>
        <w:t xml:space="preserve"> and do generally not include a financial sector</w:t>
      </w:r>
      <w:r w:rsidR="00E27F63" w:rsidRPr="00AE6D77">
        <w:rPr>
          <w:bCs/>
          <w:lang w:val="en-GB"/>
        </w:rPr>
        <w:t xml:space="preserve"> (</w:t>
      </w:r>
      <w:r w:rsidR="00E27F63" w:rsidRPr="00AE6D77">
        <w:rPr>
          <w:lang w:val="en-GB"/>
        </w:rPr>
        <w:t>Fagiolo &amp; Roventini, 2016; Stiglitz, 2018</w:t>
      </w:r>
      <w:r w:rsidR="00E27F63" w:rsidRPr="00AE6D77">
        <w:rPr>
          <w:bCs/>
          <w:lang w:val="en-GB"/>
        </w:rPr>
        <w:t>).</w:t>
      </w:r>
      <w:r w:rsidR="009551EC" w:rsidRPr="00AE6D77">
        <w:rPr>
          <w:lang w:val="en-GB"/>
        </w:rPr>
        <w:t xml:space="preserve"> Importantly, although DSGE models sometimes introduce additional variables </w:t>
      </w:r>
      <w:r w:rsidR="002D1A97" w:rsidRPr="00AE6D77">
        <w:rPr>
          <w:lang w:val="en-GB"/>
        </w:rPr>
        <w:t xml:space="preserve">(e.g. searching costs for information) </w:t>
      </w:r>
      <w:r w:rsidR="009551EC" w:rsidRPr="00AE6D77">
        <w:rPr>
          <w:lang w:val="en-GB"/>
        </w:rPr>
        <w:t xml:space="preserve">to account for </w:t>
      </w:r>
      <w:r w:rsidR="0076437A" w:rsidRPr="00AE6D77">
        <w:rPr>
          <w:lang w:val="en-GB"/>
        </w:rPr>
        <w:t xml:space="preserve">deep </w:t>
      </w:r>
      <w:r w:rsidR="009551EC" w:rsidRPr="00AE6D77">
        <w:rPr>
          <w:lang w:val="en-GB"/>
        </w:rPr>
        <w:t xml:space="preserve">uncertainty, bounded rationality or imperfect information, they nevertheless assume optimising agents and </w:t>
      </w:r>
      <w:r w:rsidR="00641FCE" w:rsidRPr="00AE6D77">
        <w:rPr>
          <w:lang w:val="en-GB"/>
        </w:rPr>
        <w:t xml:space="preserve">convergence towards a (long-term) equilibrium. </w:t>
      </w:r>
      <w:r w:rsidR="00641FCE" w:rsidRPr="00AE6D77">
        <w:rPr>
          <w:bCs/>
          <w:lang w:val="en-GB"/>
        </w:rPr>
        <w:t xml:space="preserve">Relatedly, </w:t>
      </w:r>
      <w:r w:rsidR="00641FCE" w:rsidRPr="00AE6D77">
        <w:rPr>
          <w:lang w:val="en-GB"/>
        </w:rPr>
        <w:t xml:space="preserve">the stochastic elements of DSGE-model do not account for the concept of deep-uncertainty </w:t>
      </w:r>
      <w:r w:rsidR="00BA43C6" w:rsidRPr="00AE6D77">
        <w:rPr>
          <w:lang w:val="en-GB"/>
        </w:rPr>
        <w:t>(</w:t>
      </w:r>
      <w:r w:rsidR="00641FCE" w:rsidRPr="00AE6D77">
        <w:rPr>
          <w:lang w:val="en-GB"/>
        </w:rPr>
        <w:t xml:space="preserve">Keen, 2011; Gowdy &amp; Erickson, 2005). </w:t>
      </w:r>
    </w:p>
    <w:p w14:paraId="1878D3D7" w14:textId="50E12643" w:rsidR="009551EC" w:rsidRPr="00AE6D77" w:rsidRDefault="009551EC" w:rsidP="00641FCE">
      <w:pPr>
        <w:rPr>
          <w:bCs/>
          <w:lang w:val="en-GB"/>
        </w:rPr>
      </w:pPr>
    </w:p>
    <w:p w14:paraId="3FE12062" w14:textId="375A2637" w:rsidR="00DE6A9E" w:rsidRPr="00AE6D77" w:rsidRDefault="00D00E75" w:rsidP="00790B96">
      <w:pPr>
        <w:rPr>
          <w:bCs/>
          <w:lang w:val="en-GB"/>
        </w:rPr>
      </w:pPr>
      <w:r w:rsidRPr="00AE6D77">
        <w:rPr>
          <w:lang w:val="en-GB"/>
        </w:rPr>
        <w:t>Advantages and disadvantages of</w:t>
      </w:r>
      <w:r w:rsidR="0078063A" w:rsidRPr="00AE6D77">
        <w:rPr>
          <w:lang w:val="en-GB"/>
        </w:rPr>
        <w:t xml:space="preserve"> </w:t>
      </w:r>
      <w:r w:rsidR="00DE6A9E" w:rsidRPr="00AE6D77">
        <w:rPr>
          <w:lang w:val="en-GB"/>
        </w:rPr>
        <w:t>n</w:t>
      </w:r>
      <w:r w:rsidR="006D43B7" w:rsidRPr="00AE6D77">
        <w:rPr>
          <w:lang w:val="en-GB"/>
        </w:rPr>
        <w:t xml:space="preserve">eoclassical theory and CGE/DSGE </w:t>
      </w:r>
      <w:r w:rsidR="00DE6A9E" w:rsidRPr="00AE6D77">
        <w:rPr>
          <w:lang w:val="en-GB"/>
        </w:rPr>
        <w:t xml:space="preserve">modelling </w:t>
      </w:r>
      <w:r w:rsidRPr="00AE6D77">
        <w:rPr>
          <w:lang w:val="en-GB"/>
        </w:rPr>
        <w:t>are</w:t>
      </w:r>
      <w:r w:rsidR="00DE6A9E" w:rsidRPr="00AE6D77">
        <w:rPr>
          <w:lang w:val="en-GB"/>
        </w:rPr>
        <w:t xml:space="preserve"> well </w:t>
      </w:r>
      <w:r w:rsidRPr="00AE6D77">
        <w:rPr>
          <w:lang w:val="en-GB"/>
        </w:rPr>
        <w:t>discussed</w:t>
      </w:r>
      <w:r w:rsidR="00DE6A9E" w:rsidRPr="00AE6D77">
        <w:rPr>
          <w:lang w:val="en-GB"/>
        </w:rPr>
        <w:t xml:space="preserve"> in the research-literature (e.g. Ackerman, 2002; Kirman, 1989; </w:t>
      </w:r>
      <w:r w:rsidR="00BA4AF3" w:rsidRPr="00AE6D77">
        <w:rPr>
          <w:lang w:val="en-GB"/>
        </w:rPr>
        <w:t>1992</w:t>
      </w:r>
      <w:r w:rsidR="00DE6A9E" w:rsidRPr="00AE6D77">
        <w:rPr>
          <w:lang w:val="en-GB"/>
        </w:rPr>
        <w:t>;</w:t>
      </w:r>
      <w:r w:rsidR="00E42FFF" w:rsidRPr="00AE6D77">
        <w:rPr>
          <w:lang w:val="en-GB"/>
        </w:rPr>
        <w:t xml:space="preserve"> </w:t>
      </w:r>
      <w:r w:rsidR="00DE6A9E" w:rsidRPr="00AE6D77">
        <w:rPr>
          <w:lang w:val="en-GB"/>
        </w:rPr>
        <w:t>Stiglitz, 2018; Hal</w:t>
      </w:r>
      <w:r w:rsidR="00B9019D" w:rsidRPr="00AE6D77">
        <w:rPr>
          <w:lang w:val="en-GB"/>
        </w:rPr>
        <w:t>dane</w:t>
      </w:r>
      <w:r w:rsidR="00DE6A9E" w:rsidRPr="00AE6D77">
        <w:rPr>
          <w:lang w:val="en-GB"/>
        </w:rPr>
        <w:t xml:space="preserve"> </w:t>
      </w:r>
      <w:r w:rsidR="00070476" w:rsidRPr="00AE6D77">
        <w:rPr>
          <w:lang w:val="en-GB"/>
        </w:rPr>
        <w:t>&amp; Turrell, 2018;</w:t>
      </w:r>
      <w:r w:rsidR="00E42FFF" w:rsidRPr="00AE6D77">
        <w:rPr>
          <w:lang w:val="en-GB"/>
        </w:rPr>
        <w:t xml:space="preserve"> Christiano et al., 2018; Fagiolo &amp; Roventini, 2016</w:t>
      </w:r>
      <w:r w:rsidR="00DE6A9E" w:rsidRPr="00AE6D77">
        <w:rPr>
          <w:lang w:val="en-GB"/>
        </w:rPr>
        <w:t xml:space="preserve">). </w:t>
      </w:r>
      <w:r w:rsidR="00672CC4" w:rsidRPr="00AE6D77">
        <w:rPr>
          <w:lang w:val="en-GB"/>
        </w:rPr>
        <w:t xml:space="preserve">These studies </w:t>
      </w:r>
      <w:r w:rsidRPr="00AE6D77">
        <w:rPr>
          <w:lang w:val="en-GB"/>
        </w:rPr>
        <w:t xml:space="preserve">have </w:t>
      </w:r>
      <w:r w:rsidR="00474D9A" w:rsidRPr="00AE6D77">
        <w:rPr>
          <w:lang w:val="en-GB"/>
        </w:rPr>
        <w:t>demonstrat</w:t>
      </w:r>
      <w:r w:rsidR="006D6242" w:rsidRPr="00AE6D77">
        <w:rPr>
          <w:lang w:val="en-GB"/>
        </w:rPr>
        <w:t xml:space="preserve">ed that </w:t>
      </w:r>
      <w:r w:rsidR="00310298" w:rsidRPr="00AE6D77">
        <w:rPr>
          <w:lang w:val="en-GB"/>
        </w:rPr>
        <w:t xml:space="preserve">the assumptions, including for example rationality, </w:t>
      </w:r>
      <w:r w:rsidRPr="00AE6D77">
        <w:rPr>
          <w:lang w:val="en-GB"/>
        </w:rPr>
        <w:t xml:space="preserve">representative </w:t>
      </w:r>
      <w:r w:rsidR="00310298" w:rsidRPr="00AE6D77">
        <w:rPr>
          <w:lang w:val="en-GB"/>
        </w:rPr>
        <w:t xml:space="preserve">agents and market equilibrium in the </w:t>
      </w:r>
      <w:r w:rsidR="00310298" w:rsidRPr="00AE6D77">
        <w:rPr>
          <w:lang w:val="en-GB"/>
        </w:rPr>
        <w:lastRenderedPageBreak/>
        <w:t>long-term, of neoclassical theory</w:t>
      </w:r>
      <w:r w:rsidR="006D6242" w:rsidRPr="00AE6D77">
        <w:rPr>
          <w:lang w:val="en-GB"/>
        </w:rPr>
        <w:t xml:space="preserve"> are flawed</w:t>
      </w:r>
      <w:r w:rsidR="00310298" w:rsidRPr="00AE6D77">
        <w:rPr>
          <w:lang w:val="en-GB"/>
        </w:rPr>
        <w:t xml:space="preserve">. </w:t>
      </w:r>
      <w:r w:rsidR="006D6242" w:rsidRPr="00AE6D77">
        <w:rPr>
          <w:lang w:val="en-GB"/>
        </w:rPr>
        <w:t xml:space="preserve">There are </w:t>
      </w:r>
      <w:r w:rsidR="00E42FFF" w:rsidRPr="00AE6D77">
        <w:rPr>
          <w:lang w:val="en-GB"/>
        </w:rPr>
        <w:t>other studies pointing towards the</w:t>
      </w:r>
      <w:r w:rsidR="006D6242" w:rsidRPr="00AE6D77">
        <w:rPr>
          <w:lang w:val="en-GB"/>
        </w:rPr>
        <w:t xml:space="preserve"> </w:t>
      </w:r>
      <w:r w:rsidR="001B318C" w:rsidRPr="00AE6D77">
        <w:rPr>
          <w:lang w:val="en-GB"/>
        </w:rPr>
        <w:t>limitations of</w:t>
      </w:r>
      <w:r w:rsidR="00DE6A9E" w:rsidRPr="00AE6D77">
        <w:rPr>
          <w:lang w:val="en-GB"/>
        </w:rPr>
        <w:t xml:space="preserve"> </w:t>
      </w:r>
      <w:r w:rsidR="00C64097" w:rsidRPr="00AE6D77">
        <w:rPr>
          <w:lang w:val="en-GB"/>
        </w:rPr>
        <w:t>the ontology and epistemology</w:t>
      </w:r>
      <w:r w:rsidR="00C64097" w:rsidRPr="00AE6D77">
        <w:rPr>
          <w:rStyle w:val="FootnoteReference"/>
          <w:rFonts w:ascii="Times New Roman" w:hAnsi="Times New Roman"/>
          <w:lang w:val="en-GB"/>
        </w:rPr>
        <w:footnoteReference w:id="6"/>
      </w:r>
      <w:r w:rsidR="00DE6A9E" w:rsidRPr="00AE6D77">
        <w:rPr>
          <w:lang w:val="en-GB"/>
        </w:rPr>
        <w:t xml:space="preserve"> </w:t>
      </w:r>
      <w:r w:rsidR="00E42FFF" w:rsidRPr="00AE6D77">
        <w:rPr>
          <w:lang w:val="en-GB"/>
        </w:rPr>
        <w:t>in neoclassical theor</w:t>
      </w:r>
      <w:r w:rsidR="00A678B6" w:rsidRPr="0026588B">
        <w:rPr>
          <w:lang w:val="en-GB"/>
        </w:rPr>
        <w:t>y</w:t>
      </w:r>
      <w:r w:rsidR="00E42FFF" w:rsidRPr="0026588B">
        <w:rPr>
          <w:lang w:val="en-GB"/>
        </w:rPr>
        <w:t xml:space="preserve"> </w:t>
      </w:r>
      <w:r w:rsidR="00DE6A9E" w:rsidRPr="0026588B">
        <w:rPr>
          <w:lang w:val="en-GB"/>
        </w:rPr>
        <w:t>(</w:t>
      </w:r>
      <w:r w:rsidR="00362A08" w:rsidRPr="0026588B">
        <w:rPr>
          <w:lang w:val="en-GB"/>
        </w:rPr>
        <w:t>e.g.</w:t>
      </w:r>
      <w:r w:rsidR="00DE6A9E" w:rsidRPr="0026588B">
        <w:rPr>
          <w:lang w:val="en-GB"/>
        </w:rPr>
        <w:t xml:space="preserve"> Spash, 2012</w:t>
      </w:r>
      <w:r w:rsidR="006D43B7" w:rsidRPr="0026588B">
        <w:rPr>
          <w:lang w:val="en-GB"/>
        </w:rPr>
        <w:t>; Dow, 1997</w:t>
      </w:r>
      <w:r w:rsidR="00DE6A9E" w:rsidRPr="0026588B">
        <w:rPr>
          <w:lang w:val="en-GB"/>
        </w:rPr>
        <w:t>).</w:t>
      </w:r>
      <w:r w:rsidR="00BA4AF3" w:rsidRPr="0026588B">
        <w:rPr>
          <w:lang w:val="en-GB" w:eastAsia="en-US"/>
        </w:rPr>
        <w:t xml:space="preserve"> </w:t>
      </w:r>
      <w:r w:rsidR="00310298" w:rsidRPr="0026588B">
        <w:rPr>
          <w:lang w:val="en-GB"/>
        </w:rPr>
        <w:t>In spite of th</w:t>
      </w:r>
      <w:r w:rsidRPr="0026588B">
        <w:rPr>
          <w:lang w:val="en-GB"/>
        </w:rPr>
        <w:t>e above</w:t>
      </w:r>
      <w:r w:rsidR="00310298" w:rsidRPr="00AE6D77">
        <w:rPr>
          <w:lang w:val="en-GB"/>
        </w:rPr>
        <w:t>,</w:t>
      </w:r>
      <w:r w:rsidR="00DE6A9E" w:rsidRPr="00AE6D77">
        <w:rPr>
          <w:lang w:val="en-GB"/>
        </w:rPr>
        <w:t xml:space="preserve"> it is still common practice among policymakers to apply</w:t>
      </w:r>
      <w:r w:rsidR="004C4EEA" w:rsidRPr="00AE6D77">
        <w:rPr>
          <w:lang w:val="en-GB"/>
        </w:rPr>
        <w:t xml:space="preserve"> CGE </w:t>
      </w:r>
      <w:r w:rsidR="00DE6A9E" w:rsidRPr="00AE6D77">
        <w:rPr>
          <w:lang w:val="en-GB"/>
        </w:rPr>
        <w:t>models for the evaluation of climate policy (Wing, 2007; 2011; Scrieciu, 2007; Ackerman, 2014)</w:t>
      </w:r>
      <w:r w:rsidR="00DE6A9E" w:rsidRPr="00AE6D77">
        <w:rPr>
          <w:rStyle w:val="FootnoteReference"/>
          <w:rFonts w:ascii="Times New Roman" w:hAnsi="Times New Roman"/>
          <w:lang w:val="en-GB"/>
        </w:rPr>
        <w:footnoteReference w:id="7"/>
      </w:r>
      <w:r w:rsidR="00DE6A9E" w:rsidRPr="00AE6D77">
        <w:rPr>
          <w:lang w:val="en-GB"/>
        </w:rPr>
        <w:t>. The fact that</w:t>
      </w:r>
      <w:r w:rsidR="006D6242" w:rsidRPr="00AE6D77">
        <w:rPr>
          <w:lang w:val="en-GB"/>
        </w:rPr>
        <w:t xml:space="preserve"> in </w:t>
      </w:r>
      <w:r w:rsidR="00DE6A9E" w:rsidRPr="0026588B">
        <w:rPr>
          <w:lang w:val="en-GB"/>
        </w:rPr>
        <w:t>the latest IP</w:t>
      </w:r>
      <w:r w:rsidR="00892570" w:rsidRPr="0026588B">
        <w:rPr>
          <w:lang w:val="en-GB"/>
        </w:rPr>
        <w:t>C</w:t>
      </w:r>
      <w:r w:rsidR="00DE6A9E" w:rsidRPr="0026588B">
        <w:rPr>
          <w:lang w:val="en-GB"/>
        </w:rPr>
        <w:t xml:space="preserve">C-report includes thirty out of thirty-one models </w:t>
      </w:r>
      <w:r w:rsidR="006D6242" w:rsidRPr="00AE6D77">
        <w:rPr>
          <w:lang w:val="en-GB"/>
        </w:rPr>
        <w:t>are</w:t>
      </w:r>
      <w:r w:rsidR="00DE6A9E" w:rsidRPr="00AE6D77">
        <w:rPr>
          <w:lang w:val="en-GB"/>
        </w:rPr>
        <w:t xml:space="preserve"> </w:t>
      </w:r>
      <w:r w:rsidR="006D6242" w:rsidRPr="00AE6D77">
        <w:rPr>
          <w:lang w:val="en-GB"/>
        </w:rPr>
        <w:t xml:space="preserve">GCE </w:t>
      </w:r>
      <w:r w:rsidR="00DE6A9E" w:rsidRPr="00AE6D77">
        <w:rPr>
          <w:lang w:val="en-GB"/>
        </w:rPr>
        <w:t>or</w:t>
      </w:r>
      <w:r w:rsidR="00474D9A" w:rsidRPr="00AE6D77">
        <w:rPr>
          <w:lang w:val="en-GB"/>
        </w:rPr>
        <w:t xml:space="preserve"> </w:t>
      </w:r>
      <w:r w:rsidR="006D6242" w:rsidRPr="00AE6D77">
        <w:rPr>
          <w:lang w:val="en-GB"/>
        </w:rPr>
        <w:t xml:space="preserve">DSGE models </w:t>
      </w:r>
      <w:r w:rsidR="00DE6A9E" w:rsidRPr="00AE6D77">
        <w:rPr>
          <w:lang w:val="en-GB"/>
        </w:rPr>
        <w:t>illustrates this well (IPCC, 2014).</w:t>
      </w:r>
      <w:r w:rsidR="00DE6A9E" w:rsidRPr="00AE6D77">
        <w:rPr>
          <w:szCs w:val="22"/>
          <w:lang w:val="en-GB"/>
        </w:rPr>
        <w:t xml:space="preserve"> </w:t>
      </w:r>
    </w:p>
    <w:p w14:paraId="158BDFA3" w14:textId="77777777" w:rsidR="00A37E6C" w:rsidRPr="00AE6D77" w:rsidRDefault="00A37E6C" w:rsidP="00160576">
      <w:pPr>
        <w:pStyle w:val="CommentText"/>
        <w:rPr>
          <w:rFonts w:ascii="Times New Roman" w:hAnsi="Times New Roman" w:cs="Times New Roman"/>
          <w:color w:val="auto"/>
          <w:lang w:val="en-GB"/>
        </w:rPr>
      </w:pPr>
    </w:p>
    <w:p w14:paraId="4504FAAC" w14:textId="388D1A18" w:rsidR="00DE6A9E" w:rsidRPr="00AE6D77" w:rsidRDefault="00474D9A" w:rsidP="00160576">
      <w:pPr>
        <w:autoSpaceDE w:val="0"/>
        <w:autoSpaceDN w:val="0"/>
        <w:adjustRightInd w:val="0"/>
        <w:rPr>
          <w:lang w:val="en-GB" w:eastAsia="en-US"/>
        </w:rPr>
      </w:pPr>
      <w:r w:rsidRPr="00AE6D77">
        <w:rPr>
          <w:rFonts w:eastAsia="Times New Roman"/>
          <w:shd w:val="clear" w:color="auto" w:fill="FFFFFF"/>
          <w:lang w:val="en-GB"/>
        </w:rPr>
        <w:t xml:space="preserve">The call for a </w:t>
      </w:r>
      <w:r w:rsidR="00DE6A9E" w:rsidRPr="00AE6D77">
        <w:rPr>
          <w:rFonts w:eastAsia="Times New Roman"/>
          <w:shd w:val="clear" w:color="auto" w:fill="FFFFFF"/>
          <w:lang w:val="en-GB"/>
        </w:rPr>
        <w:t>new economic approach is not new and goes back to 1920’s (</w:t>
      </w:r>
      <w:r w:rsidR="00DE6A9E" w:rsidRPr="00AE6D77">
        <w:rPr>
          <w:bdr w:val="nil"/>
          <w:lang w:val="en-GB"/>
        </w:rPr>
        <w:t>Scrieciu, 2011</w:t>
      </w:r>
      <w:r w:rsidR="00DE6A9E" w:rsidRPr="00AE6D77">
        <w:rPr>
          <w:rFonts w:eastAsia="Times New Roman"/>
          <w:shd w:val="clear" w:color="auto" w:fill="FFFFFF"/>
          <w:lang w:val="en-GB"/>
        </w:rPr>
        <w:t xml:space="preserve">). </w:t>
      </w:r>
      <w:r w:rsidR="006D6242" w:rsidRPr="00AE6D77">
        <w:rPr>
          <w:rFonts w:eastAsia="Times New Roman"/>
          <w:shd w:val="clear" w:color="auto" w:fill="FFFFFF"/>
          <w:lang w:val="en-GB"/>
        </w:rPr>
        <w:t>A</w:t>
      </w:r>
      <w:r w:rsidR="00DE6A9E" w:rsidRPr="00AE6D77">
        <w:rPr>
          <w:rFonts w:eastAsia="Times New Roman"/>
          <w:shd w:val="clear" w:color="auto" w:fill="FFFFFF"/>
          <w:lang w:val="en-GB"/>
        </w:rPr>
        <w:t xml:space="preserve">n increasing amount of research literature emphasises the need for economic models to capture real-world characteristics such as complexity, feedback loops, path-dependency, uncertainty and multiple </w:t>
      </w:r>
      <w:r w:rsidR="00310298" w:rsidRPr="00AE6D77">
        <w:rPr>
          <w:rFonts w:eastAsia="Times New Roman"/>
          <w:shd w:val="clear" w:color="auto" w:fill="FFFFFF"/>
          <w:lang w:val="en-GB"/>
        </w:rPr>
        <w:t xml:space="preserve">heterogeneous </w:t>
      </w:r>
      <w:r w:rsidR="00DE6A9E" w:rsidRPr="00AE6D77">
        <w:rPr>
          <w:rFonts w:eastAsia="Times New Roman"/>
          <w:shd w:val="clear" w:color="auto" w:fill="FFFFFF"/>
          <w:lang w:val="en-GB"/>
        </w:rPr>
        <w:t>interacting agents</w:t>
      </w:r>
      <w:r w:rsidR="00211161" w:rsidRPr="00AE6D77">
        <w:rPr>
          <w:rFonts w:eastAsia="Times New Roman"/>
          <w:shd w:val="clear" w:color="auto" w:fill="FFFFFF"/>
          <w:lang w:val="en-GB"/>
        </w:rPr>
        <w:t xml:space="preserve"> </w:t>
      </w:r>
      <w:r w:rsidR="00DE6A9E" w:rsidRPr="00AE6D77">
        <w:rPr>
          <w:rFonts w:eastAsia="Times New Roman"/>
          <w:shd w:val="clear" w:color="auto" w:fill="FFFFFF"/>
          <w:lang w:val="en-GB"/>
        </w:rPr>
        <w:t>(</w:t>
      </w:r>
      <w:r w:rsidR="007C4F4B" w:rsidRPr="00AE6D77">
        <w:rPr>
          <w:rFonts w:eastAsia="Times New Roman"/>
          <w:shd w:val="clear" w:color="auto" w:fill="FFFFFF"/>
          <w:lang w:val="en-GB"/>
        </w:rPr>
        <w:t xml:space="preserve">e.g. </w:t>
      </w:r>
      <w:r w:rsidR="00DE6A9E" w:rsidRPr="00AE6D77">
        <w:rPr>
          <w:rFonts w:eastAsia="Times New Roman"/>
          <w:shd w:val="clear" w:color="auto" w:fill="FFFFFF"/>
          <w:lang w:val="en-GB"/>
        </w:rPr>
        <w:t>Ba</w:t>
      </w:r>
      <w:r w:rsidR="00F554DC" w:rsidRPr="00AE6D77">
        <w:rPr>
          <w:rFonts w:eastAsia="Times New Roman"/>
          <w:shd w:val="clear" w:color="auto" w:fill="FFFFFF"/>
          <w:lang w:val="en-GB"/>
        </w:rPr>
        <w:t>r</w:t>
      </w:r>
      <w:r w:rsidR="00DE6A9E" w:rsidRPr="00AE6D77">
        <w:rPr>
          <w:rFonts w:eastAsia="Times New Roman"/>
          <w:shd w:val="clear" w:color="auto" w:fill="FFFFFF"/>
          <w:lang w:val="en-GB"/>
        </w:rPr>
        <w:t>ker, 2004; Foxon, 2013; Mercure et al., 2016).</w:t>
      </w:r>
      <w:r w:rsidR="00BA4AF3" w:rsidRPr="00AE6D77">
        <w:rPr>
          <w:rFonts w:eastAsia="Times New Roman"/>
          <w:shd w:val="clear" w:color="auto" w:fill="FFFFFF"/>
          <w:lang w:val="en-GB"/>
        </w:rPr>
        <w:t xml:space="preserve"> T</w:t>
      </w:r>
      <w:r w:rsidR="00DE6A9E" w:rsidRPr="00AE6D77">
        <w:rPr>
          <w:rFonts w:eastAsia="Times New Roman"/>
          <w:shd w:val="clear" w:color="auto" w:fill="FFFFFF"/>
          <w:lang w:val="en-GB"/>
        </w:rPr>
        <w:t>his strand of research literature underlines that models for the simulation of long-term transitions, such as low-carbon energy transition</w:t>
      </w:r>
      <w:r w:rsidR="00BC6915" w:rsidRPr="00AE6D77">
        <w:rPr>
          <w:rFonts w:eastAsia="Times New Roman"/>
          <w:shd w:val="clear" w:color="auto" w:fill="FFFFFF"/>
          <w:lang w:val="en-GB"/>
        </w:rPr>
        <w:t>s</w:t>
      </w:r>
      <w:r w:rsidR="00DE6A9E" w:rsidRPr="00AE6D77">
        <w:rPr>
          <w:rFonts w:eastAsia="Times New Roman"/>
          <w:shd w:val="clear" w:color="auto" w:fill="FFFFFF"/>
          <w:lang w:val="en-GB"/>
        </w:rPr>
        <w:t>,</w:t>
      </w:r>
      <w:r w:rsidR="00BA4AF3" w:rsidRPr="00AE6D77">
        <w:rPr>
          <w:rFonts w:eastAsia="Times New Roman"/>
          <w:shd w:val="clear" w:color="auto" w:fill="FFFFFF"/>
          <w:lang w:val="en-GB"/>
        </w:rPr>
        <w:t xml:space="preserve"> </w:t>
      </w:r>
      <w:r w:rsidR="00DE6A9E" w:rsidRPr="00AE6D77">
        <w:rPr>
          <w:rFonts w:eastAsia="Times New Roman"/>
          <w:shd w:val="clear" w:color="auto" w:fill="FFFFFF"/>
          <w:lang w:val="en-GB"/>
        </w:rPr>
        <w:t xml:space="preserve">should account for these above-mentioned features and be able to represent system-changes in their full complexity rather than only marginal changes as proposed in </w:t>
      </w:r>
      <w:r w:rsidR="007C4F4B" w:rsidRPr="00AE6D77">
        <w:rPr>
          <w:rFonts w:eastAsia="Times New Roman"/>
          <w:shd w:val="clear" w:color="auto" w:fill="FFFFFF"/>
          <w:lang w:val="en-GB"/>
        </w:rPr>
        <w:t>the neoclassical tradition (</w:t>
      </w:r>
      <w:r w:rsidR="00DE6A9E" w:rsidRPr="00AE6D77">
        <w:rPr>
          <w:rFonts w:eastAsia="Times New Roman"/>
          <w:shd w:val="clear" w:color="auto" w:fill="FFFFFF"/>
          <w:lang w:val="en-GB"/>
        </w:rPr>
        <w:t xml:space="preserve">Holtz et al., 2015; </w:t>
      </w:r>
      <w:r w:rsidR="00C8078A" w:rsidRPr="00AE6D77">
        <w:rPr>
          <w:rFonts w:eastAsia="Times New Roman"/>
          <w:shd w:val="clear" w:color="auto" w:fill="FFFFFF"/>
          <w:lang w:val="en-GB"/>
        </w:rPr>
        <w:t>Rezai &amp; Stagl,</w:t>
      </w:r>
      <w:r w:rsidR="0004245B" w:rsidRPr="00AE6D77">
        <w:rPr>
          <w:rFonts w:eastAsia="Times New Roman"/>
          <w:shd w:val="clear" w:color="auto" w:fill="FFFFFF"/>
          <w:lang w:val="en-GB"/>
        </w:rPr>
        <w:t xml:space="preserve"> 2016; Wolf et al., 2016</w:t>
      </w:r>
      <w:r w:rsidR="00DE6A9E" w:rsidRPr="00AE6D77">
        <w:rPr>
          <w:rFonts w:eastAsia="Times New Roman"/>
          <w:shd w:val="clear" w:color="auto" w:fill="FFFFFF"/>
          <w:lang w:val="en-GB"/>
        </w:rPr>
        <w:t xml:space="preserve">). </w:t>
      </w:r>
    </w:p>
    <w:p w14:paraId="6B11814F" w14:textId="77777777" w:rsidR="00DE6A9E" w:rsidRPr="00AE6D77" w:rsidRDefault="00DE6A9E" w:rsidP="001605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eastAsia="Times New Roman"/>
          <w:szCs w:val="22"/>
          <w:shd w:val="clear" w:color="auto" w:fill="FFFFFF"/>
          <w:lang w:val="en-GB"/>
        </w:rPr>
      </w:pPr>
    </w:p>
    <w:p w14:paraId="199A91F6" w14:textId="5D41A0F2" w:rsidR="00DE6A9E" w:rsidRPr="00AE6D77" w:rsidRDefault="009717CE" w:rsidP="001605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Cs w:val="22"/>
          <w:lang w:val="en-GB"/>
        </w:rPr>
      </w:pPr>
      <w:r w:rsidRPr="00AE6D77">
        <w:rPr>
          <w:szCs w:val="22"/>
          <w:lang w:val="en-GB"/>
        </w:rPr>
        <w:t xml:space="preserve">The </w:t>
      </w:r>
      <w:r w:rsidR="00DE6A9E" w:rsidRPr="00AE6D77">
        <w:rPr>
          <w:szCs w:val="22"/>
          <w:lang w:val="en-GB"/>
        </w:rPr>
        <w:t>call for new approaches in economics’</w:t>
      </w:r>
      <w:r w:rsidRPr="00AE6D77">
        <w:rPr>
          <w:szCs w:val="22"/>
          <w:bdr w:val="nil"/>
          <w:lang w:val="en-GB"/>
        </w:rPr>
        <w:t xml:space="preserve"> (e.g.</w:t>
      </w:r>
      <w:r w:rsidR="00474D9A" w:rsidRPr="00AE6D77">
        <w:rPr>
          <w:szCs w:val="22"/>
          <w:bdr w:val="nil"/>
          <w:lang w:val="en-GB"/>
        </w:rPr>
        <w:t xml:space="preserve"> OECD, 2015; </w:t>
      </w:r>
      <w:r w:rsidR="007C4F4B" w:rsidRPr="00AE6D77">
        <w:rPr>
          <w:szCs w:val="22"/>
          <w:bdr w:val="nil"/>
          <w:lang w:val="en-GB"/>
        </w:rPr>
        <w:t xml:space="preserve">2017; Barker, 2008; 2011; INET, </w:t>
      </w:r>
      <w:r w:rsidR="00474D9A" w:rsidRPr="00AE6D77">
        <w:rPr>
          <w:szCs w:val="22"/>
          <w:bdr w:val="nil"/>
          <w:lang w:val="en-GB"/>
        </w:rPr>
        <w:t>2019</w:t>
      </w:r>
      <w:r w:rsidR="00C8078A" w:rsidRPr="00AE6D77">
        <w:rPr>
          <w:szCs w:val="22"/>
          <w:bdr w:val="nil"/>
          <w:lang w:val="en-GB"/>
        </w:rPr>
        <w:t xml:space="preserve">; </w:t>
      </w:r>
      <w:r w:rsidR="00C8078A" w:rsidRPr="00AE6D77">
        <w:rPr>
          <w:u w:color="000000"/>
          <w:lang w:val="en-GB"/>
        </w:rPr>
        <w:t>Haldane &amp; Turrell, 2018</w:t>
      </w:r>
      <w:r w:rsidRPr="00AE6D77">
        <w:rPr>
          <w:lang w:val="en-GB"/>
        </w:rPr>
        <w:t>)</w:t>
      </w:r>
      <w:r w:rsidR="00DE6A9E" w:rsidRPr="00AE6D77">
        <w:rPr>
          <w:szCs w:val="22"/>
          <w:lang w:val="en-GB"/>
        </w:rPr>
        <w:t xml:space="preserve">, </w:t>
      </w:r>
      <w:r w:rsidR="00DE6A9E" w:rsidRPr="00AE6D77">
        <w:rPr>
          <w:szCs w:val="22"/>
          <w:bdr w:val="nil"/>
          <w:lang w:val="en-GB"/>
        </w:rPr>
        <w:t>include the following key characteristics/features</w:t>
      </w:r>
      <w:r w:rsidR="00DE6A9E" w:rsidRPr="00AE6D77">
        <w:rPr>
          <w:lang w:val="en-GB"/>
        </w:rPr>
        <w:t>:</w:t>
      </w:r>
      <w:r w:rsidR="00DE6A9E" w:rsidRPr="00AE6D77">
        <w:rPr>
          <w:szCs w:val="22"/>
          <w:lang w:val="en-GB"/>
        </w:rPr>
        <w:t xml:space="preserve"> </w:t>
      </w:r>
    </w:p>
    <w:p w14:paraId="59DE5153" w14:textId="77777777" w:rsidR="00DE6A9E" w:rsidRPr="00AE6D77" w:rsidRDefault="00DE6A9E" w:rsidP="001605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Cs w:val="22"/>
          <w:bdr w:val="nil"/>
          <w:lang w:val="en-GB"/>
        </w:rPr>
      </w:pPr>
    </w:p>
    <w:p w14:paraId="40E2B784" w14:textId="02D6DB1A" w:rsidR="00DE6A9E" w:rsidRPr="0026588B" w:rsidRDefault="00DE6A9E" w:rsidP="0003133B">
      <w:pPr>
        <w:pStyle w:val="ListParagraph"/>
        <w:numPr>
          <w:ilvl w:val="0"/>
          <w:numId w:val="5"/>
        </w:numPr>
        <w:outlineLvl w:val="0"/>
        <w:rPr>
          <w:rFonts w:eastAsia="Times New Roman"/>
          <w:szCs w:val="22"/>
          <w:lang w:val="en-GB"/>
        </w:rPr>
      </w:pPr>
      <w:r w:rsidRPr="00AE6D77">
        <w:rPr>
          <w:b/>
          <w:lang w:val="en-GB"/>
        </w:rPr>
        <w:t xml:space="preserve">Complexity, </w:t>
      </w:r>
      <w:r w:rsidR="00D316A6" w:rsidRPr="00AE6D77">
        <w:rPr>
          <w:b/>
          <w:lang w:val="en-GB"/>
        </w:rPr>
        <w:t>non-linearity, non-ergo</w:t>
      </w:r>
      <w:r w:rsidR="009F481B" w:rsidRPr="00AE6D77">
        <w:rPr>
          <w:b/>
          <w:lang w:val="en-GB"/>
        </w:rPr>
        <w:t>di</w:t>
      </w:r>
      <w:r w:rsidR="00D316A6" w:rsidRPr="00AE6D77">
        <w:rPr>
          <w:b/>
          <w:lang w:val="en-GB"/>
        </w:rPr>
        <w:t>city</w:t>
      </w:r>
      <w:r w:rsidR="00474D9A" w:rsidRPr="00380144">
        <w:rPr>
          <w:b/>
          <w:sz w:val="16"/>
          <w:szCs w:val="16"/>
          <w:lang w:val="en-GB"/>
        </w:rPr>
        <w:footnoteReference w:id="8"/>
      </w:r>
      <w:r w:rsidR="00D316A6" w:rsidRPr="00AE6D77">
        <w:rPr>
          <w:b/>
          <w:lang w:val="en-GB"/>
        </w:rPr>
        <w:t xml:space="preserve"> </w:t>
      </w:r>
      <w:r w:rsidR="0004245B" w:rsidRPr="00AE6D77">
        <w:rPr>
          <w:b/>
          <w:lang w:val="en-GB"/>
        </w:rPr>
        <w:t xml:space="preserve">and </w:t>
      </w:r>
      <w:r w:rsidRPr="0026588B">
        <w:rPr>
          <w:b/>
          <w:lang w:val="en-GB"/>
        </w:rPr>
        <w:t>deep uncertainty</w:t>
      </w:r>
      <w:r w:rsidRPr="0026588B">
        <w:rPr>
          <w:szCs w:val="22"/>
          <w:bdr w:val="nil"/>
          <w:lang w:val="en-GB"/>
        </w:rPr>
        <w:t>: The economy is a complex, interconnected and non-linear system characterized by deep uncertainty</w:t>
      </w:r>
      <w:r w:rsidR="0076437A" w:rsidRPr="0026588B">
        <w:rPr>
          <w:szCs w:val="22"/>
          <w:bdr w:val="nil"/>
          <w:lang w:val="en-GB"/>
        </w:rPr>
        <w:t xml:space="preserve"> (Knight, 1921)</w:t>
      </w:r>
      <w:r w:rsidRPr="0026588B">
        <w:rPr>
          <w:szCs w:val="22"/>
          <w:bdr w:val="nil"/>
          <w:lang w:val="en-GB"/>
        </w:rPr>
        <w:t xml:space="preserve">. </w:t>
      </w:r>
    </w:p>
    <w:p w14:paraId="54A71F0A" w14:textId="4FE641C5" w:rsidR="00DE6A9E" w:rsidRPr="00AE6D77" w:rsidRDefault="00115D19" w:rsidP="0003133B">
      <w:pPr>
        <w:pStyle w:val="ListParagraph"/>
        <w:numPr>
          <w:ilvl w:val="0"/>
          <w:numId w:val="5"/>
        </w:numPr>
        <w:outlineLvl w:val="0"/>
        <w:rPr>
          <w:rFonts w:eastAsia="Times New Roman"/>
          <w:szCs w:val="22"/>
          <w:lang w:val="en-GB"/>
        </w:rPr>
      </w:pPr>
      <w:r w:rsidRPr="00AE6D77">
        <w:rPr>
          <w:rStyle w:val="Ohne"/>
          <w:b/>
          <w:u w:color="000000"/>
          <w:lang w:val="en-GB"/>
        </w:rPr>
        <w:t xml:space="preserve">Importance of time, </w:t>
      </w:r>
      <w:r w:rsidRPr="00AE6D77">
        <w:rPr>
          <w:b/>
          <w:szCs w:val="22"/>
          <w:bdr w:val="nil"/>
          <w:lang w:val="en-GB"/>
        </w:rPr>
        <w:t>path-dependency, lock-in and irreversibility</w:t>
      </w:r>
      <w:r w:rsidRPr="00AE6D77">
        <w:rPr>
          <w:szCs w:val="22"/>
          <w:bdr w:val="nil"/>
          <w:lang w:val="en-GB"/>
        </w:rPr>
        <w:t xml:space="preserve">: </w:t>
      </w:r>
      <w:r w:rsidR="00DE6A9E" w:rsidRPr="00AE6D77">
        <w:rPr>
          <w:szCs w:val="22"/>
          <w:bdr w:val="nil"/>
          <w:lang w:val="en-GB"/>
        </w:rPr>
        <w:t>The initial conditions of the economy have an impact on the simulation outcome. For example, technological change includes path-dependency and lock-in</w:t>
      </w:r>
      <w:r w:rsidR="00514DB2" w:rsidRPr="00AE6D77">
        <w:rPr>
          <w:szCs w:val="22"/>
          <w:bdr w:val="nil"/>
          <w:lang w:val="en-GB"/>
        </w:rPr>
        <w:t xml:space="preserve"> due to learning effects</w:t>
      </w:r>
      <w:r w:rsidR="00DE6A9E" w:rsidRPr="00AE6D77">
        <w:rPr>
          <w:szCs w:val="22"/>
          <w:bdr w:val="nil"/>
          <w:lang w:val="en-GB"/>
        </w:rPr>
        <w:t xml:space="preserve"> and firms cannot change their production technology immediately (e.g. due to earlier investments). </w:t>
      </w:r>
      <w:r w:rsidR="006C6920" w:rsidRPr="00AE6D77">
        <w:rPr>
          <w:szCs w:val="22"/>
          <w:bdr w:val="nil"/>
          <w:lang w:val="en-GB"/>
        </w:rPr>
        <w:t>T</w:t>
      </w:r>
      <w:r w:rsidR="00E22F9D" w:rsidRPr="00AE6D77">
        <w:rPr>
          <w:szCs w:val="22"/>
          <w:bdr w:val="nil"/>
          <w:lang w:val="en-GB"/>
        </w:rPr>
        <w:t>he importance of time and irreversibility includes</w:t>
      </w:r>
      <w:r w:rsidR="00DE6A9E" w:rsidRPr="00AE6D77">
        <w:rPr>
          <w:szCs w:val="22"/>
          <w:bdr w:val="nil"/>
          <w:lang w:val="en-GB"/>
        </w:rPr>
        <w:t xml:space="preserve"> </w:t>
      </w:r>
      <w:r w:rsidR="006C6920" w:rsidRPr="00AE6D77">
        <w:rPr>
          <w:szCs w:val="22"/>
          <w:bdr w:val="nil"/>
          <w:lang w:val="en-GB"/>
        </w:rPr>
        <w:t xml:space="preserve">nature and its services (ecosystem services) that </w:t>
      </w:r>
      <w:r w:rsidR="00DE6A9E" w:rsidRPr="00AE6D77">
        <w:rPr>
          <w:szCs w:val="22"/>
          <w:bdr w:val="nil"/>
          <w:lang w:val="en-GB"/>
        </w:rPr>
        <w:t>can</w:t>
      </w:r>
      <w:r w:rsidR="00E22F9D" w:rsidRPr="00AE6D77">
        <w:rPr>
          <w:szCs w:val="22"/>
          <w:bdr w:val="nil"/>
          <w:lang w:val="en-GB"/>
        </w:rPr>
        <w:t>not</w:t>
      </w:r>
      <w:r w:rsidR="00DE6A9E" w:rsidRPr="00AE6D77">
        <w:rPr>
          <w:szCs w:val="22"/>
          <w:bdr w:val="nil"/>
          <w:lang w:val="en-GB"/>
        </w:rPr>
        <w:t xml:space="preserve"> be conv</w:t>
      </w:r>
      <w:r w:rsidR="00E22F9D" w:rsidRPr="00AE6D77">
        <w:rPr>
          <w:szCs w:val="22"/>
          <w:bdr w:val="nil"/>
          <w:lang w:val="en-GB"/>
        </w:rPr>
        <w:t xml:space="preserve">erted into money and back again. </w:t>
      </w:r>
    </w:p>
    <w:p w14:paraId="2A5EA58A" w14:textId="2DDFDBFF" w:rsidR="00DE6A9E" w:rsidRPr="00AE6D77" w:rsidRDefault="00BA4AF3" w:rsidP="0003133B">
      <w:pPr>
        <w:pStyle w:val="ListParagraph"/>
        <w:numPr>
          <w:ilvl w:val="0"/>
          <w:numId w:val="5"/>
        </w:numPr>
        <w:outlineLvl w:val="0"/>
        <w:rPr>
          <w:rFonts w:eastAsia="Times New Roman"/>
          <w:szCs w:val="22"/>
          <w:lang w:val="en-GB"/>
        </w:rPr>
      </w:pPr>
      <w:r w:rsidRPr="00AE6D77">
        <w:rPr>
          <w:rFonts w:eastAsia="Times New Roman"/>
          <w:b/>
          <w:szCs w:val="22"/>
          <w:lang w:val="en-GB"/>
        </w:rPr>
        <w:t>Agents’ heterogeneity and behavioural elements</w:t>
      </w:r>
      <w:r w:rsidR="00DE6A9E" w:rsidRPr="00AE6D77">
        <w:rPr>
          <w:rFonts w:eastAsia="Times New Roman"/>
          <w:b/>
          <w:szCs w:val="22"/>
          <w:lang w:val="en-GB"/>
        </w:rPr>
        <w:t>:</w:t>
      </w:r>
      <w:r w:rsidR="00DE6A9E" w:rsidRPr="00AE6D77">
        <w:rPr>
          <w:rFonts w:eastAsia="Times New Roman"/>
          <w:szCs w:val="22"/>
          <w:lang w:val="en-GB"/>
        </w:rPr>
        <w:t xml:space="preserve"> includes </w:t>
      </w:r>
      <w:r w:rsidR="00A37E6C" w:rsidRPr="00AE6D77">
        <w:rPr>
          <w:rFonts w:eastAsia="Times New Roman"/>
          <w:szCs w:val="22"/>
          <w:lang w:val="en-GB"/>
        </w:rPr>
        <w:t xml:space="preserve">the </w:t>
      </w:r>
      <w:r w:rsidR="00DE6A9E" w:rsidRPr="00AE6D77">
        <w:rPr>
          <w:rFonts w:eastAsia="Times New Roman"/>
          <w:szCs w:val="22"/>
          <w:lang w:val="en-GB"/>
        </w:rPr>
        <w:t xml:space="preserve">representation of </w:t>
      </w:r>
      <w:r w:rsidRPr="00AE6D77">
        <w:rPr>
          <w:rFonts w:eastAsia="Times New Roman"/>
          <w:szCs w:val="22"/>
          <w:lang w:val="en-GB"/>
        </w:rPr>
        <w:t>heterogeneous</w:t>
      </w:r>
      <w:r w:rsidR="00DE6A9E" w:rsidRPr="00AE6D77">
        <w:rPr>
          <w:rFonts w:eastAsia="Times New Roman"/>
          <w:szCs w:val="22"/>
          <w:lang w:val="en-GB"/>
        </w:rPr>
        <w:t xml:space="preserve"> agents and interactions among these individual agents</w:t>
      </w:r>
      <w:r w:rsidRPr="00AE6D77">
        <w:rPr>
          <w:rFonts w:eastAsia="Times New Roman"/>
          <w:szCs w:val="22"/>
          <w:lang w:val="en-GB"/>
        </w:rPr>
        <w:t xml:space="preserve"> </w:t>
      </w:r>
      <w:r w:rsidR="00AA4104" w:rsidRPr="00AE6D77">
        <w:rPr>
          <w:rFonts w:eastAsia="Times New Roman"/>
          <w:szCs w:val="22"/>
          <w:lang w:val="en-GB"/>
        </w:rPr>
        <w:t xml:space="preserve">are </w:t>
      </w:r>
      <w:r w:rsidRPr="00AE6D77">
        <w:rPr>
          <w:rFonts w:eastAsia="Times New Roman"/>
          <w:szCs w:val="22"/>
          <w:lang w:val="en-GB"/>
        </w:rPr>
        <w:t xml:space="preserve">based on </w:t>
      </w:r>
      <w:r w:rsidR="00AA4104" w:rsidRPr="00AE6D77">
        <w:rPr>
          <w:rFonts w:eastAsia="Times New Roman"/>
          <w:szCs w:val="22"/>
          <w:lang w:val="en-GB"/>
        </w:rPr>
        <w:t xml:space="preserve">varying </w:t>
      </w:r>
      <w:r w:rsidRPr="00AE6D77">
        <w:rPr>
          <w:rFonts w:eastAsia="Times New Roman"/>
          <w:szCs w:val="22"/>
          <w:lang w:val="en-GB"/>
        </w:rPr>
        <w:t>behavioural insights (e.g. heuristics) rather than on the assumption of rationality</w:t>
      </w:r>
      <w:r w:rsidR="00DE6A9E" w:rsidRPr="00AE6D77">
        <w:rPr>
          <w:rFonts w:eastAsia="Times New Roman"/>
          <w:szCs w:val="22"/>
          <w:lang w:val="en-GB"/>
        </w:rPr>
        <w:t xml:space="preserve">. </w:t>
      </w:r>
      <w:r w:rsidR="00AA4104" w:rsidRPr="00AE6D77">
        <w:rPr>
          <w:rFonts w:eastAsia="Times New Roman"/>
          <w:szCs w:val="22"/>
          <w:lang w:val="en-GB"/>
        </w:rPr>
        <w:t>I</w:t>
      </w:r>
      <w:r w:rsidR="00DE6A9E" w:rsidRPr="00AE6D77">
        <w:rPr>
          <w:rFonts w:eastAsia="Times New Roman"/>
          <w:szCs w:val="22"/>
          <w:lang w:val="en-GB"/>
        </w:rPr>
        <w:t xml:space="preserve">t includes evaluation of policy impacts on different agent-classes (e.g. differentiated by income categories). </w:t>
      </w:r>
    </w:p>
    <w:p w14:paraId="0C016FFC" w14:textId="370AF4DB" w:rsidR="00DE6A9E" w:rsidRPr="00AE6D77" w:rsidRDefault="00BA4AF3" w:rsidP="0003133B">
      <w:pPr>
        <w:pStyle w:val="ListParagraph"/>
        <w:numPr>
          <w:ilvl w:val="0"/>
          <w:numId w:val="5"/>
        </w:numPr>
        <w:outlineLvl w:val="0"/>
        <w:rPr>
          <w:szCs w:val="22"/>
          <w:bdr w:val="nil"/>
          <w:lang w:val="en-GB"/>
        </w:rPr>
      </w:pPr>
      <w:r w:rsidRPr="00AE6D77">
        <w:rPr>
          <w:b/>
          <w:szCs w:val="22"/>
          <w:bdr w:val="nil"/>
          <w:lang w:val="en-GB"/>
        </w:rPr>
        <w:t>Interdisciplinary</w:t>
      </w:r>
      <w:r w:rsidR="00DE6A9E" w:rsidRPr="00AE6D77">
        <w:rPr>
          <w:b/>
          <w:szCs w:val="22"/>
          <w:bdr w:val="nil"/>
          <w:lang w:val="en-GB"/>
        </w:rPr>
        <w:t>:</w:t>
      </w:r>
      <w:r w:rsidR="00DE6A9E" w:rsidRPr="00AE6D77">
        <w:rPr>
          <w:szCs w:val="22"/>
          <w:bdr w:val="nil"/>
          <w:lang w:val="en-GB"/>
        </w:rPr>
        <w:t xml:space="preserve"> respect</w:t>
      </w:r>
      <w:r w:rsidR="00575816" w:rsidRPr="00AE6D77">
        <w:rPr>
          <w:szCs w:val="22"/>
          <w:bdr w:val="nil"/>
          <w:lang w:val="en-GB"/>
        </w:rPr>
        <w:t xml:space="preserve">ing </w:t>
      </w:r>
      <w:r w:rsidR="00DE6A9E" w:rsidRPr="00AE6D77">
        <w:rPr>
          <w:szCs w:val="22"/>
          <w:bdr w:val="nil"/>
          <w:lang w:val="en-GB"/>
        </w:rPr>
        <w:t xml:space="preserve">insights and knowledge from other disciplines (e.g. psychology, </w:t>
      </w:r>
      <w:r w:rsidR="00DE6A9E" w:rsidRPr="00AE6D77">
        <w:rPr>
          <w:rFonts w:eastAsia="Times New Roman"/>
          <w:szCs w:val="22"/>
          <w:shd w:val="clear" w:color="auto" w:fill="FFFFFF"/>
          <w:lang w:val="en-GB"/>
        </w:rPr>
        <w:t>ethics, history and engineering as well as complexity and evolutionary theory</w:t>
      </w:r>
      <w:r w:rsidR="00DE6A9E" w:rsidRPr="00AE6D77">
        <w:rPr>
          <w:szCs w:val="22"/>
          <w:bdr w:val="nil"/>
          <w:lang w:val="en-GB"/>
        </w:rPr>
        <w:t xml:space="preserve">). </w:t>
      </w:r>
    </w:p>
    <w:p w14:paraId="2E31C9A6" w14:textId="203CE3D5" w:rsidR="00DE6A9E" w:rsidRPr="00AE6D77" w:rsidRDefault="00DE6A9E" w:rsidP="0003133B">
      <w:pPr>
        <w:pStyle w:val="ListParagraph"/>
        <w:numPr>
          <w:ilvl w:val="0"/>
          <w:numId w:val="5"/>
        </w:numPr>
        <w:outlineLvl w:val="0"/>
        <w:rPr>
          <w:szCs w:val="22"/>
          <w:bdr w:val="nil"/>
          <w:lang w:val="en-GB"/>
        </w:rPr>
      </w:pPr>
      <w:r w:rsidRPr="00AE6D77">
        <w:rPr>
          <w:b/>
          <w:szCs w:val="22"/>
          <w:bdr w:val="nil"/>
          <w:lang w:val="en-GB"/>
        </w:rPr>
        <w:t>Role of institutions and social context:</w:t>
      </w:r>
      <w:r w:rsidRPr="00AE6D77">
        <w:rPr>
          <w:szCs w:val="22"/>
          <w:bdr w:val="nil"/>
          <w:lang w:val="en-GB"/>
        </w:rPr>
        <w:t xml:space="preserve"> </w:t>
      </w:r>
      <w:r w:rsidRPr="00AE6D77">
        <w:rPr>
          <w:rFonts w:eastAsia="Times New Roman"/>
          <w:szCs w:val="22"/>
          <w:shd w:val="clear" w:color="auto" w:fill="FFFFFF"/>
          <w:lang w:val="en-GB"/>
        </w:rPr>
        <w:t>based on the economic hist</w:t>
      </w:r>
      <w:r w:rsidR="00514DB2" w:rsidRPr="00AE6D77">
        <w:rPr>
          <w:rFonts w:eastAsia="Times New Roman"/>
          <w:szCs w:val="22"/>
          <w:shd w:val="clear" w:color="auto" w:fill="FFFFFF"/>
          <w:lang w:val="en-GB"/>
        </w:rPr>
        <w:t>ory of institutional structures, institutional inertia and</w:t>
      </w:r>
      <w:r w:rsidRPr="00AE6D77">
        <w:rPr>
          <w:rFonts w:eastAsia="Times New Roman"/>
          <w:szCs w:val="22"/>
          <w:shd w:val="clear" w:color="auto" w:fill="FFFFFF"/>
          <w:lang w:val="en-GB"/>
        </w:rPr>
        <w:t xml:space="preserve"> </w:t>
      </w:r>
      <w:r w:rsidR="00514DB2" w:rsidRPr="00AE6D77">
        <w:rPr>
          <w:szCs w:val="22"/>
          <w:bdr w:val="nil"/>
          <w:lang w:val="en-GB"/>
        </w:rPr>
        <w:t>emphasises</w:t>
      </w:r>
      <w:r w:rsidRPr="00AE6D77">
        <w:rPr>
          <w:szCs w:val="22"/>
          <w:bdr w:val="nil"/>
          <w:lang w:val="en-GB"/>
        </w:rPr>
        <w:t xml:space="preserve"> the impact of social context, history of agents, institutional structures and power relationships on the behaviour of agents and the overall economy. </w:t>
      </w:r>
    </w:p>
    <w:p w14:paraId="4711BA80" w14:textId="573A0A4A" w:rsidR="00DE6A9E" w:rsidRPr="00AE6D77" w:rsidRDefault="00BA4AF3" w:rsidP="0003133B">
      <w:pPr>
        <w:pStyle w:val="ListParagraph"/>
        <w:widowControl w:val="0"/>
        <w:numPr>
          <w:ilvl w:val="0"/>
          <w:numId w:val="5"/>
        </w:numPr>
        <w:autoSpaceDE w:val="0"/>
        <w:autoSpaceDN w:val="0"/>
        <w:adjustRightInd w:val="0"/>
        <w:outlineLvl w:val="0"/>
        <w:rPr>
          <w:szCs w:val="22"/>
          <w:bdr w:val="nil"/>
          <w:lang w:val="en-GB"/>
        </w:rPr>
      </w:pPr>
      <w:r w:rsidRPr="00AE6D77">
        <w:rPr>
          <w:b/>
          <w:szCs w:val="22"/>
          <w:bdr w:val="nil"/>
          <w:lang w:val="en-GB"/>
        </w:rPr>
        <w:t>E</w:t>
      </w:r>
      <w:r w:rsidR="00DE6A9E" w:rsidRPr="00AE6D77">
        <w:rPr>
          <w:b/>
          <w:szCs w:val="22"/>
          <w:bdr w:val="nil"/>
          <w:lang w:val="en-GB"/>
        </w:rPr>
        <w:t>thical and moral philosophical aspects:</w:t>
      </w:r>
      <w:r w:rsidR="00474D9A" w:rsidRPr="00AE6D77">
        <w:rPr>
          <w:b/>
          <w:szCs w:val="22"/>
          <w:bdr w:val="nil"/>
          <w:lang w:val="en-GB"/>
        </w:rPr>
        <w:t xml:space="preserve"> </w:t>
      </w:r>
      <w:r w:rsidR="00DE6A9E" w:rsidRPr="00AE6D77">
        <w:rPr>
          <w:szCs w:val="22"/>
          <w:bdr w:val="nil"/>
          <w:lang w:val="en-GB"/>
        </w:rPr>
        <w:t>acknowledg</w:t>
      </w:r>
      <w:r w:rsidR="00575816" w:rsidRPr="00AE6D77">
        <w:rPr>
          <w:szCs w:val="22"/>
          <w:bdr w:val="nil"/>
          <w:lang w:val="en-GB"/>
        </w:rPr>
        <w:t>ing</w:t>
      </w:r>
      <w:r w:rsidR="00DE6A9E" w:rsidRPr="00AE6D77">
        <w:rPr>
          <w:szCs w:val="22"/>
          <w:bdr w:val="nil"/>
          <w:lang w:val="en-GB"/>
        </w:rPr>
        <w:t xml:space="preserve"> that economics </w:t>
      </w:r>
      <w:r w:rsidR="00243193" w:rsidRPr="00AE6D77">
        <w:rPr>
          <w:szCs w:val="22"/>
          <w:bdr w:val="nil"/>
          <w:lang w:val="en-GB"/>
        </w:rPr>
        <w:t xml:space="preserve">is not value-free </w:t>
      </w:r>
      <w:r w:rsidR="00DE6A9E" w:rsidRPr="00AE6D77">
        <w:rPr>
          <w:szCs w:val="22"/>
          <w:bdr w:val="nil"/>
          <w:lang w:val="en-GB"/>
        </w:rPr>
        <w:t xml:space="preserve">and </w:t>
      </w:r>
      <w:r w:rsidR="00DE6A9E" w:rsidRPr="00AE6D77">
        <w:rPr>
          <w:szCs w:val="22"/>
          <w:bdr w:val="nil"/>
          <w:lang w:val="en-GB"/>
        </w:rPr>
        <w:lastRenderedPageBreak/>
        <w:t>should therefore also be</w:t>
      </w:r>
      <w:r w:rsidR="0004245B" w:rsidRPr="00AE6D77">
        <w:rPr>
          <w:szCs w:val="22"/>
          <w:bdr w:val="nil"/>
          <w:lang w:val="en-GB"/>
        </w:rPr>
        <w:t xml:space="preserve"> informed by ethical philosophy. </w:t>
      </w:r>
    </w:p>
    <w:p w14:paraId="0BB1CDD1" w14:textId="77777777" w:rsidR="00641FCE" w:rsidRPr="00AE6D77" w:rsidRDefault="00BA4AF3" w:rsidP="0003133B">
      <w:pPr>
        <w:pStyle w:val="ListParagraph"/>
        <w:numPr>
          <w:ilvl w:val="0"/>
          <w:numId w:val="5"/>
        </w:numPr>
        <w:outlineLvl w:val="0"/>
        <w:rPr>
          <w:szCs w:val="22"/>
          <w:bdr w:val="nil"/>
          <w:lang w:val="en-GB"/>
        </w:rPr>
      </w:pPr>
      <w:r w:rsidRPr="00AE6D77">
        <w:rPr>
          <w:b/>
          <w:szCs w:val="22"/>
          <w:bdr w:val="nil"/>
          <w:lang w:val="en-GB"/>
        </w:rPr>
        <w:t>F</w:t>
      </w:r>
      <w:r w:rsidR="00DE6A9E" w:rsidRPr="00AE6D77">
        <w:rPr>
          <w:b/>
          <w:szCs w:val="22"/>
          <w:bdr w:val="nil"/>
          <w:lang w:val="en-GB"/>
        </w:rPr>
        <w:t>inance:</w:t>
      </w:r>
      <w:r w:rsidR="00474D9A" w:rsidRPr="00AE6D77">
        <w:rPr>
          <w:b/>
          <w:szCs w:val="22"/>
          <w:bdr w:val="nil"/>
          <w:lang w:val="en-GB"/>
        </w:rPr>
        <w:t xml:space="preserve"> </w:t>
      </w:r>
      <w:r w:rsidR="00DE6A9E" w:rsidRPr="00AE6D77">
        <w:rPr>
          <w:szCs w:val="22"/>
          <w:bdr w:val="nil"/>
          <w:lang w:val="en-GB"/>
        </w:rPr>
        <w:t>includ</w:t>
      </w:r>
      <w:r w:rsidR="00575816" w:rsidRPr="00AE6D77">
        <w:rPr>
          <w:szCs w:val="22"/>
          <w:bdr w:val="nil"/>
          <w:lang w:val="en-GB"/>
        </w:rPr>
        <w:t>ing</w:t>
      </w:r>
      <w:r w:rsidR="00DE6A9E" w:rsidRPr="00AE6D77">
        <w:rPr>
          <w:szCs w:val="22"/>
          <w:bdr w:val="nil"/>
          <w:lang w:val="en-GB"/>
        </w:rPr>
        <w:t xml:space="preserve"> the simulation of monetary flows explicitly. In particular, macroeconomic models should track all monetary flows (e.g. income or expenditures) and assure that the model overall is stock-flow consistent (i.e. </w:t>
      </w:r>
      <w:r w:rsidR="00DE6A9E" w:rsidRPr="00AE6D77">
        <w:rPr>
          <w:rFonts w:eastAsia="Times New Roman"/>
          <w:szCs w:val="22"/>
          <w:shd w:val="clear" w:color="auto" w:fill="FFFFFF"/>
          <w:lang w:val="en-GB"/>
        </w:rPr>
        <w:t>Someone’s asset is someone else’s liability and someone’s inflow is someone else’s outflows and no fund can come from (or end up) nowhere</w:t>
      </w:r>
      <w:r w:rsidR="00DE6A9E" w:rsidRPr="00AE6D77">
        <w:rPr>
          <w:rFonts w:eastAsia="Times New Roman"/>
          <w:szCs w:val="22"/>
          <w:lang w:val="en-GB"/>
        </w:rPr>
        <w:t xml:space="preserve">). </w:t>
      </w:r>
    </w:p>
    <w:p w14:paraId="5D6F4CB4" w14:textId="0A79A7CB" w:rsidR="00DE6A9E" w:rsidRPr="00AE6D77" w:rsidRDefault="00071A9A" w:rsidP="0003133B">
      <w:pPr>
        <w:pStyle w:val="ListParagraph"/>
        <w:numPr>
          <w:ilvl w:val="0"/>
          <w:numId w:val="5"/>
        </w:numPr>
        <w:outlineLvl w:val="0"/>
        <w:rPr>
          <w:szCs w:val="22"/>
          <w:bdr w:val="nil"/>
          <w:lang w:val="en-GB"/>
        </w:rPr>
      </w:pPr>
      <w:r w:rsidRPr="00AE6D77">
        <w:rPr>
          <w:b/>
          <w:bdr w:val="nil"/>
          <w:lang w:val="en-GB"/>
        </w:rPr>
        <w:t>Multiple equilibria/dis</w:t>
      </w:r>
      <w:r w:rsidR="00DE6A9E" w:rsidRPr="00AE6D77">
        <w:rPr>
          <w:b/>
          <w:bdr w:val="nil"/>
          <w:lang w:val="en-GB"/>
        </w:rPr>
        <w:t xml:space="preserve">equilibrium: </w:t>
      </w:r>
      <w:r w:rsidR="002D39C5" w:rsidRPr="00AE6D77">
        <w:rPr>
          <w:bdr w:val="nil"/>
          <w:lang w:val="en-GB"/>
        </w:rPr>
        <w:t xml:space="preserve">the economy is </w:t>
      </w:r>
      <w:r w:rsidR="00DE6A9E" w:rsidRPr="00AE6D77">
        <w:rPr>
          <w:bdr w:val="nil"/>
          <w:lang w:val="en-GB"/>
        </w:rPr>
        <w:t>described as an evolving and</w:t>
      </w:r>
      <w:r w:rsidR="006225EE" w:rsidRPr="00AE6D77">
        <w:rPr>
          <w:bdr w:val="nil"/>
          <w:lang w:val="en-GB"/>
        </w:rPr>
        <w:t xml:space="preserve"> </w:t>
      </w:r>
      <w:r w:rsidR="00DE6A9E" w:rsidRPr="00AE6D77">
        <w:rPr>
          <w:bdr w:val="nil"/>
          <w:lang w:val="en-GB"/>
        </w:rPr>
        <w:t>adaptive system that is interconnected, complex and characterized by multiple equ</w:t>
      </w:r>
      <w:r w:rsidRPr="00AE6D77">
        <w:rPr>
          <w:bdr w:val="nil"/>
          <w:lang w:val="en-GB"/>
        </w:rPr>
        <w:t>ilibria or dis</w:t>
      </w:r>
      <w:r w:rsidR="00DE6A9E" w:rsidRPr="00AE6D77">
        <w:rPr>
          <w:bdr w:val="nil"/>
          <w:lang w:val="en-GB"/>
        </w:rPr>
        <w:t xml:space="preserve">equilibrium. </w:t>
      </w:r>
    </w:p>
    <w:p w14:paraId="11DE72C1" w14:textId="77777777" w:rsidR="00DE6A9E" w:rsidRPr="00AE6D77" w:rsidRDefault="00DE6A9E" w:rsidP="00160576">
      <w:pPr>
        <w:widowControl w:val="0"/>
        <w:autoSpaceDE w:val="0"/>
        <w:autoSpaceDN w:val="0"/>
        <w:adjustRightInd w:val="0"/>
        <w:rPr>
          <w:szCs w:val="22"/>
          <w:bdr w:val="nil"/>
          <w:lang w:val="en-GB"/>
        </w:rPr>
      </w:pPr>
    </w:p>
    <w:p w14:paraId="420BA61F" w14:textId="7874C03E" w:rsidR="00BA43C6" w:rsidRPr="00AE6D77" w:rsidRDefault="000F7C95" w:rsidP="001605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lang w:val="en-GB"/>
        </w:rPr>
      </w:pPr>
      <w:r w:rsidRPr="00AE6D77">
        <w:rPr>
          <w:lang w:val="en-GB"/>
        </w:rPr>
        <w:t>That is</w:t>
      </w:r>
      <w:r w:rsidR="00DE6A9E" w:rsidRPr="00AE6D77">
        <w:rPr>
          <w:lang w:val="en-GB"/>
        </w:rPr>
        <w:t>, according to various economic schools of thought new modelling approaches should be capable of capturing path-dependency, non-linearity/threshold-levels, heterogeneity of agents, deep uncertainty, interconnections between agents, multiple</w:t>
      </w:r>
      <w:r w:rsidR="00C95F7F" w:rsidRPr="00AE6D77">
        <w:rPr>
          <w:lang w:val="en-GB"/>
        </w:rPr>
        <w:t xml:space="preserve"> equilibria and feedback-loops.</w:t>
      </w:r>
      <w:r w:rsidR="00742E87">
        <w:rPr>
          <w:lang w:val="en-GB"/>
        </w:rPr>
        <w:t xml:space="preserve"> </w:t>
      </w:r>
      <w:r w:rsidRPr="00AE6D77">
        <w:rPr>
          <w:lang w:val="en-GB"/>
        </w:rPr>
        <w:t>T</w:t>
      </w:r>
      <w:r w:rsidR="00DE6A9E" w:rsidRPr="00AE6D77">
        <w:rPr>
          <w:lang w:val="en-GB"/>
        </w:rPr>
        <w:t xml:space="preserve">he importance of institutions, political economies and long-term perspectives should be included. The call also </w:t>
      </w:r>
      <w:r w:rsidR="00576AFD" w:rsidRPr="00AE6D77">
        <w:rPr>
          <w:lang w:val="en-GB"/>
        </w:rPr>
        <w:t>emphasizes</w:t>
      </w:r>
      <w:r w:rsidR="00DE6A9E" w:rsidRPr="00AE6D77">
        <w:rPr>
          <w:lang w:val="en-GB"/>
        </w:rPr>
        <w:t xml:space="preserve"> the linkages of the economy with the environment and the financial system</w:t>
      </w:r>
      <w:r w:rsidR="0024364A" w:rsidRPr="00AE6D77">
        <w:rPr>
          <w:lang w:val="en-GB"/>
        </w:rPr>
        <w:t xml:space="preserve"> and the consideration of multi-dimensional policy objectives (e.g. multi-dimensional well-being). </w:t>
      </w:r>
    </w:p>
    <w:p w14:paraId="30956A6B" w14:textId="77777777" w:rsidR="00BA43C6" w:rsidRPr="00AE6D77" w:rsidRDefault="00BA43C6" w:rsidP="001605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lang w:val="en-GB"/>
        </w:rPr>
      </w:pPr>
    </w:p>
    <w:p w14:paraId="716A005C" w14:textId="7845097E" w:rsidR="00E0379F" w:rsidRPr="00AE6D77" w:rsidRDefault="002C4571" w:rsidP="00E037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color w:val="4472C4" w:themeColor="accent1"/>
          <w:lang w:val="en-GB"/>
        </w:rPr>
      </w:pPr>
      <w:r w:rsidRPr="00014748">
        <w:rPr>
          <w:lang w:val="en-GB"/>
        </w:rPr>
        <w:t xml:space="preserve">These features are </w:t>
      </w:r>
      <w:r w:rsidR="008E6AA2" w:rsidRPr="00014748">
        <w:rPr>
          <w:lang w:val="en-GB"/>
        </w:rPr>
        <w:t xml:space="preserve">particularly </w:t>
      </w:r>
      <w:r w:rsidRPr="00014748">
        <w:rPr>
          <w:lang w:val="en-GB"/>
        </w:rPr>
        <w:t>relevant in the case of a low-carbon energy transition.</w:t>
      </w:r>
      <w:r w:rsidR="00014748">
        <w:rPr>
          <w:lang w:val="en-GB"/>
        </w:rPr>
        <w:t xml:space="preserve"> </w:t>
      </w:r>
      <w:r w:rsidR="00E0379F" w:rsidRPr="00014748">
        <w:rPr>
          <w:lang w:val="en-GB"/>
        </w:rPr>
        <w:t xml:space="preserve">The </w:t>
      </w:r>
      <w:r w:rsidR="00E0379F" w:rsidRPr="00AE6D77">
        <w:rPr>
          <w:lang w:val="en-GB"/>
        </w:rPr>
        <w:t>decarbonisation of the energy system is a complex out-of-equilibrium transition, characterised by long-term structural changes and interactions of various agents without perfect</w:t>
      </w:r>
      <w:r w:rsidR="00460F98" w:rsidRPr="00AE6D77">
        <w:rPr>
          <w:lang w:val="en-GB"/>
        </w:rPr>
        <w:t xml:space="preserve"> foresight. R</w:t>
      </w:r>
      <w:r w:rsidR="00E0379F" w:rsidRPr="00AE6D77">
        <w:rPr>
          <w:lang w:val="en-GB"/>
        </w:rPr>
        <w:t xml:space="preserve">ecent research demonstrates that a transition towards a low-carbon energy system requires the understanding of behavioural aspects. Li </w:t>
      </w:r>
      <w:r w:rsidR="008E7792">
        <w:rPr>
          <w:lang w:val="en-GB"/>
        </w:rPr>
        <w:t xml:space="preserve">&amp; Strachan </w:t>
      </w:r>
      <w:r w:rsidR="00E0379F" w:rsidRPr="00AE6D77">
        <w:rPr>
          <w:lang w:val="en-GB"/>
        </w:rPr>
        <w:t>(2017) highlights the existence of various political (e.g. willingness to pay higher electricity pr</w:t>
      </w:r>
      <w:r w:rsidR="00F554DC" w:rsidRPr="00AE6D77">
        <w:rPr>
          <w:lang w:val="en-GB"/>
        </w:rPr>
        <w:t xml:space="preserve">ices) and social (e.g. openness or </w:t>
      </w:r>
      <w:r w:rsidR="00E0379F" w:rsidRPr="00AE6D77">
        <w:rPr>
          <w:lang w:val="en-GB"/>
        </w:rPr>
        <w:t>reluctance towards new technologies) barriers, thus contrasting the commo</w:t>
      </w:r>
      <w:r w:rsidR="00460F98" w:rsidRPr="00AE6D77">
        <w:rPr>
          <w:lang w:val="en-GB"/>
        </w:rPr>
        <w:t xml:space="preserve">nly adopted view </w:t>
      </w:r>
      <w:r w:rsidR="00E0379F" w:rsidRPr="00AE6D77">
        <w:rPr>
          <w:lang w:val="en-GB"/>
        </w:rPr>
        <w:t>that rational actors are characterised by purely cost optimising behaviour (Mignon &amp; Bergek, 2016). Hafner et al. (</w:t>
      </w:r>
      <w:r w:rsidR="00F554DC" w:rsidRPr="00AE6D77">
        <w:rPr>
          <w:lang w:val="en-GB"/>
        </w:rPr>
        <w:t xml:space="preserve">2019; </w:t>
      </w:r>
      <w:r w:rsidR="00E0379F" w:rsidRPr="00AE6D77">
        <w:rPr>
          <w:lang w:val="en-GB"/>
        </w:rPr>
        <w:t xml:space="preserve">2020) show the relevance of behavioural (e.g. biased risk perceptions) and other green investment barriers (e.g. policy uncertainty) in the context of the ‘green finance’ gap, which describes the lack of investments into renewable energy infrastructure capacity. Importantly, a lack of an adequate representation of behavioural factors in energy-economics models might lead to the misleading </w:t>
      </w:r>
      <w:r w:rsidR="00F554DC" w:rsidRPr="00AE6D77">
        <w:rPr>
          <w:lang w:val="en-GB"/>
        </w:rPr>
        <w:t>conclusion</w:t>
      </w:r>
      <w:r w:rsidR="00E0379F" w:rsidRPr="00AE6D77">
        <w:rPr>
          <w:lang w:val="en-GB"/>
        </w:rPr>
        <w:t xml:space="preserve"> that pricing policies (e.g. </w:t>
      </w:r>
      <w:r w:rsidR="00460F98" w:rsidRPr="00AE6D77">
        <w:rPr>
          <w:lang w:val="en-GB"/>
        </w:rPr>
        <w:t>carbon</w:t>
      </w:r>
      <w:r w:rsidR="00E0379F" w:rsidRPr="00AE6D77">
        <w:rPr>
          <w:lang w:val="en-GB"/>
        </w:rPr>
        <w:t xml:space="preserve"> price) are the most effective way to change actor behaviour. However, when behavioural aspects are relevant regulatory changes, technology (e.g. R&amp;D subsidies) or sectoral policies can play a relevant part</w:t>
      </w:r>
      <w:r w:rsidR="00C563A5">
        <w:rPr>
          <w:lang w:val="en-GB"/>
        </w:rPr>
        <w:t xml:space="preserve"> too (</w:t>
      </w:r>
      <w:r w:rsidR="00E0379F" w:rsidRPr="00AE6D77">
        <w:rPr>
          <w:lang w:val="en-GB"/>
        </w:rPr>
        <w:t>Mercure et al., 2019). Finally, the representation of heterogeneous actors (e.g. differentiated according to income or skills) are</w:t>
      </w:r>
      <w:r w:rsidR="00460F98" w:rsidRPr="00AE6D77">
        <w:rPr>
          <w:lang w:val="en-GB"/>
        </w:rPr>
        <w:t xml:space="preserve"> for example</w:t>
      </w:r>
      <w:r w:rsidR="00E0379F" w:rsidRPr="00AE6D77">
        <w:rPr>
          <w:lang w:val="en-GB"/>
        </w:rPr>
        <w:t xml:space="preserve"> relevant for the evaluation of distributional effects of policies designed to decar</w:t>
      </w:r>
      <w:r w:rsidR="008E7792">
        <w:rPr>
          <w:lang w:val="en-GB"/>
        </w:rPr>
        <w:t>bonise the energy sector (Markka</w:t>
      </w:r>
      <w:r w:rsidR="00E0379F" w:rsidRPr="00AE6D77">
        <w:rPr>
          <w:lang w:val="en-GB"/>
        </w:rPr>
        <w:t xml:space="preserve">nen &amp; Anger-Kraavi, 2019; Jenkins et al., 2016). </w:t>
      </w:r>
    </w:p>
    <w:p w14:paraId="0A9CD026" w14:textId="77777777" w:rsidR="00E0379F" w:rsidRPr="00AE6D77" w:rsidRDefault="00E0379F" w:rsidP="00E037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color w:val="4472C4" w:themeColor="accent1"/>
          <w:lang w:val="en-GB"/>
        </w:rPr>
      </w:pPr>
    </w:p>
    <w:p w14:paraId="3CE9E5B2" w14:textId="77A48041" w:rsidR="00E0379F" w:rsidRPr="00014748" w:rsidRDefault="00E0379F" w:rsidP="00E037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szCs w:val="22"/>
          <w:lang w:val="en-GB"/>
        </w:rPr>
      </w:pPr>
      <w:r w:rsidRPr="00014748">
        <w:rPr>
          <w:lang w:val="en-GB"/>
        </w:rPr>
        <w:t xml:space="preserve">The representation of non-equilibrium and dis-equilibria states is important for </w:t>
      </w:r>
      <w:r w:rsidR="00460F98" w:rsidRPr="00014748">
        <w:rPr>
          <w:lang w:val="en-GB"/>
        </w:rPr>
        <w:t xml:space="preserve">model outcomes and </w:t>
      </w:r>
      <w:r w:rsidRPr="00014748">
        <w:rPr>
          <w:lang w:val="en-GB"/>
        </w:rPr>
        <w:t xml:space="preserve">policy design in the context of low-carbon transitions. The convergence towards an (optimal) equilibrium is generally based on the assumption of rational actors that take optimal decisions on the grounds of having access to (near-)perfect information </w:t>
      </w:r>
      <w:r w:rsidRPr="00014748">
        <w:rPr>
          <w:szCs w:val="22"/>
          <w:lang w:val="en-GB"/>
        </w:rPr>
        <w:t xml:space="preserve">and the capacity to proceed all available information. This has the implication that the base-run can said to be ‘normative’ and thus likely to be over-optimistic as it is based on the assumption that agents perform in an optimal way. This means that the calculated ‘costs’ of policies introduced in an ‘optimal base-run’ are higher as compared to a more ‘realistic’ base-run in which agents are influenced by behavioural aspects and do not have access to near-perfect information (Mercure et al., 2019; </w:t>
      </w:r>
      <w:r w:rsidRPr="00014748">
        <w:rPr>
          <w:rFonts w:cs="Arial"/>
          <w:szCs w:val="22"/>
          <w:lang w:val="en-GB"/>
        </w:rPr>
        <w:t>Pollitt</w:t>
      </w:r>
      <w:r w:rsidRPr="00014748">
        <w:rPr>
          <w:szCs w:val="22"/>
          <w:lang w:val="en-GB"/>
        </w:rPr>
        <w:t xml:space="preserve">, 2019). Second, the convergence towards an </w:t>
      </w:r>
      <w:r w:rsidRPr="00014748">
        <w:rPr>
          <w:szCs w:val="22"/>
          <w:lang w:val="en-GB"/>
        </w:rPr>
        <w:lastRenderedPageBreak/>
        <w:t xml:space="preserve">equilibrium is further based on the assumptions that agents react only to price changes and that there exist only one government agent. However, besides the importance of behavioural aspects, mentioned above, research from the sustainability-transition literature (Markard et al., 2012) demonstrates the importance of </w:t>
      </w:r>
      <w:r w:rsidR="00460F98" w:rsidRPr="00014748">
        <w:rPr>
          <w:szCs w:val="22"/>
          <w:lang w:val="en-GB"/>
        </w:rPr>
        <w:t xml:space="preserve">political, organizational, cultural and social changes, </w:t>
      </w:r>
      <w:r w:rsidRPr="00014748">
        <w:rPr>
          <w:szCs w:val="22"/>
          <w:lang w:val="en-GB"/>
        </w:rPr>
        <w:t>institutions, governance and the coordination policies, of forward-planning and information-exchange among different decisions makers (</w:t>
      </w:r>
      <w:r w:rsidRPr="00014748">
        <w:rPr>
          <w:lang w:val="en-GB"/>
        </w:rPr>
        <w:t>Bolton &amp; Foxon, 2015a; b</w:t>
      </w:r>
      <w:r w:rsidR="00460F98" w:rsidRPr="00014748">
        <w:rPr>
          <w:lang w:val="en-GB"/>
        </w:rPr>
        <w:t>; Van den Bergh et al., 2011</w:t>
      </w:r>
      <w:r w:rsidRPr="00014748">
        <w:rPr>
          <w:lang w:val="en-GB"/>
        </w:rPr>
        <w:t xml:space="preserve">). </w:t>
      </w:r>
      <w:r w:rsidRPr="00014748">
        <w:rPr>
          <w:szCs w:val="22"/>
          <w:lang w:val="en-GB"/>
        </w:rPr>
        <w:t xml:space="preserve">This in turn implies that the impact of policies are over-estimated </w:t>
      </w:r>
      <w:r w:rsidR="00460F98" w:rsidRPr="00014748">
        <w:rPr>
          <w:szCs w:val="22"/>
          <w:lang w:val="en-GB"/>
        </w:rPr>
        <w:t xml:space="preserve">in equilibrium models </w:t>
      </w:r>
      <w:r w:rsidRPr="00014748">
        <w:rPr>
          <w:szCs w:val="22"/>
          <w:lang w:val="en-GB"/>
        </w:rPr>
        <w:t>when in reality additional behavioural impacts, lock-in, path-dependencies and the interactions among various decision</w:t>
      </w:r>
      <w:r w:rsidR="001F5337" w:rsidRPr="00014748">
        <w:rPr>
          <w:szCs w:val="22"/>
          <w:lang w:val="en-GB"/>
        </w:rPr>
        <w:t>-</w:t>
      </w:r>
      <w:r w:rsidRPr="00014748">
        <w:rPr>
          <w:szCs w:val="22"/>
          <w:lang w:val="en-GB"/>
        </w:rPr>
        <w:t>makers on regional, national and international levels and across various sectors determine policy outcomes in addition (Mercure et al., 2019</w:t>
      </w:r>
      <w:r w:rsidR="00C563A5">
        <w:rPr>
          <w:szCs w:val="22"/>
          <w:lang w:val="en-GB"/>
        </w:rPr>
        <w:t>;</w:t>
      </w:r>
      <w:r w:rsidRPr="00014748">
        <w:rPr>
          <w:szCs w:val="22"/>
          <w:lang w:val="en-GB"/>
        </w:rPr>
        <w:t xml:space="preserve"> Li</w:t>
      </w:r>
      <w:r w:rsidR="008E7792">
        <w:rPr>
          <w:szCs w:val="22"/>
          <w:lang w:val="en-GB"/>
        </w:rPr>
        <w:t xml:space="preserve"> &amp; Strachan</w:t>
      </w:r>
      <w:r w:rsidRPr="00014748">
        <w:rPr>
          <w:szCs w:val="22"/>
          <w:lang w:val="en-GB"/>
        </w:rPr>
        <w:t>, 2017). Finally, the convergence towards an equilibrium assumes that agents undertake marginal change in their consumption, however, the transitions towards a low-carbon energy supply sector, implies deep systemic changes, involving for example changes in key technologies used to produce energy or the way current energy consumption and production are organised (e.g. decentralised energy production) (</w:t>
      </w:r>
      <w:r w:rsidRPr="00014748">
        <w:rPr>
          <w:lang w:val="en-GB"/>
        </w:rPr>
        <w:t>Bolton &amp; Foxon, 2015a; b).</w:t>
      </w:r>
      <w:r w:rsidRPr="00014748">
        <w:rPr>
          <w:szCs w:val="22"/>
          <w:lang w:val="en-GB"/>
        </w:rPr>
        <w:t xml:space="preserve"> This means that is </w:t>
      </w:r>
      <w:r w:rsidR="001F5337" w:rsidRPr="00014748">
        <w:rPr>
          <w:szCs w:val="22"/>
          <w:lang w:val="en-GB"/>
        </w:rPr>
        <w:t xml:space="preserve">important for </w:t>
      </w:r>
      <w:r w:rsidRPr="00014748">
        <w:rPr>
          <w:szCs w:val="22"/>
          <w:lang w:val="en-GB"/>
        </w:rPr>
        <w:t xml:space="preserve">energy-transition models </w:t>
      </w:r>
      <w:r w:rsidR="001F5337" w:rsidRPr="00014748">
        <w:rPr>
          <w:szCs w:val="22"/>
          <w:lang w:val="en-GB"/>
        </w:rPr>
        <w:t xml:space="preserve">that they are suitable, </w:t>
      </w:r>
      <w:r w:rsidRPr="00014748">
        <w:rPr>
          <w:szCs w:val="22"/>
          <w:lang w:val="en-GB"/>
        </w:rPr>
        <w:t xml:space="preserve">at least to some extent, </w:t>
      </w:r>
      <w:r w:rsidR="001F5337" w:rsidRPr="00014748">
        <w:rPr>
          <w:szCs w:val="22"/>
          <w:lang w:val="en-GB"/>
        </w:rPr>
        <w:t xml:space="preserve">to </w:t>
      </w:r>
      <w:r w:rsidRPr="00014748">
        <w:rPr>
          <w:szCs w:val="22"/>
          <w:lang w:val="en-GB"/>
        </w:rPr>
        <w:t xml:space="preserve">simulate these system-wide non-marginal changes. </w:t>
      </w:r>
    </w:p>
    <w:p w14:paraId="67232A7C" w14:textId="6F0EDAAF" w:rsidR="0099336B" w:rsidRPr="00AE6D77" w:rsidRDefault="0099336B" w:rsidP="00E037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color w:val="4472C4" w:themeColor="accent1"/>
          <w:szCs w:val="22"/>
          <w:lang w:val="en-GB"/>
        </w:rPr>
      </w:pPr>
    </w:p>
    <w:p w14:paraId="27E865C9" w14:textId="2AE9037D" w:rsidR="009D2307" w:rsidRPr="00AE6D77" w:rsidRDefault="009D2307" w:rsidP="00E0379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cstheme="minorHAnsi"/>
          <w:szCs w:val="22"/>
          <w:lang w:val="en-GB"/>
        </w:rPr>
      </w:pPr>
      <w:r w:rsidRPr="00AE6D77">
        <w:rPr>
          <w:rFonts w:cstheme="minorHAnsi"/>
          <w:szCs w:val="22"/>
          <w:lang w:val="en-GB"/>
        </w:rPr>
        <w:t xml:space="preserve">Finally, the representation and consideration of finance matters in the evaluation of climate policies designed to decarbonize current energy systems. For example, Mercure et al. (2019) demonstrate the theory of finance (i.e. adoption of endogenous vs. exogenous money supply) drives whether or not the GDP </w:t>
      </w:r>
      <w:r w:rsidR="001F5337" w:rsidRPr="00AE6D77">
        <w:rPr>
          <w:rFonts w:cstheme="minorHAnsi"/>
          <w:szCs w:val="22"/>
          <w:lang w:val="en-GB"/>
        </w:rPr>
        <w:t>effects</w:t>
      </w:r>
      <w:r w:rsidRPr="00AE6D77">
        <w:rPr>
          <w:rFonts w:cstheme="minorHAnsi"/>
          <w:szCs w:val="22"/>
          <w:lang w:val="en-GB"/>
        </w:rPr>
        <w:t xml:space="preserve"> of climate policies are positive or negative. That is, the representation of finance and money has implication</w:t>
      </w:r>
      <w:r w:rsidR="00110372" w:rsidRPr="00AE6D77">
        <w:rPr>
          <w:rFonts w:cstheme="minorHAnsi"/>
          <w:szCs w:val="22"/>
          <w:lang w:val="en-GB"/>
        </w:rPr>
        <w:t>s</w:t>
      </w:r>
      <w:r w:rsidRPr="00AE6D77">
        <w:rPr>
          <w:rFonts w:cstheme="minorHAnsi"/>
          <w:szCs w:val="22"/>
          <w:lang w:val="en-GB"/>
        </w:rPr>
        <w:t xml:space="preserve"> on model outcomes and policy implications, in particular in the context of an energy transition that requires a large amount of investments to build new renewable energy capacity. </w:t>
      </w:r>
    </w:p>
    <w:p w14:paraId="78FAE90E" w14:textId="516247DB" w:rsidR="0025664D" w:rsidRPr="00380144" w:rsidRDefault="0025664D" w:rsidP="00C563A5">
      <w:pPr>
        <w:pStyle w:val="Heading1"/>
        <w:rPr>
          <w:color w:val="auto"/>
          <w:sz w:val="24"/>
          <w:szCs w:val="24"/>
          <w:bdr w:val="nil"/>
        </w:rPr>
      </w:pPr>
      <w:r w:rsidRPr="00AE6D77">
        <w:rPr>
          <w:rFonts w:ascii="Helvetica" w:hAnsi="Helvetica"/>
          <w:b w:val="0"/>
          <w:color w:val="000000"/>
          <w:sz w:val="24"/>
        </w:rPr>
        <w:t>3</w:t>
      </w:r>
      <w:r w:rsidRPr="00AE6D77">
        <w:rPr>
          <w:b w:val="0"/>
          <w:sz w:val="24"/>
        </w:rPr>
        <w:t>. Methodology</w:t>
      </w:r>
    </w:p>
    <w:p w14:paraId="51BDF6ED" w14:textId="4C90350B" w:rsidR="0025664D" w:rsidRPr="00AE6D77" w:rsidRDefault="0025664D" w:rsidP="00160576">
      <w:pPr>
        <w:widowControl w:val="0"/>
        <w:autoSpaceDE w:val="0"/>
        <w:autoSpaceDN w:val="0"/>
        <w:adjustRightInd w:val="0"/>
        <w:spacing w:line="260" w:lineRule="atLeast"/>
        <w:rPr>
          <w:szCs w:val="22"/>
          <w:lang w:val="en-GB"/>
        </w:rPr>
      </w:pPr>
    </w:p>
    <w:p w14:paraId="7FB6CA05" w14:textId="139C3B31" w:rsidR="0025664D" w:rsidRPr="00AE6D77" w:rsidRDefault="005D7329" w:rsidP="00160576">
      <w:pPr>
        <w:widowControl w:val="0"/>
        <w:autoSpaceDE w:val="0"/>
        <w:autoSpaceDN w:val="0"/>
        <w:adjustRightInd w:val="0"/>
        <w:spacing w:line="260" w:lineRule="atLeast"/>
        <w:rPr>
          <w:szCs w:val="22"/>
          <w:lang w:val="en-GB"/>
        </w:rPr>
      </w:pPr>
      <w:r w:rsidRPr="00AE6D77">
        <w:rPr>
          <w:i/>
          <w:szCs w:val="22"/>
          <w:lang w:val="en-GB"/>
        </w:rPr>
        <w:t xml:space="preserve">3.1. </w:t>
      </w:r>
      <w:r w:rsidR="0025664D" w:rsidRPr="00AE6D77">
        <w:rPr>
          <w:i/>
          <w:szCs w:val="22"/>
          <w:lang w:val="en-GB"/>
        </w:rPr>
        <w:t>Model selection</w:t>
      </w:r>
      <w:r w:rsidR="0025664D" w:rsidRPr="00AE6D77">
        <w:rPr>
          <w:szCs w:val="22"/>
          <w:lang w:val="en-GB"/>
        </w:rPr>
        <w:t xml:space="preserve"> </w:t>
      </w:r>
    </w:p>
    <w:p w14:paraId="22711F8C" w14:textId="77777777" w:rsidR="0025664D" w:rsidRPr="00AE6D77" w:rsidRDefault="0025664D" w:rsidP="00160576">
      <w:pPr>
        <w:widowControl w:val="0"/>
        <w:autoSpaceDE w:val="0"/>
        <w:autoSpaceDN w:val="0"/>
        <w:adjustRightInd w:val="0"/>
        <w:spacing w:line="260" w:lineRule="atLeast"/>
        <w:rPr>
          <w:szCs w:val="22"/>
          <w:lang w:val="en-GB"/>
        </w:rPr>
      </w:pPr>
    </w:p>
    <w:p w14:paraId="68D40FE7" w14:textId="0A92B3B8" w:rsidR="0025664D" w:rsidRPr="00AE6D77" w:rsidRDefault="0025664D" w:rsidP="00160576">
      <w:pPr>
        <w:widowControl w:val="0"/>
        <w:autoSpaceDE w:val="0"/>
        <w:autoSpaceDN w:val="0"/>
        <w:adjustRightInd w:val="0"/>
        <w:spacing w:line="260" w:lineRule="atLeast"/>
        <w:rPr>
          <w:szCs w:val="22"/>
          <w:lang w:val="en-GB"/>
        </w:rPr>
      </w:pPr>
      <w:r w:rsidRPr="00AE6D77">
        <w:rPr>
          <w:szCs w:val="22"/>
          <w:lang w:val="en-GB"/>
        </w:rPr>
        <w:t>We reviewed all published models</w:t>
      </w:r>
      <w:r w:rsidR="00B51837" w:rsidRPr="00AE6D77">
        <w:rPr>
          <w:szCs w:val="22"/>
          <w:lang w:val="en-GB"/>
        </w:rPr>
        <w:t xml:space="preserve"> </w:t>
      </w:r>
      <w:r w:rsidR="001F5337" w:rsidRPr="00AE6D77">
        <w:rPr>
          <w:szCs w:val="22"/>
          <w:lang w:val="en-GB"/>
        </w:rPr>
        <w:t xml:space="preserve">(to the best of our knowledge) </w:t>
      </w:r>
      <w:r w:rsidRPr="00AE6D77">
        <w:rPr>
          <w:szCs w:val="22"/>
          <w:lang w:val="en-GB"/>
        </w:rPr>
        <w:t xml:space="preserve">within the field of ecological macroeconomics or related fields that are able to simulate the low-carbon transition of the energy supply sector. </w:t>
      </w:r>
    </w:p>
    <w:p w14:paraId="2A730D27" w14:textId="77777777" w:rsidR="0025664D" w:rsidRPr="00AE6D77" w:rsidRDefault="0025664D" w:rsidP="00160576">
      <w:pPr>
        <w:widowControl w:val="0"/>
        <w:autoSpaceDE w:val="0"/>
        <w:autoSpaceDN w:val="0"/>
        <w:adjustRightInd w:val="0"/>
        <w:spacing w:line="260" w:lineRule="atLeast"/>
        <w:rPr>
          <w:szCs w:val="22"/>
          <w:lang w:val="en-GB"/>
        </w:rPr>
      </w:pPr>
    </w:p>
    <w:p w14:paraId="1ACC4ACA" w14:textId="61CBAF54" w:rsidR="0025664D" w:rsidRPr="00AE6D77" w:rsidRDefault="0025664D" w:rsidP="00160576">
      <w:pPr>
        <w:widowControl w:val="0"/>
        <w:autoSpaceDE w:val="0"/>
        <w:autoSpaceDN w:val="0"/>
        <w:adjustRightInd w:val="0"/>
        <w:rPr>
          <w:szCs w:val="22"/>
          <w:bdr w:val="nil"/>
          <w:lang w:val="en-GB"/>
        </w:rPr>
      </w:pPr>
      <w:r w:rsidRPr="00AE6D77">
        <w:rPr>
          <w:szCs w:val="22"/>
          <w:bdr w:val="nil"/>
          <w:lang w:val="en-GB"/>
        </w:rPr>
        <w:t>These</w:t>
      </w:r>
      <w:r w:rsidR="00DE2779" w:rsidRPr="00AE6D77">
        <w:rPr>
          <w:szCs w:val="22"/>
          <w:bdr w:val="nil"/>
          <w:lang w:val="en-GB"/>
        </w:rPr>
        <w:t xml:space="preserve"> </w:t>
      </w:r>
      <w:r w:rsidRPr="00AE6D77">
        <w:rPr>
          <w:szCs w:val="22"/>
          <w:bdr w:val="nil"/>
          <w:lang w:val="en-GB"/>
        </w:rPr>
        <w:t xml:space="preserve">models are characterised by the following criteria: </w:t>
      </w:r>
    </w:p>
    <w:p w14:paraId="5E120514" w14:textId="77777777" w:rsidR="00FC2A80" w:rsidRPr="00AE6D77" w:rsidRDefault="00FC2A80" w:rsidP="00160576">
      <w:pPr>
        <w:widowControl w:val="0"/>
        <w:autoSpaceDE w:val="0"/>
        <w:autoSpaceDN w:val="0"/>
        <w:adjustRightInd w:val="0"/>
        <w:rPr>
          <w:szCs w:val="22"/>
          <w:bdr w:val="nil"/>
          <w:lang w:val="en-GB"/>
        </w:rPr>
      </w:pPr>
    </w:p>
    <w:p w14:paraId="2A5DF503" w14:textId="1B52D39F" w:rsidR="0025664D" w:rsidRPr="00AE6D77" w:rsidRDefault="0025664D" w:rsidP="0003133B">
      <w:pPr>
        <w:pStyle w:val="ListParagraph"/>
        <w:widowControl w:val="0"/>
        <w:numPr>
          <w:ilvl w:val="0"/>
          <w:numId w:val="6"/>
        </w:numPr>
        <w:autoSpaceDE w:val="0"/>
        <w:autoSpaceDN w:val="0"/>
        <w:adjustRightInd w:val="0"/>
        <w:rPr>
          <w:szCs w:val="22"/>
          <w:lang w:val="en-GB"/>
        </w:rPr>
      </w:pPr>
      <w:r w:rsidRPr="00AE6D77">
        <w:rPr>
          <w:szCs w:val="22"/>
          <w:lang w:val="en-GB"/>
        </w:rPr>
        <w:t>inclus</w:t>
      </w:r>
      <w:r w:rsidR="000F7C95" w:rsidRPr="00AE6D77">
        <w:rPr>
          <w:szCs w:val="22"/>
          <w:lang w:val="en-GB"/>
        </w:rPr>
        <w:t xml:space="preserve">ion of an energy supply sector </w:t>
      </w:r>
      <w:r w:rsidRPr="00AE6D77">
        <w:rPr>
          <w:szCs w:val="22"/>
          <w:lang w:val="en-GB"/>
        </w:rPr>
        <w:t>that simulates at least two energy</w:t>
      </w:r>
      <w:r w:rsidR="000F7C95" w:rsidRPr="00AE6D77">
        <w:rPr>
          <w:szCs w:val="22"/>
          <w:lang w:val="en-GB"/>
        </w:rPr>
        <w:t xml:space="preserve"> supply technologies explicitly</w:t>
      </w:r>
      <w:r w:rsidRPr="00AE6D77">
        <w:rPr>
          <w:szCs w:val="22"/>
          <w:lang w:val="en-GB"/>
        </w:rPr>
        <w:t>;</w:t>
      </w:r>
    </w:p>
    <w:p w14:paraId="718D2E75" w14:textId="20A0F304" w:rsidR="0025664D" w:rsidRPr="00AE6D77" w:rsidRDefault="0025664D" w:rsidP="0003133B">
      <w:pPr>
        <w:pStyle w:val="ListParagraph"/>
        <w:widowControl w:val="0"/>
        <w:numPr>
          <w:ilvl w:val="0"/>
          <w:numId w:val="6"/>
        </w:numPr>
        <w:autoSpaceDE w:val="0"/>
        <w:autoSpaceDN w:val="0"/>
        <w:adjustRightInd w:val="0"/>
        <w:rPr>
          <w:szCs w:val="22"/>
          <w:lang w:val="en-GB"/>
        </w:rPr>
      </w:pPr>
      <w:r w:rsidRPr="00AE6D77">
        <w:rPr>
          <w:szCs w:val="22"/>
          <w:lang w:val="en-GB"/>
        </w:rPr>
        <w:t xml:space="preserve">inclusion of </w:t>
      </w:r>
      <w:r w:rsidR="00C8078A" w:rsidRPr="00AE6D77">
        <w:rPr>
          <w:szCs w:val="22"/>
          <w:lang w:val="en-GB"/>
        </w:rPr>
        <w:t xml:space="preserve">at least two </w:t>
      </w:r>
      <w:r w:rsidRPr="00AE6D77">
        <w:rPr>
          <w:szCs w:val="22"/>
          <w:lang w:val="en-GB"/>
        </w:rPr>
        <w:t>sectors</w:t>
      </w:r>
      <w:r w:rsidRPr="00AE6D77">
        <w:rPr>
          <w:rStyle w:val="FootnoteReference"/>
          <w:szCs w:val="22"/>
          <w:lang w:val="en-GB"/>
        </w:rPr>
        <w:footnoteReference w:id="9"/>
      </w:r>
      <w:r w:rsidRPr="00AE6D77">
        <w:rPr>
          <w:szCs w:val="22"/>
          <w:lang w:val="en-GB"/>
        </w:rPr>
        <w:t xml:space="preserve"> of a </w:t>
      </w:r>
      <w:r w:rsidR="00C8078A" w:rsidRPr="00AE6D77">
        <w:rPr>
          <w:szCs w:val="22"/>
          <w:lang w:val="en-GB"/>
        </w:rPr>
        <w:t xml:space="preserve">typical </w:t>
      </w:r>
      <w:r w:rsidRPr="00AE6D77">
        <w:rPr>
          <w:szCs w:val="22"/>
          <w:lang w:val="en-GB"/>
        </w:rPr>
        <w:t>macroeconomic model;</w:t>
      </w:r>
    </w:p>
    <w:p w14:paraId="503C2B73" w14:textId="09A4049E" w:rsidR="0025664D" w:rsidRPr="00AE6D77" w:rsidRDefault="000F7C95" w:rsidP="0003133B">
      <w:pPr>
        <w:pStyle w:val="ListParagraph"/>
        <w:widowControl w:val="0"/>
        <w:numPr>
          <w:ilvl w:val="0"/>
          <w:numId w:val="6"/>
        </w:numPr>
        <w:autoSpaceDE w:val="0"/>
        <w:autoSpaceDN w:val="0"/>
        <w:adjustRightInd w:val="0"/>
        <w:rPr>
          <w:szCs w:val="22"/>
          <w:lang w:val="en-GB"/>
        </w:rPr>
      </w:pPr>
      <w:r w:rsidRPr="00AE6D77">
        <w:rPr>
          <w:szCs w:val="22"/>
          <w:lang w:val="en-GB"/>
        </w:rPr>
        <w:t>Peer-reviewed scientific literature, working paper or policy report that summarises the results of</w:t>
      </w:r>
      <w:r w:rsidR="0025664D" w:rsidRPr="00AE6D77">
        <w:rPr>
          <w:szCs w:val="22"/>
          <w:lang w:val="en-GB"/>
        </w:rPr>
        <w:t xml:space="preserve"> </w:t>
      </w:r>
      <w:r w:rsidR="00FC2A80" w:rsidRPr="00AE6D77">
        <w:rPr>
          <w:szCs w:val="22"/>
          <w:lang w:val="en-GB"/>
        </w:rPr>
        <w:t>the evaluation of</w:t>
      </w:r>
      <w:r w:rsidR="0025664D" w:rsidRPr="00AE6D77">
        <w:rPr>
          <w:szCs w:val="22"/>
          <w:lang w:val="en-GB"/>
        </w:rPr>
        <w:t xml:space="preserve"> policies/scenarios</w:t>
      </w:r>
      <w:r w:rsidR="00DE2779" w:rsidRPr="00AE6D77">
        <w:rPr>
          <w:szCs w:val="22"/>
          <w:lang w:val="en-GB"/>
        </w:rPr>
        <w:t xml:space="preserve"> </w:t>
      </w:r>
      <w:r w:rsidR="0025664D" w:rsidRPr="00AE6D77">
        <w:rPr>
          <w:szCs w:val="22"/>
          <w:lang w:val="en-GB"/>
        </w:rPr>
        <w:t>that deliver the required reduction of emissions in the energy supply industry necessary to reach the temperature targets of the Paris Agreement;</w:t>
      </w:r>
    </w:p>
    <w:p w14:paraId="2F5BB8D0" w14:textId="77777777" w:rsidR="0025664D" w:rsidRPr="00AE6D77" w:rsidRDefault="0025664D" w:rsidP="0003133B">
      <w:pPr>
        <w:pStyle w:val="ListParagraph"/>
        <w:widowControl w:val="0"/>
        <w:numPr>
          <w:ilvl w:val="0"/>
          <w:numId w:val="6"/>
        </w:numPr>
        <w:autoSpaceDE w:val="0"/>
        <w:autoSpaceDN w:val="0"/>
        <w:adjustRightInd w:val="0"/>
        <w:rPr>
          <w:szCs w:val="22"/>
          <w:lang w:val="en-GB"/>
        </w:rPr>
      </w:pPr>
      <w:r w:rsidRPr="00AE6D77">
        <w:rPr>
          <w:szCs w:val="22"/>
          <w:lang w:val="en-GB"/>
        </w:rPr>
        <w:t xml:space="preserve">documented in peer-reviewed scientific literature, working papers or policy reports, and written in English language. </w:t>
      </w:r>
    </w:p>
    <w:p w14:paraId="6CCDDBD3" w14:textId="77777777" w:rsidR="0025664D" w:rsidRPr="00AE6D77" w:rsidRDefault="0025664D" w:rsidP="00160576">
      <w:pPr>
        <w:pStyle w:val="ListParagraph"/>
        <w:widowControl w:val="0"/>
        <w:autoSpaceDE w:val="0"/>
        <w:autoSpaceDN w:val="0"/>
        <w:adjustRightInd w:val="0"/>
        <w:ind w:left="1440"/>
        <w:rPr>
          <w:szCs w:val="22"/>
          <w:lang w:val="en-GB"/>
        </w:rPr>
      </w:pPr>
    </w:p>
    <w:p w14:paraId="2436F609" w14:textId="2C3EC749" w:rsidR="001C5402" w:rsidRPr="00AE6D77" w:rsidRDefault="0025664D" w:rsidP="00160576">
      <w:pPr>
        <w:widowControl w:val="0"/>
        <w:autoSpaceDE w:val="0"/>
        <w:autoSpaceDN w:val="0"/>
        <w:adjustRightInd w:val="0"/>
        <w:spacing w:after="240"/>
        <w:rPr>
          <w:lang w:val="en-GB"/>
        </w:rPr>
      </w:pPr>
      <w:r w:rsidRPr="00AE6D77">
        <w:rPr>
          <w:lang w:val="en-GB"/>
        </w:rPr>
        <w:t xml:space="preserve">We started with including all models that satisfy the above explained requirements, from the recent </w:t>
      </w:r>
      <w:r w:rsidRPr="00AE6D77">
        <w:rPr>
          <w:lang w:val="en-GB"/>
        </w:rPr>
        <w:lastRenderedPageBreak/>
        <w:t xml:space="preserve">review of Hardt &amp; O’Neill (2017). This review includes existing models within the ecological economics literature but is limited to models that </w:t>
      </w:r>
      <w:r w:rsidRPr="00AE6D77">
        <w:rPr>
          <w:rFonts w:eastAsia="Times New Roman"/>
          <w:lang w:val="en-GB"/>
        </w:rPr>
        <w:t>describe the total monetary economy in mathematical terms</w:t>
      </w:r>
      <w:r w:rsidR="00C8078A" w:rsidRPr="00AE6D77">
        <w:rPr>
          <w:lang w:val="en-GB"/>
        </w:rPr>
        <w:t xml:space="preserve">. </w:t>
      </w:r>
      <w:r w:rsidRPr="00AE6D77">
        <w:rPr>
          <w:lang w:val="en-GB"/>
        </w:rPr>
        <w:t>Building on this study, our analysis considers additional models found in the academic literature related to ecological macroeconomics</w:t>
      </w:r>
      <w:r w:rsidRPr="00AE6D77">
        <w:rPr>
          <w:rStyle w:val="FootnoteReference"/>
          <w:lang w:val="en-GB"/>
        </w:rPr>
        <w:footnoteReference w:id="10"/>
      </w:r>
      <w:r w:rsidRPr="00AE6D77">
        <w:rPr>
          <w:lang w:val="en-GB"/>
        </w:rPr>
        <w:t xml:space="preserve">. </w:t>
      </w:r>
      <w:r w:rsidR="006E2541" w:rsidRPr="00AE6D77">
        <w:rPr>
          <w:szCs w:val="22"/>
          <w:lang w:val="en-GB"/>
        </w:rPr>
        <w:t xml:space="preserve">Similar to the review of </w:t>
      </w:r>
      <w:r w:rsidR="006E2541" w:rsidRPr="00AE6D77">
        <w:rPr>
          <w:lang w:val="en-GB"/>
        </w:rPr>
        <w:t xml:space="preserve">Hardt &amp; O’Neill (2017) our </w:t>
      </w:r>
      <w:r w:rsidR="006E2541" w:rsidRPr="00AE6D77">
        <w:rPr>
          <w:szCs w:val="22"/>
          <w:lang w:val="en-GB"/>
        </w:rPr>
        <w:t xml:space="preserve">review excludes models based on General Equilibrium theory and neoclassical economics. </w:t>
      </w:r>
    </w:p>
    <w:p w14:paraId="65B77400" w14:textId="4A2E4764" w:rsidR="004642CE" w:rsidRPr="00AE6D77" w:rsidRDefault="004642CE" w:rsidP="00160576">
      <w:pPr>
        <w:widowControl w:val="0"/>
        <w:autoSpaceDE w:val="0"/>
        <w:autoSpaceDN w:val="0"/>
        <w:adjustRightInd w:val="0"/>
        <w:spacing w:after="240"/>
        <w:rPr>
          <w:szCs w:val="22"/>
          <w:lang w:val="en-GB"/>
        </w:rPr>
      </w:pPr>
      <w:r w:rsidRPr="00AE6D77">
        <w:rPr>
          <w:szCs w:val="22"/>
          <w:lang w:val="en-GB"/>
        </w:rPr>
        <w:t>The information sources on the modelling-structure of the identified models are fr</w:t>
      </w:r>
      <w:r w:rsidR="003A5AA3" w:rsidRPr="00AE6D77">
        <w:rPr>
          <w:szCs w:val="22"/>
          <w:lang w:val="en-GB"/>
        </w:rPr>
        <w:t xml:space="preserve">om i) a literature review, and </w:t>
      </w:r>
      <w:r w:rsidRPr="00AE6D77">
        <w:rPr>
          <w:szCs w:val="22"/>
          <w:lang w:val="en-GB"/>
        </w:rPr>
        <w:t xml:space="preserve">ii) </w:t>
      </w:r>
      <w:r w:rsidRPr="00AE6D77">
        <w:rPr>
          <w:szCs w:val="22"/>
          <w:bdr w:val="nil"/>
          <w:lang w:val="en-GB"/>
        </w:rPr>
        <w:t xml:space="preserve">if we </w:t>
      </w:r>
      <w:r w:rsidR="00C8078A" w:rsidRPr="00AE6D77">
        <w:rPr>
          <w:szCs w:val="22"/>
          <w:bdr w:val="nil"/>
          <w:lang w:val="en-GB"/>
        </w:rPr>
        <w:t>did not</w:t>
      </w:r>
      <w:r w:rsidRPr="00AE6D77">
        <w:rPr>
          <w:szCs w:val="22"/>
          <w:bdr w:val="nil"/>
          <w:lang w:val="en-GB"/>
        </w:rPr>
        <w:t xml:space="preserve"> find relevant information in published journals, policy reports or working papers, we used conference presentations or semi-structured interviews</w:t>
      </w:r>
      <w:r w:rsidR="00071A9A" w:rsidRPr="00AE6D77">
        <w:rPr>
          <w:szCs w:val="22"/>
          <w:bdr w:val="nil"/>
          <w:lang w:val="en-GB"/>
        </w:rPr>
        <w:t xml:space="preserve"> </w:t>
      </w:r>
      <w:r w:rsidR="007168AD" w:rsidRPr="00AE6D77">
        <w:rPr>
          <w:szCs w:val="22"/>
          <w:bdr w:val="nil"/>
          <w:lang w:val="en-GB"/>
        </w:rPr>
        <w:t xml:space="preserve">which </w:t>
      </w:r>
      <w:r w:rsidRPr="00AE6D77">
        <w:rPr>
          <w:szCs w:val="22"/>
          <w:bdr w:val="nil"/>
          <w:lang w:val="en-GB"/>
        </w:rPr>
        <w:t>were conducted with the res</w:t>
      </w:r>
      <w:r w:rsidR="007168AD" w:rsidRPr="00AE6D77">
        <w:rPr>
          <w:szCs w:val="22"/>
          <w:bdr w:val="nil"/>
          <w:lang w:val="en-GB"/>
        </w:rPr>
        <w:t xml:space="preserve">earchers developing the models in person, or via e-mail or skype. </w:t>
      </w:r>
    </w:p>
    <w:p w14:paraId="33EF3FEE" w14:textId="7DD26530" w:rsidR="0025664D" w:rsidRPr="00AE6D77" w:rsidRDefault="005D7329" w:rsidP="00160576">
      <w:pPr>
        <w:spacing w:after="160" w:line="259" w:lineRule="auto"/>
        <w:rPr>
          <w:i/>
          <w:szCs w:val="22"/>
          <w:bdr w:val="nil"/>
          <w:lang w:val="en-GB"/>
        </w:rPr>
      </w:pPr>
      <w:r w:rsidRPr="00AE6D77">
        <w:rPr>
          <w:i/>
          <w:szCs w:val="22"/>
          <w:bdr w:val="nil"/>
          <w:lang w:val="en-GB"/>
        </w:rPr>
        <w:t xml:space="preserve">3.2. </w:t>
      </w:r>
      <w:r w:rsidR="00B96FB4" w:rsidRPr="00AE6D77">
        <w:rPr>
          <w:i/>
          <w:szCs w:val="22"/>
          <w:bdr w:val="nil"/>
          <w:lang w:val="en-GB"/>
        </w:rPr>
        <w:t xml:space="preserve">Model </w:t>
      </w:r>
      <w:r w:rsidR="00C8078A" w:rsidRPr="00AE6D77">
        <w:rPr>
          <w:i/>
          <w:szCs w:val="22"/>
          <w:bdr w:val="nil"/>
          <w:lang w:val="en-GB"/>
        </w:rPr>
        <w:t>review process and evaluation</w:t>
      </w:r>
    </w:p>
    <w:p w14:paraId="299E1FE9" w14:textId="26A1289E" w:rsidR="00AD60B3" w:rsidRPr="00AE6D77" w:rsidRDefault="00AD60B3" w:rsidP="00160576">
      <w:pPr>
        <w:spacing w:after="160" w:line="259" w:lineRule="auto"/>
        <w:rPr>
          <w:bdr w:val="nil"/>
          <w:lang w:val="en-GB"/>
        </w:rPr>
      </w:pPr>
      <w:r w:rsidRPr="00AE6D77">
        <w:rPr>
          <w:bdr w:val="nil"/>
          <w:lang w:val="en-GB"/>
        </w:rPr>
        <w:t xml:space="preserve">The objective </w:t>
      </w:r>
      <w:r w:rsidR="00C31673" w:rsidRPr="00AE6D77">
        <w:rPr>
          <w:bdr w:val="nil"/>
          <w:lang w:val="en-GB"/>
        </w:rPr>
        <w:t xml:space="preserve">of </w:t>
      </w:r>
      <w:r w:rsidRPr="00AE6D77">
        <w:rPr>
          <w:bdr w:val="nil"/>
          <w:lang w:val="en-GB"/>
        </w:rPr>
        <w:t xml:space="preserve">our model review was to evaluate how the </w:t>
      </w:r>
      <w:r w:rsidR="00C31673" w:rsidRPr="00AE6D77">
        <w:rPr>
          <w:bdr w:val="nil"/>
          <w:lang w:val="en-GB"/>
        </w:rPr>
        <w:t>identified</w:t>
      </w:r>
      <w:r w:rsidRPr="00AE6D77">
        <w:rPr>
          <w:bdr w:val="nil"/>
          <w:lang w:val="en-GB"/>
        </w:rPr>
        <w:t xml:space="preserve"> models account for the </w:t>
      </w:r>
      <w:r w:rsidR="006F5E02" w:rsidRPr="00AE6D77">
        <w:rPr>
          <w:bdr w:val="nil"/>
          <w:lang w:val="en-GB"/>
        </w:rPr>
        <w:t xml:space="preserve">desired </w:t>
      </w:r>
      <w:r w:rsidRPr="00AE6D77">
        <w:rPr>
          <w:bdr w:val="nil"/>
          <w:lang w:val="en-GB"/>
        </w:rPr>
        <w:t xml:space="preserve">features </w:t>
      </w:r>
      <w:r w:rsidR="006F5E02" w:rsidRPr="00AE6D77">
        <w:rPr>
          <w:bdr w:val="nil"/>
          <w:lang w:val="en-GB"/>
        </w:rPr>
        <w:t xml:space="preserve">i) to viii) </w:t>
      </w:r>
      <w:r w:rsidRPr="00AE6D77">
        <w:rPr>
          <w:bdr w:val="nil"/>
          <w:lang w:val="en-GB"/>
        </w:rPr>
        <w:t xml:space="preserve">of a new economic approach. </w:t>
      </w:r>
    </w:p>
    <w:p w14:paraId="6E1C24E2" w14:textId="5E76A363" w:rsidR="00AD60B3" w:rsidRPr="00AE6D77" w:rsidRDefault="006F5E02" w:rsidP="00160576">
      <w:pPr>
        <w:spacing w:after="160" w:line="259" w:lineRule="auto"/>
        <w:rPr>
          <w:bdr w:val="nil"/>
          <w:lang w:val="en-GB"/>
        </w:rPr>
      </w:pPr>
      <w:r w:rsidRPr="00AE6D77">
        <w:rPr>
          <w:bdr w:val="nil"/>
          <w:lang w:val="en-GB"/>
        </w:rPr>
        <w:t>W</w:t>
      </w:r>
      <w:r w:rsidR="00AD60B3" w:rsidRPr="00AE6D77">
        <w:rPr>
          <w:bdr w:val="nil"/>
          <w:lang w:val="en-GB"/>
        </w:rPr>
        <w:t xml:space="preserve">e first documented the structure of the identified models </w:t>
      </w:r>
      <w:r w:rsidR="00C31673" w:rsidRPr="00AE6D77">
        <w:rPr>
          <w:bdr w:val="nil"/>
          <w:lang w:val="en-GB"/>
        </w:rPr>
        <w:t>along a set of different model cores</w:t>
      </w:r>
      <w:r w:rsidR="00AD60B3" w:rsidRPr="00AE6D77">
        <w:rPr>
          <w:bdr w:val="nil"/>
          <w:lang w:val="en-GB"/>
        </w:rPr>
        <w:t xml:space="preserve">, including the following: </w:t>
      </w:r>
      <w:r w:rsidR="00592412" w:rsidRPr="00AE6D77">
        <w:rPr>
          <w:bdr w:val="nil"/>
          <w:lang w:val="en-GB"/>
        </w:rPr>
        <w:t xml:space="preserve">A) </w:t>
      </w:r>
      <w:r w:rsidR="008C1EF8" w:rsidRPr="00AE6D77">
        <w:rPr>
          <w:bdr w:val="nil"/>
          <w:lang w:val="en-GB"/>
        </w:rPr>
        <w:t>E</w:t>
      </w:r>
      <w:r w:rsidR="00AD60B3" w:rsidRPr="00AE6D77">
        <w:rPr>
          <w:bdr w:val="nil"/>
          <w:lang w:val="en-GB"/>
        </w:rPr>
        <w:t xml:space="preserve">conomic structure, </w:t>
      </w:r>
      <w:r w:rsidR="00592412" w:rsidRPr="00AE6D77">
        <w:rPr>
          <w:bdr w:val="nil"/>
          <w:lang w:val="en-GB"/>
        </w:rPr>
        <w:t>B)</w:t>
      </w:r>
      <w:r w:rsidR="008C1EF8" w:rsidRPr="00AE6D77">
        <w:rPr>
          <w:bdr w:val="nil"/>
          <w:lang w:val="en-GB"/>
        </w:rPr>
        <w:t xml:space="preserve"> Technology treatment</w:t>
      </w:r>
      <w:r w:rsidR="00AD60B3" w:rsidRPr="00AE6D77">
        <w:rPr>
          <w:bdr w:val="nil"/>
          <w:lang w:val="en-GB"/>
        </w:rPr>
        <w:t xml:space="preserve">, </w:t>
      </w:r>
      <w:r w:rsidR="00592412" w:rsidRPr="00AE6D77">
        <w:rPr>
          <w:bdr w:val="nil"/>
          <w:lang w:val="en-GB"/>
        </w:rPr>
        <w:t xml:space="preserve">C) </w:t>
      </w:r>
      <w:r w:rsidR="008C1EF8" w:rsidRPr="00AE6D77">
        <w:rPr>
          <w:bdr w:val="nil"/>
          <w:lang w:val="en-GB"/>
        </w:rPr>
        <w:t>Treatment of agents’ behaviour and time</w:t>
      </w:r>
      <w:r w:rsidR="00AD60B3" w:rsidRPr="00AE6D77">
        <w:rPr>
          <w:bdr w:val="nil"/>
          <w:lang w:val="en-GB"/>
        </w:rPr>
        <w:t xml:space="preserve">, </w:t>
      </w:r>
      <w:r w:rsidR="00592412" w:rsidRPr="00AE6D77">
        <w:rPr>
          <w:bdr w:val="nil"/>
          <w:lang w:val="en-GB"/>
        </w:rPr>
        <w:t xml:space="preserve">D) </w:t>
      </w:r>
      <w:r w:rsidR="008C1EF8" w:rsidRPr="00AE6D77">
        <w:rPr>
          <w:bdr w:val="nil"/>
          <w:lang w:val="en-GB"/>
        </w:rPr>
        <w:t>A</w:t>
      </w:r>
      <w:r w:rsidR="00AD60B3" w:rsidRPr="00AE6D77">
        <w:rPr>
          <w:bdr w:val="nil"/>
          <w:lang w:val="en-GB"/>
        </w:rPr>
        <w:t>ppearance</w:t>
      </w:r>
      <w:r w:rsidR="00AE7C09" w:rsidRPr="00AE6D77">
        <w:rPr>
          <w:bdr w:val="nil"/>
          <w:lang w:val="en-GB"/>
        </w:rPr>
        <w:t xml:space="preserve"> of government and central bank</w:t>
      </w:r>
      <w:r w:rsidR="00AD60B3" w:rsidRPr="00AE6D77">
        <w:rPr>
          <w:bdr w:val="nil"/>
          <w:lang w:val="en-GB"/>
        </w:rPr>
        <w:t xml:space="preserve">, </w:t>
      </w:r>
      <w:r w:rsidR="00592412" w:rsidRPr="00AE6D77">
        <w:rPr>
          <w:bdr w:val="nil"/>
          <w:lang w:val="en-GB"/>
        </w:rPr>
        <w:t xml:space="preserve">E) </w:t>
      </w:r>
      <w:r w:rsidR="00475477" w:rsidRPr="00AE6D77">
        <w:rPr>
          <w:bdr w:val="nil"/>
          <w:lang w:val="en-GB"/>
        </w:rPr>
        <w:t xml:space="preserve">Energy </w:t>
      </w:r>
      <w:r w:rsidR="003B3B5D" w:rsidRPr="00AE6D77">
        <w:rPr>
          <w:bdr w:val="nil"/>
          <w:lang w:val="en-GB"/>
        </w:rPr>
        <w:t xml:space="preserve">supply sector </w:t>
      </w:r>
      <w:r w:rsidR="00AD60B3" w:rsidRPr="00AE6D77">
        <w:rPr>
          <w:bdr w:val="nil"/>
          <w:lang w:val="en-GB"/>
        </w:rPr>
        <w:t xml:space="preserve">and </w:t>
      </w:r>
      <w:r w:rsidR="00592412" w:rsidRPr="00AE6D77">
        <w:rPr>
          <w:bdr w:val="nil"/>
          <w:lang w:val="en-GB"/>
        </w:rPr>
        <w:t xml:space="preserve">F) </w:t>
      </w:r>
      <w:r w:rsidR="003B3B5D" w:rsidRPr="00AE6D77">
        <w:rPr>
          <w:bdr w:val="nil"/>
          <w:lang w:val="en-GB"/>
        </w:rPr>
        <w:t>Integration of the environment</w:t>
      </w:r>
      <w:r w:rsidR="00AD60B3" w:rsidRPr="00AE6D77">
        <w:rPr>
          <w:bdr w:val="nil"/>
          <w:lang w:val="en-GB"/>
        </w:rPr>
        <w:t xml:space="preserve">. </w:t>
      </w:r>
      <w:r w:rsidRPr="00AE6D77">
        <w:rPr>
          <w:bdr w:val="nil"/>
          <w:lang w:val="en-GB"/>
        </w:rPr>
        <w:t>Most of these cores include a set of subtopics (see table 1)</w:t>
      </w:r>
      <w:r w:rsidR="00171FE5" w:rsidRPr="00AE6D77">
        <w:rPr>
          <w:bdr w:val="nil"/>
          <w:lang w:val="en-GB"/>
        </w:rPr>
        <w:t xml:space="preserve">. </w:t>
      </w:r>
      <w:r w:rsidR="003B3B5D" w:rsidRPr="00AE6D77">
        <w:rPr>
          <w:bdr w:val="nil"/>
          <w:lang w:val="en-GB"/>
        </w:rPr>
        <w:t>The introduction of subtopics allows a more detailed discussion on how the reviewed models account or do not account for the different desired features i) to viii) of a new approach in economics.</w:t>
      </w:r>
      <w:r w:rsidRPr="00AE6D77">
        <w:rPr>
          <w:bdr w:val="nil"/>
          <w:lang w:val="en-GB"/>
        </w:rPr>
        <w:t xml:space="preserve"> For all reviewed models, t</w:t>
      </w:r>
      <w:r w:rsidR="00AD60B3" w:rsidRPr="00AE6D77">
        <w:rPr>
          <w:bdr w:val="nil"/>
          <w:lang w:val="en-GB"/>
        </w:rPr>
        <w:t xml:space="preserve">he complete </w:t>
      </w:r>
      <w:r w:rsidR="00E55D75" w:rsidRPr="00AE6D77">
        <w:rPr>
          <w:bdr w:val="nil"/>
          <w:lang w:val="en-GB"/>
        </w:rPr>
        <w:t>documentation</w:t>
      </w:r>
      <w:r w:rsidR="00AD60B3" w:rsidRPr="00AE6D77">
        <w:rPr>
          <w:bdr w:val="nil"/>
          <w:lang w:val="en-GB"/>
        </w:rPr>
        <w:t xml:space="preserve"> </w:t>
      </w:r>
      <w:r w:rsidR="00860CDB" w:rsidRPr="00AE6D77">
        <w:rPr>
          <w:bdr w:val="nil"/>
          <w:lang w:val="en-GB"/>
        </w:rPr>
        <w:t xml:space="preserve">of </w:t>
      </w:r>
      <w:r w:rsidR="00AD60B3" w:rsidRPr="00AE6D77">
        <w:rPr>
          <w:bdr w:val="nil"/>
          <w:lang w:val="en-GB"/>
        </w:rPr>
        <w:t>cores</w:t>
      </w:r>
      <w:r w:rsidR="00E55D75" w:rsidRPr="00AE6D77">
        <w:rPr>
          <w:bdr w:val="nil"/>
          <w:lang w:val="en-GB"/>
        </w:rPr>
        <w:t xml:space="preserve"> A) to F)</w:t>
      </w:r>
      <w:r w:rsidR="00171FE5" w:rsidRPr="00AE6D77">
        <w:rPr>
          <w:bdr w:val="nil"/>
          <w:lang w:val="en-GB"/>
        </w:rPr>
        <w:t xml:space="preserve">, including </w:t>
      </w:r>
      <w:r w:rsidR="00E55D75" w:rsidRPr="00AE6D77">
        <w:rPr>
          <w:bdr w:val="nil"/>
          <w:lang w:val="en-GB"/>
        </w:rPr>
        <w:t xml:space="preserve">the indicated </w:t>
      </w:r>
      <w:r w:rsidR="002150D0" w:rsidRPr="00AE6D77">
        <w:rPr>
          <w:bdr w:val="nil"/>
          <w:lang w:val="en-GB"/>
        </w:rPr>
        <w:t>subtopic</w:t>
      </w:r>
      <w:r w:rsidR="00860CDB" w:rsidRPr="00AE6D77">
        <w:rPr>
          <w:bdr w:val="nil"/>
          <w:lang w:val="en-GB"/>
        </w:rPr>
        <w:t xml:space="preserve">s, </w:t>
      </w:r>
      <w:r w:rsidR="00AD60B3" w:rsidRPr="00AE6D77">
        <w:rPr>
          <w:bdr w:val="nil"/>
          <w:lang w:val="en-GB"/>
        </w:rPr>
        <w:t xml:space="preserve">can be found </w:t>
      </w:r>
      <w:r w:rsidR="007168AD" w:rsidRPr="00AE6D77">
        <w:rPr>
          <w:bdr w:val="nil"/>
          <w:lang w:val="en-GB"/>
        </w:rPr>
        <w:t xml:space="preserve">in </w:t>
      </w:r>
      <w:r w:rsidR="00AD60B3" w:rsidRPr="00AE6D77">
        <w:rPr>
          <w:bdr w:val="nil"/>
          <w:lang w:val="en-GB"/>
        </w:rPr>
        <w:t xml:space="preserve">the supplementary </w:t>
      </w:r>
      <w:r w:rsidR="007168AD" w:rsidRPr="00AE6D77">
        <w:rPr>
          <w:bdr w:val="nil"/>
          <w:lang w:val="en-GB"/>
        </w:rPr>
        <w:t>material</w:t>
      </w:r>
      <w:r w:rsidR="00AD60B3" w:rsidRPr="00AE6D77">
        <w:rPr>
          <w:bdr w:val="nil"/>
          <w:lang w:val="en-GB"/>
        </w:rPr>
        <w:t xml:space="preserve">. </w:t>
      </w:r>
      <w:r w:rsidRPr="00AE6D77">
        <w:rPr>
          <w:bdr w:val="nil"/>
          <w:lang w:val="en-GB"/>
        </w:rPr>
        <w:t xml:space="preserve">For further information, </w:t>
      </w:r>
      <w:r w:rsidR="00860CDB" w:rsidRPr="00AE6D77">
        <w:rPr>
          <w:bdr w:val="nil"/>
          <w:lang w:val="en-GB"/>
        </w:rPr>
        <w:t>our</w:t>
      </w:r>
      <w:r w:rsidRPr="00AE6D77">
        <w:rPr>
          <w:bdr w:val="nil"/>
          <w:lang w:val="en-GB"/>
        </w:rPr>
        <w:t xml:space="preserve"> model documentation contains </w:t>
      </w:r>
      <w:r w:rsidR="00C12A04" w:rsidRPr="00AE6D77">
        <w:rPr>
          <w:bdr w:val="nil"/>
          <w:lang w:val="en-GB"/>
        </w:rPr>
        <w:t>in addition</w:t>
      </w:r>
      <w:r w:rsidR="00860CDB" w:rsidRPr="00AE6D77">
        <w:rPr>
          <w:bdr w:val="nil"/>
          <w:lang w:val="en-GB"/>
        </w:rPr>
        <w:t xml:space="preserve"> </w:t>
      </w:r>
      <w:r w:rsidRPr="00AE6D77">
        <w:rPr>
          <w:bdr w:val="nil"/>
          <w:lang w:val="en-GB"/>
        </w:rPr>
        <w:t xml:space="preserve">information energy transition </w:t>
      </w:r>
      <w:r w:rsidR="00C12A04" w:rsidRPr="00AE6D77">
        <w:rPr>
          <w:bdr w:val="nil"/>
          <w:lang w:val="en-GB"/>
        </w:rPr>
        <w:t xml:space="preserve">policies and indicators applied for each of the reviewed models. </w:t>
      </w:r>
    </w:p>
    <w:p w14:paraId="3BF44E8B" w14:textId="07B155F6" w:rsidR="006F5E02" w:rsidRPr="00AE6D77" w:rsidRDefault="00860CDB" w:rsidP="00160576">
      <w:pPr>
        <w:spacing w:after="160" w:line="259" w:lineRule="auto"/>
        <w:rPr>
          <w:rStyle w:val="Ohne"/>
          <w:bdr w:val="nil"/>
          <w:lang w:val="en-GB"/>
        </w:rPr>
      </w:pPr>
      <w:r w:rsidRPr="00AE6D77">
        <w:rPr>
          <w:bdr w:val="nil"/>
          <w:lang w:val="en-GB"/>
        </w:rPr>
        <w:t>Drawing</w:t>
      </w:r>
      <w:r w:rsidR="00AD60B3" w:rsidRPr="00AE6D77">
        <w:rPr>
          <w:bdr w:val="nil"/>
          <w:lang w:val="en-GB"/>
        </w:rPr>
        <w:t xml:space="preserve"> on </w:t>
      </w:r>
      <w:r w:rsidR="006E2541" w:rsidRPr="00AE6D77">
        <w:rPr>
          <w:bdr w:val="nil"/>
          <w:lang w:val="en-GB"/>
        </w:rPr>
        <w:t xml:space="preserve">this </w:t>
      </w:r>
      <w:r w:rsidR="00AD60B3" w:rsidRPr="00AE6D77">
        <w:rPr>
          <w:bdr w:val="nil"/>
          <w:lang w:val="en-GB"/>
        </w:rPr>
        <w:t xml:space="preserve">model documentation, we subsequently </w:t>
      </w:r>
      <w:r w:rsidR="0025664D" w:rsidRPr="00AE6D77">
        <w:rPr>
          <w:bdr w:val="nil"/>
          <w:lang w:val="en-GB"/>
        </w:rPr>
        <w:t xml:space="preserve">assessed </w:t>
      </w:r>
      <w:r w:rsidRPr="00AE6D77">
        <w:rPr>
          <w:bdr w:val="nil"/>
          <w:lang w:val="en-GB"/>
        </w:rPr>
        <w:t xml:space="preserve">how </w:t>
      </w:r>
      <w:r w:rsidR="006F5E02" w:rsidRPr="00AE6D77">
        <w:rPr>
          <w:bdr w:val="nil"/>
          <w:lang w:val="en-GB"/>
        </w:rPr>
        <w:t>each subtopic along the cores A) to F)</w:t>
      </w:r>
      <w:r w:rsidRPr="00AE6D77">
        <w:rPr>
          <w:bdr w:val="nil"/>
          <w:lang w:val="en-GB"/>
        </w:rPr>
        <w:t xml:space="preserve"> </w:t>
      </w:r>
      <w:r w:rsidR="00C12A04" w:rsidRPr="00AE6D77">
        <w:rPr>
          <w:bdr w:val="nil"/>
          <w:lang w:val="en-GB"/>
        </w:rPr>
        <w:t>accounts</w:t>
      </w:r>
      <w:r w:rsidRPr="00AE6D77">
        <w:rPr>
          <w:bdr w:val="nil"/>
          <w:lang w:val="en-GB"/>
        </w:rPr>
        <w:t xml:space="preserve"> or does not </w:t>
      </w:r>
      <w:r w:rsidR="00C12A04" w:rsidRPr="00AE6D77">
        <w:rPr>
          <w:bdr w:val="nil"/>
          <w:lang w:val="en-GB"/>
        </w:rPr>
        <w:t>account for</w:t>
      </w:r>
      <w:r w:rsidRPr="00AE6D77">
        <w:rPr>
          <w:bdr w:val="nil"/>
          <w:lang w:val="en-GB"/>
        </w:rPr>
        <w:t xml:space="preserve"> the desired features i) to viii) of a new approach in economics. </w:t>
      </w:r>
      <w:r w:rsidR="006B102B" w:rsidRPr="00AE6D77">
        <w:rPr>
          <w:bdr w:val="nil"/>
          <w:lang w:val="en-GB"/>
        </w:rPr>
        <w:t xml:space="preserve">For example, we investigated whether subtopic (4) ‘Pricing’ of the economic structure (core A) is modelled based on heterogeneous agents’ interactions (feature iii of a new economic approach) or </w:t>
      </w:r>
      <w:r w:rsidR="004244E7" w:rsidRPr="00AE6D77">
        <w:rPr>
          <w:bdr w:val="nil"/>
          <w:lang w:val="en-GB"/>
        </w:rPr>
        <w:t xml:space="preserve">includes </w:t>
      </w:r>
      <w:r w:rsidR="006B102B" w:rsidRPr="00AE6D77">
        <w:rPr>
          <w:bdr w:val="nil"/>
          <w:lang w:val="en-GB"/>
        </w:rPr>
        <w:t>interdisciplinary knowledge (feature iv)</w:t>
      </w:r>
      <w:r w:rsidR="004244E7" w:rsidRPr="00AE6D77">
        <w:rPr>
          <w:bdr w:val="nil"/>
          <w:lang w:val="en-GB"/>
        </w:rPr>
        <w:t xml:space="preserve">. </w:t>
      </w:r>
    </w:p>
    <w:p w14:paraId="15F3DBFE" w14:textId="47F8345A" w:rsidR="00171FE5" w:rsidRPr="00380144" w:rsidRDefault="00171FE5" w:rsidP="00160576">
      <w:pPr>
        <w:pStyle w:val="Caption"/>
        <w:rPr>
          <w:color w:val="auto"/>
          <w:lang w:val="en-GB"/>
        </w:rPr>
      </w:pPr>
      <w:r w:rsidRPr="00380144">
        <w:rPr>
          <w:color w:val="auto"/>
          <w:lang w:val="en-GB"/>
        </w:rPr>
        <w:t xml:space="preserve">Table </w:t>
      </w:r>
      <w:r w:rsidR="003B1B6F" w:rsidRPr="00380144">
        <w:rPr>
          <w:color w:val="auto"/>
          <w:lang w:val="en-GB"/>
        </w:rPr>
        <w:fldChar w:fldCharType="begin"/>
      </w:r>
      <w:r w:rsidR="003B1B6F" w:rsidRPr="00380144">
        <w:rPr>
          <w:color w:val="auto"/>
          <w:lang w:val="en-GB"/>
        </w:rPr>
        <w:instrText xml:space="preserve"> SEQ Table \* ARABIC \s 1 </w:instrText>
      </w:r>
      <w:r w:rsidR="003B1B6F" w:rsidRPr="00380144">
        <w:rPr>
          <w:color w:val="auto"/>
          <w:lang w:val="en-GB"/>
        </w:rPr>
        <w:fldChar w:fldCharType="separate"/>
      </w:r>
      <w:r w:rsidR="003B1B6F" w:rsidRPr="00380144">
        <w:rPr>
          <w:color w:val="auto"/>
          <w:lang w:val="en-GB"/>
        </w:rPr>
        <w:t>1</w:t>
      </w:r>
      <w:r w:rsidR="003B1B6F" w:rsidRPr="00380144">
        <w:rPr>
          <w:color w:val="auto"/>
          <w:lang w:val="en-GB"/>
        </w:rPr>
        <w:fldChar w:fldCharType="end"/>
      </w:r>
      <w:r w:rsidRPr="00AE6D77">
        <w:rPr>
          <w:color w:val="auto"/>
          <w:lang w:val="en-GB"/>
        </w:rPr>
        <w:t>:</w:t>
      </w:r>
      <w:r w:rsidRPr="00380144">
        <w:rPr>
          <w:color w:val="auto"/>
          <w:lang w:val="en-GB"/>
        </w:rPr>
        <w:t xml:space="preserve"> Overview on the evaluated model structures</w:t>
      </w:r>
    </w:p>
    <w:p w14:paraId="20C33374" w14:textId="00100742" w:rsidR="0025664D" w:rsidRPr="00AE6D77" w:rsidRDefault="0025664D" w:rsidP="00160576">
      <w:pPr>
        <w:pStyle w:val="Heading1"/>
        <w:rPr>
          <w:color w:val="auto"/>
          <w:sz w:val="24"/>
          <w:szCs w:val="24"/>
        </w:rPr>
      </w:pPr>
      <w:r w:rsidRPr="00AE6D77">
        <w:rPr>
          <w:color w:val="auto"/>
          <w:sz w:val="24"/>
          <w:szCs w:val="24"/>
        </w:rPr>
        <w:t>4.</w:t>
      </w:r>
      <w:r w:rsidR="00DE2779" w:rsidRPr="00AE6D77">
        <w:rPr>
          <w:color w:val="auto"/>
          <w:sz w:val="24"/>
          <w:szCs w:val="24"/>
        </w:rPr>
        <w:t xml:space="preserve"> </w:t>
      </w:r>
      <w:r w:rsidRPr="00AE6D77">
        <w:rPr>
          <w:color w:val="auto"/>
          <w:sz w:val="24"/>
          <w:szCs w:val="24"/>
        </w:rPr>
        <w:t>Results and discussion</w:t>
      </w:r>
    </w:p>
    <w:p w14:paraId="7B99B078" w14:textId="77777777" w:rsidR="0025664D" w:rsidRPr="00AE6D77" w:rsidRDefault="0025664D" w:rsidP="00160576">
      <w:pPr>
        <w:rPr>
          <w:lang w:val="en-GB"/>
        </w:rPr>
      </w:pPr>
    </w:p>
    <w:p w14:paraId="63DBC1E6" w14:textId="7F0BA64A" w:rsidR="00D70747" w:rsidRPr="00AE6D77" w:rsidRDefault="0025664D" w:rsidP="00160576">
      <w:pPr>
        <w:rPr>
          <w:lang w:val="en-GB"/>
        </w:rPr>
      </w:pPr>
      <w:r w:rsidRPr="00AE6D77">
        <w:rPr>
          <w:lang w:val="en-GB"/>
        </w:rPr>
        <w:t xml:space="preserve">Based on </w:t>
      </w:r>
      <w:r w:rsidR="00027293" w:rsidRPr="00AE6D77">
        <w:rPr>
          <w:lang w:val="en-GB"/>
        </w:rPr>
        <w:t>the</w:t>
      </w:r>
      <w:r w:rsidR="006E2541" w:rsidRPr="00AE6D77">
        <w:rPr>
          <w:lang w:val="en-GB"/>
        </w:rPr>
        <w:t xml:space="preserve"> </w:t>
      </w:r>
      <w:r w:rsidRPr="00AE6D77">
        <w:rPr>
          <w:lang w:val="en-GB"/>
        </w:rPr>
        <w:t>model inclusion criteria, we identified eleven models. Six among the eleven identified models are large-scale</w:t>
      </w:r>
      <w:r w:rsidR="00D70747" w:rsidRPr="00AE6D77">
        <w:rPr>
          <w:rStyle w:val="FootnoteReference"/>
          <w:lang w:val="en-GB"/>
        </w:rPr>
        <w:footnoteReference w:id="11"/>
      </w:r>
      <w:r w:rsidRPr="00AE6D77">
        <w:rPr>
          <w:lang w:val="en-GB"/>
        </w:rPr>
        <w:t xml:space="preserve"> models,</w:t>
      </w:r>
      <w:r w:rsidR="0084431D" w:rsidRPr="00AE6D77">
        <w:rPr>
          <w:lang w:val="en-GB"/>
        </w:rPr>
        <w:t xml:space="preserve"> </w:t>
      </w:r>
      <w:r w:rsidRPr="00AE6D77">
        <w:rPr>
          <w:lang w:val="en-GB"/>
        </w:rPr>
        <w:t>including econometric, system dynamics</w:t>
      </w:r>
      <w:r w:rsidR="00100465">
        <w:rPr>
          <w:lang w:val="en-GB"/>
        </w:rPr>
        <w:t xml:space="preserve"> (SD)</w:t>
      </w:r>
      <w:r w:rsidRPr="00AE6D77">
        <w:rPr>
          <w:lang w:val="en-GB"/>
        </w:rPr>
        <w:t xml:space="preserve"> and agent-based models</w:t>
      </w:r>
      <w:r w:rsidR="00AE6881">
        <w:rPr>
          <w:lang w:val="en-GB"/>
        </w:rPr>
        <w:t xml:space="preserve"> (ABM)</w:t>
      </w:r>
      <w:r w:rsidRPr="00AE6D77">
        <w:rPr>
          <w:lang w:val="en-GB"/>
        </w:rPr>
        <w:t>. The remaining five models are stylized</w:t>
      </w:r>
      <w:r w:rsidR="0084431D" w:rsidRPr="00AE6D77">
        <w:rPr>
          <w:rStyle w:val="FootnoteReference"/>
          <w:lang w:val="en-GB"/>
        </w:rPr>
        <w:footnoteReference w:id="12"/>
      </w:r>
      <w:r w:rsidRPr="00AE6D77">
        <w:rPr>
          <w:lang w:val="en-GB"/>
        </w:rPr>
        <w:t xml:space="preserve"> mathematical models and </w:t>
      </w:r>
      <w:r w:rsidR="00C12A04" w:rsidRPr="00AE6D77">
        <w:rPr>
          <w:lang w:val="en-GB"/>
        </w:rPr>
        <w:t xml:space="preserve">include </w:t>
      </w:r>
      <w:r w:rsidR="00AE6881">
        <w:rPr>
          <w:lang w:val="en-GB"/>
        </w:rPr>
        <w:t>ABM</w:t>
      </w:r>
      <w:r w:rsidR="00C12A04" w:rsidRPr="00AE6D77">
        <w:rPr>
          <w:lang w:val="en-GB"/>
        </w:rPr>
        <w:t xml:space="preserve">, Stock-Flow </w:t>
      </w:r>
      <w:r w:rsidRPr="00AE6D77">
        <w:rPr>
          <w:lang w:val="en-GB"/>
        </w:rPr>
        <w:t>Consistent (SFC)</w:t>
      </w:r>
      <w:r w:rsidR="00C869A2" w:rsidRPr="00AE6D77">
        <w:rPr>
          <w:lang w:val="en-GB"/>
        </w:rPr>
        <w:t xml:space="preserve"> and</w:t>
      </w:r>
      <w:r w:rsidR="00100465">
        <w:rPr>
          <w:lang w:val="en-GB"/>
        </w:rPr>
        <w:t xml:space="preserve"> SD</w:t>
      </w:r>
      <w:r w:rsidR="00E65A74" w:rsidRPr="00AE6D77">
        <w:rPr>
          <w:lang w:val="en-GB"/>
        </w:rPr>
        <w:t xml:space="preserve"> </w:t>
      </w:r>
      <w:r w:rsidR="00C869A2" w:rsidRPr="00AE6D77">
        <w:rPr>
          <w:lang w:val="en-GB"/>
        </w:rPr>
        <w:t xml:space="preserve">models. </w:t>
      </w:r>
      <w:r w:rsidRPr="00AE6D77">
        <w:rPr>
          <w:lang w:val="en-GB"/>
        </w:rPr>
        <w:t>Table 2 gives an ov</w:t>
      </w:r>
      <w:r w:rsidR="0084431D" w:rsidRPr="00AE6D77">
        <w:rPr>
          <w:lang w:val="en-GB"/>
        </w:rPr>
        <w:t>e</w:t>
      </w:r>
      <w:r w:rsidR="000D4738" w:rsidRPr="00AE6D77">
        <w:rPr>
          <w:lang w:val="en-GB"/>
        </w:rPr>
        <w:t xml:space="preserve">rview of the identified models </w:t>
      </w:r>
      <w:r w:rsidR="005A1A3B" w:rsidRPr="00AE6D77">
        <w:rPr>
          <w:lang w:val="en-GB"/>
        </w:rPr>
        <w:t>and the following sub-sections give an overview o</w:t>
      </w:r>
      <w:r w:rsidR="00027293" w:rsidRPr="00AE6D77">
        <w:rPr>
          <w:lang w:val="en-GB"/>
        </w:rPr>
        <w:t>f</w:t>
      </w:r>
      <w:r w:rsidR="005A1A3B" w:rsidRPr="00AE6D77">
        <w:rPr>
          <w:lang w:val="en-GB"/>
        </w:rPr>
        <w:t xml:space="preserve"> the different modelling approaches and theoretical </w:t>
      </w:r>
      <w:r w:rsidR="005A1A3B" w:rsidRPr="00AE6D77">
        <w:rPr>
          <w:lang w:val="en-GB"/>
        </w:rPr>
        <w:lastRenderedPageBreak/>
        <w:t>underpinnings. A more detailed docum</w:t>
      </w:r>
      <w:r w:rsidR="00084470" w:rsidRPr="00AE6D77">
        <w:rPr>
          <w:lang w:val="en-GB"/>
        </w:rPr>
        <w:t xml:space="preserve">entation of the model structure, along the cores A) to F) </w:t>
      </w:r>
      <w:r w:rsidR="005A1A3B" w:rsidRPr="00AE6D77">
        <w:rPr>
          <w:lang w:val="en-GB"/>
        </w:rPr>
        <w:t>can be found in the append</w:t>
      </w:r>
      <w:r w:rsidR="00BC5DE3" w:rsidRPr="00AE6D77">
        <w:rPr>
          <w:lang w:val="en-GB"/>
        </w:rPr>
        <w:t xml:space="preserve">ix and full documentation is captured in supplementary data. </w:t>
      </w:r>
    </w:p>
    <w:p w14:paraId="60D6C807" w14:textId="77777777" w:rsidR="0025664D" w:rsidRPr="00AE6D77" w:rsidRDefault="0025664D" w:rsidP="00160576">
      <w:pPr>
        <w:rPr>
          <w:lang w:val="en-GB"/>
        </w:rPr>
      </w:pPr>
    </w:p>
    <w:p w14:paraId="3C7018F7" w14:textId="3E01EA42" w:rsidR="000309D5" w:rsidRPr="00AE6D77" w:rsidRDefault="0025664D" w:rsidP="006A3046">
      <w:pPr>
        <w:pStyle w:val="Caption"/>
        <w:rPr>
          <w:i w:val="0"/>
          <w:color w:val="auto"/>
          <w:lang w:val="en-GB"/>
        </w:rPr>
      </w:pPr>
      <w:r w:rsidRPr="00AE6D77">
        <w:rPr>
          <w:color w:val="auto"/>
          <w:lang w:val="en-GB"/>
        </w:rPr>
        <w:t xml:space="preserve">Table 2: Overview of the reviewed models </w:t>
      </w:r>
    </w:p>
    <w:p w14:paraId="5C680FA7" w14:textId="77777777" w:rsidR="000D0B3C" w:rsidRPr="00AE6D77" w:rsidRDefault="000D0B3C" w:rsidP="000D0B3C">
      <w:pPr>
        <w:rPr>
          <w:i/>
          <w:szCs w:val="22"/>
          <w:lang w:val="en-GB"/>
        </w:rPr>
      </w:pPr>
      <w:r w:rsidRPr="00AE6D77">
        <w:rPr>
          <w:i/>
          <w:szCs w:val="22"/>
          <w:lang w:val="en-GB"/>
        </w:rPr>
        <w:t xml:space="preserve">4.1. Overview on different modelling approaches </w:t>
      </w:r>
    </w:p>
    <w:p w14:paraId="1F2D711B" w14:textId="77777777" w:rsidR="000D0B3C" w:rsidRPr="00AE6D77" w:rsidRDefault="000D0B3C" w:rsidP="000D0B3C">
      <w:pPr>
        <w:rPr>
          <w:i/>
          <w:szCs w:val="22"/>
          <w:lang w:val="en-GB"/>
        </w:rPr>
      </w:pPr>
    </w:p>
    <w:p w14:paraId="0C6B4F39" w14:textId="77777777" w:rsidR="000D66C5" w:rsidRPr="00AE6D77" w:rsidRDefault="000D66C5" w:rsidP="000D66C5">
      <w:pPr>
        <w:rPr>
          <w:i/>
          <w:szCs w:val="22"/>
          <w:lang w:val="en-GB"/>
        </w:rPr>
      </w:pPr>
      <w:r w:rsidRPr="00AE6D77">
        <w:rPr>
          <w:i/>
          <w:szCs w:val="22"/>
          <w:lang w:val="en-GB"/>
        </w:rPr>
        <w:t>4.1.1. Macro-econometric models</w:t>
      </w:r>
    </w:p>
    <w:p w14:paraId="0BCAF53B" w14:textId="3D4C7122" w:rsidR="000D66C5" w:rsidRPr="00AE6D77" w:rsidRDefault="000D66C5" w:rsidP="000D66C5">
      <w:pPr>
        <w:rPr>
          <w:rFonts w:eastAsia="Times New Roman" w:cstheme="minorHAnsi"/>
          <w:szCs w:val="22"/>
          <w:lang w:val="en-GB"/>
        </w:rPr>
      </w:pPr>
      <w:r w:rsidRPr="00AE6D77">
        <w:rPr>
          <w:iCs/>
          <w:szCs w:val="22"/>
          <w:lang w:val="en-GB"/>
        </w:rPr>
        <w:t>Applied econometrics</w:t>
      </w:r>
      <w:r w:rsidRPr="00AE6D77">
        <w:rPr>
          <w:szCs w:val="22"/>
          <w:lang w:val="en-GB"/>
        </w:rPr>
        <w:t xml:space="preserve"> applies econometric methods to real-world </w:t>
      </w:r>
      <w:r w:rsidRPr="00AE6D77">
        <w:rPr>
          <w:rFonts w:cs="Calibri"/>
          <w:szCs w:val="22"/>
          <w:lang w:val="en-GB"/>
        </w:rPr>
        <w:t>data</w:t>
      </w:r>
      <w:r w:rsidRPr="00AE6D77">
        <w:rPr>
          <w:szCs w:val="22"/>
          <w:lang w:val="en-GB"/>
        </w:rPr>
        <w:t xml:space="preserve"> for assessing economic theories, developing </w:t>
      </w:r>
      <w:r w:rsidRPr="00AE6D77">
        <w:rPr>
          <w:rFonts w:cs="Calibri"/>
          <w:szCs w:val="22"/>
          <w:lang w:val="en-GB"/>
        </w:rPr>
        <w:t>econometric models</w:t>
      </w:r>
      <w:r w:rsidRPr="00AE6D77">
        <w:rPr>
          <w:szCs w:val="22"/>
          <w:lang w:val="en-GB"/>
        </w:rPr>
        <w:t xml:space="preserve">, analysing </w:t>
      </w:r>
      <w:r w:rsidRPr="00AE6D77">
        <w:rPr>
          <w:rFonts w:cs="Calibri"/>
          <w:szCs w:val="22"/>
          <w:lang w:val="en-GB"/>
        </w:rPr>
        <w:t>economic history</w:t>
      </w:r>
      <w:r w:rsidRPr="00AE6D77">
        <w:rPr>
          <w:szCs w:val="22"/>
          <w:lang w:val="en-GB"/>
        </w:rPr>
        <w:t xml:space="preserve">, and </w:t>
      </w:r>
      <w:r w:rsidRPr="00AE6D77">
        <w:rPr>
          <w:rFonts w:cs="Calibri"/>
          <w:szCs w:val="22"/>
          <w:lang w:val="en-GB"/>
        </w:rPr>
        <w:t xml:space="preserve">forecasting. </w:t>
      </w:r>
      <w:r w:rsidRPr="00AE6D77">
        <w:rPr>
          <w:rFonts w:eastAsia="Times New Roman"/>
          <w:szCs w:val="22"/>
          <w:lang w:val="en-GB"/>
        </w:rPr>
        <w:t>Commonly used econometric methods include for example ordinary least square (OLS) (Wooldridge, 2006 and see MEDEAS</w:t>
      </w:r>
      <w:r w:rsidR="006E2541" w:rsidRPr="00AE6D77">
        <w:rPr>
          <w:rFonts w:eastAsia="Times New Roman"/>
          <w:szCs w:val="22"/>
          <w:lang w:val="en-GB"/>
        </w:rPr>
        <w:t>-model</w:t>
      </w:r>
      <w:r w:rsidRPr="00AE6D77">
        <w:rPr>
          <w:rFonts w:eastAsia="Times New Roman"/>
          <w:szCs w:val="22"/>
          <w:lang w:val="en-GB"/>
        </w:rPr>
        <w:t>) or cointegration (Granger, 1986 and see E3ME-model). Econometric methods require often linear relationships between the independent variable and the dependent variable(s), specify specific requirements (e.g. independence) between the different independent variables or these variables and the error term. Various tests are applied in order to assure that these requirements hold for the selected variables and equations (e.g. Durbin</w:t>
      </w:r>
      <w:r w:rsidRPr="00AE6D77">
        <w:rPr>
          <w:rFonts w:eastAsia="Times New Roman" w:cstheme="minorHAnsi"/>
          <w:szCs w:val="22"/>
          <w:lang w:val="en-GB"/>
        </w:rPr>
        <w:t>-Watson test)</w:t>
      </w:r>
      <w:r w:rsidRPr="00AE6D77">
        <w:rPr>
          <w:rFonts w:eastAsia="Times New Roman"/>
          <w:szCs w:val="22"/>
          <w:lang w:val="en-GB"/>
        </w:rPr>
        <w:t xml:space="preserve">. </w:t>
      </w:r>
    </w:p>
    <w:p w14:paraId="042EA2C4" w14:textId="77777777" w:rsidR="000D66C5" w:rsidRPr="00AE6D77" w:rsidRDefault="000D66C5" w:rsidP="000D66C5">
      <w:pPr>
        <w:rPr>
          <w:rFonts w:eastAsia="Times New Roman" w:cstheme="minorHAnsi"/>
          <w:szCs w:val="22"/>
          <w:lang w:val="en-GB"/>
        </w:rPr>
      </w:pPr>
    </w:p>
    <w:p w14:paraId="0C26F3E0" w14:textId="7BC8DBF3" w:rsidR="000D66C5" w:rsidRPr="00AE6D77" w:rsidRDefault="000D66C5" w:rsidP="000D66C5">
      <w:pPr>
        <w:rPr>
          <w:rFonts w:eastAsia="Times New Roman" w:cstheme="minorHAnsi"/>
          <w:szCs w:val="22"/>
          <w:lang w:val="en-GB"/>
        </w:rPr>
      </w:pPr>
      <w:r w:rsidRPr="00AE6D77">
        <w:rPr>
          <w:rFonts w:eastAsia="Times New Roman" w:cstheme="minorHAnsi"/>
          <w:szCs w:val="22"/>
          <w:lang w:val="en-GB"/>
        </w:rPr>
        <w:t xml:space="preserve">Most equations in econometric models are linear or log-linear (Mercure et al. 2018; Oxford Economics, 2017). Two-way causation is econometrically estimated in two ways. First, it can be estimated by a simultaneous equation model in which the dependant variables are functions of other dependant variables (with time lags). Second, vector autoregression (VAR) models are applied to capture linear interdependences among multiple time series. Importantly, macro-econometric models can only include variables for which the required data (e.g. quarterly time series data) exist (Hansen, 2016). </w:t>
      </w:r>
    </w:p>
    <w:p w14:paraId="4D669478" w14:textId="77777777" w:rsidR="000D66C5" w:rsidRPr="00AE6D77" w:rsidRDefault="000D66C5" w:rsidP="000D66C5">
      <w:pPr>
        <w:rPr>
          <w:rFonts w:eastAsia="Times New Roman" w:cstheme="minorHAnsi"/>
          <w:szCs w:val="22"/>
          <w:lang w:val="en-GB"/>
        </w:rPr>
      </w:pPr>
    </w:p>
    <w:p w14:paraId="0DFFC566" w14:textId="76BDF48E" w:rsidR="001A77AE" w:rsidRPr="00AE6D77" w:rsidRDefault="001A77AE" w:rsidP="001A77AE">
      <w:pPr>
        <w:rPr>
          <w:rFonts w:eastAsia="Times New Roman" w:cstheme="minorHAnsi"/>
          <w:szCs w:val="22"/>
          <w:lang w:val="en-GB"/>
        </w:rPr>
      </w:pPr>
      <w:r w:rsidRPr="00AE6D77">
        <w:rPr>
          <w:rFonts w:eastAsia="Times New Roman" w:cstheme="minorHAnsi"/>
          <w:szCs w:val="22"/>
          <w:lang w:val="en-GB"/>
        </w:rPr>
        <w:t xml:space="preserve">With regard to the features of a new approach in economics the following can be indicated: </w:t>
      </w:r>
    </w:p>
    <w:p w14:paraId="28449028" w14:textId="77777777" w:rsidR="001A77AE" w:rsidRPr="00AE6D77" w:rsidRDefault="001A77AE" w:rsidP="001A77AE">
      <w:pPr>
        <w:rPr>
          <w:i/>
          <w:szCs w:val="22"/>
          <w:lang w:val="en-GB"/>
        </w:rPr>
      </w:pPr>
    </w:p>
    <w:p w14:paraId="695B078D" w14:textId="1CFDEBBE" w:rsidR="001A77AE" w:rsidRPr="00AE6D77" w:rsidRDefault="001A77AE" w:rsidP="001A77AE">
      <w:pPr>
        <w:pStyle w:val="ListParagraph"/>
        <w:numPr>
          <w:ilvl w:val="0"/>
          <w:numId w:val="10"/>
        </w:numPr>
        <w:rPr>
          <w:rFonts w:eastAsia="Times New Roman" w:cstheme="minorHAnsi"/>
          <w:szCs w:val="22"/>
          <w:lang w:val="en-GB"/>
        </w:rPr>
      </w:pPr>
      <w:r w:rsidRPr="00AE6D77">
        <w:rPr>
          <w:rFonts w:cstheme="minorHAnsi"/>
          <w:b/>
          <w:szCs w:val="22"/>
          <w:bdr w:val="nil"/>
          <w:lang w:val="en-GB"/>
        </w:rPr>
        <w:t>Complexity, non-linearity, non-ergodicity and deep uncertainty</w:t>
      </w:r>
      <w:r w:rsidRPr="00AE6D77">
        <w:rPr>
          <w:rFonts w:cstheme="minorHAnsi"/>
          <w:szCs w:val="22"/>
          <w:bdr w:val="nil"/>
          <w:lang w:val="en-GB"/>
        </w:rPr>
        <w:t xml:space="preserve">: Econometric equations are often represented as linear or log-linear. Non-linear relationships often linearized in order to simplify the econometric estimation. </w:t>
      </w:r>
      <w:r w:rsidRPr="00AE6D77">
        <w:rPr>
          <w:rFonts w:eastAsia="Times New Roman" w:cstheme="minorHAnsi"/>
          <w:szCs w:val="22"/>
          <w:lang w:val="en-GB"/>
        </w:rPr>
        <w:t>In the short time frame, the numerical coefficients calculated with linear approximation are likely to be valid and thus this lineari</w:t>
      </w:r>
      <w:r w:rsidR="00027293" w:rsidRPr="00AE6D77">
        <w:rPr>
          <w:rFonts w:eastAsia="Times New Roman" w:cstheme="minorHAnsi"/>
          <w:szCs w:val="22"/>
          <w:lang w:val="en-GB"/>
        </w:rPr>
        <w:t>s</w:t>
      </w:r>
      <w:r w:rsidRPr="00AE6D77">
        <w:rPr>
          <w:rFonts w:eastAsia="Times New Roman" w:cstheme="minorHAnsi"/>
          <w:szCs w:val="22"/>
          <w:lang w:val="en-GB"/>
        </w:rPr>
        <w:t xml:space="preserve">ation is adequate for short-term periods, but problematic for long-term periods. Econometrics methods estimate economic relationships based on historical data and assume that future relationships can be derived, drawing on these estimates (i.e. non-ergodicity does not apply). Deep uncertainty is represented to the extent that model agents do not possess perfect information on the future and that it is not </w:t>
      </w:r>
      <w:r w:rsidR="00AE6D77">
        <w:rPr>
          <w:rFonts w:eastAsia="Times New Roman" w:cstheme="minorHAnsi"/>
          <w:szCs w:val="22"/>
          <w:lang w:val="en-GB"/>
        </w:rPr>
        <w:t xml:space="preserve">necessarily </w:t>
      </w:r>
      <w:r w:rsidRPr="00AE6D77">
        <w:rPr>
          <w:rFonts w:eastAsia="Times New Roman" w:cstheme="minorHAnsi"/>
          <w:szCs w:val="22"/>
          <w:lang w:val="en-GB"/>
        </w:rPr>
        <w:t xml:space="preserve">assumed that markets converge towards an optimal equilibrium. </w:t>
      </w:r>
    </w:p>
    <w:p w14:paraId="643D8ED4" w14:textId="77777777" w:rsidR="001A77AE" w:rsidRPr="00AE6D77" w:rsidRDefault="001A77AE" w:rsidP="001A77AE">
      <w:pPr>
        <w:rPr>
          <w:rFonts w:cstheme="minorHAnsi"/>
          <w:szCs w:val="22"/>
          <w:bdr w:val="nil"/>
          <w:lang w:val="en-GB"/>
        </w:rPr>
      </w:pPr>
    </w:p>
    <w:p w14:paraId="2D92D1A4" w14:textId="77777777" w:rsidR="00AE6881" w:rsidRPr="00AE6D77" w:rsidRDefault="00AE6881" w:rsidP="00AE6881">
      <w:pPr>
        <w:pStyle w:val="ListParagraph"/>
        <w:numPr>
          <w:ilvl w:val="0"/>
          <w:numId w:val="10"/>
        </w:numPr>
        <w:rPr>
          <w:rFonts w:cstheme="minorHAnsi"/>
          <w:szCs w:val="22"/>
          <w:bdr w:val="nil"/>
          <w:lang w:val="en-GB"/>
        </w:rPr>
      </w:pPr>
      <w:r w:rsidRPr="00AE6D77">
        <w:rPr>
          <w:rStyle w:val="Ohne"/>
          <w:rFonts w:cstheme="minorHAnsi"/>
          <w:b/>
          <w:szCs w:val="22"/>
          <w:u w:color="000000"/>
          <w:lang w:val="en-GB"/>
        </w:rPr>
        <w:t xml:space="preserve">Importance of time, </w:t>
      </w:r>
      <w:r w:rsidRPr="00AE6D77">
        <w:rPr>
          <w:rFonts w:cstheme="minorHAnsi"/>
          <w:b/>
          <w:szCs w:val="22"/>
          <w:bdr w:val="nil"/>
          <w:lang w:val="en-GB"/>
        </w:rPr>
        <w:t>path-dependency, lock-in and irreversibility</w:t>
      </w:r>
      <w:r w:rsidRPr="00AE6D77">
        <w:rPr>
          <w:rFonts w:cstheme="minorHAnsi"/>
          <w:szCs w:val="22"/>
          <w:bdr w:val="nil"/>
          <w:lang w:val="en-GB"/>
        </w:rPr>
        <w:t xml:space="preserve">: </w:t>
      </w:r>
      <w:r>
        <w:rPr>
          <w:rFonts w:cstheme="minorHAnsi"/>
          <w:szCs w:val="22"/>
          <w:bdr w:val="nil"/>
          <w:lang w:val="en-GB"/>
        </w:rPr>
        <w:t>Macro-e</w:t>
      </w:r>
      <w:r w:rsidRPr="00AE6D77">
        <w:rPr>
          <w:rFonts w:cstheme="minorHAnsi"/>
          <w:szCs w:val="22"/>
          <w:bdr w:val="nil"/>
          <w:lang w:val="en-GB"/>
        </w:rPr>
        <w:t xml:space="preserve">conometric simulation models account for time explicitly. That is, </w:t>
      </w:r>
      <w:r w:rsidRPr="00AE6D77">
        <w:rPr>
          <w:szCs w:val="22"/>
          <w:bdr w:val="nil"/>
          <w:lang w:val="en-GB"/>
        </w:rPr>
        <w:t>the simulated behaviour varies over time and</w:t>
      </w:r>
      <w:r w:rsidRPr="00AE6D77">
        <w:rPr>
          <w:rFonts w:cstheme="minorHAnsi"/>
          <w:szCs w:val="22"/>
          <w:bdr w:val="nil"/>
          <w:lang w:val="en-GB"/>
        </w:rPr>
        <w:t xml:space="preserve"> econometric models </w:t>
      </w:r>
      <w:r>
        <w:rPr>
          <w:rFonts w:cstheme="minorHAnsi"/>
          <w:szCs w:val="22"/>
          <w:bdr w:val="nil"/>
          <w:lang w:val="en-GB"/>
        </w:rPr>
        <w:t>are suitable to</w:t>
      </w:r>
      <w:r w:rsidRPr="00AE6D77">
        <w:rPr>
          <w:rFonts w:cstheme="minorHAnsi"/>
          <w:szCs w:val="22"/>
          <w:bdr w:val="nil"/>
          <w:lang w:val="en-GB"/>
        </w:rPr>
        <w:t xml:space="preserve"> capture path-dependency, lock-in and irreversibility. </w:t>
      </w:r>
    </w:p>
    <w:p w14:paraId="323B04A5" w14:textId="77777777" w:rsidR="001A77AE" w:rsidRPr="00AE6D77" w:rsidRDefault="001A77AE" w:rsidP="001A77AE">
      <w:pPr>
        <w:rPr>
          <w:rFonts w:cstheme="minorHAnsi"/>
          <w:szCs w:val="22"/>
          <w:bdr w:val="nil"/>
          <w:lang w:val="en-GB"/>
        </w:rPr>
      </w:pPr>
    </w:p>
    <w:p w14:paraId="1D2E01A4" w14:textId="4B262532" w:rsidR="001A77AE" w:rsidRPr="00AE6D77" w:rsidRDefault="001A77AE" w:rsidP="001A77AE">
      <w:pPr>
        <w:pStyle w:val="ListParagraph"/>
        <w:numPr>
          <w:ilvl w:val="0"/>
          <w:numId w:val="10"/>
        </w:numPr>
        <w:rPr>
          <w:rFonts w:eastAsia="Times New Roman" w:cs="Calibri"/>
          <w:szCs w:val="22"/>
          <w:lang w:val="en-GB"/>
        </w:rPr>
      </w:pPr>
      <w:r w:rsidRPr="00AE6D77">
        <w:rPr>
          <w:rFonts w:eastAsia="Times New Roman" w:cstheme="minorHAnsi"/>
          <w:b/>
          <w:szCs w:val="22"/>
          <w:lang w:val="en-GB"/>
        </w:rPr>
        <w:t>Agents’ heterogeneity and behavioural elements:</w:t>
      </w:r>
      <w:r w:rsidRPr="00AE6D77">
        <w:rPr>
          <w:rFonts w:eastAsia="Times New Roman" w:cstheme="minorHAnsi"/>
          <w:szCs w:val="22"/>
          <w:lang w:val="en-GB"/>
        </w:rPr>
        <w:t xml:space="preserve"> </w:t>
      </w:r>
      <w:r w:rsidR="00012AE4" w:rsidRPr="00AE6D77">
        <w:rPr>
          <w:rFonts w:eastAsia="Times New Roman" w:cstheme="minorHAnsi"/>
          <w:szCs w:val="22"/>
          <w:lang w:val="en-GB"/>
        </w:rPr>
        <w:t>Macro-e</w:t>
      </w:r>
      <w:r w:rsidRPr="00AE6D77">
        <w:rPr>
          <w:rFonts w:eastAsia="Times New Roman" w:cstheme="minorHAnsi"/>
          <w:szCs w:val="22"/>
          <w:lang w:val="en-GB"/>
        </w:rPr>
        <w:t xml:space="preserve">conometric models are generally on the aggregated macro level. It is to some extent possible to disaggregate </w:t>
      </w:r>
      <w:r w:rsidR="00012AE4" w:rsidRPr="00AE6D77">
        <w:rPr>
          <w:rFonts w:eastAsia="Times New Roman" w:cstheme="minorHAnsi"/>
          <w:szCs w:val="22"/>
          <w:lang w:val="en-GB"/>
        </w:rPr>
        <w:t>macro-</w:t>
      </w:r>
      <w:r w:rsidRPr="00AE6D77">
        <w:rPr>
          <w:rFonts w:eastAsia="Times New Roman" w:cstheme="minorHAnsi"/>
          <w:szCs w:val="22"/>
          <w:lang w:val="en-GB"/>
        </w:rPr>
        <w:t xml:space="preserve">econometric models by for example estimating different equations for different types of agents (e.g. low vs. high-income earners). However, this is subject to data </w:t>
      </w:r>
      <w:r w:rsidRPr="00AE6D77">
        <w:rPr>
          <w:rFonts w:eastAsia="Times New Roman" w:cstheme="minorHAnsi"/>
          <w:szCs w:val="22"/>
          <w:lang w:val="en-GB"/>
        </w:rPr>
        <w:lastRenderedPageBreak/>
        <w:t xml:space="preserve">availability and the model </w:t>
      </w:r>
      <w:r w:rsidRPr="00AE6D77">
        <w:rPr>
          <w:rFonts w:eastAsia="Times New Roman" w:cs="Calibri"/>
          <w:szCs w:val="22"/>
          <w:lang w:val="en-GB"/>
        </w:rPr>
        <w:t xml:space="preserve">software for econometric models is less flexible when it comes to the representation of agent’s interactions as compared to ABM. Behavioural variables can be included in </w:t>
      </w:r>
      <w:r w:rsidR="00012AE4" w:rsidRPr="00AE6D77">
        <w:rPr>
          <w:rFonts w:eastAsia="Times New Roman" w:cs="Calibri"/>
          <w:szCs w:val="22"/>
          <w:lang w:val="en-GB"/>
        </w:rPr>
        <w:t>macro-</w:t>
      </w:r>
      <w:r w:rsidRPr="00AE6D77">
        <w:rPr>
          <w:rFonts w:eastAsia="Times New Roman" w:cs="Calibri"/>
          <w:szCs w:val="22"/>
          <w:lang w:val="en-GB"/>
        </w:rPr>
        <w:t>econometric models to the extent that the required data (or a suitable proxy variable</w:t>
      </w:r>
      <w:r w:rsidRPr="00AE6D77">
        <w:rPr>
          <w:rStyle w:val="FootnoteReference"/>
          <w:rFonts w:eastAsia="Times New Roman" w:cs="Calibri"/>
          <w:szCs w:val="22"/>
          <w:lang w:val="en-GB"/>
        </w:rPr>
        <w:footnoteReference w:id="13"/>
      </w:r>
      <w:r w:rsidRPr="00AE6D77">
        <w:rPr>
          <w:rFonts w:eastAsia="Times New Roman" w:cs="Calibri"/>
          <w:szCs w:val="22"/>
          <w:lang w:val="en-GB"/>
        </w:rPr>
        <w:t xml:space="preserve">) is available. </w:t>
      </w:r>
    </w:p>
    <w:p w14:paraId="09019FF0" w14:textId="77777777" w:rsidR="001A77AE" w:rsidRPr="00AE6D77" w:rsidRDefault="001A77AE" w:rsidP="001A77AE">
      <w:pPr>
        <w:rPr>
          <w:rFonts w:eastAsia="Times New Roman" w:cstheme="minorHAnsi"/>
          <w:szCs w:val="22"/>
          <w:lang w:val="en-GB"/>
        </w:rPr>
      </w:pPr>
    </w:p>
    <w:p w14:paraId="1E6165E0" w14:textId="333F3705" w:rsidR="001A77AE" w:rsidRPr="00AE6D77" w:rsidRDefault="001A77AE" w:rsidP="001A77AE">
      <w:pPr>
        <w:ind w:left="1070" w:hanging="710"/>
        <w:rPr>
          <w:rFonts w:eastAsia="Times New Roman" w:cstheme="minorHAnsi"/>
          <w:szCs w:val="22"/>
          <w:lang w:val="en-GB"/>
        </w:rPr>
      </w:pPr>
      <w:r w:rsidRPr="00AE6D77">
        <w:rPr>
          <w:rFonts w:eastAsia="Times New Roman" w:cstheme="minorHAnsi"/>
          <w:b/>
          <w:szCs w:val="22"/>
          <w:lang w:val="en-GB"/>
        </w:rPr>
        <w:t>iv - vi)</w:t>
      </w:r>
      <w:r w:rsidRPr="00AE6D77">
        <w:rPr>
          <w:rFonts w:eastAsia="Times New Roman" w:cstheme="minorHAnsi"/>
          <w:szCs w:val="22"/>
          <w:lang w:val="en-GB"/>
        </w:rPr>
        <w:t xml:space="preserve"> </w:t>
      </w:r>
      <w:r w:rsidRPr="00AE6D77">
        <w:rPr>
          <w:rFonts w:eastAsia="Times New Roman" w:cstheme="minorHAnsi"/>
          <w:szCs w:val="22"/>
          <w:lang w:val="en-GB"/>
        </w:rPr>
        <w:tab/>
      </w:r>
      <w:r w:rsidRPr="00AE6D77">
        <w:rPr>
          <w:rFonts w:cs="Calibri"/>
          <w:b/>
          <w:szCs w:val="22"/>
          <w:bdr w:val="nil"/>
          <w:lang w:val="en-GB"/>
        </w:rPr>
        <w:t xml:space="preserve">Interdisciplinary, social and institutional context; Ethical and moral philosophical aspects: </w:t>
      </w:r>
      <w:r w:rsidR="00012AE4" w:rsidRPr="00AE6D77">
        <w:rPr>
          <w:rFonts w:cs="Calibri"/>
          <w:szCs w:val="22"/>
          <w:bdr w:val="nil"/>
          <w:lang w:val="en-GB"/>
        </w:rPr>
        <w:t>Macro</w:t>
      </w:r>
      <w:r w:rsidR="00012AE4" w:rsidRPr="00AE6D77">
        <w:rPr>
          <w:rFonts w:cs="Calibri"/>
          <w:b/>
          <w:szCs w:val="22"/>
          <w:bdr w:val="nil"/>
          <w:lang w:val="en-GB"/>
        </w:rPr>
        <w:t>-</w:t>
      </w:r>
      <w:r w:rsidR="00012AE4" w:rsidRPr="00AE6D77">
        <w:rPr>
          <w:rFonts w:eastAsia="Times New Roman" w:cstheme="minorHAnsi"/>
          <w:szCs w:val="22"/>
          <w:lang w:val="en-GB"/>
        </w:rPr>
        <w:t>e</w:t>
      </w:r>
      <w:r w:rsidRPr="00AE6D77">
        <w:rPr>
          <w:rFonts w:eastAsia="Times New Roman" w:cstheme="minorHAnsi"/>
          <w:szCs w:val="22"/>
          <w:lang w:val="en-GB"/>
        </w:rPr>
        <w:t xml:space="preserve">conometric models can generally include various types of variables as long as the requirement of data is satisfied for these variables or a suitable proxy variable can be identified. </w:t>
      </w:r>
    </w:p>
    <w:p w14:paraId="198DF1E2" w14:textId="77777777" w:rsidR="001A77AE" w:rsidRPr="00AE6D77" w:rsidRDefault="001A77AE" w:rsidP="001A77AE">
      <w:pPr>
        <w:rPr>
          <w:rFonts w:cs="Calibri"/>
          <w:szCs w:val="22"/>
          <w:bdr w:val="nil"/>
          <w:lang w:val="en-GB"/>
        </w:rPr>
      </w:pPr>
    </w:p>
    <w:p w14:paraId="758524B8" w14:textId="48F0C54B" w:rsidR="001A77AE" w:rsidRPr="00AE6D77" w:rsidRDefault="001A77AE" w:rsidP="001A77AE">
      <w:pPr>
        <w:ind w:left="1070" w:hanging="690"/>
        <w:rPr>
          <w:rFonts w:cs="Calibri"/>
          <w:szCs w:val="22"/>
          <w:lang w:val="en-GB"/>
        </w:rPr>
      </w:pPr>
      <w:r w:rsidRPr="00AE6D77">
        <w:rPr>
          <w:rFonts w:cs="Calibri"/>
          <w:b/>
          <w:szCs w:val="22"/>
          <w:bdr w:val="nil"/>
          <w:lang w:val="en-GB"/>
        </w:rPr>
        <w:t xml:space="preserve">vii) </w:t>
      </w:r>
      <w:r w:rsidRPr="00AE6D77">
        <w:rPr>
          <w:rFonts w:cs="Calibri"/>
          <w:b/>
          <w:szCs w:val="22"/>
          <w:bdr w:val="nil"/>
          <w:lang w:val="en-GB"/>
        </w:rPr>
        <w:tab/>
      </w:r>
      <w:r w:rsidR="00AE6881" w:rsidRPr="00AE6D77">
        <w:rPr>
          <w:rFonts w:cs="Calibri"/>
          <w:b/>
          <w:szCs w:val="22"/>
          <w:bdr w:val="nil"/>
          <w:lang w:val="en-GB"/>
        </w:rPr>
        <w:t>Finance:</w:t>
      </w:r>
      <w:r w:rsidR="00AE6881" w:rsidRPr="00AE6D77">
        <w:rPr>
          <w:rFonts w:cs="Calibri"/>
          <w:szCs w:val="22"/>
          <w:bdr w:val="nil"/>
          <w:lang w:val="en-GB"/>
        </w:rPr>
        <w:t xml:space="preserve"> </w:t>
      </w:r>
      <w:r w:rsidR="00AE6881">
        <w:rPr>
          <w:rFonts w:cs="Calibri"/>
          <w:szCs w:val="22"/>
          <w:bdr w:val="nil"/>
          <w:lang w:val="en-GB"/>
        </w:rPr>
        <w:t>Macro-econometric models</w:t>
      </w:r>
      <w:r w:rsidR="00AE6881" w:rsidRPr="00AE6D77">
        <w:rPr>
          <w:rFonts w:cs="Calibri"/>
          <w:szCs w:val="22"/>
          <w:bdr w:val="nil"/>
          <w:lang w:val="en-GB"/>
        </w:rPr>
        <w:t xml:space="preserve"> </w:t>
      </w:r>
      <w:r w:rsidR="00AE6881">
        <w:rPr>
          <w:rFonts w:cs="Calibri"/>
          <w:szCs w:val="22"/>
          <w:bdr w:val="nil"/>
          <w:lang w:val="en-GB"/>
        </w:rPr>
        <w:t>are</w:t>
      </w:r>
      <w:r w:rsidR="00AE6881" w:rsidRPr="00AE6D77">
        <w:rPr>
          <w:rFonts w:cs="Calibri"/>
          <w:szCs w:val="22"/>
          <w:bdr w:val="nil"/>
          <w:lang w:val="en-GB"/>
        </w:rPr>
        <w:t xml:space="preserve"> generally not used to </w:t>
      </w:r>
      <w:r w:rsidR="00AE6881">
        <w:rPr>
          <w:rFonts w:cs="Calibri"/>
          <w:szCs w:val="22"/>
          <w:bdr w:val="nil"/>
          <w:lang w:val="en-GB"/>
        </w:rPr>
        <w:t>represent</w:t>
      </w:r>
      <w:r w:rsidR="00AE6881" w:rsidRPr="00AE6D77">
        <w:rPr>
          <w:rFonts w:cs="Calibri"/>
          <w:szCs w:val="22"/>
          <w:bdr w:val="nil"/>
          <w:lang w:val="en-GB"/>
        </w:rPr>
        <w:t xml:space="preserve"> financial</w:t>
      </w:r>
      <w:r w:rsidR="00AE6881">
        <w:rPr>
          <w:rFonts w:cs="Calibri"/>
          <w:szCs w:val="22"/>
          <w:bdr w:val="nil"/>
          <w:lang w:val="en-GB"/>
        </w:rPr>
        <w:t xml:space="preserve"> </w:t>
      </w:r>
      <w:r w:rsidR="00AE6881" w:rsidRPr="00AE6D77">
        <w:rPr>
          <w:rFonts w:cs="Calibri"/>
          <w:szCs w:val="22"/>
          <w:bdr w:val="nil"/>
          <w:lang w:val="en-GB"/>
        </w:rPr>
        <w:t>relationships. However, SFC models can be combined with macro-econometric models</w:t>
      </w:r>
      <w:r w:rsidRPr="00AE6D77">
        <w:rPr>
          <w:rFonts w:cs="Calibri"/>
          <w:szCs w:val="22"/>
          <w:bdr w:val="nil"/>
          <w:lang w:val="en-GB"/>
        </w:rPr>
        <w:t xml:space="preserve">.  </w:t>
      </w:r>
    </w:p>
    <w:p w14:paraId="0FDE9AD6" w14:textId="77777777" w:rsidR="001A77AE" w:rsidRPr="00AE6D77" w:rsidRDefault="001A77AE" w:rsidP="001A77AE">
      <w:pPr>
        <w:rPr>
          <w:rFonts w:cs="Calibri"/>
          <w:szCs w:val="22"/>
          <w:bdr w:val="nil"/>
          <w:lang w:val="en-GB"/>
        </w:rPr>
      </w:pPr>
    </w:p>
    <w:p w14:paraId="69E6BE1C" w14:textId="320A36E9" w:rsidR="001A77AE" w:rsidRPr="00AE6D77" w:rsidRDefault="001A77AE" w:rsidP="001A77AE">
      <w:pPr>
        <w:pStyle w:val="ListParagraph"/>
        <w:numPr>
          <w:ilvl w:val="0"/>
          <w:numId w:val="11"/>
        </w:numPr>
        <w:rPr>
          <w:rFonts w:cs="Calibri"/>
          <w:szCs w:val="22"/>
          <w:bdr w:val="nil"/>
          <w:lang w:val="en-GB"/>
        </w:rPr>
      </w:pPr>
      <w:r w:rsidRPr="00AE6D77">
        <w:rPr>
          <w:rFonts w:cs="Calibri"/>
          <w:b/>
          <w:szCs w:val="22"/>
          <w:bdr w:val="nil"/>
          <w:lang w:val="en-GB"/>
        </w:rPr>
        <w:t xml:space="preserve">Multiple equilibria/disequilibrium: </w:t>
      </w:r>
      <w:r w:rsidR="00012AE4" w:rsidRPr="00AE6D77">
        <w:rPr>
          <w:rFonts w:cs="Calibri"/>
          <w:szCs w:val="22"/>
          <w:bdr w:val="nil"/>
          <w:lang w:val="en-GB"/>
        </w:rPr>
        <w:t>Macro</w:t>
      </w:r>
      <w:r w:rsidR="00012AE4" w:rsidRPr="00AE6D77">
        <w:rPr>
          <w:rFonts w:cs="Calibri"/>
          <w:b/>
          <w:szCs w:val="22"/>
          <w:bdr w:val="nil"/>
          <w:lang w:val="en-GB"/>
        </w:rPr>
        <w:t>-</w:t>
      </w:r>
      <w:r w:rsidR="00012AE4" w:rsidRPr="00AE6D77">
        <w:rPr>
          <w:rFonts w:cs="Calibri"/>
          <w:szCs w:val="22"/>
          <w:bdr w:val="nil"/>
          <w:lang w:val="en-GB"/>
        </w:rPr>
        <w:t>e</w:t>
      </w:r>
      <w:r w:rsidRPr="00AE6D77">
        <w:rPr>
          <w:rFonts w:cs="Calibri"/>
          <w:szCs w:val="22"/>
          <w:bdr w:val="nil"/>
          <w:lang w:val="en-GB"/>
        </w:rPr>
        <w:t xml:space="preserve">conometric models are suitable </w:t>
      </w:r>
      <w:r w:rsidR="0026588B">
        <w:rPr>
          <w:rFonts w:cs="Calibri"/>
          <w:szCs w:val="22"/>
          <w:bdr w:val="nil"/>
          <w:lang w:val="en-GB"/>
        </w:rPr>
        <w:t xml:space="preserve">for </w:t>
      </w:r>
      <w:r w:rsidRPr="00AE6D77">
        <w:rPr>
          <w:rFonts w:cs="Calibri"/>
          <w:szCs w:val="22"/>
          <w:bdr w:val="nil"/>
          <w:lang w:val="en-GB"/>
        </w:rPr>
        <w:t>captur</w:t>
      </w:r>
      <w:r w:rsidR="00CA72AD" w:rsidRPr="00AE6D77">
        <w:rPr>
          <w:rFonts w:cs="Calibri"/>
          <w:szCs w:val="22"/>
          <w:bdr w:val="nil"/>
          <w:lang w:val="en-GB"/>
        </w:rPr>
        <w:t>ing</w:t>
      </w:r>
      <w:r w:rsidRPr="00AE6D77">
        <w:rPr>
          <w:rFonts w:cs="Calibri"/>
          <w:szCs w:val="22"/>
          <w:bdr w:val="nil"/>
          <w:lang w:val="en-GB"/>
        </w:rPr>
        <w:t xml:space="preserve"> multiple equilibria and disequilibrium dynamics (e.g. E3ME</w:t>
      </w:r>
      <w:r w:rsidR="0026588B">
        <w:rPr>
          <w:rFonts w:cs="Calibri"/>
          <w:szCs w:val="22"/>
          <w:bdr w:val="nil"/>
          <w:lang w:val="en-GB"/>
        </w:rPr>
        <w:t>-model</w:t>
      </w:r>
      <w:r w:rsidRPr="00AE6D77">
        <w:rPr>
          <w:rFonts w:cs="Calibri"/>
          <w:szCs w:val="22"/>
          <w:bdr w:val="nil"/>
          <w:lang w:val="en-GB"/>
        </w:rPr>
        <w:t xml:space="preserve">). The interaction of the different econometric equations in the model determine the model outcome and model trajectory, thus multiple equilibria or disequilibrium is the norm rather than the exception. </w:t>
      </w:r>
    </w:p>
    <w:p w14:paraId="5418251E" w14:textId="77777777" w:rsidR="001A77AE" w:rsidRPr="00AE6D77" w:rsidRDefault="001A77AE" w:rsidP="001A77AE">
      <w:pPr>
        <w:rPr>
          <w:i/>
          <w:szCs w:val="22"/>
          <w:lang w:val="en-GB"/>
        </w:rPr>
      </w:pPr>
    </w:p>
    <w:p w14:paraId="3D54CDC9" w14:textId="77777777" w:rsidR="001A77AE" w:rsidRPr="00AE6D77" w:rsidRDefault="001A77AE" w:rsidP="001A77AE">
      <w:pPr>
        <w:rPr>
          <w:i/>
          <w:szCs w:val="22"/>
          <w:lang w:val="en-GB"/>
        </w:rPr>
      </w:pPr>
      <w:r w:rsidRPr="00AE6D77">
        <w:rPr>
          <w:i/>
          <w:szCs w:val="22"/>
          <w:lang w:val="en-GB"/>
        </w:rPr>
        <w:t>4.1.2. System Dynamics models</w:t>
      </w:r>
    </w:p>
    <w:p w14:paraId="79676258" w14:textId="77777777" w:rsidR="001A77AE" w:rsidRPr="00AE6D77" w:rsidRDefault="001A77AE" w:rsidP="001A77AE">
      <w:pPr>
        <w:rPr>
          <w:rFonts w:cs="Calibri"/>
          <w:szCs w:val="22"/>
          <w:lang w:val="en-GB"/>
        </w:rPr>
      </w:pPr>
      <w:r w:rsidRPr="00AE6D77">
        <w:rPr>
          <w:szCs w:val="22"/>
          <w:lang w:val="en-GB"/>
        </w:rPr>
        <w:t>System dynamics (SD) was elaborated by Jay Forrester in the 1960s at MIT and is grounded in the theory of non-linear dynamics and feedback control developed in mathematics, physics and engineering (Forrester, 1958; 1961). SD applies concepts of those disciplines in its modelling approach (e.g. the idea to understand and manage systems through</w:t>
      </w:r>
      <w:r w:rsidRPr="00AE6D77">
        <w:rPr>
          <w:rFonts w:cs="Calibri"/>
          <w:szCs w:val="22"/>
          <w:lang w:val="en-GB"/>
        </w:rPr>
        <w:t xml:space="preserve"> feedback loops draws on control theory from engineering). Originally, SD was applied in industrial engineering </w:t>
      </w:r>
      <w:r w:rsidRPr="00AE6D77">
        <w:rPr>
          <w:rFonts w:cs="Calibri"/>
          <w:szCs w:val="22"/>
          <w:u w:val="single"/>
          <w:lang w:val="en-GB"/>
        </w:rPr>
        <w:t>(</w:t>
      </w:r>
      <w:r w:rsidRPr="00AE6D77">
        <w:rPr>
          <w:rFonts w:cs="Calibri"/>
          <w:szCs w:val="22"/>
          <w:lang w:val="en-GB"/>
        </w:rPr>
        <w:t xml:space="preserve">Forrester, 1961; 1958). However, since then its applications have been extended to other areas, including organisation theory, economics, health care, cognitive and social psychology and conflict research (see Sterman, 2000 for case studies). SD has often been applied in interdisciplinary research (e.g. economy-energy or sustainable development analysis) (e.g. </w:t>
      </w:r>
      <w:r w:rsidRPr="00AE6D77">
        <w:rPr>
          <w:rFonts w:cs="Calibri"/>
          <w:szCs w:val="22"/>
          <w:u w:color="FF0000"/>
          <w:lang w:val="en-GB"/>
        </w:rPr>
        <w:t xml:space="preserve">Fiddaman, 2002; Meadows, 1972; Sterman, 1982). </w:t>
      </w:r>
    </w:p>
    <w:p w14:paraId="0E34D15E" w14:textId="77777777" w:rsidR="001A77AE" w:rsidRPr="00AE6D77" w:rsidRDefault="001A77AE" w:rsidP="001A77AE">
      <w:pPr>
        <w:rPr>
          <w:rFonts w:cs="Calibri"/>
          <w:szCs w:val="22"/>
          <w:lang w:val="en-GB"/>
        </w:rPr>
      </w:pPr>
    </w:p>
    <w:p w14:paraId="1B50BF52" w14:textId="0D4310B6" w:rsidR="001A77AE" w:rsidRPr="00AE6D77" w:rsidRDefault="001A77AE" w:rsidP="001A77AE">
      <w:pPr>
        <w:rPr>
          <w:rFonts w:cs="Calibri"/>
          <w:szCs w:val="22"/>
          <w:shd w:val="clear" w:color="auto" w:fill="FFFFFF" w:themeFill="background1"/>
          <w:lang w:val="en-GB"/>
        </w:rPr>
      </w:pPr>
      <w:r w:rsidRPr="00AE6D77">
        <w:rPr>
          <w:rFonts w:cs="Calibri"/>
          <w:szCs w:val="22"/>
          <w:lang w:val="en-GB"/>
        </w:rPr>
        <w:t xml:space="preserve">Mathematically, SD is a set of linked differential equations simulated by algorithms (Sterman, 2000, </w:t>
      </w:r>
      <w:r w:rsidR="00AE6881">
        <w:rPr>
          <w:rFonts w:cs="Calibri"/>
          <w:szCs w:val="22"/>
          <w:lang w:val="en-GB"/>
        </w:rPr>
        <w:t xml:space="preserve">p. </w:t>
      </w:r>
      <w:r w:rsidRPr="00AE6D77">
        <w:rPr>
          <w:rFonts w:cs="Calibri"/>
          <w:szCs w:val="22"/>
          <w:lang w:val="en-GB"/>
        </w:rPr>
        <w:t>903ff.). SD models are frequently represented visually through a stock and flow diagram (SFD) or a causal-loop diagram (</w:t>
      </w:r>
      <w:r w:rsidRPr="00AE6D77">
        <w:rPr>
          <w:rFonts w:cs="Calibri"/>
          <w:szCs w:val="22"/>
          <w:shd w:val="clear" w:color="auto" w:fill="FFFFFF" w:themeFill="background1"/>
          <w:lang w:val="en-GB"/>
        </w:rPr>
        <w:t>CLD</w:t>
      </w:r>
      <w:r w:rsidR="005B3FA4">
        <w:rPr>
          <w:rFonts w:cs="Calibri"/>
          <w:szCs w:val="22"/>
          <w:shd w:val="clear" w:color="auto" w:fill="FFFFFF" w:themeFill="background1"/>
          <w:lang w:val="en-GB"/>
        </w:rPr>
        <w:t xml:space="preserve">) (Sterman, 2000; </w:t>
      </w:r>
      <w:r w:rsidRPr="00AE6D77">
        <w:rPr>
          <w:rFonts w:cs="Calibri"/>
          <w:szCs w:val="22"/>
          <w:shd w:val="clear" w:color="auto" w:fill="FFFFFF" w:themeFill="background1"/>
          <w:lang w:val="en-GB"/>
        </w:rPr>
        <w:t xml:space="preserve">Barlas, 2007). </w:t>
      </w:r>
    </w:p>
    <w:p w14:paraId="7C48D859" w14:textId="2DDB4600" w:rsidR="001A77AE" w:rsidRPr="00AE6D77" w:rsidRDefault="001A77AE" w:rsidP="001A77AE">
      <w:pPr>
        <w:rPr>
          <w:rFonts w:eastAsia="Times New Roman" w:cstheme="minorHAnsi"/>
          <w:szCs w:val="22"/>
          <w:lang w:val="en-GB"/>
        </w:rPr>
      </w:pPr>
    </w:p>
    <w:p w14:paraId="11A0CFA9" w14:textId="5D61BE7D" w:rsidR="001A77AE" w:rsidRPr="00AE6D77" w:rsidRDefault="001A77AE" w:rsidP="001A77AE">
      <w:pPr>
        <w:rPr>
          <w:rFonts w:cs="Calibri"/>
          <w:szCs w:val="22"/>
          <w:lang w:val="en-GB"/>
        </w:rPr>
      </w:pPr>
      <w:r w:rsidRPr="00AE6D77">
        <w:rPr>
          <w:rFonts w:eastAsia="Times New Roman" w:cstheme="minorHAnsi"/>
          <w:szCs w:val="22"/>
          <w:lang w:val="en-GB"/>
        </w:rPr>
        <w:t>With regard to the features of a new approach in economics the following can be indicated</w:t>
      </w:r>
      <w:r w:rsidRPr="00AE6D77">
        <w:rPr>
          <w:rStyle w:val="FootnoteReference"/>
          <w:rFonts w:eastAsia="Times New Roman" w:cstheme="minorHAnsi"/>
          <w:szCs w:val="22"/>
          <w:lang w:val="en-GB"/>
        </w:rPr>
        <w:footnoteReference w:id="14"/>
      </w:r>
      <w:r w:rsidRPr="00AE6D77">
        <w:rPr>
          <w:rFonts w:eastAsia="Times New Roman" w:cstheme="minorHAnsi"/>
          <w:szCs w:val="22"/>
          <w:lang w:val="en-GB"/>
        </w:rPr>
        <w:t xml:space="preserve">: </w:t>
      </w:r>
    </w:p>
    <w:p w14:paraId="614B4DA6" w14:textId="77777777" w:rsidR="001A77AE" w:rsidRPr="00AE6D77" w:rsidRDefault="001A77AE" w:rsidP="001A77AE">
      <w:pPr>
        <w:rPr>
          <w:b/>
          <w:szCs w:val="22"/>
          <w:bdr w:val="nil"/>
          <w:lang w:val="en-GB"/>
        </w:rPr>
      </w:pPr>
    </w:p>
    <w:p w14:paraId="20EECF8B" w14:textId="002BCA6B" w:rsidR="001A77AE" w:rsidRPr="00AE6D77" w:rsidRDefault="001A77AE" w:rsidP="00AE6881">
      <w:pPr>
        <w:pStyle w:val="ListParagraph"/>
        <w:numPr>
          <w:ilvl w:val="0"/>
          <w:numId w:val="12"/>
        </w:numPr>
        <w:rPr>
          <w:rFonts w:cs="Calibri"/>
          <w:szCs w:val="22"/>
          <w:shd w:val="clear" w:color="auto" w:fill="FFFFFF" w:themeFill="background1"/>
          <w:lang w:val="en-GB"/>
        </w:rPr>
      </w:pPr>
      <w:r w:rsidRPr="00AE6D77">
        <w:rPr>
          <w:b/>
          <w:szCs w:val="22"/>
          <w:bdr w:val="nil"/>
          <w:lang w:val="en-GB"/>
        </w:rPr>
        <w:t>Complexity, non-linearity, non-ergodicity and deep uncertainty</w:t>
      </w:r>
      <w:r w:rsidRPr="00AE6D77">
        <w:rPr>
          <w:szCs w:val="22"/>
          <w:bdr w:val="nil"/>
          <w:lang w:val="en-GB"/>
        </w:rPr>
        <w:t xml:space="preserve">: SD </w:t>
      </w:r>
      <w:r w:rsidRPr="00AE6D77">
        <w:rPr>
          <w:rFonts w:cs="Calibri"/>
          <w:szCs w:val="22"/>
          <w:lang w:val="en-GB"/>
        </w:rPr>
        <w:t>is typically applied to address ‘complex’ and ‘dynamic’ problems (</w:t>
      </w:r>
      <w:r w:rsidR="005B3FA4">
        <w:rPr>
          <w:rFonts w:cs="Calibri"/>
          <w:szCs w:val="22"/>
          <w:shd w:val="clear" w:color="auto" w:fill="FFFFFF" w:themeFill="background1"/>
          <w:lang w:val="en-GB"/>
        </w:rPr>
        <w:t xml:space="preserve">Sterman, 2000; </w:t>
      </w:r>
      <w:r w:rsidRPr="00AE6D77">
        <w:rPr>
          <w:rFonts w:cs="Calibri"/>
          <w:szCs w:val="22"/>
          <w:shd w:val="clear" w:color="auto" w:fill="FFFFFF" w:themeFill="background1"/>
          <w:lang w:val="en-GB"/>
        </w:rPr>
        <w:t xml:space="preserve">Barlas, 2007). It is in the context of complexity, characterised by various interrelated feedback loops and non-linearities that SD emphasises the importance of the representation of key feedback loops as opposed to </w:t>
      </w:r>
      <w:r w:rsidR="00012AE4" w:rsidRPr="00AE6D77">
        <w:rPr>
          <w:rFonts w:cs="Calibri"/>
          <w:szCs w:val="22"/>
          <w:shd w:val="clear" w:color="auto" w:fill="FFFFFF" w:themeFill="background1"/>
          <w:lang w:val="en-GB"/>
        </w:rPr>
        <w:t>investigating</w:t>
      </w:r>
      <w:r w:rsidRPr="00AE6D77">
        <w:rPr>
          <w:rFonts w:cs="Calibri"/>
          <w:szCs w:val="22"/>
          <w:shd w:val="clear" w:color="auto" w:fill="FFFFFF" w:themeFill="background1"/>
          <w:lang w:val="en-GB"/>
        </w:rPr>
        <w:t xml:space="preserve"> the exact value of parameter values. The reason is that model behaviour and </w:t>
      </w:r>
      <w:r w:rsidR="00AE6881" w:rsidRPr="00AE6D77">
        <w:rPr>
          <w:rFonts w:cs="Calibri"/>
          <w:szCs w:val="22"/>
          <w:shd w:val="clear" w:color="auto" w:fill="FFFFFF" w:themeFill="background1"/>
          <w:lang w:val="en-GB"/>
        </w:rPr>
        <w:t>policy recommendations are often more sensitive to model boundary scope</w:t>
      </w:r>
      <w:r w:rsidR="00AE6881">
        <w:rPr>
          <w:rFonts w:cs="Calibri"/>
          <w:szCs w:val="22"/>
          <w:shd w:val="clear" w:color="auto" w:fill="FFFFFF" w:themeFill="background1"/>
          <w:lang w:val="en-GB"/>
        </w:rPr>
        <w:t xml:space="preserve"> </w:t>
      </w:r>
      <w:r w:rsidR="00AE6881">
        <w:rPr>
          <w:rFonts w:cs="Calibri"/>
          <w:szCs w:val="22"/>
          <w:shd w:val="clear" w:color="auto" w:fill="FFFFFF" w:themeFill="background1"/>
          <w:lang w:val="en-GB"/>
        </w:rPr>
        <w:lastRenderedPageBreak/>
        <w:t>and inherent model dynamics</w:t>
      </w:r>
      <w:r w:rsidR="00AE6881" w:rsidRPr="00AE6D77">
        <w:rPr>
          <w:rFonts w:cs="Calibri"/>
          <w:szCs w:val="22"/>
          <w:shd w:val="clear" w:color="auto" w:fill="FFFFFF" w:themeFill="background1"/>
          <w:lang w:val="en-GB"/>
        </w:rPr>
        <w:t xml:space="preserve"> than to uncertainty in parametric assumption (e.g. Sterman, 2000). </w:t>
      </w:r>
      <w:r w:rsidR="00AE6881" w:rsidRPr="00AE6D77">
        <w:rPr>
          <w:rFonts w:eastAsia="Times New Roman" w:cstheme="minorHAnsi"/>
          <w:szCs w:val="22"/>
          <w:lang w:val="en-GB"/>
        </w:rPr>
        <w:t xml:space="preserve">Deep uncertainty is represented to the extent that model agents typically do not possess perfect information on the future and that it is not assumed that markets converge towards an optimal equilibrium. In addition, SD model can include any </w:t>
      </w:r>
      <w:r w:rsidR="00AE6881">
        <w:rPr>
          <w:rFonts w:eastAsia="Times New Roman" w:cstheme="minorHAnsi"/>
          <w:szCs w:val="22"/>
          <w:lang w:val="en-GB"/>
        </w:rPr>
        <w:t xml:space="preserve">effects or </w:t>
      </w:r>
      <w:r w:rsidR="00AE6881" w:rsidRPr="00AE6D77">
        <w:rPr>
          <w:rFonts w:eastAsia="Times New Roman" w:cstheme="minorHAnsi"/>
          <w:szCs w:val="22"/>
          <w:lang w:val="en-GB"/>
        </w:rPr>
        <w:t>scenario</w:t>
      </w:r>
      <w:r w:rsidR="00AE6881">
        <w:rPr>
          <w:rFonts w:eastAsia="Times New Roman" w:cstheme="minorHAnsi"/>
          <w:szCs w:val="22"/>
          <w:lang w:val="en-GB"/>
        </w:rPr>
        <w:t>s</w:t>
      </w:r>
      <w:r w:rsidR="00AE6881" w:rsidRPr="00AE6D77">
        <w:rPr>
          <w:rFonts w:eastAsia="Times New Roman" w:cstheme="minorHAnsi"/>
          <w:szCs w:val="22"/>
          <w:lang w:val="en-GB"/>
        </w:rPr>
        <w:t xml:space="preserve"> that experts or case-studies would consider as </w:t>
      </w:r>
      <w:r w:rsidR="00AE6881">
        <w:rPr>
          <w:rFonts w:eastAsia="Times New Roman" w:cstheme="minorHAnsi"/>
          <w:szCs w:val="22"/>
          <w:lang w:val="en-GB"/>
        </w:rPr>
        <w:t>relevant</w:t>
      </w:r>
      <w:r w:rsidR="00AE6881" w:rsidRPr="00AE6D77">
        <w:rPr>
          <w:rFonts w:eastAsia="Times New Roman" w:cstheme="minorHAnsi"/>
          <w:szCs w:val="22"/>
          <w:lang w:val="en-GB"/>
        </w:rPr>
        <w:t xml:space="preserve"> and in addition, explanator</w:t>
      </w:r>
      <w:r w:rsidR="005912EC">
        <w:rPr>
          <w:rFonts w:eastAsia="Times New Roman" w:cstheme="minorHAnsi"/>
          <w:szCs w:val="22"/>
          <w:lang w:val="en-GB"/>
        </w:rPr>
        <w:t>y model analysis (Kwakkel &amp; Pruyt</w:t>
      </w:r>
      <w:r w:rsidR="00AE6881" w:rsidRPr="00AE6D77">
        <w:rPr>
          <w:rFonts w:eastAsia="Times New Roman" w:cstheme="minorHAnsi"/>
          <w:szCs w:val="22"/>
          <w:lang w:val="en-GB"/>
        </w:rPr>
        <w:t>, 2013) can be used to test the variations of a large amount of parameter values systematically.</w:t>
      </w:r>
    </w:p>
    <w:p w14:paraId="049CD31A" w14:textId="77777777" w:rsidR="001A77AE" w:rsidRPr="00AE6D77" w:rsidRDefault="001A77AE" w:rsidP="001A77AE">
      <w:pPr>
        <w:pStyle w:val="ListParagraph"/>
        <w:ind w:left="1080"/>
        <w:rPr>
          <w:rFonts w:cs="Calibri"/>
          <w:szCs w:val="22"/>
          <w:shd w:val="clear" w:color="auto" w:fill="FFFFFF" w:themeFill="background1"/>
          <w:lang w:val="en-GB"/>
        </w:rPr>
      </w:pPr>
    </w:p>
    <w:p w14:paraId="0F5B4A7D" w14:textId="31C74DD7" w:rsidR="001A77AE" w:rsidRPr="00AE6D77" w:rsidRDefault="001A77AE" w:rsidP="001A77AE">
      <w:pPr>
        <w:pStyle w:val="ListParagraph"/>
        <w:numPr>
          <w:ilvl w:val="0"/>
          <w:numId w:val="12"/>
        </w:numPr>
        <w:rPr>
          <w:szCs w:val="22"/>
          <w:bdr w:val="nil"/>
          <w:lang w:val="en-GB"/>
        </w:rPr>
      </w:pPr>
      <w:r w:rsidRPr="00AE6D77">
        <w:rPr>
          <w:rStyle w:val="Ohne"/>
          <w:rFonts w:cstheme="minorHAnsi"/>
          <w:b/>
          <w:szCs w:val="22"/>
          <w:u w:color="000000"/>
          <w:lang w:val="en-GB"/>
        </w:rPr>
        <w:t xml:space="preserve">Importance of time, </w:t>
      </w:r>
      <w:r w:rsidRPr="00AE6D77">
        <w:rPr>
          <w:b/>
          <w:szCs w:val="22"/>
          <w:bdr w:val="nil"/>
          <w:lang w:val="en-GB"/>
        </w:rPr>
        <w:t>path-dependency, lock-in and irreversibility</w:t>
      </w:r>
      <w:r w:rsidRPr="00AE6D77">
        <w:rPr>
          <w:szCs w:val="22"/>
          <w:bdr w:val="nil"/>
          <w:lang w:val="en-GB"/>
        </w:rPr>
        <w:t>: SD accounts for time, path-dependency, lock-in and irreversibility explicitly. Specifically, as mentioned above feedback loops are key elements of SD and SD highlights that in complex systems small parameter changes can get amplified, due to the reinforcing or positive feedback loops</w:t>
      </w:r>
      <w:r w:rsidR="00586574" w:rsidRPr="00AE6D77">
        <w:rPr>
          <w:szCs w:val="22"/>
          <w:bdr w:val="nil"/>
          <w:lang w:val="en-GB"/>
        </w:rPr>
        <w:t xml:space="preserve"> and therefore create </w:t>
      </w:r>
      <w:r w:rsidRPr="00AE6D77">
        <w:rPr>
          <w:szCs w:val="22"/>
          <w:bdr w:val="nil"/>
          <w:lang w:val="en-GB"/>
        </w:rPr>
        <w:t xml:space="preserve">lock in and path-dependency. </w:t>
      </w:r>
    </w:p>
    <w:p w14:paraId="3C45602C" w14:textId="77777777" w:rsidR="001A77AE" w:rsidRPr="00AE6D77" w:rsidRDefault="001A77AE" w:rsidP="001A77AE">
      <w:pPr>
        <w:pStyle w:val="ListParagraph"/>
        <w:ind w:left="1080"/>
        <w:rPr>
          <w:szCs w:val="22"/>
          <w:bdr w:val="nil"/>
          <w:lang w:val="en-GB"/>
        </w:rPr>
      </w:pPr>
    </w:p>
    <w:p w14:paraId="4C874BC1" w14:textId="399D9488" w:rsidR="001A77AE" w:rsidRPr="00AE6D77" w:rsidRDefault="001A77AE" w:rsidP="001A77AE">
      <w:pPr>
        <w:pStyle w:val="ListParagraph"/>
        <w:ind w:left="1080"/>
        <w:rPr>
          <w:szCs w:val="22"/>
          <w:bdr w:val="nil"/>
          <w:lang w:val="en-GB"/>
        </w:rPr>
      </w:pPr>
      <w:r w:rsidRPr="00AE6D77">
        <w:rPr>
          <w:szCs w:val="22"/>
          <w:bdr w:val="nil"/>
          <w:lang w:val="en-GB"/>
        </w:rPr>
        <w:t>SD introduces the distinction between ‘stocks’ (i.e. integral or accumulation of flows) and ‘flows’ (i.e. derivative or changes in a stock per time interval) (Sterman, 2000). The stocks can also be used to represent a certain capacity (e.g. resources, carbon bud</w:t>
      </w:r>
      <w:r w:rsidR="005912EC">
        <w:rPr>
          <w:szCs w:val="22"/>
          <w:bdr w:val="nil"/>
          <w:lang w:val="en-GB"/>
        </w:rPr>
        <w:t>gets, water) (e.g. Meadows, 1972</w:t>
      </w:r>
      <w:r w:rsidRPr="00AE6D77">
        <w:rPr>
          <w:szCs w:val="22"/>
          <w:bdr w:val="nil"/>
          <w:lang w:val="en-GB"/>
        </w:rPr>
        <w:t xml:space="preserve">). This makes SD well suited to account and visualise changes in the system, irreversibility and system limits. </w:t>
      </w:r>
    </w:p>
    <w:p w14:paraId="7D7207CC" w14:textId="77777777" w:rsidR="001A77AE" w:rsidRPr="00AE6D77" w:rsidRDefault="001A77AE" w:rsidP="001A77AE">
      <w:pPr>
        <w:rPr>
          <w:rFonts w:eastAsia="Times New Roman"/>
          <w:szCs w:val="22"/>
          <w:lang w:val="en-GB"/>
        </w:rPr>
      </w:pPr>
    </w:p>
    <w:p w14:paraId="1AA21167" w14:textId="03F47D60" w:rsidR="001A77AE" w:rsidRPr="00AE6D77" w:rsidRDefault="001A77AE" w:rsidP="00AE6881">
      <w:pPr>
        <w:pStyle w:val="ListParagraph"/>
        <w:numPr>
          <w:ilvl w:val="0"/>
          <w:numId w:val="12"/>
        </w:numPr>
        <w:rPr>
          <w:rFonts w:eastAsia="Times New Roman" w:cs="Calibri"/>
          <w:szCs w:val="22"/>
          <w:lang w:val="en-GB"/>
        </w:rPr>
      </w:pPr>
      <w:r w:rsidRPr="00AE6D77">
        <w:rPr>
          <w:rFonts w:eastAsia="Times New Roman"/>
          <w:b/>
          <w:szCs w:val="22"/>
          <w:lang w:val="en-GB"/>
        </w:rPr>
        <w:t>Agents’ heterogeneity and behavioural elements:</w:t>
      </w:r>
      <w:r w:rsidRPr="00AE6D77">
        <w:rPr>
          <w:rFonts w:eastAsia="Times New Roman"/>
          <w:szCs w:val="22"/>
          <w:lang w:val="en-GB"/>
        </w:rPr>
        <w:t xml:space="preserve"> </w:t>
      </w:r>
      <w:r w:rsidR="00AE6881" w:rsidRPr="00AE6D77">
        <w:rPr>
          <w:rFonts w:eastAsia="Times New Roman"/>
          <w:szCs w:val="22"/>
          <w:lang w:val="en-GB"/>
        </w:rPr>
        <w:t>Similar to macro-econometric</w:t>
      </w:r>
      <w:r w:rsidR="00AE6881">
        <w:rPr>
          <w:rFonts w:eastAsia="Times New Roman"/>
          <w:szCs w:val="22"/>
          <w:lang w:val="en-GB"/>
        </w:rPr>
        <w:t xml:space="preserve"> models</w:t>
      </w:r>
      <w:r w:rsidR="00AE6881" w:rsidRPr="00AE6D77">
        <w:rPr>
          <w:rFonts w:eastAsia="Times New Roman"/>
          <w:szCs w:val="22"/>
          <w:lang w:val="en-GB"/>
        </w:rPr>
        <w:t>, SD is generally on aggregated level. It is to some extent possible to disaggregate SD models through so-called ‘arrays’ that allow to specify different equations for different types of agent-groups (e.g. low-income vs. high-income earners). However, the possibility to represent agent interactions is less flexible as compared to ABM</w:t>
      </w:r>
      <w:r w:rsidR="00AE6881" w:rsidRPr="00AE6D77">
        <w:rPr>
          <w:rFonts w:eastAsia="Times New Roman" w:cs="Calibri"/>
          <w:szCs w:val="22"/>
          <w:lang w:val="en-GB"/>
        </w:rPr>
        <w:t xml:space="preserve"> and the model software is not designed for this purpose. The SD program </w:t>
      </w:r>
      <w:r w:rsidR="00AE6881" w:rsidRPr="00AE6D77">
        <w:rPr>
          <w:rFonts w:cs="Calibri"/>
          <w:szCs w:val="22"/>
          <w:lang w:val="en-GB"/>
        </w:rPr>
        <w:t xml:space="preserve">AnyLogic provides a software </w:t>
      </w:r>
      <w:r w:rsidRPr="00AE6D77">
        <w:rPr>
          <w:rFonts w:cs="Calibri"/>
          <w:szCs w:val="22"/>
          <w:lang w:val="en-GB"/>
        </w:rPr>
        <w:t>environment in which SD models can be coupled with agent-based models.</w:t>
      </w:r>
      <w:r w:rsidRPr="00AE6D77">
        <w:rPr>
          <w:rFonts w:cs="Arial"/>
          <w:szCs w:val="22"/>
          <w:lang w:val="en-GB"/>
        </w:rPr>
        <w:t xml:space="preserve"> </w:t>
      </w:r>
      <w:r w:rsidR="00AE6881">
        <w:rPr>
          <w:rFonts w:eastAsia="Times New Roman" w:cs="Calibri"/>
          <w:szCs w:val="22"/>
          <w:lang w:val="en-GB"/>
        </w:rPr>
        <w:t>Investigating</w:t>
      </w:r>
      <w:r w:rsidR="00AE6881" w:rsidRPr="00AE6D77">
        <w:rPr>
          <w:rFonts w:eastAsia="Times New Roman" w:cs="Calibri"/>
          <w:szCs w:val="22"/>
          <w:lang w:val="en-GB"/>
        </w:rPr>
        <w:t xml:space="preserve"> how the system under consideration really works is a key principle in SD. The understanding of actors’ behaviour and their ‘mental models’ (i.e. how they think or how they take decisions; the role of cognitive limitations, agent’s values or preferences) is considered as key in order to follow this principle </w:t>
      </w:r>
      <w:r w:rsidR="005912EC">
        <w:rPr>
          <w:rFonts w:eastAsia="Times New Roman" w:cs="Calibri"/>
          <w:szCs w:val="22"/>
          <w:lang w:val="en-GB"/>
        </w:rPr>
        <w:t>(Sterman, 2000</w:t>
      </w:r>
      <w:r w:rsidR="00AE6881" w:rsidRPr="00AE6D77">
        <w:rPr>
          <w:rFonts w:eastAsia="Times New Roman" w:cs="Calibri"/>
          <w:szCs w:val="22"/>
          <w:lang w:val="en-GB"/>
        </w:rPr>
        <w:t>).</w:t>
      </w:r>
    </w:p>
    <w:p w14:paraId="56824C4C" w14:textId="77777777" w:rsidR="001A77AE" w:rsidRPr="00AE6D77" w:rsidRDefault="001A77AE" w:rsidP="001A77AE">
      <w:pPr>
        <w:ind w:left="360"/>
        <w:rPr>
          <w:rFonts w:eastAsia="Times New Roman" w:cstheme="minorHAnsi"/>
          <w:szCs w:val="22"/>
          <w:lang w:val="en-GB"/>
        </w:rPr>
      </w:pPr>
    </w:p>
    <w:p w14:paraId="5FB5DC12" w14:textId="0D1692FD" w:rsidR="001A77AE" w:rsidRPr="00AE6D77" w:rsidRDefault="001A77AE" w:rsidP="00586574">
      <w:pPr>
        <w:ind w:left="1070" w:hanging="710"/>
        <w:rPr>
          <w:rFonts w:cs="Calibri"/>
          <w:b/>
          <w:szCs w:val="22"/>
          <w:bdr w:val="nil"/>
          <w:lang w:val="en-GB"/>
        </w:rPr>
      </w:pPr>
      <w:r w:rsidRPr="00AE6D77">
        <w:rPr>
          <w:rFonts w:eastAsia="Times New Roman" w:cstheme="minorHAnsi"/>
          <w:b/>
          <w:szCs w:val="22"/>
          <w:lang w:val="en-GB"/>
        </w:rPr>
        <w:t>iv - vi)</w:t>
      </w:r>
      <w:r w:rsidRPr="00AE6D77">
        <w:rPr>
          <w:rFonts w:eastAsia="Times New Roman" w:cstheme="minorHAnsi"/>
          <w:szCs w:val="22"/>
          <w:lang w:val="en-GB"/>
        </w:rPr>
        <w:t xml:space="preserve"> </w:t>
      </w:r>
      <w:r w:rsidRPr="00AE6D77">
        <w:rPr>
          <w:rFonts w:eastAsia="Times New Roman" w:cstheme="minorHAnsi"/>
          <w:szCs w:val="22"/>
          <w:lang w:val="en-GB"/>
        </w:rPr>
        <w:tab/>
      </w:r>
      <w:r w:rsidRPr="00AE6D77">
        <w:rPr>
          <w:rFonts w:cs="Calibri"/>
          <w:b/>
          <w:szCs w:val="22"/>
          <w:bdr w:val="nil"/>
          <w:lang w:val="en-GB"/>
        </w:rPr>
        <w:t xml:space="preserve">Interdisciplinary, social and institutional context; Ethical and moral philosophical aspects: </w:t>
      </w:r>
      <w:r w:rsidR="00586574" w:rsidRPr="00AE6D77">
        <w:rPr>
          <w:rFonts w:cs="Calibri"/>
          <w:szCs w:val="22"/>
          <w:shd w:val="clear" w:color="auto" w:fill="FFFFFF" w:themeFill="background1"/>
          <w:lang w:val="en-GB"/>
        </w:rPr>
        <w:t>SD is an interdisciplinary approach, drawing on the research that is required to understand how the system, which causes the research or policy problem one aims to understand</w:t>
      </w:r>
      <w:r w:rsidR="001D1D70" w:rsidRPr="00AE6D77">
        <w:rPr>
          <w:rFonts w:cs="Calibri"/>
          <w:szCs w:val="22"/>
          <w:shd w:val="clear" w:color="auto" w:fill="FFFFFF" w:themeFill="background1"/>
          <w:lang w:val="en-GB"/>
        </w:rPr>
        <w:t>, functions</w:t>
      </w:r>
      <w:r w:rsidR="00586574" w:rsidRPr="00AE6D77">
        <w:rPr>
          <w:rFonts w:cs="Calibri"/>
          <w:szCs w:val="22"/>
          <w:shd w:val="clear" w:color="auto" w:fill="FFFFFF" w:themeFill="background1"/>
          <w:lang w:val="en-GB"/>
        </w:rPr>
        <w:t xml:space="preserve">. Model equations can be informed by various research disciplines and by quantitative </w:t>
      </w:r>
      <w:r w:rsidR="001D1D70" w:rsidRPr="00AE6D77">
        <w:rPr>
          <w:rFonts w:cs="Calibri"/>
          <w:szCs w:val="22"/>
          <w:shd w:val="clear" w:color="auto" w:fill="FFFFFF" w:themeFill="background1"/>
          <w:lang w:val="en-GB"/>
        </w:rPr>
        <w:t xml:space="preserve">data </w:t>
      </w:r>
      <w:r w:rsidR="00586574" w:rsidRPr="00AE6D77">
        <w:rPr>
          <w:rFonts w:cs="Calibri"/>
          <w:szCs w:val="22"/>
          <w:shd w:val="clear" w:color="auto" w:fill="FFFFFF" w:themeFill="background1"/>
          <w:lang w:val="en-GB"/>
        </w:rPr>
        <w:t xml:space="preserve">sources, including for example statistics from controlled experiments or econometric studies, or qualitative sources, such as for example case studies, interviews or multi-stakeholder workshops (e.g. Sterman, 2000; Forrester, 1961). </w:t>
      </w:r>
      <w:r w:rsidRPr="00AE6D77">
        <w:rPr>
          <w:rFonts w:cs="Calibri"/>
          <w:szCs w:val="22"/>
          <w:bdr w:val="nil"/>
          <w:lang w:val="en-GB"/>
        </w:rPr>
        <w:t xml:space="preserve">Given the above, the SD methodology </w:t>
      </w:r>
      <w:r w:rsidR="00586574" w:rsidRPr="00AE6D77">
        <w:rPr>
          <w:rFonts w:cs="Calibri"/>
          <w:szCs w:val="22"/>
          <w:bdr w:val="nil"/>
          <w:lang w:val="en-GB"/>
        </w:rPr>
        <w:t>is well suited to con</w:t>
      </w:r>
      <w:r w:rsidR="00DA5E10" w:rsidRPr="00AE6D77">
        <w:rPr>
          <w:rFonts w:cs="Calibri"/>
          <w:szCs w:val="22"/>
          <w:bdr w:val="nil"/>
          <w:lang w:val="en-GB"/>
        </w:rPr>
        <w:t>s</w:t>
      </w:r>
      <w:r w:rsidR="00586574" w:rsidRPr="00AE6D77">
        <w:rPr>
          <w:rFonts w:cs="Calibri"/>
          <w:szCs w:val="22"/>
          <w:bdr w:val="nil"/>
          <w:lang w:val="en-GB"/>
        </w:rPr>
        <w:t>ider</w:t>
      </w:r>
      <w:r w:rsidRPr="00AE6D77">
        <w:rPr>
          <w:rFonts w:cs="Calibri"/>
          <w:szCs w:val="22"/>
          <w:bdr w:val="nil"/>
          <w:lang w:val="en-GB"/>
        </w:rPr>
        <w:t xml:space="preserve"> social and institutional contexts as well as ethical and moral philosophical aspects, if judged as relevant for the model purpose. </w:t>
      </w:r>
    </w:p>
    <w:p w14:paraId="5EC87DEC" w14:textId="77777777" w:rsidR="001A77AE" w:rsidRPr="00AE6D77" w:rsidRDefault="001A77AE" w:rsidP="001A77AE">
      <w:pPr>
        <w:rPr>
          <w:rFonts w:cs="Calibri"/>
          <w:szCs w:val="22"/>
          <w:bdr w:val="nil"/>
          <w:lang w:val="en-GB"/>
        </w:rPr>
      </w:pPr>
    </w:p>
    <w:p w14:paraId="4C93A957" w14:textId="77777777" w:rsidR="001A77AE" w:rsidRPr="00AE6D77" w:rsidRDefault="001A77AE" w:rsidP="001A77AE">
      <w:pPr>
        <w:ind w:left="1070" w:hanging="690"/>
        <w:rPr>
          <w:rFonts w:cs="Calibri"/>
          <w:szCs w:val="22"/>
          <w:lang w:val="en-GB"/>
        </w:rPr>
      </w:pPr>
      <w:r w:rsidRPr="00AE6D77">
        <w:rPr>
          <w:rFonts w:cs="Calibri"/>
          <w:b/>
          <w:szCs w:val="22"/>
          <w:bdr w:val="nil"/>
          <w:lang w:val="en-GB"/>
        </w:rPr>
        <w:t xml:space="preserve">vii) </w:t>
      </w:r>
      <w:r w:rsidRPr="00AE6D77">
        <w:rPr>
          <w:rFonts w:cs="Calibri"/>
          <w:b/>
          <w:szCs w:val="22"/>
          <w:bdr w:val="nil"/>
          <w:lang w:val="en-GB"/>
        </w:rPr>
        <w:tab/>
        <w:t>Finance:</w:t>
      </w:r>
      <w:r w:rsidRPr="00AE6D77">
        <w:rPr>
          <w:rFonts w:cs="Calibri"/>
          <w:szCs w:val="22"/>
          <w:bdr w:val="nil"/>
          <w:lang w:val="en-GB"/>
        </w:rPr>
        <w:t xml:space="preserve"> SD can generally be used to simulate the financial system and SD models can also be combined with SFC models (e.g. </w:t>
      </w:r>
      <w:r w:rsidRPr="00AE6D77">
        <w:rPr>
          <w:rFonts w:cs="Calibri"/>
          <w:szCs w:val="22"/>
          <w:lang w:val="en-GB"/>
        </w:rPr>
        <w:t xml:space="preserve">Yamaguchi, 2013; </w:t>
      </w:r>
      <w:hyperlink r:id="rId8" w:anchor="bb0195" w:history="1">
        <w:r w:rsidRPr="00AE6D77">
          <w:rPr>
            <w:rStyle w:val="Hyperlink"/>
            <w:rFonts w:cstheme="minorHAnsi"/>
            <w:szCs w:val="22"/>
            <w:u w:val="none"/>
            <w:lang w:val="en-GB"/>
          </w:rPr>
          <w:t>Jackson &amp; Victor, 2015</w:t>
        </w:r>
      </w:hyperlink>
      <w:r w:rsidRPr="00AE6D77">
        <w:rPr>
          <w:rFonts w:cstheme="minorHAnsi"/>
          <w:szCs w:val="22"/>
          <w:lang w:val="en-GB"/>
        </w:rPr>
        <w:t>, 2016)</w:t>
      </w:r>
      <w:r w:rsidRPr="00AE6D77">
        <w:rPr>
          <w:rFonts w:cs="Calibri"/>
          <w:szCs w:val="22"/>
          <w:bdr w:val="nil"/>
          <w:lang w:val="en-GB"/>
        </w:rPr>
        <w:t xml:space="preserve">.  </w:t>
      </w:r>
    </w:p>
    <w:p w14:paraId="57D449F1" w14:textId="77777777" w:rsidR="001A77AE" w:rsidRPr="00AE6D77" w:rsidRDefault="001A77AE" w:rsidP="001A77AE">
      <w:pPr>
        <w:rPr>
          <w:rFonts w:cs="Calibri"/>
          <w:szCs w:val="22"/>
          <w:bdr w:val="nil"/>
          <w:lang w:val="en-GB"/>
        </w:rPr>
      </w:pPr>
    </w:p>
    <w:p w14:paraId="06258C81" w14:textId="7E25D7A1" w:rsidR="001A77AE" w:rsidRPr="00AE6D77" w:rsidRDefault="001A77AE" w:rsidP="001A77AE">
      <w:pPr>
        <w:pStyle w:val="ListParagraph"/>
        <w:numPr>
          <w:ilvl w:val="0"/>
          <w:numId w:val="14"/>
        </w:numPr>
        <w:rPr>
          <w:rFonts w:cs="Calibri"/>
          <w:szCs w:val="22"/>
          <w:bdr w:val="nil"/>
          <w:lang w:val="en-GB"/>
        </w:rPr>
      </w:pPr>
      <w:r w:rsidRPr="00AE6D77">
        <w:rPr>
          <w:rFonts w:cs="Calibri"/>
          <w:b/>
          <w:szCs w:val="22"/>
          <w:bdr w:val="nil"/>
          <w:lang w:val="en-GB"/>
        </w:rPr>
        <w:t xml:space="preserve">Multiple equilibria/disequilibrium: </w:t>
      </w:r>
      <w:r w:rsidR="00DA5E10">
        <w:rPr>
          <w:rFonts w:cs="Calibri"/>
          <w:szCs w:val="22"/>
          <w:bdr w:val="nil"/>
          <w:lang w:val="en-GB"/>
        </w:rPr>
        <w:t>SD</w:t>
      </w:r>
      <w:r w:rsidR="00DA5E10" w:rsidRPr="00AE6D77">
        <w:rPr>
          <w:rFonts w:cs="Calibri"/>
          <w:szCs w:val="22"/>
          <w:bdr w:val="nil"/>
          <w:lang w:val="en-GB"/>
        </w:rPr>
        <w:t xml:space="preserve"> models are suitable for capturing multiple equilibria and disequilibrium dynamics (e.g. MEDEAS model). Indeed, the relative strength of positive and negative feedbacks and the delays involved, can cause the system to oscillate, become stable or unstable, implying that system disequilibrium is the norm not the exception (Sterman, 2000).  </w:t>
      </w:r>
    </w:p>
    <w:p w14:paraId="698BDE31" w14:textId="77777777" w:rsidR="001A77AE" w:rsidRPr="00AE6D77" w:rsidRDefault="001A77AE" w:rsidP="001A77AE">
      <w:pPr>
        <w:rPr>
          <w:i/>
          <w:szCs w:val="22"/>
          <w:lang w:val="en-GB"/>
        </w:rPr>
      </w:pPr>
    </w:p>
    <w:p w14:paraId="35D7F9E2" w14:textId="77777777" w:rsidR="001A77AE" w:rsidRPr="00AE6D77" w:rsidRDefault="001A77AE" w:rsidP="001A77AE">
      <w:pPr>
        <w:rPr>
          <w:i/>
          <w:szCs w:val="22"/>
          <w:lang w:val="en-GB"/>
        </w:rPr>
      </w:pPr>
      <w:r w:rsidRPr="00AE6D77">
        <w:rPr>
          <w:i/>
          <w:szCs w:val="22"/>
          <w:lang w:val="en-GB"/>
        </w:rPr>
        <w:t>4.1.3. Agent-based models</w:t>
      </w:r>
    </w:p>
    <w:p w14:paraId="399A2526" w14:textId="177383ED" w:rsidR="001A77AE" w:rsidRPr="00AE6D77" w:rsidRDefault="004D397E" w:rsidP="001A77AE">
      <w:pPr>
        <w:rPr>
          <w:szCs w:val="22"/>
          <w:lang w:val="en-GB" w:eastAsia="en-US"/>
        </w:rPr>
      </w:pPr>
      <w:r w:rsidRPr="00AE6D77">
        <w:rPr>
          <w:szCs w:val="22"/>
          <w:lang w:val="en-GB" w:eastAsia="en-US"/>
        </w:rPr>
        <w:t>ABM represent</w:t>
      </w:r>
      <w:r w:rsidR="001A77AE" w:rsidRPr="00AE6D77">
        <w:rPr>
          <w:szCs w:val="22"/>
          <w:lang w:val="en-GB" w:eastAsia="en-US"/>
        </w:rPr>
        <w:t xml:space="preserve"> economies as evolving systems of autonomous interacting agents. Agents can be as diverse and as many as required and include all types of agents, such as consumer, firms or governments (</w:t>
      </w:r>
      <w:r w:rsidR="00356F46">
        <w:rPr>
          <w:szCs w:val="22"/>
          <w:lang w:val="en-GB" w:eastAsia="en-US"/>
        </w:rPr>
        <w:t xml:space="preserve">Farmer &amp; </w:t>
      </w:r>
      <w:r w:rsidR="00356F46" w:rsidRPr="00356F46">
        <w:rPr>
          <w:rFonts w:eastAsia="Times New Roman" w:cstheme="minorHAnsi"/>
          <w:lang w:val="en-GB" w:eastAsia="en-GB"/>
        </w:rPr>
        <w:t>Foley</w:t>
      </w:r>
      <w:r w:rsidR="00356F46">
        <w:rPr>
          <w:rFonts w:eastAsia="Times New Roman" w:cstheme="minorHAnsi"/>
          <w:lang w:val="en-GB" w:eastAsia="en-GB"/>
        </w:rPr>
        <w:t>,</w:t>
      </w:r>
      <w:r w:rsidR="001A77AE" w:rsidRPr="00AE6D77">
        <w:rPr>
          <w:szCs w:val="22"/>
          <w:lang w:val="en-GB" w:eastAsia="en-US"/>
        </w:rPr>
        <w:t xml:space="preserve"> 2009). Model agents act and interact according to (sometimes simple) rules</w:t>
      </w:r>
      <w:r w:rsidR="006F08C9" w:rsidRPr="00AE6D77">
        <w:rPr>
          <w:szCs w:val="22"/>
          <w:lang w:val="en-GB" w:eastAsia="en-US"/>
        </w:rPr>
        <w:t xml:space="preserve"> </w:t>
      </w:r>
      <w:r w:rsidR="0026588B" w:rsidRPr="00AE6D77">
        <w:rPr>
          <w:szCs w:val="22"/>
          <w:lang w:val="en-GB" w:eastAsia="en-US"/>
        </w:rPr>
        <w:t>an</w:t>
      </w:r>
      <w:r w:rsidR="0026588B" w:rsidRPr="0026588B">
        <w:rPr>
          <w:szCs w:val="22"/>
          <w:lang w:val="en-GB" w:eastAsia="en-US"/>
        </w:rPr>
        <w:t xml:space="preserve">d </w:t>
      </w:r>
      <w:r w:rsidR="001A77AE" w:rsidRPr="0026588B">
        <w:rPr>
          <w:szCs w:val="22"/>
          <w:lang w:val="en-GB" w:eastAsia="en-US"/>
        </w:rPr>
        <w:t>may continually adapt their rules (and behaviour) in order to maximize their benefits (</w:t>
      </w:r>
      <w:r w:rsidR="001A77AE" w:rsidRPr="0026588B">
        <w:rPr>
          <w:rFonts w:eastAsia="Times New Roman" w:cstheme="minorHAnsi"/>
          <w:szCs w:val="22"/>
          <w:lang w:val="en-GB"/>
        </w:rPr>
        <w:t>Tesfatsion</w:t>
      </w:r>
      <w:r w:rsidR="005912EC">
        <w:rPr>
          <w:szCs w:val="22"/>
          <w:lang w:val="en-GB" w:eastAsia="en-US"/>
        </w:rPr>
        <w:t>, 2003</w:t>
      </w:r>
      <w:r w:rsidR="001A77AE" w:rsidRPr="0026588B">
        <w:rPr>
          <w:szCs w:val="22"/>
          <w:lang w:val="en-GB" w:eastAsia="en-US"/>
        </w:rPr>
        <w:t>; 2006</w:t>
      </w:r>
      <w:r w:rsidR="0074497F">
        <w:rPr>
          <w:szCs w:val="22"/>
          <w:lang w:val="en-GB" w:eastAsia="en-US"/>
        </w:rPr>
        <w:t>)</w:t>
      </w:r>
      <w:r w:rsidR="0074497F">
        <w:rPr>
          <w:rFonts w:eastAsia="Times New Roman" w:cstheme="minorHAnsi"/>
          <w:szCs w:val="22"/>
          <w:lang w:val="en-GB"/>
        </w:rPr>
        <w:t>.</w:t>
      </w:r>
      <w:r w:rsidR="0074497F">
        <w:rPr>
          <w:szCs w:val="22"/>
          <w:lang w:val="en-GB" w:eastAsia="en-US"/>
        </w:rPr>
        <w:t xml:space="preserve"> The </w:t>
      </w:r>
      <w:r w:rsidR="001A77AE" w:rsidRPr="0026588B">
        <w:rPr>
          <w:szCs w:val="22"/>
          <w:lang w:val="en-GB" w:eastAsia="en-US"/>
        </w:rPr>
        <w:t xml:space="preserve">ABM methodology </w:t>
      </w:r>
      <w:r w:rsidR="0026588B" w:rsidRPr="0026588B">
        <w:rPr>
          <w:szCs w:val="22"/>
          <w:lang w:val="en-GB" w:eastAsia="en-US"/>
        </w:rPr>
        <w:t xml:space="preserve">is </w:t>
      </w:r>
      <w:r w:rsidR="001A77AE" w:rsidRPr="0026588B">
        <w:rPr>
          <w:szCs w:val="22"/>
          <w:lang w:val="en-GB" w:eastAsia="en-US"/>
        </w:rPr>
        <w:t xml:space="preserve">used to </w:t>
      </w:r>
      <w:r w:rsidR="0026588B" w:rsidRPr="0026588B">
        <w:rPr>
          <w:szCs w:val="22"/>
          <w:lang w:val="en-GB" w:eastAsia="en-US"/>
        </w:rPr>
        <w:t xml:space="preserve">answer </w:t>
      </w:r>
      <w:r w:rsidR="001A77AE" w:rsidRPr="0026588B">
        <w:rPr>
          <w:szCs w:val="22"/>
          <w:lang w:val="en-GB" w:eastAsia="en-US"/>
        </w:rPr>
        <w:t>research questions from various fields (</w:t>
      </w:r>
      <w:r w:rsidR="001A77AE" w:rsidRPr="0026588B">
        <w:rPr>
          <w:rFonts w:eastAsia="Times New Roman" w:cstheme="minorHAnsi"/>
          <w:szCs w:val="22"/>
          <w:lang w:val="en-GB"/>
        </w:rPr>
        <w:t>Tesfatsion</w:t>
      </w:r>
      <w:r w:rsidR="005912EC">
        <w:rPr>
          <w:szCs w:val="22"/>
          <w:lang w:val="en-GB" w:eastAsia="en-US"/>
        </w:rPr>
        <w:t>, 2003</w:t>
      </w:r>
      <w:r w:rsidR="001A77AE" w:rsidRPr="0026588B">
        <w:rPr>
          <w:szCs w:val="22"/>
          <w:lang w:val="en-GB" w:eastAsia="en-US"/>
        </w:rPr>
        <w:t>)</w:t>
      </w:r>
      <w:r w:rsidR="001A77AE" w:rsidRPr="00AE6D77">
        <w:rPr>
          <w:rStyle w:val="FootnoteReference"/>
          <w:szCs w:val="22"/>
          <w:lang w:val="en-GB" w:eastAsia="en-US"/>
        </w:rPr>
        <w:footnoteReference w:id="15"/>
      </w:r>
      <w:r w:rsidR="001A77AE" w:rsidRPr="00AE6D77">
        <w:rPr>
          <w:szCs w:val="22"/>
          <w:lang w:val="en-GB" w:eastAsia="en-US"/>
        </w:rPr>
        <w:t xml:space="preserve">. </w:t>
      </w:r>
    </w:p>
    <w:p w14:paraId="698FF8AC" w14:textId="77777777" w:rsidR="001A77AE" w:rsidRPr="00AE6D77" w:rsidRDefault="001A77AE" w:rsidP="001A77AE">
      <w:pPr>
        <w:rPr>
          <w:rFonts w:eastAsia="Times New Roman" w:cstheme="minorHAnsi"/>
          <w:szCs w:val="22"/>
          <w:lang w:val="en-GB"/>
        </w:rPr>
      </w:pPr>
    </w:p>
    <w:p w14:paraId="5343BE77" w14:textId="1E42E4F6" w:rsidR="001A77AE" w:rsidRPr="00AE6D77" w:rsidRDefault="001A77AE" w:rsidP="001A77AE">
      <w:pPr>
        <w:rPr>
          <w:rFonts w:eastAsia="Times New Roman" w:cstheme="minorHAnsi"/>
          <w:szCs w:val="22"/>
          <w:lang w:val="en-GB"/>
        </w:rPr>
      </w:pPr>
      <w:r w:rsidRPr="00AE6D77">
        <w:rPr>
          <w:rFonts w:eastAsia="Times New Roman" w:cstheme="minorHAnsi"/>
          <w:szCs w:val="22"/>
          <w:lang w:val="en-GB"/>
        </w:rPr>
        <w:t>With regard to the features of a new approach in economics the following can be indicated</w:t>
      </w:r>
      <w:r w:rsidRPr="00AE6D77">
        <w:rPr>
          <w:rStyle w:val="FootnoteReference"/>
          <w:rFonts w:eastAsia="Times New Roman" w:cstheme="minorHAnsi"/>
          <w:szCs w:val="22"/>
          <w:lang w:val="en-GB"/>
        </w:rPr>
        <w:footnoteReference w:id="16"/>
      </w:r>
      <w:r w:rsidRPr="00AE6D77">
        <w:rPr>
          <w:rFonts w:eastAsia="Times New Roman" w:cstheme="minorHAnsi"/>
          <w:szCs w:val="22"/>
          <w:lang w:val="en-GB"/>
        </w:rPr>
        <w:t xml:space="preserve">: </w:t>
      </w:r>
    </w:p>
    <w:p w14:paraId="68EECF38" w14:textId="77777777" w:rsidR="001A77AE" w:rsidRPr="00AE6D77" w:rsidRDefault="001A77AE" w:rsidP="001A77AE">
      <w:pPr>
        <w:rPr>
          <w:rFonts w:cs="Calibri"/>
          <w:szCs w:val="22"/>
          <w:lang w:val="en-GB"/>
        </w:rPr>
      </w:pPr>
    </w:p>
    <w:p w14:paraId="2C907814" w14:textId="648F511B" w:rsidR="001A77AE" w:rsidRPr="00AE6D77" w:rsidRDefault="001A77AE" w:rsidP="00DA5E10">
      <w:pPr>
        <w:pStyle w:val="ListParagraph"/>
        <w:numPr>
          <w:ilvl w:val="0"/>
          <w:numId w:val="15"/>
        </w:numPr>
        <w:rPr>
          <w:szCs w:val="22"/>
          <w:lang w:val="en-GB"/>
        </w:rPr>
      </w:pPr>
      <w:r w:rsidRPr="0026588B">
        <w:rPr>
          <w:b/>
          <w:szCs w:val="22"/>
          <w:bdr w:val="nil"/>
          <w:lang w:val="en-GB"/>
        </w:rPr>
        <w:t>Complexity, non-linearity, non-ergodicity and deep uncertainty</w:t>
      </w:r>
      <w:r w:rsidRPr="0026588B">
        <w:rPr>
          <w:szCs w:val="22"/>
          <w:bdr w:val="nil"/>
          <w:lang w:val="en-GB"/>
        </w:rPr>
        <w:t xml:space="preserve">: </w:t>
      </w:r>
      <w:r w:rsidRPr="0026588B">
        <w:rPr>
          <w:szCs w:val="22"/>
          <w:lang w:val="en-GB"/>
        </w:rPr>
        <w:t xml:space="preserve">Interactions between agents can be non-linear, discontinuous or discrete. For example, the behaviour of an agent can be altered discontinuously by other agents or by the modelling environment. </w:t>
      </w:r>
      <w:r w:rsidR="006F08C9" w:rsidRPr="00AE6D77">
        <w:rPr>
          <w:szCs w:val="22"/>
          <w:lang w:val="en-GB"/>
        </w:rPr>
        <w:t>I</w:t>
      </w:r>
      <w:r w:rsidRPr="00AE6D77">
        <w:rPr>
          <w:szCs w:val="22"/>
          <w:lang w:val="en-GB"/>
        </w:rPr>
        <w:t>nteractions of a sometimes large population of model agents leads to complexity, non-linearity and non-</w:t>
      </w:r>
      <w:r w:rsidR="0074497F" w:rsidRPr="0074497F">
        <w:rPr>
          <w:szCs w:val="22"/>
          <w:lang w:val="en-GB"/>
        </w:rPr>
        <w:t xml:space="preserve"> </w:t>
      </w:r>
      <w:r w:rsidR="0074497F" w:rsidRPr="00AE6D77">
        <w:rPr>
          <w:szCs w:val="22"/>
          <w:lang w:val="en-GB"/>
        </w:rPr>
        <w:t>ergodicity</w:t>
      </w:r>
      <w:r w:rsidRPr="00AE6D77">
        <w:rPr>
          <w:szCs w:val="22"/>
          <w:lang w:val="en-GB"/>
        </w:rPr>
        <w:t xml:space="preserve"> on the macro-level. Moreover, </w:t>
      </w:r>
      <w:r w:rsidRPr="00AE6D77">
        <w:rPr>
          <w:rFonts w:eastAsia="Times New Roman" w:cstheme="minorHAnsi"/>
          <w:szCs w:val="22"/>
          <w:lang w:val="en-GB"/>
        </w:rPr>
        <w:t xml:space="preserve">ABM allows the replication of higher granularity in comparison to </w:t>
      </w:r>
      <w:r w:rsidR="004D397E" w:rsidRPr="00AE6D77">
        <w:rPr>
          <w:rFonts w:eastAsia="Times New Roman" w:cstheme="minorHAnsi"/>
          <w:szCs w:val="22"/>
          <w:lang w:val="en-GB"/>
        </w:rPr>
        <w:t>SD</w:t>
      </w:r>
      <w:r w:rsidRPr="00AE6D77">
        <w:rPr>
          <w:rFonts w:eastAsia="Times New Roman" w:cstheme="minorHAnsi"/>
          <w:szCs w:val="22"/>
          <w:lang w:val="en-GB"/>
        </w:rPr>
        <w:t xml:space="preserve"> and </w:t>
      </w:r>
      <w:r w:rsidR="004D397E" w:rsidRPr="00AE6D77">
        <w:rPr>
          <w:rFonts w:eastAsia="Times New Roman" w:cstheme="minorHAnsi"/>
          <w:szCs w:val="22"/>
          <w:lang w:val="en-GB"/>
        </w:rPr>
        <w:t>macro-econometric modelling</w:t>
      </w:r>
      <w:r w:rsidR="000B6594">
        <w:rPr>
          <w:rFonts w:eastAsia="Times New Roman" w:cstheme="minorHAnsi"/>
          <w:szCs w:val="22"/>
          <w:lang w:val="en-GB"/>
        </w:rPr>
        <w:t>. For example, the EURACE-</w:t>
      </w:r>
      <w:r w:rsidRPr="00AE6D77">
        <w:rPr>
          <w:rFonts w:eastAsia="Times New Roman" w:cstheme="minorHAnsi"/>
          <w:szCs w:val="22"/>
          <w:lang w:val="en-GB"/>
        </w:rPr>
        <w:t>model includes central banks, commercial and investment banks, goods producer sectors, capital sectors, households and various other economic agents. All of those ‘sectors’ are populations of agents interacting with each other, and thus generating the emergent behaviour of each of these sectors, while also interacting with agents from other sectors. Deep uncertainty is represented to the extent that model agents typically do not possess perfect information</w:t>
      </w:r>
      <w:r w:rsidR="00C94AC2" w:rsidRPr="00AE6D77">
        <w:rPr>
          <w:rFonts w:eastAsia="Times New Roman" w:cstheme="minorHAnsi"/>
          <w:szCs w:val="22"/>
          <w:lang w:val="en-GB"/>
        </w:rPr>
        <w:t xml:space="preserve"> of</w:t>
      </w:r>
      <w:r w:rsidRPr="00AE6D77">
        <w:rPr>
          <w:rFonts w:eastAsia="Times New Roman" w:cstheme="minorHAnsi"/>
          <w:szCs w:val="22"/>
          <w:lang w:val="en-GB"/>
        </w:rPr>
        <w:t xml:space="preserve"> the future and that it is not assumed that markets converge towards an optimal equilibrium. </w:t>
      </w:r>
      <w:r w:rsidR="00DA5E10" w:rsidRPr="00AE6D77">
        <w:rPr>
          <w:rFonts w:eastAsia="Times New Roman" w:cstheme="minorHAnsi"/>
          <w:szCs w:val="22"/>
          <w:lang w:val="en-GB"/>
        </w:rPr>
        <w:t xml:space="preserve">In addition, an ABM can include any </w:t>
      </w:r>
      <w:r w:rsidR="00DA5E10">
        <w:rPr>
          <w:rFonts w:eastAsia="Times New Roman" w:cstheme="minorHAnsi"/>
          <w:szCs w:val="22"/>
          <w:lang w:val="en-GB"/>
        </w:rPr>
        <w:t>scenarios or effects</w:t>
      </w:r>
      <w:r w:rsidR="00DA5E10" w:rsidRPr="00AE6D77">
        <w:rPr>
          <w:rFonts w:eastAsia="Times New Roman" w:cstheme="minorHAnsi"/>
          <w:szCs w:val="22"/>
          <w:lang w:val="en-GB"/>
        </w:rPr>
        <w:t xml:space="preserve"> that experts or case-studies would consider </w:t>
      </w:r>
      <w:r w:rsidR="00DA5E10">
        <w:rPr>
          <w:rFonts w:eastAsia="Times New Roman" w:cstheme="minorHAnsi"/>
          <w:szCs w:val="22"/>
          <w:lang w:val="en-GB"/>
        </w:rPr>
        <w:t>relevant</w:t>
      </w:r>
      <w:r w:rsidR="00DA5E10" w:rsidRPr="00AE6D77">
        <w:rPr>
          <w:rFonts w:eastAsia="Times New Roman" w:cstheme="minorHAnsi"/>
          <w:szCs w:val="22"/>
          <w:lang w:val="en-GB"/>
        </w:rPr>
        <w:t>.</w:t>
      </w:r>
    </w:p>
    <w:p w14:paraId="3D5B5DD9" w14:textId="77777777" w:rsidR="001A77AE" w:rsidRPr="00AE6D77" w:rsidRDefault="001A77AE" w:rsidP="001A77AE">
      <w:pPr>
        <w:rPr>
          <w:rFonts w:eastAsia="Times New Roman" w:cs="Calibri"/>
          <w:szCs w:val="22"/>
          <w:lang w:val="en-GB"/>
        </w:rPr>
      </w:pPr>
    </w:p>
    <w:p w14:paraId="752C2BB7" w14:textId="18CC8239" w:rsidR="001A77AE" w:rsidRPr="00AE6D77" w:rsidRDefault="001A77AE" w:rsidP="001A77AE">
      <w:pPr>
        <w:pStyle w:val="ListParagraph"/>
        <w:numPr>
          <w:ilvl w:val="0"/>
          <w:numId w:val="15"/>
        </w:numPr>
        <w:rPr>
          <w:szCs w:val="22"/>
          <w:bdr w:val="nil"/>
          <w:lang w:val="en-GB"/>
        </w:rPr>
      </w:pPr>
      <w:r w:rsidRPr="00AE6D77">
        <w:rPr>
          <w:rStyle w:val="Ohne"/>
          <w:rFonts w:cstheme="minorHAnsi"/>
          <w:b/>
          <w:szCs w:val="22"/>
          <w:u w:color="000000"/>
          <w:lang w:val="en-GB"/>
        </w:rPr>
        <w:t xml:space="preserve">Importance of time, </w:t>
      </w:r>
      <w:r w:rsidRPr="00AE6D77">
        <w:rPr>
          <w:b/>
          <w:szCs w:val="22"/>
          <w:bdr w:val="nil"/>
          <w:lang w:val="en-GB"/>
        </w:rPr>
        <w:t>path-dependency, lock-in and irreversibility</w:t>
      </w:r>
      <w:r w:rsidRPr="00AE6D77">
        <w:rPr>
          <w:szCs w:val="22"/>
          <w:bdr w:val="nil"/>
          <w:lang w:val="en-GB"/>
        </w:rPr>
        <w:t xml:space="preserve">: ABM accounts for time, path-dependency, lock-in and irreversibility explicitly. </w:t>
      </w:r>
      <w:r w:rsidRPr="00AE6D77">
        <w:rPr>
          <w:rFonts w:eastAsia="Times New Roman" w:cstheme="minorHAnsi"/>
          <w:szCs w:val="22"/>
          <w:lang w:val="en-GB"/>
        </w:rPr>
        <w:t>For example, ABM capture</w:t>
      </w:r>
      <w:r w:rsidR="000B6594">
        <w:rPr>
          <w:rFonts w:eastAsia="Times New Roman" w:cstheme="minorHAnsi"/>
          <w:szCs w:val="22"/>
          <w:lang w:val="en-GB"/>
        </w:rPr>
        <w:t>s</w:t>
      </w:r>
      <w:r w:rsidRPr="00AE6D77">
        <w:rPr>
          <w:rFonts w:eastAsia="Times New Roman" w:cstheme="minorHAnsi"/>
          <w:szCs w:val="22"/>
          <w:lang w:val="en-GB"/>
        </w:rPr>
        <w:t xml:space="preserve"> </w:t>
      </w:r>
      <w:r w:rsidR="00DA5E10" w:rsidRPr="00AE6D77">
        <w:rPr>
          <w:rFonts w:eastAsia="Times New Roman" w:cstheme="minorHAnsi"/>
          <w:szCs w:val="22"/>
          <w:lang w:val="en-GB"/>
        </w:rPr>
        <w:t xml:space="preserve">that </w:t>
      </w:r>
      <w:r w:rsidRPr="00AE6D77">
        <w:rPr>
          <w:rFonts w:eastAsia="Times New Roman" w:cstheme="minorHAnsi"/>
          <w:szCs w:val="22"/>
          <w:lang w:val="en-GB"/>
        </w:rPr>
        <w:t xml:space="preserve">relatively small changes in policies can lead to qualitatively different outcomes in technology diffusion in the long run, </w:t>
      </w:r>
      <w:r w:rsidR="00C94AC2" w:rsidRPr="00AE6D77">
        <w:rPr>
          <w:rFonts w:eastAsia="Times New Roman" w:cstheme="minorHAnsi"/>
          <w:szCs w:val="22"/>
          <w:lang w:val="en-GB"/>
        </w:rPr>
        <w:t xml:space="preserve">e.g. </w:t>
      </w:r>
      <w:r w:rsidRPr="00AE6D77">
        <w:rPr>
          <w:rFonts w:eastAsia="Times New Roman" w:cstheme="minorHAnsi"/>
          <w:szCs w:val="22"/>
          <w:lang w:val="en-GB"/>
        </w:rPr>
        <w:t>through technology ‘lock-in’ (Arthur, 1994; 1996</w:t>
      </w:r>
      <w:r w:rsidR="005912EC">
        <w:rPr>
          <w:rFonts w:eastAsia="Times New Roman" w:cstheme="minorHAnsi"/>
          <w:szCs w:val="22"/>
          <w:lang w:val="en-GB"/>
        </w:rPr>
        <w:t xml:space="preserve"> et al.</w:t>
      </w:r>
      <w:r w:rsidRPr="00AE6D77">
        <w:rPr>
          <w:rFonts w:eastAsia="Times New Roman" w:cstheme="minorHAnsi"/>
          <w:szCs w:val="22"/>
          <w:lang w:val="en-GB"/>
        </w:rPr>
        <w:t>).</w:t>
      </w:r>
    </w:p>
    <w:p w14:paraId="3A95FC2C" w14:textId="77777777" w:rsidR="001A77AE" w:rsidRPr="00AE6D77" w:rsidRDefault="001A77AE" w:rsidP="001A77AE">
      <w:pPr>
        <w:rPr>
          <w:rFonts w:eastAsia="Times New Roman"/>
          <w:szCs w:val="22"/>
          <w:lang w:val="en-GB"/>
        </w:rPr>
      </w:pPr>
    </w:p>
    <w:p w14:paraId="26F80505" w14:textId="7CF76E13" w:rsidR="001A77AE" w:rsidRPr="00AE6D77" w:rsidRDefault="001A77AE" w:rsidP="001A77AE">
      <w:pPr>
        <w:pStyle w:val="ListParagraph"/>
        <w:numPr>
          <w:ilvl w:val="0"/>
          <w:numId w:val="15"/>
        </w:numPr>
        <w:rPr>
          <w:szCs w:val="22"/>
          <w:lang w:val="en-GB" w:eastAsia="en-US"/>
        </w:rPr>
      </w:pPr>
      <w:r w:rsidRPr="00AE6D77">
        <w:rPr>
          <w:rFonts w:eastAsia="Times New Roman"/>
          <w:b/>
          <w:szCs w:val="22"/>
          <w:lang w:val="en-GB"/>
        </w:rPr>
        <w:t>Agents’ heterogeneity and behavioural elements:</w:t>
      </w:r>
      <w:r w:rsidRPr="00AE6D77">
        <w:rPr>
          <w:rFonts w:eastAsia="Times New Roman"/>
          <w:szCs w:val="22"/>
          <w:lang w:val="en-GB"/>
        </w:rPr>
        <w:t xml:space="preserve"> </w:t>
      </w:r>
      <w:r w:rsidRPr="00AE6D77">
        <w:rPr>
          <w:szCs w:val="22"/>
          <w:lang w:val="en-GB" w:eastAsia="en-US"/>
        </w:rPr>
        <w:t>ABM explains how the macroeconomic variables and phenomena (e.g.GDP) are determined endogenously through the interaction</w:t>
      </w:r>
      <w:r w:rsidR="00C94AC2" w:rsidRPr="00AE6D77">
        <w:rPr>
          <w:szCs w:val="22"/>
          <w:lang w:val="en-GB" w:eastAsia="en-US"/>
        </w:rPr>
        <w:t>s</w:t>
      </w:r>
      <w:r w:rsidRPr="00AE6D77">
        <w:rPr>
          <w:szCs w:val="22"/>
          <w:lang w:val="en-GB" w:eastAsia="en-US"/>
        </w:rPr>
        <w:t xml:space="preserve"> of multiple heterogeneous agents. In that sense, ABM provide</w:t>
      </w:r>
      <w:r w:rsidR="00C94AC2" w:rsidRPr="00AE6D77">
        <w:rPr>
          <w:szCs w:val="22"/>
          <w:lang w:val="en-GB" w:eastAsia="en-US"/>
        </w:rPr>
        <w:t>s</w:t>
      </w:r>
      <w:r w:rsidRPr="00AE6D77">
        <w:rPr>
          <w:szCs w:val="22"/>
          <w:lang w:val="en-GB" w:eastAsia="en-US"/>
        </w:rPr>
        <w:t xml:space="preserve"> the sought-after micro-foundations (</w:t>
      </w:r>
      <w:r w:rsidR="00C94AC2" w:rsidRPr="00AE6D77">
        <w:rPr>
          <w:szCs w:val="22"/>
          <w:lang w:val="en-GB" w:eastAsia="en-US"/>
        </w:rPr>
        <w:t>i.e. accounts for the</w:t>
      </w:r>
      <w:r w:rsidRPr="00AE6D77">
        <w:rPr>
          <w:szCs w:val="22"/>
          <w:lang w:val="en-GB" w:eastAsia="en-US"/>
        </w:rPr>
        <w:t xml:space="preserve"> Lucas-critique).</w:t>
      </w:r>
      <w:r w:rsidR="0027138F">
        <w:rPr>
          <w:szCs w:val="22"/>
          <w:lang w:val="en-GB" w:eastAsia="en-US"/>
        </w:rPr>
        <w:t xml:space="preserve"> </w:t>
      </w:r>
      <w:r w:rsidRPr="00AE6D77">
        <w:rPr>
          <w:szCs w:val="22"/>
          <w:lang w:val="en-GB"/>
        </w:rPr>
        <w:t xml:space="preserve">Importantly, agent </w:t>
      </w:r>
      <w:r w:rsidRPr="00AE6D77">
        <w:rPr>
          <w:szCs w:val="22"/>
          <w:lang w:val="en-GB"/>
        </w:rPr>
        <w:lastRenderedPageBreak/>
        <w:t xml:space="preserve">behaviour can evolve over time </w:t>
      </w:r>
      <w:r w:rsidR="0074497F" w:rsidRPr="00AE6D77">
        <w:rPr>
          <w:szCs w:val="22"/>
          <w:lang w:val="en-GB"/>
        </w:rPr>
        <w:t xml:space="preserve">using </w:t>
      </w:r>
      <w:r w:rsidRPr="00AE6D77">
        <w:rPr>
          <w:szCs w:val="22"/>
          <w:lang w:val="en-GB"/>
        </w:rPr>
        <w:t xml:space="preserve">learning algorithms, thus </w:t>
      </w:r>
      <w:r w:rsidR="00C94AC2" w:rsidRPr="00AE6D77">
        <w:rPr>
          <w:szCs w:val="22"/>
          <w:lang w:val="en-GB"/>
        </w:rPr>
        <w:t>accounting for an additional</w:t>
      </w:r>
      <w:r w:rsidRPr="00AE6D77">
        <w:rPr>
          <w:szCs w:val="22"/>
          <w:lang w:val="en-GB"/>
        </w:rPr>
        <w:t xml:space="preserve"> behavioural element. Agents in ABM are programmed by using heur</w:t>
      </w:r>
      <w:r w:rsidR="00C94AC2" w:rsidRPr="00AE6D77">
        <w:rPr>
          <w:szCs w:val="22"/>
          <w:lang w:val="en-GB"/>
        </w:rPr>
        <w:t>istics and various data sources and inten</w:t>
      </w:r>
      <w:r w:rsidR="000B6594">
        <w:rPr>
          <w:szCs w:val="22"/>
          <w:lang w:val="en-GB"/>
        </w:rPr>
        <w:t>d</w:t>
      </w:r>
      <w:r w:rsidR="00C94AC2" w:rsidRPr="00AE6D77">
        <w:rPr>
          <w:szCs w:val="22"/>
          <w:lang w:val="en-GB"/>
        </w:rPr>
        <w:t xml:space="preserve"> </w:t>
      </w:r>
      <w:r w:rsidRPr="00AE6D77">
        <w:rPr>
          <w:szCs w:val="22"/>
          <w:lang w:val="en-GB"/>
        </w:rPr>
        <w:t>to represent the actual behaviour of agents</w:t>
      </w:r>
      <w:r w:rsidR="00C94AC2" w:rsidRPr="00AE6D77">
        <w:rPr>
          <w:szCs w:val="22"/>
          <w:lang w:val="en-GB"/>
        </w:rPr>
        <w:t>, observed</w:t>
      </w:r>
      <w:r w:rsidRPr="00AE6D77">
        <w:rPr>
          <w:szCs w:val="22"/>
          <w:lang w:val="en-GB"/>
        </w:rPr>
        <w:t xml:space="preserve"> in the real world</w:t>
      </w:r>
      <w:r w:rsidR="00C94AC2" w:rsidRPr="00AE6D77">
        <w:rPr>
          <w:szCs w:val="22"/>
          <w:lang w:val="en-GB"/>
        </w:rPr>
        <w:t>.</w:t>
      </w:r>
    </w:p>
    <w:p w14:paraId="13E54CE9" w14:textId="77777777" w:rsidR="001A77AE" w:rsidRPr="0074497F" w:rsidRDefault="001A77AE" w:rsidP="001A77AE">
      <w:pPr>
        <w:pStyle w:val="ListParagraph"/>
        <w:ind w:left="1080"/>
        <w:rPr>
          <w:szCs w:val="22"/>
          <w:lang w:val="en-GB" w:eastAsia="en-US"/>
        </w:rPr>
      </w:pPr>
    </w:p>
    <w:p w14:paraId="2CD91C30" w14:textId="304E4535" w:rsidR="001A77AE" w:rsidRPr="000B6594" w:rsidRDefault="001A77AE" w:rsidP="004D397E">
      <w:pPr>
        <w:ind w:left="1070" w:hanging="710"/>
        <w:rPr>
          <w:rFonts w:cs="Calibri"/>
          <w:b/>
          <w:szCs w:val="22"/>
          <w:bdr w:val="nil"/>
          <w:lang w:val="en-GB"/>
        </w:rPr>
      </w:pPr>
      <w:r w:rsidRPr="000B6594">
        <w:rPr>
          <w:rFonts w:eastAsia="Times New Roman" w:cstheme="minorHAnsi"/>
          <w:b/>
          <w:szCs w:val="22"/>
          <w:lang w:val="en-GB"/>
        </w:rPr>
        <w:t>iv - vi)</w:t>
      </w:r>
      <w:r w:rsidRPr="000B6594">
        <w:rPr>
          <w:rFonts w:eastAsia="Times New Roman" w:cstheme="minorHAnsi"/>
          <w:szCs w:val="22"/>
          <w:lang w:val="en-GB"/>
        </w:rPr>
        <w:t xml:space="preserve"> </w:t>
      </w:r>
      <w:r w:rsidRPr="000B6594">
        <w:rPr>
          <w:rFonts w:eastAsia="Times New Roman" w:cstheme="minorHAnsi"/>
          <w:szCs w:val="22"/>
          <w:lang w:val="en-GB"/>
        </w:rPr>
        <w:tab/>
      </w:r>
      <w:r w:rsidRPr="000B6594">
        <w:rPr>
          <w:rFonts w:cs="Calibri"/>
          <w:b/>
          <w:szCs w:val="22"/>
          <w:bdr w:val="nil"/>
          <w:lang w:val="en-GB"/>
        </w:rPr>
        <w:t xml:space="preserve">Interdisciplinary, social and institutional context; Ethical and moral philosophical aspects: </w:t>
      </w:r>
      <w:r w:rsidRPr="000B6594">
        <w:rPr>
          <w:rFonts w:cs="Calibri"/>
          <w:szCs w:val="22"/>
          <w:bdr w:val="nil"/>
          <w:lang w:val="en-GB"/>
        </w:rPr>
        <w:t xml:space="preserve">ABM is an interdisciplinary methodology and generally open to include social and institutional context as well as ethical and moral philosophical aspects, if judged as relevant for the model purpose. </w:t>
      </w:r>
    </w:p>
    <w:p w14:paraId="201B3063" w14:textId="77777777" w:rsidR="001A77AE" w:rsidRPr="000B6594" w:rsidRDefault="001A77AE" w:rsidP="001A77AE">
      <w:pPr>
        <w:rPr>
          <w:rFonts w:cs="Calibri"/>
          <w:szCs w:val="22"/>
          <w:bdr w:val="nil"/>
          <w:lang w:val="en-GB"/>
        </w:rPr>
      </w:pPr>
    </w:p>
    <w:p w14:paraId="4E1BFC5D" w14:textId="586DD785" w:rsidR="001A77AE" w:rsidRPr="00AE6D77" w:rsidRDefault="001A77AE" w:rsidP="001A77AE">
      <w:pPr>
        <w:ind w:left="1070" w:hanging="690"/>
        <w:rPr>
          <w:rFonts w:cs="Calibri"/>
          <w:color w:val="222222"/>
          <w:szCs w:val="22"/>
          <w:lang w:val="en-GB"/>
        </w:rPr>
      </w:pPr>
      <w:r w:rsidRPr="000B6594">
        <w:rPr>
          <w:rFonts w:cs="Calibri"/>
          <w:b/>
          <w:szCs w:val="22"/>
          <w:bdr w:val="nil"/>
          <w:lang w:val="en-GB"/>
        </w:rPr>
        <w:t xml:space="preserve">vii) </w:t>
      </w:r>
      <w:r w:rsidRPr="000B6594">
        <w:rPr>
          <w:rFonts w:cs="Calibri"/>
          <w:b/>
          <w:szCs w:val="22"/>
          <w:bdr w:val="nil"/>
          <w:lang w:val="en-GB"/>
        </w:rPr>
        <w:tab/>
        <w:t>Finance:</w:t>
      </w:r>
      <w:r w:rsidRPr="000B6594">
        <w:rPr>
          <w:rFonts w:cs="Calibri"/>
          <w:szCs w:val="22"/>
          <w:bdr w:val="nil"/>
          <w:lang w:val="en-GB"/>
        </w:rPr>
        <w:t xml:space="preserve"> ABM models have been applied to simulate the financial system from the bottom-up (i.e. to represent the various interactions of entities in the financial system) and </w:t>
      </w:r>
      <w:r w:rsidRPr="000B6594">
        <w:rPr>
          <w:rFonts w:cs="Calibri"/>
          <w:color w:val="222222"/>
          <w:szCs w:val="22"/>
          <w:lang w:val="en-GB"/>
        </w:rPr>
        <w:t>can also be combined with SF</w:t>
      </w:r>
      <w:r w:rsidR="00DA5E10" w:rsidRPr="00AE6D77">
        <w:rPr>
          <w:rFonts w:cs="Calibri"/>
          <w:color w:val="222222"/>
          <w:szCs w:val="22"/>
          <w:lang w:val="en-GB"/>
        </w:rPr>
        <w:t>C</w:t>
      </w:r>
      <w:r w:rsidR="00DA5E10">
        <w:rPr>
          <w:rFonts w:cs="Calibri"/>
          <w:color w:val="222222"/>
          <w:szCs w:val="22"/>
          <w:lang w:val="en-GB"/>
        </w:rPr>
        <w:t xml:space="preserve"> modelling (e.g. EURACE-</w:t>
      </w:r>
      <w:r w:rsidRPr="00AE6D77">
        <w:rPr>
          <w:rFonts w:cs="Calibri"/>
          <w:color w:val="222222"/>
          <w:szCs w:val="22"/>
          <w:lang w:val="en-GB"/>
        </w:rPr>
        <w:t xml:space="preserve">model). Indeed, the advantage of </w:t>
      </w:r>
      <w:r w:rsidRPr="00AE6D77">
        <w:rPr>
          <w:rFonts w:cs="TimesNewRomanPSMT"/>
          <w:szCs w:val="22"/>
          <w:lang w:val="en-GB" w:eastAsia="en-US"/>
        </w:rPr>
        <w:t>agent-based SFC models is that these models can include several agents for each sector (e.g. households, firms, banks) a</w:t>
      </w:r>
      <w:r w:rsidRPr="000B6594">
        <w:rPr>
          <w:rFonts w:cs="TimesNewRomanPSMT"/>
          <w:szCs w:val="22"/>
          <w:lang w:val="en-GB" w:eastAsia="en-US"/>
        </w:rPr>
        <w:t>nd that therefore specific rules for individual agents can be formulated and the interactions between these large agent population</w:t>
      </w:r>
      <w:r w:rsidR="00DA5E10" w:rsidRPr="000B6594">
        <w:rPr>
          <w:rFonts w:cs="TimesNewRomanPSMT"/>
          <w:szCs w:val="22"/>
          <w:lang w:val="en-GB" w:eastAsia="en-US"/>
        </w:rPr>
        <w:t>s</w:t>
      </w:r>
      <w:r w:rsidRPr="000B6594">
        <w:rPr>
          <w:rFonts w:cs="TimesNewRomanPSMT"/>
          <w:szCs w:val="22"/>
          <w:lang w:val="en-GB" w:eastAsia="en-US"/>
        </w:rPr>
        <w:t xml:space="preserve"> determine the aggregated model behaviour (</w:t>
      </w:r>
      <w:r w:rsidRPr="00AE6D77">
        <w:rPr>
          <w:szCs w:val="22"/>
          <w:lang w:val="en-GB"/>
        </w:rPr>
        <w:t>Nikiforos &amp; Zezza, 2017)</w:t>
      </w:r>
      <w:r w:rsidRPr="00AE6D77">
        <w:rPr>
          <w:rFonts w:cs="TimesNewRomanPSMT"/>
          <w:szCs w:val="22"/>
          <w:lang w:val="en-GB" w:eastAsia="en-US"/>
        </w:rPr>
        <w:t>.</w:t>
      </w:r>
      <w:r w:rsidR="00C94AC2" w:rsidRPr="00AE6D77">
        <w:rPr>
          <w:rFonts w:cs="TimesNewRomanPSMT"/>
          <w:szCs w:val="22"/>
          <w:lang w:val="en-GB" w:eastAsia="en-US"/>
        </w:rPr>
        <w:t xml:space="preserve"> </w:t>
      </w:r>
    </w:p>
    <w:p w14:paraId="22AD50AE" w14:textId="77777777" w:rsidR="001A77AE" w:rsidRPr="00AE6D77" w:rsidRDefault="001A77AE" w:rsidP="001A77AE">
      <w:pPr>
        <w:rPr>
          <w:rFonts w:cs="Calibri"/>
          <w:szCs w:val="22"/>
          <w:bdr w:val="nil"/>
          <w:lang w:val="en-GB"/>
        </w:rPr>
      </w:pPr>
    </w:p>
    <w:p w14:paraId="6DFCF554" w14:textId="4D09D785" w:rsidR="001A77AE" w:rsidRPr="00AE6D77" w:rsidRDefault="001A77AE" w:rsidP="001A77AE">
      <w:pPr>
        <w:pStyle w:val="ListParagraph"/>
        <w:numPr>
          <w:ilvl w:val="0"/>
          <w:numId w:val="16"/>
        </w:numPr>
        <w:rPr>
          <w:rFonts w:cs="Calibri"/>
          <w:szCs w:val="22"/>
          <w:bdr w:val="nil"/>
          <w:lang w:val="en-GB"/>
        </w:rPr>
      </w:pPr>
      <w:r w:rsidRPr="00AE6D77">
        <w:rPr>
          <w:rFonts w:cs="Calibri"/>
          <w:b/>
          <w:szCs w:val="22"/>
          <w:bdr w:val="nil"/>
          <w:lang w:val="en-GB"/>
        </w:rPr>
        <w:t xml:space="preserve">Multiple equilibria/disequilibrium: </w:t>
      </w:r>
      <w:r w:rsidR="00DA5E10" w:rsidRPr="00AE6D77">
        <w:rPr>
          <w:rFonts w:cs="Calibri"/>
          <w:szCs w:val="22"/>
          <w:bdr w:val="nil"/>
          <w:lang w:val="en-GB"/>
        </w:rPr>
        <w:t xml:space="preserve">ABM are suitable for capturing multiple equilibria and disequilibrium dynamics. Indeed, the interactions between various agents determine the macro-behaviour of the model from the bottom-up as an emergent property, implying that system disequilibrium is the norm rather than the exception.  </w:t>
      </w:r>
    </w:p>
    <w:p w14:paraId="1C5C9AB8" w14:textId="77777777" w:rsidR="001A77AE" w:rsidRPr="00AE6D77" w:rsidRDefault="001A77AE" w:rsidP="001A77AE">
      <w:pPr>
        <w:rPr>
          <w:i/>
          <w:szCs w:val="22"/>
          <w:lang w:val="en-GB"/>
        </w:rPr>
      </w:pPr>
    </w:p>
    <w:p w14:paraId="27A83A6B" w14:textId="77777777" w:rsidR="001A77AE" w:rsidRPr="00AE6D77" w:rsidRDefault="001A77AE" w:rsidP="001A77AE">
      <w:pPr>
        <w:rPr>
          <w:i/>
          <w:szCs w:val="22"/>
          <w:lang w:val="en-GB"/>
        </w:rPr>
      </w:pPr>
      <w:r w:rsidRPr="00AE6D77">
        <w:rPr>
          <w:i/>
          <w:szCs w:val="22"/>
          <w:lang w:val="en-GB"/>
        </w:rPr>
        <w:t>4.1.4. Stock-Flow Consistent models</w:t>
      </w:r>
    </w:p>
    <w:p w14:paraId="085178E8" w14:textId="5EC027E4" w:rsidR="00DA5E10" w:rsidRPr="0026588B" w:rsidRDefault="00DA5E10" w:rsidP="00DA5E10">
      <w:pPr>
        <w:rPr>
          <w:szCs w:val="22"/>
          <w:lang w:val="en-GB"/>
        </w:rPr>
      </w:pPr>
      <w:r w:rsidRPr="00AE6D77">
        <w:rPr>
          <w:rFonts w:cs="TimesNewRomanPSMT"/>
          <w:szCs w:val="22"/>
          <w:lang w:val="en-GB" w:eastAsia="en-US"/>
        </w:rPr>
        <w:t xml:space="preserve">The beginning of the SFC approach goes back to the </w:t>
      </w:r>
      <w:r w:rsidRPr="00AE6D77">
        <w:rPr>
          <w:szCs w:val="22"/>
          <w:lang w:val="en-GB"/>
        </w:rPr>
        <w:t xml:space="preserve">pioneering work of W. Godley and J. Tobin in the </w:t>
      </w:r>
      <w:r w:rsidRPr="000B6594">
        <w:rPr>
          <w:szCs w:val="22"/>
          <w:lang w:val="en-GB"/>
        </w:rPr>
        <w:t xml:space="preserve">1970s. SFC modelling provides an integrated framework for the </w:t>
      </w:r>
      <w:r>
        <w:rPr>
          <w:szCs w:val="22"/>
          <w:lang w:val="en-GB"/>
        </w:rPr>
        <w:t>analysis</w:t>
      </w:r>
      <w:r w:rsidRPr="000B6594">
        <w:rPr>
          <w:szCs w:val="22"/>
          <w:lang w:val="en-GB"/>
        </w:rPr>
        <w:t xml:space="preserve"> of both the real and the financial side and their </w:t>
      </w:r>
      <w:r>
        <w:rPr>
          <w:szCs w:val="22"/>
          <w:lang w:val="en-GB"/>
        </w:rPr>
        <w:t>connections</w:t>
      </w:r>
      <w:r w:rsidRPr="000B6594">
        <w:rPr>
          <w:szCs w:val="22"/>
          <w:lang w:val="en-GB"/>
        </w:rPr>
        <w:t xml:space="preserve"> in one framework (</w:t>
      </w:r>
      <w:r w:rsidR="000C33A1">
        <w:rPr>
          <w:szCs w:val="22"/>
          <w:lang w:val="en-GB"/>
        </w:rPr>
        <w:t xml:space="preserve">e.g. </w:t>
      </w:r>
      <w:r w:rsidR="00356F46">
        <w:rPr>
          <w:rFonts w:cstheme="minorHAnsi"/>
          <w:szCs w:val="22"/>
          <w:lang w:val="en-GB"/>
        </w:rPr>
        <w:t>Godley &amp; Lavoie, 2016</w:t>
      </w:r>
      <w:r w:rsidRPr="000B6594">
        <w:rPr>
          <w:szCs w:val="22"/>
          <w:lang w:val="en-GB"/>
        </w:rPr>
        <w:t>).</w:t>
      </w:r>
      <w:r w:rsidRPr="00AE6D77">
        <w:rPr>
          <w:szCs w:val="22"/>
          <w:lang w:val="en-GB"/>
        </w:rPr>
        <w:t xml:space="preserve"> </w:t>
      </w:r>
      <w:r w:rsidRPr="00AE6D77">
        <w:rPr>
          <w:rFonts w:cstheme="minorHAnsi"/>
          <w:szCs w:val="22"/>
          <w:lang w:val="en-GB"/>
        </w:rPr>
        <w:t>The interest in SFC-modelling increased in particular after the Great Financial Crisis (GFC) of 2007 a</w:t>
      </w:r>
      <w:r w:rsidR="000C33A1">
        <w:rPr>
          <w:rFonts w:cstheme="minorHAnsi"/>
          <w:szCs w:val="22"/>
          <w:lang w:val="en-GB"/>
        </w:rPr>
        <w:t xml:space="preserve">s SFC models </w:t>
      </w:r>
      <w:r w:rsidRPr="00AE6D77">
        <w:rPr>
          <w:rFonts w:cstheme="minorHAnsi"/>
          <w:szCs w:val="22"/>
          <w:lang w:val="en-GB"/>
        </w:rPr>
        <w:t>were able to predict the occurrence of this crises</w:t>
      </w:r>
      <w:r w:rsidR="008E7792">
        <w:rPr>
          <w:rFonts w:cstheme="minorHAnsi"/>
          <w:szCs w:val="22"/>
          <w:lang w:val="en-GB"/>
        </w:rPr>
        <w:t xml:space="preserve"> (See Godely, 2012)</w:t>
      </w:r>
      <w:r w:rsidRPr="00AE6D77">
        <w:rPr>
          <w:rFonts w:cstheme="minorHAnsi"/>
          <w:szCs w:val="22"/>
          <w:lang w:val="en-GB"/>
        </w:rPr>
        <w:t xml:space="preserve">. </w:t>
      </w:r>
    </w:p>
    <w:p w14:paraId="3898044B" w14:textId="77777777" w:rsidR="00DA5E10" w:rsidRPr="0026588B" w:rsidRDefault="00DA5E10" w:rsidP="00DA5E10">
      <w:pPr>
        <w:rPr>
          <w:rFonts w:cstheme="minorHAnsi"/>
          <w:szCs w:val="22"/>
          <w:lang w:val="en-GB"/>
        </w:rPr>
      </w:pPr>
    </w:p>
    <w:p w14:paraId="3AE98AF0" w14:textId="77777777" w:rsidR="00DA5E10" w:rsidRPr="0026588B" w:rsidRDefault="00DA5E10" w:rsidP="00DA5E10">
      <w:pPr>
        <w:rPr>
          <w:rFonts w:cs="TimesNewRomanPSMT"/>
          <w:szCs w:val="22"/>
          <w:lang w:val="en-GB" w:eastAsia="en-US"/>
        </w:rPr>
      </w:pPr>
      <w:r w:rsidRPr="0026588B">
        <w:rPr>
          <w:rFonts w:cs="TimesNewRomanPSMT"/>
          <w:szCs w:val="22"/>
          <w:lang w:val="en-GB" w:eastAsia="en-US"/>
        </w:rPr>
        <w:t xml:space="preserve">SFC models emphasise the importance </w:t>
      </w:r>
      <w:r w:rsidRPr="0026588B">
        <w:rPr>
          <w:rFonts w:cstheme="minorHAnsi"/>
          <w:szCs w:val="22"/>
          <w:lang w:val="en-GB"/>
        </w:rPr>
        <w:t>of consistent accounting of all monetary stocks and flows as well as</w:t>
      </w:r>
      <w:r>
        <w:rPr>
          <w:rFonts w:cstheme="minorHAnsi"/>
          <w:szCs w:val="22"/>
          <w:lang w:val="en-GB"/>
        </w:rPr>
        <w:t xml:space="preserve"> the representation of</w:t>
      </w:r>
      <w:r w:rsidRPr="0026588B">
        <w:rPr>
          <w:rFonts w:cstheme="minorHAnsi"/>
          <w:szCs w:val="22"/>
          <w:lang w:val="en-GB"/>
        </w:rPr>
        <w:t xml:space="preserve"> financial assets and liabilities. </w:t>
      </w:r>
      <w:r w:rsidRPr="0026588B">
        <w:rPr>
          <w:rFonts w:cs="TimesNewRomanPSMT"/>
          <w:szCs w:val="22"/>
          <w:lang w:val="en-GB" w:eastAsia="en-US"/>
        </w:rPr>
        <w:t xml:space="preserve">Consistent accounting can lead to </w:t>
      </w:r>
      <w:r>
        <w:rPr>
          <w:rFonts w:cs="TimesNewRomanPSMT"/>
          <w:szCs w:val="22"/>
          <w:lang w:val="en-GB" w:eastAsia="en-US"/>
        </w:rPr>
        <w:t>relevant</w:t>
      </w:r>
      <w:r w:rsidRPr="0026588B">
        <w:rPr>
          <w:rFonts w:cs="TimesNewRomanPSMT"/>
          <w:szCs w:val="22"/>
          <w:lang w:val="en-GB" w:eastAsia="en-US"/>
        </w:rPr>
        <w:t xml:space="preserve"> conclusions </w:t>
      </w:r>
      <w:r>
        <w:rPr>
          <w:rFonts w:cs="TimesNewRomanPSMT"/>
          <w:szCs w:val="22"/>
          <w:lang w:val="en-GB" w:eastAsia="en-US"/>
        </w:rPr>
        <w:t>by itself</w:t>
      </w:r>
      <w:r w:rsidRPr="0026588B">
        <w:rPr>
          <w:rFonts w:cs="TimesNewRomanPSMT"/>
          <w:szCs w:val="22"/>
          <w:lang w:val="en-GB" w:eastAsia="en-US"/>
        </w:rPr>
        <w:t xml:space="preserve"> because it introduces certain constraints and decreases the degrees of freedom of </w:t>
      </w:r>
      <w:r>
        <w:rPr>
          <w:rFonts w:cs="TimesNewRomanPSMT"/>
          <w:szCs w:val="22"/>
          <w:lang w:val="en-GB" w:eastAsia="en-US"/>
        </w:rPr>
        <w:t xml:space="preserve">economic </w:t>
      </w:r>
      <w:r w:rsidRPr="0026588B">
        <w:rPr>
          <w:rFonts w:cs="TimesNewRomanPSMT"/>
          <w:szCs w:val="22"/>
          <w:lang w:val="en-GB" w:eastAsia="en-US"/>
        </w:rPr>
        <w:t>model</w:t>
      </w:r>
      <w:r>
        <w:rPr>
          <w:rFonts w:cs="TimesNewRomanPSMT"/>
          <w:szCs w:val="22"/>
          <w:lang w:val="en-GB" w:eastAsia="en-US"/>
        </w:rPr>
        <w:t>s</w:t>
      </w:r>
      <w:r w:rsidRPr="0026588B">
        <w:rPr>
          <w:rFonts w:cs="TimesNewRomanPSMT"/>
          <w:szCs w:val="22"/>
          <w:lang w:val="en-GB" w:eastAsia="en-US"/>
        </w:rPr>
        <w:t xml:space="preserve">. </w:t>
      </w:r>
    </w:p>
    <w:p w14:paraId="4C2DB5D8" w14:textId="77777777" w:rsidR="001A77AE" w:rsidRPr="0026588B" w:rsidRDefault="001A77AE" w:rsidP="001A77AE">
      <w:pPr>
        <w:rPr>
          <w:rFonts w:cs="TimesNewRomanPSMT"/>
          <w:szCs w:val="22"/>
          <w:lang w:val="en-GB" w:eastAsia="en-US"/>
        </w:rPr>
      </w:pPr>
    </w:p>
    <w:p w14:paraId="10A60C31" w14:textId="2D0C8B9B" w:rsidR="001A77AE" w:rsidRPr="0026588B" w:rsidRDefault="001A77AE" w:rsidP="001A77AE">
      <w:pPr>
        <w:rPr>
          <w:rFonts w:cstheme="minorHAnsi"/>
          <w:szCs w:val="22"/>
          <w:lang w:val="en-GB"/>
        </w:rPr>
      </w:pPr>
      <w:r w:rsidRPr="0026588B">
        <w:rPr>
          <w:rFonts w:cstheme="minorHAnsi"/>
          <w:szCs w:val="22"/>
          <w:lang w:val="en-GB"/>
        </w:rPr>
        <w:t>Specifically, accounting consistency from a SFC modelling perspective means the follo</w:t>
      </w:r>
      <w:r w:rsidR="00356F46">
        <w:rPr>
          <w:rFonts w:cstheme="minorHAnsi"/>
          <w:szCs w:val="22"/>
          <w:lang w:val="en-GB"/>
        </w:rPr>
        <w:t>wing (e.g. Godley &amp; Lavoie, 2016</w:t>
      </w:r>
      <w:r w:rsidRPr="0026588B">
        <w:rPr>
          <w:rFonts w:cstheme="minorHAnsi"/>
          <w:szCs w:val="22"/>
          <w:lang w:val="en-GB"/>
        </w:rPr>
        <w:t xml:space="preserve">): </w:t>
      </w:r>
    </w:p>
    <w:p w14:paraId="4D2E7CC8" w14:textId="77777777" w:rsidR="001A77AE" w:rsidRPr="0026588B" w:rsidRDefault="001A77AE" w:rsidP="001A77AE">
      <w:pPr>
        <w:rPr>
          <w:rFonts w:cstheme="minorHAnsi"/>
          <w:szCs w:val="22"/>
          <w:lang w:val="en-GB"/>
        </w:rPr>
      </w:pPr>
    </w:p>
    <w:p w14:paraId="0B75DB5A" w14:textId="506EF94B" w:rsidR="001A77AE" w:rsidRPr="0026588B" w:rsidRDefault="001A77AE" w:rsidP="001A77AE">
      <w:pPr>
        <w:pStyle w:val="ListParagraph"/>
        <w:numPr>
          <w:ilvl w:val="0"/>
          <w:numId w:val="17"/>
        </w:numPr>
        <w:rPr>
          <w:rFonts w:cstheme="minorHAnsi"/>
          <w:szCs w:val="22"/>
          <w:lang w:val="en-GB"/>
        </w:rPr>
      </w:pPr>
      <w:r w:rsidRPr="0026588B">
        <w:rPr>
          <w:rFonts w:cstheme="minorHAnsi"/>
          <w:i/>
          <w:szCs w:val="22"/>
          <w:lang w:val="en-GB"/>
        </w:rPr>
        <w:t>Flow consistency</w:t>
      </w:r>
      <w:r w:rsidRPr="0026588B">
        <w:rPr>
          <w:rFonts w:cstheme="minorHAnsi"/>
          <w:szCs w:val="22"/>
          <w:lang w:val="en-GB"/>
        </w:rPr>
        <w:t xml:space="preserve">: Every monetary flow comes from somewhere and goes somewhere. As a result, there are no “black holes” in the system. Further, ‘vertical’ flow consistency implies that </w:t>
      </w:r>
      <w:r w:rsidR="00C94AC2" w:rsidRPr="0026588B">
        <w:rPr>
          <w:rFonts w:cstheme="minorHAnsi"/>
          <w:szCs w:val="22"/>
          <w:lang w:val="en-GB"/>
        </w:rPr>
        <w:t>all</w:t>
      </w:r>
      <w:r w:rsidRPr="0026588B">
        <w:rPr>
          <w:rFonts w:cstheme="minorHAnsi"/>
          <w:szCs w:val="22"/>
          <w:lang w:val="en-GB"/>
        </w:rPr>
        <w:t xml:space="preserve"> transaction</w:t>
      </w:r>
      <w:r w:rsidR="00C94AC2" w:rsidRPr="0026588B">
        <w:rPr>
          <w:rFonts w:cstheme="minorHAnsi"/>
          <w:szCs w:val="22"/>
          <w:lang w:val="en-GB"/>
        </w:rPr>
        <w:t>s involve</w:t>
      </w:r>
      <w:r w:rsidRPr="0026588B">
        <w:rPr>
          <w:rFonts w:cstheme="minorHAnsi"/>
          <w:szCs w:val="22"/>
          <w:lang w:val="en-GB"/>
        </w:rPr>
        <w:t xml:space="preserve"> at least two entries, usually referred to as ‘credit’ and ‘debit’ entries. </w:t>
      </w:r>
    </w:p>
    <w:p w14:paraId="436CC53E" w14:textId="77777777" w:rsidR="001A77AE" w:rsidRPr="0026588B" w:rsidRDefault="001A77AE" w:rsidP="001A77AE">
      <w:pPr>
        <w:rPr>
          <w:rFonts w:cstheme="minorHAnsi"/>
          <w:szCs w:val="22"/>
          <w:lang w:val="en-GB"/>
        </w:rPr>
      </w:pPr>
    </w:p>
    <w:p w14:paraId="0D1FC688" w14:textId="77777777" w:rsidR="000C33A1" w:rsidRPr="0026588B" w:rsidRDefault="000C33A1" w:rsidP="000C33A1">
      <w:pPr>
        <w:pStyle w:val="ListParagraph"/>
        <w:numPr>
          <w:ilvl w:val="0"/>
          <w:numId w:val="17"/>
        </w:numPr>
        <w:rPr>
          <w:rFonts w:cstheme="minorHAnsi"/>
          <w:szCs w:val="22"/>
          <w:lang w:val="en-GB"/>
        </w:rPr>
      </w:pPr>
      <w:r w:rsidRPr="0026588B">
        <w:rPr>
          <w:rFonts w:cstheme="minorHAnsi"/>
          <w:i/>
          <w:szCs w:val="22"/>
          <w:lang w:val="en-GB"/>
        </w:rPr>
        <w:t>Stock consistency:</w:t>
      </w:r>
      <w:r w:rsidRPr="0026588B">
        <w:rPr>
          <w:rFonts w:cstheme="minorHAnsi"/>
          <w:szCs w:val="22"/>
          <w:lang w:val="en-GB"/>
        </w:rPr>
        <w:t xml:space="preserve"> The financial assets of an agent </w:t>
      </w:r>
      <w:r>
        <w:rPr>
          <w:rFonts w:cstheme="minorHAnsi"/>
          <w:szCs w:val="22"/>
          <w:lang w:val="en-GB"/>
        </w:rPr>
        <w:t>or</w:t>
      </w:r>
      <w:r w:rsidRPr="0026588B">
        <w:rPr>
          <w:rFonts w:cstheme="minorHAnsi"/>
          <w:szCs w:val="22"/>
          <w:lang w:val="en-GB"/>
        </w:rPr>
        <w:t xml:space="preserve"> sector are the financial liabilities of another agent </w:t>
      </w:r>
      <w:r>
        <w:rPr>
          <w:rFonts w:cstheme="minorHAnsi"/>
          <w:szCs w:val="22"/>
          <w:lang w:val="en-GB"/>
        </w:rPr>
        <w:t xml:space="preserve">or </w:t>
      </w:r>
      <w:r w:rsidRPr="0026588B">
        <w:rPr>
          <w:rFonts w:cstheme="minorHAnsi"/>
          <w:szCs w:val="22"/>
          <w:lang w:val="en-GB"/>
        </w:rPr>
        <w:t xml:space="preserve">sector. For example, a treasury bond is a liability for the government and an asset for its holder. Consequently, the net financial wealth as a whole is equal to zero. </w:t>
      </w:r>
    </w:p>
    <w:p w14:paraId="17101159" w14:textId="77777777" w:rsidR="000C33A1" w:rsidRPr="0026588B" w:rsidRDefault="000C33A1" w:rsidP="000C33A1">
      <w:pPr>
        <w:rPr>
          <w:rFonts w:cstheme="minorHAnsi"/>
          <w:szCs w:val="22"/>
          <w:lang w:val="en-GB"/>
        </w:rPr>
      </w:pPr>
    </w:p>
    <w:p w14:paraId="5E7630D0" w14:textId="77777777" w:rsidR="000C33A1" w:rsidRDefault="000C33A1" w:rsidP="000C33A1">
      <w:pPr>
        <w:pStyle w:val="ListParagraph"/>
        <w:numPr>
          <w:ilvl w:val="0"/>
          <w:numId w:val="17"/>
        </w:numPr>
        <w:rPr>
          <w:rFonts w:cs="TimesNewRomanPSMT"/>
          <w:szCs w:val="22"/>
          <w:lang w:val="en-GB" w:eastAsia="en-US"/>
        </w:rPr>
      </w:pPr>
      <w:r w:rsidRPr="0027138F">
        <w:rPr>
          <w:rFonts w:cs="TimesNewRomanPS-ItalicMT"/>
          <w:i/>
          <w:iCs/>
          <w:szCs w:val="22"/>
          <w:lang w:val="en-GB" w:eastAsia="en-US"/>
        </w:rPr>
        <w:t xml:space="preserve">Stock-flow consistency: </w:t>
      </w:r>
      <w:r w:rsidRPr="0027138F">
        <w:rPr>
          <w:rFonts w:cs="TimesNewRomanPSMT"/>
          <w:szCs w:val="22"/>
          <w:lang w:val="en-GB" w:eastAsia="en-US"/>
        </w:rPr>
        <w:t>Every flow leads to a change in one or more stocks. As a result, the stock values at the end of the period are obtained by cumulating the relevant flows</w:t>
      </w:r>
      <w:r>
        <w:rPr>
          <w:rFonts w:cs="TimesNewRomanPSMT"/>
          <w:szCs w:val="22"/>
          <w:lang w:val="en-GB" w:eastAsia="en-US"/>
        </w:rPr>
        <w:t xml:space="preserve">. </w:t>
      </w:r>
    </w:p>
    <w:p w14:paraId="773B7F37" w14:textId="77777777" w:rsidR="000C33A1" w:rsidRPr="0027138F" w:rsidRDefault="000C33A1" w:rsidP="000C33A1">
      <w:pPr>
        <w:rPr>
          <w:rFonts w:cs="TimesNewRomanPSMT"/>
          <w:szCs w:val="22"/>
          <w:lang w:val="en-GB" w:eastAsia="en-US"/>
        </w:rPr>
      </w:pPr>
    </w:p>
    <w:p w14:paraId="408C5126" w14:textId="3B46BF38" w:rsidR="000C33A1" w:rsidRPr="0026588B" w:rsidRDefault="000C33A1" w:rsidP="000C33A1">
      <w:pPr>
        <w:pStyle w:val="ListParagraph"/>
        <w:numPr>
          <w:ilvl w:val="0"/>
          <w:numId w:val="17"/>
        </w:numPr>
        <w:rPr>
          <w:rFonts w:cs="TimesNewRomanPSMT"/>
          <w:szCs w:val="22"/>
          <w:lang w:val="en-GB" w:eastAsia="en-US"/>
        </w:rPr>
      </w:pPr>
      <w:r w:rsidRPr="0026588B">
        <w:rPr>
          <w:rFonts w:cs="TimesNewRomanPS-ItalicMT"/>
          <w:i/>
          <w:iCs/>
          <w:szCs w:val="22"/>
          <w:lang w:val="en-GB" w:eastAsia="en-US"/>
        </w:rPr>
        <w:t xml:space="preserve">Quadruple entry: </w:t>
      </w:r>
      <w:r w:rsidRPr="0026588B">
        <w:rPr>
          <w:rFonts w:cs="TimesNewRomanPSMT"/>
          <w:szCs w:val="22"/>
          <w:lang w:val="en-GB" w:eastAsia="en-US"/>
        </w:rPr>
        <w:t xml:space="preserve">The three principles introduced above, then, lead to a fourth </w:t>
      </w:r>
      <w:r>
        <w:rPr>
          <w:rFonts w:cs="TimesNewRomanPSMT"/>
          <w:szCs w:val="22"/>
          <w:lang w:val="en-GB" w:eastAsia="en-US"/>
        </w:rPr>
        <w:t>principle</w:t>
      </w:r>
      <w:r w:rsidRPr="0026588B">
        <w:rPr>
          <w:rFonts w:cs="TimesNewRomanPSMT"/>
          <w:szCs w:val="22"/>
          <w:lang w:val="en-GB" w:eastAsia="en-US"/>
        </w:rPr>
        <w:t xml:space="preserve">. That is, every transaction involves a </w:t>
      </w:r>
      <w:r w:rsidRPr="0026588B">
        <w:rPr>
          <w:rFonts w:cs="TimesNewRomanPS-ItalicMT"/>
          <w:iCs/>
          <w:szCs w:val="22"/>
          <w:lang w:val="en-GB" w:eastAsia="en-US"/>
        </w:rPr>
        <w:t>quadruple entry</w:t>
      </w:r>
      <w:r w:rsidRPr="0026588B">
        <w:rPr>
          <w:rFonts w:cs="TimesNewRomanPS-ItalicMT"/>
          <w:i/>
          <w:iCs/>
          <w:szCs w:val="22"/>
          <w:lang w:val="en-GB" w:eastAsia="en-US"/>
        </w:rPr>
        <w:t xml:space="preserve"> </w:t>
      </w:r>
      <w:r w:rsidRPr="0026588B">
        <w:rPr>
          <w:rFonts w:cs="TimesNewRomanPSMT"/>
          <w:szCs w:val="22"/>
          <w:lang w:val="en-GB" w:eastAsia="en-US"/>
        </w:rPr>
        <w:t xml:space="preserve">in accounting. For example, when a firm sells a product to consumer, the accounting registers an increase in the income of the firm and in the expenditure of the household. At the same time there is a decrease in at least one asset (or increase  in a liability) of the household and a corresponding an increase in at a least one asset of the firm. </w:t>
      </w:r>
    </w:p>
    <w:p w14:paraId="5E78A9F1" w14:textId="77777777" w:rsidR="001A77AE" w:rsidRPr="0026588B" w:rsidRDefault="001A77AE" w:rsidP="001A77AE">
      <w:pPr>
        <w:rPr>
          <w:rFonts w:cs="TimesNewRomanPSMT"/>
          <w:szCs w:val="22"/>
          <w:lang w:val="en-GB" w:eastAsia="en-US"/>
        </w:rPr>
      </w:pPr>
    </w:p>
    <w:p w14:paraId="561C76FD" w14:textId="3A7C57DD" w:rsidR="001A77AE" w:rsidRPr="00AE6D77" w:rsidRDefault="00C94AC2" w:rsidP="001A77AE">
      <w:pPr>
        <w:rPr>
          <w:rFonts w:cs="TimesNewRomanPSMT"/>
          <w:szCs w:val="22"/>
          <w:lang w:val="en-GB" w:eastAsia="en-US"/>
        </w:rPr>
      </w:pPr>
      <w:r w:rsidRPr="0026588B">
        <w:rPr>
          <w:rFonts w:cs="TimesNewRomanPSMT"/>
          <w:szCs w:val="22"/>
          <w:lang w:val="en-GB" w:eastAsia="en-US"/>
        </w:rPr>
        <w:t>T</w:t>
      </w:r>
      <w:r w:rsidR="001A77AE" w:rsidRPr="0026588B">
        <w:rPr>
          <w:rFonts w:cs="TimesNewRomanPSMT"/>
          <w:szCs w:val="22"/>
          <w:lang w:val="en-GB" w:eastAsia="en-US"/>
        </w:rPr>
        <w:t xml:space="preserve">he SFC modelling approach goes beyond simple accounting. The second characteristics of SFC model concerns the behavioural specification and the closure of SFC models (e.g. </w:t>
      </w:r>
      <w:r w:rsidR="001A77AE" w:rsidRPr="0026588B">
        <w:rPr>
          <w:szCs w:val="22"/>
          <w:lang w:val="en-GB"/>
        </w:rPr>
        <w:t>Nikiforos &amp; Zezza, 2017)</w:t>
      </w:r>
      <w:r w:rsidRPr="0026588B">
        <w:rPr>
          <w:rFonts w:cs="TimesNewRomanPSMT"/>
          <w:szCs w:val="22"/>
          <w:lang w:val="en-GB" w:eastAsia="en-US"/>
        </w:rPr>
        <w:t xml:space="preserve">. </w:t>
      </w:r>
      <w:r w:rsidR="001A77AE" w:rsidRPr="000B6594">
        <w:rPr>
          <w:rFonts w:cs="TimesNewRomanPSMT"/>
          <w:szCs w:val="22"/>
          <w:lang w:val="en-GB" w:eastAsia="en-US"/>
        </w:rPr>
        <w:t xml:space="preserve">SCF models </w:t>
      </w:r>
      <w:r w:rsidRPr="000B6594">
        <w:rPr>
          <w:rFonts w:cs="TimesNewRomanPSMT"/>
          <w:szCs w:val="22"/>
          <w:lang w:val="en-GB" w:eastAsia="en-US"/>
        </w:rPr>
        <w:t xml:space="preserve">are </w:t>
      </w:r>
      <w:r w:rsidR="001A77AE" w:rsidRPr="000B6594">
        <w:rPr>
          <w:rFonts w:cs="TimesNewRomanPSMT"/>
          <w:szCs w:val="22"/>
          <w:lang w:val="en-GB" w:eastAsia="en-US"/>
        </w:rPr>
        <w:t xml:space="preserve">typically </w:t>
      </w:r>
      <w:r w:rsidRPr="000B6594">
        <w:rPr>
          <w:rFonts w:cs="TimesNewRomanPSMT"/>
          <w:szCs w:val="22"/>
          <w:lang w:val="en-GB" w:eastAsia="en-US"/>
        </w:rPr>
        <w:t>characterised with</w:t>
      </w:r>
      <w:r w:rsidR="001A77AE" w:rsidRPr="000B6594">
        <w:rPr>
          <w:rFonts w:cs="TimesNewRomanPSMT"/>
          <w:szCs w:val="22"/>
          <w:lang w:val="en-GB" w:eastAsia="en-US"/>
        </w:rPr>
        <w:t xml:space="preserve"> a post-Keynesian model closure, meaning that production is demand-led and </w:t>
      </w:r>
      <w:r w:rsidRPr="00AE6D77">
        <w:rPr>
          <w:rFonts w:cs="TimesNewRomanPSMT"/>
          <w:szCs w:val="22"/>
          <w:lang w:val="en-GB" w:eastAsia="en-US"/>
        </w:rPr>
        <w:t>that</w:t>
      </w:r>
      <w:r w:rsidR="001A77AE" w:rsidRPr="00AE6D77">
        <w:rPr>
          <w:rFonts w:cs="TimesNewRomanPSMT"/>
          <w:szCs w:val="22"/>
          <w:lang w:val="en-GB" w:eastAsia="en-US"/>
        </w:rPr>
        <w:t xml:space="preserve"> Say’s law, full employment or </w:t>
      </w:r>
      <w:r w:rsidRPr="00AE6D77">
        <w:rPr>
          <w:rFonts w:cs="TimesNewRomanPSMT"/>
          <w:szCs w:val="22"/>
          <w:lang w:val="en-GB" w:eastAsia="en-US"/>
        </w:rPr>
        <w:t>cleared markets are not assumed</w:t>
      </w:r>
      <w:r w:rsidR="001A77AE" w:rsidRPr="00AE6D77">
        <w:rPr>
          <w:rStyle w:val="FootnoteReference"/>
          <w:szCs w:val="22"/>
          <w:lang w:val="en-GB"/>
        </w:rPr>
        <w:footnoteReference w:id="17"/>
      </w:r>
      <w:r w:rsidR="001A77AE" w:rsidRPr="00AE6D77">
        <w:rPr>
          <w:szCs w:val="22"/>
          <w:lang w:val="en-GB"/>
        </w:rPr>
        <w:t xml:space="preserve">. </w:t>
      </w:r>
    </w:p>
    <w:p w14:paraId="1D0DAC17" w14:textId="77777777" w:rsidR="001A77AE" w:rsidRPr="00AE6D77" w:rsidRDefault="001A77AE" w:rsidP="001A77AE">
      <w:pPr>
        <w:rPr>
          <w:rFonts w:cstheme="minorHAnsi"/>
          <w:color w:val="2E2E2E"/>
          <w:szCs w:val="22"/>
          <w:lang w:val="en-GB"/>
        </w:rPr>
      </w:pPr>
    </w:p>
    <w:p w14:paraId="0EB2C688" w14:textId="77777777" w:rsidR="000C33A1" w:rsidRPr="000B6594" w:rsidRDefault="000C33A1" w:rsidP="000C33A1">
      <w:pPr>
        <w:rPr>
          <w:rFonts w:eastAsia="Times New Roman" w:cstheme="minorHAnsi"/>
          <w:szCs w:val="22"/>
          <w:lang w:val="en-GB"/>
        </w:rPr>
      </w:pPr>
      <w:r w:rsidRPr="0026588B">
        <w:rPr>
          <w:rFonts w:eastAsia="Times New Roman" w:cstheme="minorHAnsi"/>
          <w:szCs w:val="22"/>
          <w:lang w:val="en-GB"/>
        </w:rPr>
        <w:t xml:space="preserve">We argue that it depends with what other modelling approach SFC models are combined to what extent the desired features of a </w:t>
      </w:r>
      <w:r w:rsidRPr="000B6594">
        <w:rPr>
          <w:rFonts w:eastAsia="Times New Roman" w:cstheme="minorHAnsi"/>
          <w:szCs w:val="22"/>
          <w:lang w:val="en-GB"/>
        </w:rPr>
        <w:t xml:space="preserve">‘new economic approach’ are represented in </w:t>
      </w:r>
      <w:r>
        <w:rPr>
          <w:rFonts w:eastAsia="Times New Roman" w:cstheme="minorHAnsi"/>
          <w:szCs w:val="22"/>
          <w:lang w:val="en-GB"/>
        </w:rPr>
        <w:t>SFC</w:t>
      </w:r>
      <w:r w:rsidRPr="000B6594">
        <w:rPr>
          <w:rFonts w:eastAsia="Times New Roman" w:cstheme="minorHAnsi"/>
          <w:szCs w:val="22"/>
          <w:lang w:val="en-GB"/>
        </w:rPr>
        <w:t xml:space="preserve"> models. The key </w:t>
      </w:r>
      <w:r>
        <w:rPr>
          <w:rFonts w:eastAsia="Times New Roman" w:cstheme="minorHAnsi"/>
          <w:szCs w:val="22"/>
          <w:lang w:val="en-GB"/>
        </w:rPr>
        <w:t>asset</w:t>
      </w:r>
      <w:r w:rsidRPr="000B6594">
        <w:rPr>
          <w:rFonts w:eastAsia="Times New Roman" w:cstheme="minorHAnsi"/>
          <w:szCs w:val="22"/>
          <w:lang w:val="en-GB"/>
        </w:rPr>
        <w:t xml:space="preserve"> of the SFC modelling approach </w:t>
      </w:r>
      <w:r>
        <w:rPr>
          <w:rFonts w:eastAsia="Times New Roman" w:cstheme="minorHAnsi"/>
          <w:szCs w:val="22"/>
          <w:lang w:val="en-GB"/>
        </w:rPr>
        <w:t>lies in</w:t>
      </w:r>
      <w:r w:rsidRPr="000B6594">
        <w:rPr>
          <w:rFonts w:eastAsia="Times New Roman" w:cstheme="minorHAnsi"/>
          <w:szCs w:val="22"/>
          <w:lang w:val="en-GB"/>
        </w:rPr>
        <w:t xml:space="preserve"> the representation of the financial side and the interrelations with the real side of the economy</w:t>
      </w:r>
      <w:r>
        <w:rPr>
          <w:rFonts w:eastAsia="Times New Roman" w:cstheme="minorHAnsi"/>
          <w:szCs w:val="22"/>
          <w:lang w:val="en-GB"/>
        </w:rPr>
        <w:t xml:space="preserve"> (corresponding to feature vii ‘finance’). </w:t>
      </w:r>
    </w:p>
    <w:p w14:paraId="1628618A" w14:textId="77777777" w:rsidR="001A77AE" w:rsidRPr="00AE6D77" w:rsidRDefault="001A77AE" w:rsidP="001A77AE">
      <w:pPr>
        <w:rPr>
          <w:rFonts w:cstheme="minorHAnsi"/>
          <w:color w:val="2E2E2E"/>
          <w:szCs w:val="22"/>
          <w:lang w:val="en-GB"/>
        </w:rPr>
      </w:pPr>
    </w:p>
    <w:p w14:paraId="2632A055" w14:textId="77777777" w:rsidR="001A77AE" w:rsidRPr="00AE6D77" w:rsidRDefault="001A77AE" w:rsidP="001A77AE">
      <w:pPr>
        <w:rPr>
          <w:i/>
          <w:lang w:val="en-GB"/>
        </w:rPr>
      </w:pPr>
      <w:r w:rsidRPr="00AE6D77">
        <w:rPr>
          <w:i/>
          <w:lang w:val="en-GB"/>
        </w:rPr>
        <w:t>4.1.5. Overview on modelling approaches</w:t>
      </w:r>
    </w:p>
    <w:p w14:paraId="7F3DB55E" w14:textId="2BFDAACD" w:rsidR="001A77AE" w:rsidRPr="00AE6D77" w:rsidRDefault="000C33A1" w:rsidP="001A77AE">
      <w:pPr>
        <w:rPr>
          <w:lang w:val="en-GB"/>
        </w:rPr>
      </w:pPr>
      <w:r w:rsidRPr="00AE6D77">
        <w:rPr>
          <w:lang w:val="en-GB"/>
        </w:rPr>
        <w:t xml:space="preserve">Based on the explanations above, the Table 3 gives an overview on how the different modelling approaches compare with regard to the ability to capture the different features desired by a new approach in economics. We </w:t>
      </w:r>
      <w:r w:rsidR="00330730">
        <w:rPr>
          <w:lang w:val="en-GB"/>
        </w:rPr>
        <w:t>highlight</w:t>
      </w:r>
      <w:r w:rsidRPr="00AE6D77">
        <w:rPr>
          <w:lang w:val="en-GB"/>
        </w:rPr>
        <w:t xml:space="preserve"> that the table refers to the potential of the different modelling </w:t>
      </w:r>
      <w:r w:rsidR="000B7401" w:rsidRPr="00AE6D77">
        <w:rPr>
          <w:lang w:val="en-GB"/>
        </w:rPr>
        <w:t xml:space="preserve">approaches and that therefore </w:t>
      </w:r>
      <w:r w:rsidR="001A77AE" w:rsidRPr="00AE6D77">
        <w:rPr>
          <w:lang w:val="en-GB"/>
        </w:rPr>
        <w:t xml:space="preserve">current models </w:t>
      </w:r>
      <w:r w:rsidR="000B7401" w:rsidRPr="00AE6D77">
        <w:rPr>
          <w:lang w:val="en-GB"/>
        </w:rPr>
        <w:t xml:space="preserve">of these types do not </w:t>
      </w:r>
      <w:r w:rsidR="001A77AE" w:rsidRPr="00AE6D77">
        <w:rPr>
          <w:lang w:val="en-GB"/>
        </w:rPr>
        <w:t xml:space="preserve">necessarily always capture these features. </w:t>
      </w:r>
      <w:r w:rsidRPr="0026588B">
        <w:rPr>
          <w:lang w:val="en-GB"/>
        </w:rPr>
        <w:t>T</w:t>
      </w:r>
      <w:r w:rsidR="001A77AE" w:rsidRPr="0026588B">
        <w:rPr>
          <w:lang w:val="en-GB"/>
        </w:rPr>
        <w:t>he last column of the table indicates why these features are relevant in the context of a low-carbon</w:t>
      </w:r>
      <w:r w:rsidR="000B7401" w:rsidRPr="0026588B">
        <w:rPr>
          <w:lang w:val="en-GB"/>
        </w:rPr>
        <w:t xml:space="preserve"> energy transition</w:t>
      </w:r>
      <w:r w:rsidR="009351B9" w:rsidRPr="0026588B">
        <w:rPr>
          <w:lang w:val="en-GB"/>
        </w:rPr>
        <w:t>.</w:t>
      </w:r>
      <w:r w:rsidR="0026588B">
        <w:rPr>
          <w:lang w:val="en-GB"/>
        </w:rPr>
        <w:t xml:space="preserve"> </w:t>
      </w:r>
    </w:p>
    <w:p w14:paraId="7D63C4D7" w14:textId="77777777" w:rsidR="001A77AE" w:rsidRPr="00AE6D77" w:rsidRDefault="001A77AE" w:rsidP="001A77AE">
      <w:pPr>
        <w:rPr>
          <w:rFonts w:cstheme="minorHAnsi"/>
          <w:sz w:val="21"/>
          <w:szCs w:val="21"/>
          <w:lang w:val="en-GB"/>
        </w:rPr>
      </w:pPr>
    </w:p>
    <w:p w14:paraId="7783694F" w14:textId="77777777" w:rsidR="001A77AE" w:rsidRPr="00AE6D77" w:rsidRDefault="001A77AE" w:rsidP="001A77AE">
      <w:pPr>
        <w:pStyle w:val="Caption"/>
        <w:keepNext/>
        <w:rPr>
          <w:lang w:val="en-GB"/>
        </w:rPr>
      </w:pPr>
      <w:r w:rsidRPr="00AE6D77">
        <w:rPr>
          <w:lang w:val="en-GB"/>
        </w:rPr>
        <w:t>Table 3: Overview on evaluated features compared to the potential of different modelling approaches to capture them</w:t>
      </w:r>
    </w:p>
    <w:p w14:paraId="15049788" w14:textId="77777777" w:rsidR="001A77AE" w:rsidRPr="00AE6D77" w:rsidRDefault="001A77AE" w:rsidP="001A77AE">
      <w:pPr>
        <w:rPr>
          <w:rStyle w:val="Ohne"/>
          <w:i/>
          <w:lang w:val="en-GB"/>
        </w:rPr>
      </w:pPr>
      <w:r w:rsidRPr="00AE6D77">
        <w:rPr>
          <w:i/>
          <w:lang w:val="en-GB"/>
        </w:rPr>
        <w:t>4.2. Theoretical underpinnings of modelling approaches</w:t>
      </w:r>
    </w:p>
    <w:p w14:paraId="719FD7B2" w14:textId="77777777" w:rsidR="00C75478" w:rsidRDefault="00C75478" w:rsidP="001A77AE">
      <w:pPr>
        <w:rPr>
          <w:rFonts w:cstheme="minorHAnsi"/>
          <w:szCs w:val="22"/>
          <w:lang w:val="en-GB"/>
        </w:rPr>
      </w:pPr>
    </w:p>
    <w:p w14:paraId="6C35F174" w14:textId="78538A41" w:rsidR="001A77AE" w:rsidRPr="0026588B" w:rsidRDefault="001A77AE" w:rsidP="001A77AE">
      <w:pPr>
        <w:rPr>
          <w:rFonts w:cstheme="minorHAnsi"/>
          <w:szCs w:val="22"/>
          <w:lang w:val="en-GB"/>
        </w:rPr>
      </w:pPr>
      <w:r w:rsidRPr="00AE6D77">
        <w:rPr>
          <w:rFonts w:cstheme="minorHAnsi"/>
          <w:szCs w:val="22"/>
          <w:lang w:val="en-GB"/>
        </w:rPr>
        <w:t>The above introduced modelling approaches can be applied based on different schools of economic thoughts as theoretical underpinning, including but not limited to, Post-Keynesian Economics (</w:t>
      </w:r>
      <w:r w:rsidR="008E7792">
        <w:rPr>
          <w:rFonts w:cstheme="minorHAnsi"/>
          <w:szCs w:val="22"/>
          <w:lang w:val="en-GB"/>
        </w:rPr>
        <w:t>Fontana</w:t>
      </w:r>
      <w:r w:rsidRPr="00AE6D77">
        <w:rPr>
          <w:rFonts w:cstheme="minorHAnsi"/>
          <w:szCs w:val="22"/>
          <w:lang w:val="en-GB"/>
        </w:rPr>
        <w:t xml:space="preserve"> &amp; </w:t>
      </w:r>
      <w:r w:rsidR="008E7792">
        <w:rPr>
          <w:rFonts w:cstheme="minorHAnsi"/>
          <w:szCs w:val="22"/>
          <w:lang w:val="en-GB"/>
        </w:rPr>
        <w:t>Sawyer, 2016</w:t>
      </w:r>
      <w:r w:rsidRPr="00AE6D77">
        <w:rPr>
          <w:rFonts w:cstheme="minorHAnsi"/>
          <w:szCs w:val="22"/>
          <w:lang w:val="en-GB"/>
        </w:rPr>
        <w:t>), Ecolo</w:t>
      </w:r>
      <w:r w:rsidR="008E7792">
        <w:rPr>
          <w:rFonts w:cstheme="minorHAnsi"/>
          <w:szCs w:val="22"/>
          <w:lang w:val="en-GB"/>
        </w:rPr>
        <w:t>gical Economics (Costan</w:t>
      </w:r>
      <w:r w:rsidRPr="00AE6D77">
        <w:rPr>
          <w:rFonts w:cstheme="minorHAnsi"/>
          <w:szCs w:val="22"/>
          <w:lang w:val="en-GB"/>
        </w:rPr>
        <w:t xml:space="preserve">za, 1992; </w:t>
      </w:r>
      <w:r w:rsidRPr="00AE6D77">
        <w:rPr>
          <w:rFonts w:cstheme="minorHAnsi"/>
          <w:color w:val="222222"/>
          <w:szCs w:val="22"/>
          <w:lang w:val="en-GB"/>
        </w:rPr>
        <w:t xml:space="preserve">Daly &amp; Farley, 2011) </w:t>
      </w:r>
      <w:r w:rsidRPr="00AE6D77">
        <w:rPr>
          <w:rFonts w:cstheme="minorHAnsi"/>
          <w:szCs w:val="22"/>
          <w:lang w:val="en-GB"/>
        </w:rPr>
        <w:t>complexity economics (</w:t>
      </w:r>
      <w:r w:rsidR="002834F0">
        <w:rPr>
          <w:rFonts w:cstheme="minorHAnsi"/>
          <w:color w:val="000000" w:themeColor="text1"/>
          <w:szCs w:val="22"/>
          <w:lang w:val="en-GB"/>
        </w:rPr>
        <w:t>Antonelli et al. 2011</w:t>
      </w:r>
      <w:r w:rsidRPr="00AE6D77">
        <w:rPr>
          <w:rFonts w:cstheme="minorHAnsi"/>
          <w:color w:val="000000" w:themeColor="text1"/>
          <w:szCs w:val="22"/>
          <w:lang w:val="en-GB"/>
        </w:rPr>
        <w:t>; Arthur, 1999)</w:t>
      </w:r>
      <w:r w:rsidRPr="00AE6D77">
        <w:rPr>
          <w:rFonts w:cstheme="minorHAnsi"/>
          <w:szCs w:val="22"/>
          <w:lang w:val="en-GB"/>
        </w:rPr>
        <w:t xml:space="preserve"> or evolutionary economics (</w:t>
      </w:r>
      <w:r w:rsidRPr="0026588B">
        <w:rPr>
          <w:rFonts w:eastAsia="Times New Roman" w:cstheme="minorHAnsi"/>
          <w:color w:val="222222"/>
          <w:szCs w:val="22"/>
          <w:shd w:val="clear" w:color="auto" w:fill="FFFFFF"/>
          <w:lang w:val="en-GB"/>
        </w:rPr>
        <w:t>Dosi &amp; Nelson, 1994; Fagerberg, 2003)</w:t>
      </w:r>
      <w:r w:rsidR="008E5ADC">
        <w:rPr>
          <w:rStyle w:val="FootnoteReference"/>
          <w:rFonts w:eastAsia="Times New Roman" w:cstheme="minorHAnsi"/>
          <w:color w:val="222222"/>
          <w:szCs w:val="22"/>
          <w:shd w:val="clear" w:color="auto" w:fill="FFFFFF"/>
          <w:lang w:val="en-GB"/>
        </w:rPr>
        <w:footnoteReference w:id="18"/>
      </w:r>
      <w:r w:rsidRPr="00AE6D77">
        <w:rPr>
          <w:rFonts w:cstheme="minorHAnsi"/>
          <w:szCs w:val="22"/>
          <w:lang w:val="en-GB"/>
        </w:rPr>
        <w:t xml:space="preserve">. </w:t>
      </w:r>
    </w:p>
    <w:p w14:paraId="6C7CE00E" w14:textId="77777777" w:rsidR="001A77AE" w:rsidRPr="0026588B" w:rsidRDefault="001A77AE" w:rsidP="001A77AE">
      <w:pPr>
        <w:rPr>
          <w:rFonts w:cstheme="minorHAnsi"/>
          <w:szCs w:val="22"/>
          <w:lang w:val="en-GB"/>
        </w:rPr>
      </w:pPr>
    </w:p>
    <w:p w14:paraId="0DAC6F1A" w14:textId="0AC26E8D" w:rsidR="001A77AE" w:rsidRDefault="001A77AE" w:rsidP="001A77AE">
      <w:pPr>
        <w:rPr>
          <w:rFonts w:cstheme="minorHAnsi"/>
          <w:szCs w:val="22"/>
          <w:lang w:val="en-GB"/>
        </w:rPr>
      </w:pPr>
      <w:r w:rsidRPr="0026588B">
        <w:rPr>
          <w:rFonts w:cstheme="minorHAnsi"/>
          <w:szCs w:val="22"/>
          <w:lang w:val="en-GB"/>
        </w:rPr>
        <w:t xml:space="preserve">According to Lavoie (2014), the different non-equilibrium or heterodox economics schools of thought focus on analysing different parts or mechanisms of the economy. In the sense that they conduct </w:t>
      </w:r>
      <w:r w:rsidRPr="0026588B">
        <w:rPr>
          <w:rFonts w:cstheme="minorHAnsi"/>
          <w:szCs w:val="22"/>
          <w:lang w:val="en-GB"/>
        </w:rPr>
        <w:lastRenderedPageBreak/>
        <w:t xml:space="preserve">‘work-sharing’ in the analysis of the entire economy. Importantly, the different schools of thought of ‘heterodox’ economics share common presuppositions. That is, they share ‘a set of commonly held metaphysical beliefs, which cannot be put in a formal form, and which are interior to the constitution of the assumptions that rule specific models’ (Lavoie, 2014, p.11). </w:t>
      </w:r>
      <w:r w:rsidR="004B4EA4">
        <w:rPr>
          <w:rFonts w:cstheme="minorHAnsi"/>
          <w:szCs w:val="22"/>
          <w:lang w:val="en-GB"/>
        </w:rPr>
        <w:t>For example</w:t>
      </w:r>
      <w:r w:rsidRPr="0026588B">
        <w:rPr>
          <w:rFonts w:cstheme="minorHAnsi"/>
          <w:szCs w:val="22"/>
          <w:lang w:val="en-GB"/>
        </w:rPr>
        <w:t>, most non-equilibrium economics approaches and in particular post-Keynesian economics recognise modern economies as monetary production economies and understand the economy as influenced by institutions such as governments or labour unions, and they also underline the importance of the concept of ‘deep uncertainty’ (Lavoie, 2014; Sawyer &amp; Fontana, 2016). Moreover, heterodox economic schools of thought share a common vie</w:t>
      </w:r>
      <w:r w:rsidR="00D70747">
        <w:rPr>
          <w:rFonts w:cstheme="minorHAnsi"/>
          <w:szCs w:val="22"/>
          <w:lang w:val="en-GB"/>
        </w:rPr>
        <w:t xml:space="preserve">w on ontology </w:t>
      </w:r>
      <w:r w:rsidR="000C33A1">
        <w:rPr>
          <w:rFonts w:cstheme="minorHAnsi"/>
          <w:szCs w:val="22"/>
          <w:lang w:val="en-GB"/>
        </w:rPr>
        <w:t xml:space="preserve">(e.g. the world is perceived as complex) and epistemology (e.g. actors possess incomplete information) </w:t>
      </w:r>
      <w:r w:rsidR="000C33A1" w:rsidRPr="0026588B">
        <w:rPr>
          <w:rFonts w:cstheme="minorHAnsi"/>
          <w:szCs w:val="22"/>
          <w:lang w:val="en-GB"/>
        </w:rPr>
        <w:t xml:space="preserve">(see </w:t>
      </w:r>
      <w:r w:rsidR="000C33A1">
        <w:rPr>
          <w:rFonts w:cstheme="minorHAnsi"/>
          <w:szCs w:val="22"/>
          <w:lang w:val="en-GB"/>
        </w:rPr>
        <w:t xml:space="preserve">below and </w:t>
      </w:r>
      <w:r w:rsidR="000C33A1" w:rsidRPr="0026588B">
        <w:rPr>
          <w:rFonts w:cstheme="minorHAnsi"/>
          <w:szCs w:val="22"/>
          <w:lang w:val="en-GB"/>
        </w:rPr>
        <w:t>Lavoie, 2014</w:t>
      </w:r>
      <w:r w:rsidR="000C33A1">
        <w:rPr>
          <w:rFonts w:cstheme="minorHAnsi"/>
          <w:szCs w:val="22"/>
          <w:lang w:val="en-GB"/>
        </w:rPr>
        <w:t xml:space="preserve"> for further details</w:t>
      </w:r>
      <w:r w:rsidR="000C33A1" w:rsidRPr="0026588B">
        <w:rPr>
          <w:rFonts w:cstheme="minorHAnsi"/>
          <w:szCs w:val="22"/>
          <w:lang w:val="en-GB"/>
        </w:rPr>
        <w:t xml:space="preserve">).  </w:t>
      </w:r>
    </w:p>
    <w:p w14:paraId="77843C12" w14:textId="77BE9493" w:rsidR="004B4EA4" w:rsidRDefault="004B4EA4" w:rsidP="001A77AE">
      <w:pPr>
        <w:rPr>
          <w:rFonts w:cstheme="minorHAnsi"/>
          <w:szCs w:val="22"/>
          <w:lang w:val="en-GB"/>
        </w:rPr>
      </w:pPr>
    </w:p>
    <w:p w14:paraId="2B2EEF38" w14:textId="4FAA2FB9" w:rsidR="001A77AE" w:rsidRPr="000C33A1" w:rsidRDefault="001A77AE" w:rsidP="001A77AE">
      <w:pPr>
        <w:rPr>
          <w:rFonts w:cstheme="minorHAnsi"/>
          <w:szCs w:val="22"/>
          <w:lang w:val="en-GB"/>
        </w:rPr>
      </w:pPr>
      <w:r w:rsidRPr="0026588B">
        <w:rPr>
          <w:rFonts w:cstheme="minorHAnsi"/>
          <w:szCs w:val="22"/>
          <w:lang w:val="en-GB"/>
        </w:rPr>
        <w:t>Given the above, it becomes clear that certain features of a new approach in economics are not only influenced by the chosen modelling approach</w:t>
      </w:r>
      <w:r w:rsidR="00D564C8" w:rsidRPr="0026588B">
        <w:rPr>
          <w:rFonts w:cstheme="minorHAnsi"/>
          <w:szCs w:val="22"/>
          <w:lang w:val="en-GB"/>
        </w:rPr>
        <w:t xml:space="preserve"> </w:t>
      </w:r>
      <w:r w:rsidRPr="0026588B">
        <w:rPr>
          <w:rFonts w:cstheme="minorHAnsi"/>
          <w:szCs w:val="22"/>
          <w:lang w:val="en-GB"/>
        </w:rPr>
        <w:t>but also by the theoretical underpinning</w:t>
      </w:r>
      <w:r w:rsidR="000C33A1">
        <w:rPr>
          <w:rFonts w:cstheme="minorHAnsi"/>
          <w:szCs w:val="22"/>
          <w:lang w:val="en-GB"/>
        </w:rPr>
        <w:t xml:space="preserve">. As mentioned above, the economic school of thought influences the model structure and basis for the chosen equations. </w:t>
      </w:r>
      <w:r w:rsidR="00546B71">
        <w:rPr>
          <w:rFonts w:cstheme="minorHAnsi"/>
          <w:szCs w:val="22"/>
          <w:lang w:val="en-GB"/>
        </w:rPr>
        <w:t xml:space="preserve"> </w:t>
      </w:r>
    </w:p>
    <w:p w14:paraId="429C08B7" w14:textId="77777777" w:rsidR="001A77AE" w:rsidRPr="0026588B" w:rsidRDefault="001A77AE" w:rsidP="001A77AE">
      <w:pPr>
        <w:rPr>
          <w:b/>
          <w:bdr w:val="nil"/>
          <w:lang w:val="en-GB"/>
        </w:rPr>
      </w:pPr>
    </w:p>
    <w:p w14:paraId="024F6A7F" w14:textId="2B63E1BF" w:rsidR="000C33A1" w:rsidRPr="0026588B" w:rsidRDefault="000C33A1" w:rsidP="000C33A1">
      <w:pPr>
        <w:rPr>
          <w:bdr w:val="nil"/>
          <w:lang w:val="en-GB"/>
        </w:rPr>
      </w:pPr>
      <w:r w:rsidRPr="0026588B">
        <w:rPr>
          <w:bdr w:val="nil"/>
          <w:lang w:val="en-GB"/>
        </w:rPr>
        <w:t>This is explained in more detail in the following</w:t>
      </w:r>
      <w:r>
        <w:rPr>
          <w:bdr w:val="nil"/>
          <w:lang w:val="en-GB"/>
        </w:rPr>
        <w:t>:</w:t>
      </w:r>
      <w:r w:rsidRPr="0026588B">
        <w:rPr>
          <w:bdr w:val="nil"/>
          <w:lang w:val="en-GB"/>
        </w:rPr>
        <w:t xml:space="preserve"> </w:t>
      </w:r>
    </w:p>
    <w:p w14:paraId="3BB53A3E" w14:textId="77777777" w:rsidR="000C33A1" w:rsidRPr="0026588B" w:rsidRDefault="000C33A1" w:rsidP="000C33A1">
      <w:pPr>
        <w:rPr>
          <w:rFonts w:cstheme="minorHAnsi"/>
          <w:szCs w:val="22"/>
          <w:lang w:val="en-GB"/>
        </w:rPr>
      </w:pPr>
    </w:p>
    <w:p w14:paraId="32882788" w14:textId="77777777" w:rsidR="000C33A1" w:rsidRPr="0026588B" w:rsidRDefault="000C33A1" w:rsidP="000C33A1">
      <w:pPr>
        <w:pStyle w:val="ListParagraph"/>
        <w:numPr>
          <w:ilvl w:val="0"/>
          <w:numId w:val="21"/>
        </w:numPr>
        <w:rPr>
          <w:szCs w:val="22"/>
          <w:lang w:val="en-GB"/>
        </w:rPr>
      </w:pPr>
      <w:r w:rsidRPr="0026588B">
        <w:rPr>
          <w:b/>
          <w:szCs w:val="22"/>
          <w:bdr w:val="nil"/>
          <w:lang w:val="en-GB"/>
        </w:rPr>
        <w:t>Complexity, non-linearity, non-ergodicity and deep uncertainty</w:t>
      </w:r>
      <w:r w:rsidRPr="0026588B">
        <w:rPr>
          <w:szCs w:val="22"/>
          <w:bdr w:val="nil"/>
          <w:lang w:val="en-GB"/>
        </w:rPr>
        <w:t xml:space="preserve">: As explained above, heterodox economic theories argue that the world is characterised by complexity, non-linearity, deep uncertainty and non-ergodicity. </w:t>
      </w:r>
      <w:r>
        <w:rPr>
          <w:szCs w:val="22"/>
          <w:bdr w:val="nil"/>
          <w:lang w:val="en-GB"/>
        </w:rPr>
        <w:t>However</w:t>
      </w:r>
      <w:r w:rsidRPr="0026588B">
        <w:rPr>
          <w:szCs w:val="22"/>
          <w:bdr w:val="nil"/>
          <w:lang w:val="en-GB"/>
        </w:rPr>
        <w:t xml:space="preserve">, by definition any theory cannot capture deep uncertainty entirely (i.e. the unknown unknowns). </w:t>
      </w:r>
    </w:p>
    <w:p w14:paraId="05092E74" w14:textId="77777777" w:rsidR="001A77AE" w:rsidRPr="0026588B" w:rsidRDefault="001A77AE" w:rsidP="001A77AE">
      <w:pPr>
        <w:rPr>
          <w:rFonts w:eastAsia="Times New Roman" w:cs="Calibri"/>
          <w:szCs w:val="22"/>
          <w:lang w:val="en-GB"/>
        </w:rPr>
      </w:pPr>
    </w:p>
    <w:p w14:paraId="4C47B909" w14:textId="59B9F835" w:rsidR="001A77AE" w:rsidRPr="0026588B" w:rsidRDefault="001A77AE" w:rsidP="001A77AE">
      <w:pPr>
        <w:pStyle w:val="ListParagraph"/>
        <w:numPr>
          <w:ilvl w:val="0"/>
          <w:numId w:val="21"/>
        </w:numPr>
        <w:rPr>
          <w:szCs w:val="22"/>
          <w:bdr w:val="nil"/>
          <w:lang w:val="en-GB"/>
        </w:rPr>
      </w:pPr>
      <w:r w:rsidRPr="0026588B">
        <w:rPr>
          <w:rStyle w:val="Ohne"/>
          <w:rFonts w:cstheme="minorHAnsi"/>
          <w:b/>
          <w:szCs w:val="22"/>
          <w:u w:color="000000"/>
          <w:lang w:val="en-GB"/>
        </w:rPr>
        <w:t xml:space="preserve">Importance of time, </w:t>
      </w:r>
      <w:r w:rsidRPr="0026588B">
        <w:rPr>
          <w:b/>
          <w:szCs w:val="22"/>
          <w:bdr w:val="nil"/>
          <w:lang w:val="en-GB"/>
        </w:rPr>
        <w:t>path-dependency, lock-in and irreversibility</w:t>
      </w:r>
      <w:r w:rsidRPr="0026588B">
        <w:rPr>
          <w:szCs w:val="22"/>
          <w:bdr w:val="nil"/>
          <w:lang w:val="en-GB"/>
        </w:rPr>
        <w:t xml:space="preserve">: Similarly, time, path-dependency, lock-in and irreversibility is </w:t>
      </w:r>
      <w:r w:rsidR="00EB5D55" w:rsidRPr="0026588B">
        <w:rPr>
          <w:szCs w:val="22"/>
          <w:bdr w:val="nil"/>
          <w:lang w:val="en-GB"/>
        </w:rPr>
        <w:t>acknowledged</w:t>
      </w:r>
      <w:r w:rsidRPr="0026588B">
        <w:rPr>
          <w:szCs w:val="22"/>
          <w:bdr w:val="nil"/>
          <w:lang w:val="en-GB"/>
        </w:rPr>
        <w:t xml:space="preserve"> </w:t>
      </w:r>
      <w:r w:rsidR="00EB5D55" w:rsidRPr="0026588B">
        <w:rPr>
          <w:szCs w:val="22"/>
          <w:bdr w:val="nil"/>
          <w:lang w:val="en-GB"/>
        </w:rPr>
        <w:t>by heterodox economic theory</w:t>
      </w:r>
      <w:r w:rsidRPr="0026588B">
        <w:rPr>
          <w:szCs w:val="22"/>
          <w:bdr w:val="nil"/>
          <w:lang w:val="en-GB"/>
        </w:rPr>
        <w:t xml:space="preserve">. </w:t>
      </w:r>
    </w:p>
    <w:p w14:paraId="76925E24" w14:textId="77777777" w:rsidR="001A77AE" w:rsidRPr="0026588B" w:rsidRDefault="001A77AE" w:rsidP="001A77AE">
      <w:pPr>
        <w:rPr>
          <w:rFonts w:eastAsia="Times New Roman"/>
          <w:szCs w:val="22"/>
          <w:lang w:val="en-GB"/>
        </w:rPr>
      </w:pPr>
    </w:p>
    <w:p w14:paraId="68327D0B" w14:textId="35FC6E17" w:rsidR="001A77AE" w:rsidRPr="0026588B" w:rsidRDefault="001A77AE" w:rsidP="001A77AE">
      <w:pPr>
        <w:pStyle w:val="ListParagraph"/>
        <w:numPr>
          <w:ilvl w:val="0"/>
          <w:numId w:val="21"/>
        </w:numPr>
        <w:rPr>
          <w:szCs w:val="22"/>
          <w:lang w:val="en-GB" w:eastAsia="en-US"/>
        </w:rPr>
      </w:pPr>
      <w:r w:rsidRPr="0026588B">
        <w:rPr>
          <w:rFonts w:eastAsia="Times New Roman"/>
          <w:b/>
          <w:szCs w:val="22"/>
          <w:lang w:val="en-GB"/>
        </w:rPr>
        <w:t>Agents’ heterogeneity and behavioural elements:</w:t>
      </w:r>
      <w:r w:rsidRPr="0026588B">
        <w:rPr>
          <w:rFonts w:eastAsia="Times New Roman"/>
          <w:szCs w:val="22"/>
          <w:lang w:val="en-GB"/>
        </w:rPr>
        <w:t xml:space="preserve"> Non-equilibrium theories investigate how agents in a complex world take decisions, having access to incomplete information and possessing limited procedural capacity to understand available information. </w:t>
      </w:r>
    </w:p>
    <w:p w14:paraId="73F3F379" w14:textId="77777777" w:rsidR="001A77AE" w:rsidRPr="0026588B" w:rsidRDefault="001A77AE" w:rsidP="001A77AE">
      <w:pPr>
        <w:pStyle w:val="ListParagraph"/>
        <w:ind w:left="1080"/>
        <w:rPr>
          <w:szCs w:val="22"/>
          <w:lang w:val="en-GB" w:eastAsia="en-US"/>
        </w:rPr>
      </w:pPr>
    </w:p>
    <w:p w14:paraId="70D0590C" w14:textId="32830EAB" w:rsidR="001A77AE" w:rsidRPr="0026588B" w:rsidRDefault="001A77AE" w:rsidP="001A77AE">
      <w:pPr>
        <w:ind w:left="1070" w:hanging="710"/>
        <w:rPr>
          <w:rFonts w:cs="Calibri"/>
          <w:b/>
          <w:szCs w:val="22"/>
          <w:bdr w:val="nil"/>
          <w:lang w:val="en-GB"/>
        </w:rPr>
      </w:pPr>
      <w:r w:rsidRPr="0026588B">
        <w:rPr>
          <w:rFonts w:eastAsia="Times New Roman" w:cstheme="minorHAnsi"/>
          <w:b/>
          <w:szCs w:val="22"/>
          <w:lang w:val="en-GB"/>
        </w:rPr>
        <w:t>iv - vi)</w:t>
      </w:r>
      <w:r w:rsidRPr="0026588B">
        <w:rPr>
          <w:rFonts w:eastAsia="Times New Roman" w:cstheme="minorHAnsi"/>
          <w:szCs w:val="22"/>
          <w:lang w:val="en-GB"/>
        </w:rPr>
        <w:t xml:space="preserve"> </w:t>
      </w:r>
      <w:r w:rsidRPr="0026588B">
        <w:rPr>
          <w:rFonts w:eastAsia="Times New Roman" w:cstheme="minorHAnsi"/>
          <w:szCs w:val="22"/>
          <w:lang w:val="en-GB"/>
        </w:rPr>
        <w:tab/>
      </w:r>
      <w:r w:rsidRPr="0026588B">
        <w:rPr>
          <w:rFonts w:cs="Calibri"/>
          <w:b/>
          <w:szCs w:val="22"/>
          <w:bdr w:val="nil"/>
          <w:lang w:val="en-GB"/>
        </w:rPr>
        <w:t xml:space="preserve">Interdisciplinary, social and institutional context; Ethical and moral philosophical aspects: </w:t>
      </w:r>
      <w:r w:rsidRPr="0026588B">
        <w:rPr>
          <w:rFonts w:eastAsia="Times New Roman"/>
          <w:szCs w:val="22"/>
          <w:lang w:val="en-GB"/>
        </w:rPr>
        <w:t>Institutional economics emphasises the importance of institutions, feminism economics investigates the role of gender in economics or political economy sheds light on the interrelation between the political system and the economics. That is, overall, heterodox economics is open to various other disciplines relevant t</w:t>
      </w:r>
      <w:r w:rsidR="00EB5D55" w:rsidRPr="0026588B">
        <w:rPr>
          <w:rFonts w:eastAsia="Times New Roman"/>
          <w:szCs w:val="22"/>
          <w:lang w:val="en-GB"/>
        </w:rPr>
        <w:t xml:space="preserve">o understand different parts </w:t>
      </w:r>
      <w:r w:rsidRPr="0026588B">
        <w:rPr>
          <w:rFonts w:eastAsia="Times New Roman"/>
          <w:szCs w:val="22"/>
          <w:lang w:val="en-GB"/>
        </w:rPr>
        <w:t xml:space="preserve">of the economy. This means that ethical and moral philosophical aspects can be considered </w:t>
      </w:r>
      <w:r w:rsidR="00EB5D55" w:rsidRPr="0026588B">
        <w:rPr>
          <w:rFonts w:eastAsia="Times New Roman"/>
          <w:szCs w:val="22"/>
          <w:lang w:val="en-GB"/>
        </w:rPr>
        <w:t xml:space="preserve">for example </w:t>
      </w:r>
      <w:r w:rsidRPr="0026588B">
        <w:rPr>
          <w:rFonts w:eastAsia="Times New Roman"/>
          <w:szCs w:val="22"/>
          <w:lang w:val="en-GB"/>
        </w:rPr>
        <w:t>to balance different policy-objectives</w:t>
      </w:r>
      <w:r w:rsidR="00EB5D55" w:rsidRPr="0026588B">
        <w:rPr>
          <w:rFonts w:eastAsia="Times New Roman"/>
          <w:szCs w:val="22"/>
          <w:lang w:val="en-GB"/>
        </w:rPr>
        <w:t xml:space="preserve"> in the occurrence of trade-offs</w:t>
      </w:r>
      <w:r w:rsidRPr="0026588B">
        <w:rPr>
          <w:rFonts w:eastAsia="Times New Roman"/>
          <w:szCs w:val="22"/>
          <w:lang w:val="en-GB"/>
        </w:rPr>
        <w:t xml:space="preserve">. </w:t>
      </w:r>
    </w:p>
    <w:p w14:paraId="03F51760" w14:textId="77777777" w:rsidR="001A77AE" w:rsidRPr="0026588B" w:rsidRDefault="001A77AE" w:rsidP="001A77AE">
      <w:pPr>
        <w:rPr>
          <w:rFonts w:cs="Calibri"/>
          <w:szCs w:val="22"/>
          <w:bdr w:val="nil"/>
          <w:lang w:val="en-GB"/>
        </w:rPr>
      </w:pPr>
    </w:p>
    <w:p w14:paraId="6C8E74A5" w14:textId="02A57552" w:rsidR="001A77AE" w:rsidRPr="0026588B" w:rsidRDefault="001A77AE" w:rsidP="001A77AE">
      <w:pPr>
        <w:ind w:left="1070" w:hanging="690"/>
        <w:rPr>
          <w:rFonts w:cs="Calibri"/>
          <w:szCs w:val="22"/>
          <w:bdr w:val="nil"/>
          <w:lang w:val="en-GB"/>
        </w:rPr>
      </w:pPr>
      <w:r w:rsidRPr="0026588B">
        <w:rPr>
          <w:rFonts w:cs="Calibri"/>
          <w:b/>
          <w:szCs w:val="22"/>
          <w:bdr w:val="nil"/>
          <w:lang w:val="en-GB"/>
        </w:rPr>
        <w:t xml:space="preserve">vii) </w:t>
      </w:r>
      <w:r w:rsidRPr="0026588B">
        <w:rPr>
          <w:rFonts w:cs="Calibri"/>
          <w:b/>
          <w:szCs w:val="22"/>
          <w:bdr w:val="nil"/>
          <w:lang w:val="en-GB"/>
        </w:rPr>
        <w:tab/>
        <w:t>Finance:</w:t>
      </w:r>
      <w:r w:rsidRPr="0026588B">
        <w:rPr>
          <w:rFonts w:cs="Calibri"/>
          <w:szCs w:val="22"/>
          <w:bdr w:val="nil"/>
          <w:lang w:val="en-GB"/>
        </w:rPr>
        <w:t xml:space="preserve"> Post-Keynesian economics in particular emphasises the concept of ‘endogenous money creation’ (i.e. that commercial banks can increase their money supply) and that </w:t>
      </w:r>
      <w:r w:rsidRPr="0026588B">
        <w:rPr>
          <w:rFonts w:cstheme="minorHAnsi"/>
          <w:szCs w:val="22"/>
          <w:lang w:val="en-GB" w:eastAsia="en-US"/>
        </w:rPr>
        <w:t>where the real and the financial side of the economy matter for each other both (e.g. changes in the central bank rate impacts real variables) in both the short and long run.</w:t>
      </w:r>
      <w:r w:rsidR="004D3DCD">
        <w:rPr>
          <w:rFonts w:cstheme="minorHAnsi"/>
          <w:szCs w:val="22"/>
          <w:lang w:val="en-GB" w:eastAsia="en-US"/>
        </w:rPr>
        <w:t xml:space="preserve"> </w:t>
      </w:r>
    </w:p>
    <w:p w14:paraId="301DD5AE" w14:textId="77777777" w:rsidR="001A77AE" w:rsidRPr="0026588B" w:rsidRDefault="001A77AE" w:rsidP="001A77AE">
      <w:pPr>
        <w:rPr>
          <w:rFonts w:cs="Calibri"/>
          <w:szCs w:val="22"/>
          <w:bdr w:val="nil"/>
          <w:lang w:val="en-GB"/>
        </w:rPr>
      </w:pPr>
    </w:p>
    <w:p w14:paraId="039B31E2" w14:textId="13F922D1" w:rsidR="001A77AE" w:rsidRPr="0026588B" w:rsidRDefault="001A77AE" w:rsidP="001A77AE">
      <w:pPr>
        <w:pStyle w:val="ListParagraph"/>
        <w:numPr>
          <w:ilvl w:val="0"/>
          <w:numId w:val="16"/>
        </w:numPr>
        <w:rPr>
          <w:rFonts w:cstheme="minorHAnsi"/>
          <w:szCs w:val="22"/>
          <w:lang w:val="en-GB"/>
        </w:rPr>
      </w:pPr>
      <w:r w:rsidRPr="0026588B">
        <w:rPr>
          <w:rFonts w:cs="Calibri"/>
          <w:b/>
          <w:szCs w:val="22"/>
          <w:bdr w:val="nil"/>
          <w:lang w:val="en-GB"/>
        </w:rPr>
        <w:lastRenderedPageBreak/>
        <w:t xml:space="preserve">Multiple equilibria/disequilibrium: </w:t>
      </w:r>
      <w:r w:rsidRPr="0026588B">
        <w:rPr>
          <w:rFonts w:cs="Calibri"/>
          <w:szCs w:val="22"/>
          <w:bdr w:val="nil"/>
          <w:lang w:val="en-GB"/>
        </w:rPr>
        <w:t>Non-equilibrium theory considers the occurrence of disequilibrium and multiple equilibria the norm rather than the exception</w:t>
      </w:r>
      <w:r w:rsidR="00EB5D55" w:rsidRPr="0026588B">
        <w:rPr>
          <w:rFonts w:cs="Calibri"/>
          <w:szCs w:val="22"/>
          <w:bdr w:val="nil"/>
          <w:lang w:val="en-GB"/>
        </w:rPr>
        <w:t>, drawing on feature i)</w:t>
      </w:r>
      <w:r w:rsidRPr="0026588B">
        <w:rPr>
          <w:rFonts w:cs="Calibri"/>
          <w:szCs w:val="22"/>
          <w:bdr w:val="nil"/>
          <w:lang w:val="en-GB"/>
        </w:rPr>
        <w:t xml:space="preserve">. </w:t>
      </w:r>
    </w:p>
    <w:p w14:paraId="6DA1EAA1" w14:textId="69B36A08" w:rsidR="0025664D" w:rsidRPr="0026588B" w:rsidRDefault="0025664D" w:rsidP="00160576">
      <w:pPr>
        <w:rPr>
          <w:lang w:val="en-GB"/>
        </w:rPr>
      </w:pPr>
    </w:p>
    <w:p w14:paraId="77B304DE" w14:textId="1B66880D" w:rsidR="0025664D" w:rsidRPr="0026588B" w:rsidRDefault="007F0228" w:rsidP="00D564C8">
      <w:pPr>
        <w:rPr>
          <w:i/>
          <w:lang w:val="en-GB"/>
        </w:rPr>
      </w:pPr>
      <w:r w:rsidRPr="0026588B">
        <w:rPr>
          <w:i/>
          <w:lang w:val="en-GB"/>
        </w:rPr>
        <w:t>4.3</w:t>
      </w:r>
      <w:r w:rsidR="0025664D" w:rsidRPr="0026588B">
        <w:rPr>
          <w:i/>
          <w:lang w:val="en-GB"/>
        </w:rPr>
        <w:t xml:space="preserve">. Summary of findings </w:t>
      </w:r>
    </w:p>
    <w:p w14:paraId="6627CEFA" w14:textId="77777777" w:rsidR="004D3DCD" w:rsidRPr="0026588B" w:rsidRDefault="004D3DCD" w:rsidP="00160576">
      <w:pPr>
        <w:rPr>
          <w:lang w:val="en-GB"/>
        </w:rPr>
      </w:pPr>
    </w:p>
    <w:p w14:paraId="1F89D4B7" w14:textId="14A4FB1D" w:rsidR="004D3DCD" w:rsidRDefault="004D3DCD" w:rsidP="004D3DCD">
      <w:pPr>
        <w:rPr>
          <w:lang w:val="en-GB"/>
        </w:rPr>
      </w:pPr>
      <w:r>
        <w:rPr>
          <w:lang w:val="en-GB"/>
        </w:rPr>
        <w:t xml:space="preserve">Due to limited space, </w:t>
      </w:r>
      <w:r w:rsidR="006A2CB6">
        <w:rPr>
          <w:lang w:val="en-GB"/>
        </w:rPr>
        <w:t>our</w:t>
      </w:r>
      <w:r>
        <w:rPr>
          <w:lang w:val="en-GB"/>
        </w:rPr>
        <w:t xml:space="preserve"> systematic review of ener</w:t>
      </w:r>
      <w:r w:rsidR="00393253">
        <w:rPr>
          <w:lang w:val="en-GB"/>
        </w:rPr>
        <w:t xml:space="preserve">gy-transition simulation models </w:t>
      </w:r>
      <w:r>
        <w:rPr>
          <w:lang w:val="en-GB"/>
        </w:rPr>
        <w:t xml:space="preserve">is presented in the appendix and the full documentation </w:t>
      </w:r>
      <w:r w:rsidR="006A2CB6">
        <w:rPr>
          <w:lang w:val="en-GB"/>
        </w:rPr>
        <w:t xml:space="preserve">of the reviewed models </w:t>
      </w:r>
      <w:r>
        <w:rPr>
          <w:lang w:val="en-GB"/>
        </w:rPr>
        <w:t xml:space="preserve">is included in the supplementary material of this paper. </w:t>
      </w:r>
    </w:p>
    <w:p w14:paraId="5B92DFDB" w14:textId="77777777" w:rsidR="004D3DCD" w:rsidRDefault="004D3DCD" w:rsidP="00160576">
      <w:pPr>
        <w:rPr>
          <w:lang w:val="en-GB"/>
        </w:rPr>
      </w:pPr>
    </w:p>
    <w:p w14:paraId="29CEA585" w14:textId="0DDDDE73" w:rsidR="0025664D" w:rsidRPr="0026588B" w:rsidRDefault="0025664D" w:rsidP="00160576">
      <w:pPr>
        <w:rPr>
          <w:lang w:val="en-GB"/>
        </w:rPr>
      </w:pPr>
      <w:r w:rsidRPr="0026588B">
        <w:rPr>
          <w:lang w:val="en-GB"/>
        </w:rPr>
        <w:t xml:space="preserve">In the following, we </w:t>
      </w:r>
      <w:r w:rsidRPr="00AE6D77">
        <w:rPr>
          <w:lang w:val="en-GB"/>
        </w:rPr>
        <w:t>summarize</w:t>
      </w:r>
      <w:r w:rsidR="00F8441F" w:rsidRPr="00AE6D77">
        <w:rPr>
          <w:lang w:val="en-GB"/>
        </w:rPr>
        <w:t xml:space="preserve"> </w:t>
      </w:r>
      <w:r w:rsidRPr="00AE6D77">
        <w:rPr>
          <w:lang w:val="en-GB"/>
        </w:rPr>
        <w:t xml:space="preserve">the insights based on our </w:t>
      </w:r>
      <w:r w:rsidR="004D3DCD">
        <w:rPr>
          <w:lang w:val="en-GB"/>
        </w:rPr>
        <w:t xml:space="preserve">systematic </w:t>
      </w:r>
      <w:r w:rsidRPr="00AE6D77">
        <w:rPr>
          <w:lang w:val="en-GB"/>
        </w:rPr>
        <w:t>model review with regar</w:t>
      </w:r>
      <w:r w:rsidR="00C63234" w:rsidRPr="00AE6D77">
        <w:rPr>
          <w:lang w:val="en-GB"/>
        </w:rPr>
        <w:t xml:space="preserve">d to the </w:t>
      </w:r>
      <w:r w:rsidR="006A2CB6">
        <w:rPr>
          <w:lang w:val="en-GB"/>
        </w:rPr>
        <w:t>desired</w:t>
      </w:r>
      <w:r w:rsidR="006A2CB6" w:rsidRPr="00AE6D77">
        <w:rPr>
          <w:lang w:val="en-GB"/>
        </w:rPr>
        <w:t xml:space="preserve"> </w:t>
      </w:r>
      <w:r w:rsidR="00C63234" w:rsidRPr="00AE6D77">
        <w:rPr>
          <w:lang w:val="en-GB"/>
        </w:rPr>
        <w:t>features of a new approach in economics</w:t>
      </w:r>
      <w:r w:rsidRPr="0026588B">
        <w:rPr>
          <w:lang w:val="en-GB"/>
        </w:rPr>
        <w:t xml:space="preserve">: </w:t>
      </w:r>
    </w:p>
    <w:p w14:paraId="77B0B64E" w14:textId="77777777" w:rsidR="0025664D" w:rsidRPr="0026588B" w:rsidRDefault="0025664D" w:rsidP="00160576">
      <w:pPr>
        <w:ind w:left="510" w:hanging="510"/>
        <w:rPr>
          <w:lang w:val="en-GB"/>
        </w:rPr>
      </w:pPr>
    </w:p>
    <w:p w14:paraId="71804868" w14:textId="629CCCD0" w:rsidR="00D564C8" w:rsidRPr="00C616E4" w:rsidRDefault="0025664D" w:rsidP="00F96F72">
      <w:pPr>
        <w:pStyle w:val="ListParagraph"/>
        <w:numPr>
          <w:ilvl w:val="0"/>
          <w:numId w:val="23"/>
        </w:numPr>
        <w:spacing w:after="160"/>
        <w:rPr>
          <w:rStyle w:val="Ohne"/>
          <w:rFonts w:eastAsiaTheme="minorHAnsi"/>
          <w:u w:color="000000"/>
          <w:lang w:val="en-GB"/>
        </w:rPr>
      </w:pPr>
      <w:r w:rsidRPr="0026588B">
        <w:rPr>
          <w:rStyle w:val="Ohne"/>
          <w:b/>
          <w:szCs w:val="22"/>
          <w:u w:color="000000"/>
          <w:lang w:val="en-GB"/>
        </w:rPr>
        <w:t>Complex</w:t>
      </w:r>
      <w:r w:rsidRPr="0026588B">
        <w:rPr>
          <w:rStyle w:val="Ohne"/>
          <w:b/>
          <w:u w:color="000000"/>
          <w:lang w:val="en-GB"/>
        </w:rPr>
        <w:t>ity (incl. non-linear dynamics,</w:t>
      </w:r>
      <w:r w:rsidRPr="0026588B">
        <w:rPr>
          <w:rStyle w:val="Ohne"/>
          <w:b/>
          <w:szCs w:val="22"/>
          <w:u w:color="000000"/>
          <w:lang w:val="en-GB"/>
        </w:rPr>
        <w:t xml:space="preserve"> tippi</w:t>
      </w:r>
      <w:r w:rsidRPr="0026588B">
        <w:rPr>
          <w:rStyle w:val="Ohne"/>
          <w:b/>
          <w:u w:color="000000"/>
          <w:lang w:val="en-GB"/>
        </w:rPr>
        <w:t>ng points, non-ergo</w:t>
      </w:r>
      <w:r w:rsidR="003B3B5D" w:rsidRPr="0026588B">
        <w:rPr>
          <w:rStyle w:val="Ohne"/>
          <w:b/>
          <w:u w:color="000000"/>
          <w:lang w:val="en-GB"/>
        </w:rPr>
        <w:t>di</w:t>
      </w:r>
      <w:r w:rsidRPr="0074497F">
        <w:rPr>
          <w:rStyle w:val="Ohne"/>
          <w:b/>
          <w:u w:color="000000"/>
          <w:lang w:val="en-GB"/>
        </w:rPr>
        <w:t>city and deep uncertainty</w:t>
      </w:r>
      <w:r w:rsidRPr="0074497F">
        <w:rPr>
          <w:rStyle w:val="Ohne"/>
          <w:b/>
          <w:szCs w:val="22"/>
          <w:u w:color="000000"/>
          <w:lang w:val="en-GB"/>
        </w:rPr>
        <w:t xml:space="preserve">): </w:t>
      </w:r>
      <w:r w:rsidRPr="00AE6D77">
        <w:rPr>
          <w:rStyle w:val="Ohne"/>
          <w:szCs w:val="22"/>
          <w:u w:color="000000"/>
          <w:lang w:val="en-GB"/>
        </w:rPr>
        <w:t>overall, all the reviewed models are based on an ontology and epistemology in line with complexity. In particular, all the reviewed models include agents which do not possess perfect information and foresight, but instead base their behaviour on current or past information of the ‘model-world’.</w:t>
      </w:r>
      <w:r w:rsidR="007B7710">
        <w:rPr>
          <w:rStyle w:val="Ohne"/>
          <w:szCs w:val="22"/>
          <w:u w:color="000000"/>
          <w:lang w:val="en-GB"/>
        </w:rPr>
        <w:t xml:space="preserve"> M</w:t>
      </w:r>
      <w:r w:rsidRPr="00AE6D77">
        <w:rPr>
          <w:rStyle w:val="Ohne"/>
          <w:szCs w:val="22"/>
          <w:u w:color="000000"/>
          <w:lang w:val="en-GB"/>
        </w:rPr>
        <w:t>ost of the reviewed models include non-linear dynamics and tipping points. In most of the reviewed models, scenario testing allows to test, to some degree, the impact of uncertainty on policy evaluation. However, as ‘deep uncertainty’ also includes the ‘unknown unknowns’ (Knight, 1921) it is by definition not possible to include this concept into any model</w:t>
      </w:r>
      <w:r w:rsidR="00E11F19">
        <w:rPr>
          <w:rStyle w:val="Ohne"/>
          <w:szCs w:val="22"/>
          <w:u w:color="000000"/>
          <w:lang w:val="en-GB"/>
        </w:rPr>
        <w:t xml:space="preserve"> or concept</w:t>
      </w:r>
      <w:r w:rsidRPr="00AE6D77">
        <w:rPr>
          <w:rStyle w:val="Ohne"/>
          <w:szCs w:val="22"/>
          <w:u w:color="000000"/>
          <w:lang w:val="en-GB"/>
        </w:rPr>
        <w:t xml:space="preserve">. </w:t>
      </w:r>
      <w:r w:rsidR="007B7710">
        <w:rPr>
          <w:rStyle w:val="Ohne"/>
          <w:szCs w:val="22"/>
          <w:u w:color="000000"/>
          <w:lang w:val="en-GB"/>
        </w:rPr>
        <w:t xml:space="preserve">Moreover, </w:t>
      </w:r>
      <w:r w:rsidRPr="00AE6D77">
        <w:rPr>
          <w:rStyle w:val="Ohne"/>
          <w:szCs w:val="22"/>
          <w:u w:color="000000"/>
          <w:lang w:val="en-GB"/>
        </w:rPr>
        <w:t>some models use econometrics to quantify behavioural equations, which does not account for non-</w:t>
      </w:r>
      <w:r w:rsidRPr="00AE6D77">
        <w:rPr>
          <w:rStyle w:val="Ohne"/>
          <w:u w:color="000000"/>
          <w:lang w:val="en-GB"/>
        </w:rPr>
        <w:t>ergo</w:t>
      </w:r>
      <w:r w:rsidR="00ED5ADD" w:rsidRPr="00AE6D77">
        <w:rPr>
          <w:rStyle w:val="Ohne"/>
          <w:u w:color="000000"/>
          <w:lang w:val="en-GB"/>
        </w:rPr>
        <w:t>di</w:t>
      </w:r>
      <w:r w:rsidRPr="00AE6D77">
        <w:rPr>
          <w:rStyle w:val="Ohne"/>
          <w:u w:color="000000"/>
          <w:lang w:val="en-GB"/>
        </w:rPr>
        <w:t xml:space="preserve">city of future behaviour. Other models, such as system dynamic </w:t>
      </w:r>
      <w:r w:rsidR="00E11F19">
        <w:rPr>
          <w:rStyle w:val="Ohne"/>
          <w:u w:color="000000"/>
          <w:lang w:val="en-GB"/>
        </w:rPr>
        <w:t xml:space="preserve">or agent-based </w:t>
      </w:r>
      <w:r w:rsidRPr="00AE6D77">
        <w:rPr>
          <w:rStyle w:val="Ohne"/>
          <w:u w:color="000000"/>
          <w:lang w:val="en-GB"/>
        </w:rPr>
        <w:t>models include expert knowledge to inform behavioural equations, which is more suitable to account for non-erg</w:t>
      </w:r>
      <w:r w:rsidR="00ED5ADD" w:rsidRPr="00AE6D77">
        <w:rPr>
          <w:rStyle w:val="Ohne"/>
          <w:u w:color="000000"/>
          <w:lang w:val="en-GB"/>
        </w:rPr>
        <w:t>odi</w:t>
      </w:r>
      <w:r w:rsidRPr="00AE6D77">
        <w:rPr>
          <w:rStyle w:val="Ohne"/>
          <w:u w:color="000000"/>
          <w:lang w:val="en-GB"/>
        </w:rPr>
        <w:t xml:space="preserve">city, but brings with it the challenge of parameter quantification. </w:t>
      </w:r>
      <w:r w:rsidRPr="00AE6D77">
        <w:rPr>
          <w:rStyle w:val="Ohne"/>
          <w:szCs w:val="22"/>
          <w:u w:color="000000"/>
          <w:lang w:val="en-GB"/>
        </w:rPr>
        <w:t xml:space="preserve">A similar limitation applies to the integration of complexity related to ‘comprehensiveness’ into models. Models are by definition abstractions of reality and as such not thought to represent the full complexity of the world. Indeed, there is </w:t>
      </w:r>
      <w:r w:rsidR="000E56B9">
        <w:rPr>
          <w:rStyle w:val="Ohne"/>
          <w:szCs w:val="22"/>
          <w:u w:color="000000"/>
          <w:lang w:val="en-GB"/>
        </w:rPr>
        <w:t>often a</w:t>
      </w:r>
      <w:r w:rsidRPr="00AE6D77">
        <w:rPr>
          <w:rStyle w:val="Ohne"/>
          <w:szCs w:val="22"/>
          <w:u w:color="000000"/>
          <w:lang w:val="en-GB"/>
        </w:rPr>
        <w:t xml:space="preserve"> trade-off </w:t>
      </w:r>
      <w:r w:rsidR="000E56B9">
        <w:rPr>
          <w:rStyle w:val="Ohne"/>
          <w:szCs w:val="22"/>
          <w:u w:color="000000"/>
          <w:lang w:val="en-GB"/>
        </w:rPr>
        <w:t xml:space="preserve">between </w:t>
      </w:r>
      <w:r w:rsidRPr="00AE6D77">
        <w:rPr>
          <w:rStyle w:val="Ohne"/>
          <w:szCs w:val="22"/>
          <w:u w:color="000000"/>
          <w:lang w:val="en-GB"/>
        </w:rPr>
        <w:t xml:space="preserve">simple and clear models versus models that are comprehensive and often more difficult to understand (e.g. Sterman, 2000). </w:t>
      </w:r>
    </w:p>
    <w:p w14:paraId="26C30EF2" w14:textId="2A37A440" w:rsidR="004E69B6" w:rsidRDefault="0025664D" w:rsidP="00F96F72">
      <w:pPr>
        <w:numPr>
          <w:ilvl w:val="0"/>
          <w:numId w:val="23"/>
        </w:numPr>
        <w:spacing w:after="160"/>
        <w:rPr>
          <w:rStyle w:val="Ohne"/>
          <w:u w:color="000000"/>
          <w:lang w:val="en-GB"/>
        </w:rPr>
      </w:pPr>
      <w:r w:rsidRPr="00AE6D77">
        <w:rPr>
          <w:rStyle w:val="Ohne"/>
          <w:b/>
          <w:u w:color="000000"/>
          <w:lang w:val="en-GB"/>
        </w:rPr>
        <w:t xml:space="preserve">Importance of time, </w:t>
      </w:r>
      <w:r w:rsidRPr="00AE6D77">
        <w:rPr>
          <w:b/>
          <w:szCs w:val="22"/>
          <w:bdr w:val="nil"/>
          <w:lang w:val="en-GB"/>
        </w:rPr>
        <w:t>path-dependency, lock-in and irreversibility</w:t>
      </w:r>
      <w:r w:rsidRPr="00AE6D77">
        <w:rPr>
          <w:rStyle w:val="Ohne"/>
          <w:b/>
          <w:u w:color="000000"/>
          <w:lang w:val="en-GB"/>
        </w:rPr>
        <w:t>:</w:t>
      </w:r>
      <w:r w:rsidRPr="00AE6D77">
        <w:rPr>
          <w:rStyle w:val="Ohne"/>
          <w:u w:color="000000"/>
          <w:lang w:val="en-GB"/>
        </w:rPr>
        <w:t xml:space="preserve"> All </w:t>
      </w:r>
      <w:r w:rsidR="000E56B9">
        <w:rPr>
          <w:rStyle w:val="Ohne"/>
          <w:u w:color="000000"/>
          <w:lang w:val="en-GB"/>
        </w:rPr>
        <w:t>of the</w:t>
      </w:r>
      <w:r w:rsidR="000E56B9" w:rsidRPr="00AE6D77">
        <w:rPr>
          <w:rStyle w:val="Ohne"/>
          <w:u w:color="000000"/>
          <w:lang w:val="en-GB"/>
        </w:rPr>
        <w:t xml:space="preserve"> </w:t>
      </w:r>
      <w:r w:rsidRPr="00AE6D77">
        <w:rPr>
          <w:rStyle w:val="Ohne"/>
          <w:u w:color="000000"/>
          <w:lang w:val="en-GB"/>
        </w:rPr>
        <w:t>reviewed models are simulation models and therefore time is important by definition. The reviewed models</w:t>
      </w:r>
      <w:r w:rsidR="00E11F19">
        <w:rPr>
          <w:rStyle w:val="Ohne"/>
          <w:u w:color="000000"/>
          <w:lang w:val="en-GB"/>
        </w:rPr>
        <w:t xml:space="preserve"> also represent irreversibility,</w:t>
      </w:r>
      <w:r w:rsidRPr="00AE6D77">
        <w:rPr>
          <w:rStyle w:val="Ohne"/>
          <w:u w:color="000000"/>
          <w:lang w:val="en-GB"/>
        </w:rPr>
        <w:t xml:space="preserve"> for example, once resources are depleted, they are not renewed. The reviewed models account </w:t>
      </w:r>
      <w:r w:rsidR="00E11F19">
        <w:rPr>
          <w:rStyle w:val="Ohne"/>
          <w:u w:color="000000"/>
          <w:lang w:val="en-GB"/>
        </w:rPr>
        <w:t>for path dependency and lock in,</w:t>
      </w:r>
      <w:r w:rsidRPr="00AE6D77">
        <w:rPr>
          <w:rStyle w:val="Ohne"/>
          <w:u w:color="000000"/>
          <w:lang w:val="en-GB"/>
        </w:rPr>
        <w:t xml:space="preserve"> for example with regard to technological change (e.g. learning effects in the energy supply sector or the simulation of productivity based on the endogenous accumulation of capital). </w:t>
      </w:r>
      <w:r w:rsidR="0085626E" w:rsidRPr="00AE6D77">
        <w:rPr>
          <w:rStyle w:val="Ohne"/>
          <w:u w:color="000000"/>
          <w:lang w:val="en-GB"/>
        </w:rPr>
        <w:t xml:space="preserve">However, the representation of institutional path-dependency or lock-in is </w:t>
      </w:r>
      <w:r w:rsidR="003B7906" w:rsidRPr="00AE6D77">
        <w:rPr>
          <w:rStyle w:val="Ohne"/>
          <w:u w:color="000000"/>
          <w:lang w:val="en-GB"/>
        </w:rPr>
        <w:t xml:space="preserve">absent </w:t>
      </w:r>
      <w:r w:rsidR="0085626E" w:rsidRPr="00AE6D77">
        <w:rPr>
          <w:rStyle w:val="Ohne"/>
          <w:u w:color="000000"/>
          <w:lang w:val="en-GB"/>
        </w:rPr>
        <w:t xml:space="preserve">in the reviewed models and could be considered in future model-building advancement (see below, feature v).  </w:t>
      </w:r>
    </w:p>
    <w:p w14:paraId="4DA1AE50" w14:textId="634B9E4B" w:rsidR="004E69B6" w:rsidRPr="00C616E4" w:rsidRDefault="0025664D" w:rsidP="00F96F72">
      <w:pPr>
        <w:numPr>
          <w:ilvl w:val="0"/>
          <w:numId w:val="23"/>
        </w:numPr>
        <w:spacing w:after="240"/>
        <w:rPr>
          <w:rStyle w:val="Ohne"/>
          <w:u w:color="000000"/>
          <w:lang w:val="en-GB"/>
        </w:rPr>
      </w:pPr>
      <w:r w:rsidRPr="004E69B6">
        <w:rPr>
          <w:rStyle w:val="Ohne"/>
          <w:b/>
          <w:u w:color="000000"/>
          <w:lang w:val="en-GB"/>
        </w:rPr>
        <w:t>Agents’ heterogeneity and behavioural elements</w:t>
      </w:r>
      <w:r w:rsidRPr="004E69B6">
        <w:rPr>
          <w:rStyle w:val="Ohne"/>
          <w:u w:color="000000"/>
          <w:lang w:val="en-GB"/>
        </w:rPr>
        <w:t xml:space="preserve">: </w:t>
      </w:r>
      <w:r w:rsidRPr="004E69B6">
        <w:rPr>
          <w:lang w:val="en-GB"/>
        </w:rPr>
        <w:t xml:space="preserve">While some of the reviewed models are agent-based models (e.g. EURACE) </w:t>
      </w:r>
      <w:r w:rsidR="00330730">
        <w:rPr>
          <w:lang w:val="en-GB"/>
        </w:rPr>
        <w:t>that</w:t>
      </w:r>
      <w:r w:rsidR="00330730" w:rsidRPr="004E69B6">
        <w:rPr>
          <w:lang w:val="en-GB"/>
        </w:rPr>
        <w:t xml:space="preserve"> </w:t>
      </w:r>
      <w:r w:rsidRPr="004E69B6">
        <w:rPr>
          <w:lang w:val="en-GB"/>
        </w:rPr>
        <w:t xml:space="preserve">represent interactions of heterogeneous agents from the bottom-up, other models, including system dynamics models (e.g. MEDEAS) or </w:t>
      </w:r>
      <w:r w:rsidR="00330730">
        <w:rPr>
          <w:lang w:val="en-GB"/>
        </w:rPr>
        <w:t>macro-</w:t>
      </w:r>
      <w:r w:rsidRPr="004E69B6">
        <w:rPr>
          <w:lang w:val="en-GB"/>
        </w:rPr>
        <w:t xml:space="preserve">econometric models (e.g. E3ME) represent only the aggregated behaviour of agents. However, while the latter models do not represent the interactions of heterogeneous agents from a bottom-up perspective, they do not assume representative agents and hence are still in line </w:t>
      </w:r>
      <w:r w:rsidRPr="004E69B6">
        <w:rPr>
          <w:lang w:val="en-GB"/>
        </w:rPr>
        <w:lastRenderedPageBreak/>
        <w:t xml:space="preserve">with the concept of heterogeneous agents. However, the empirical validation of the interactions of heterogeneous agents is still an important </w:t>
      </w:r>
      <w:r w:rsidR="00330730">
        <w:rPr>
          <w:lang w:val="en-GB"/>
        </w:rPr>
        <w:t>challenge</w:t>
      </w:r>
      <w:r w:rsidR="00330730" w:rsidRPr="004E69B6">
        <w:rPr>
          <w:lang w:val="en-GB"/>
        </w:rPr>
        <w:t xml:space="preserve"> </w:t>
      </w:r>
      <w:r w:rsidRPr="004E69B6">
        <w:rPr>
          <w:lang w:val="en-GB"/>
        </w:rPr>
        <w:t>due to a lack of data on the disaggregated level. The increasing emergence of data on a very granular level and machine learning techniques might bring new opportunities for the investigation of behaviour on the micro-level and the connection of the micro, meso and macro behaviour in macroeconomic models.</w:t>
      </w:r>
      <w:r w:rsidR="007D7628" w:rsidRPr="004E69B6">
        <w:rPr>
          <w:lang w:val="en-GB"/>
        </w:rPr>
        <w:t xml:space="preserve"> </w:t>
      </w:r>
      <w:r w:rsidR="007B7710" w:rsidRPr="004E69B6">
        <w:rPr>
          <w:lang w:val="en-GB"/>
        </w:rPr>
        <w:t xml:space="preserve">Furthermore, </w:t>
      </w:r>
      <w:r w:rsidR="004E69B6" w:rsidRPr="004E69B6">
        <w:rPr>
          <w:lang w:val="en-GB"/>
        </w:rPr>
        <w:t xml:space="preserve">only the </w:t>
      </w:r>
      <w:r w:rsidR="00330730">
        <w:rPr>
          <w:lang w:val="en-GB"/>
        </w:rPr>
        <w:t>EIRIN</w:t>
      </w:r>
      <w:r w:rsidR="004E69B6" w:rsidRPr="004E69B6">
        <w:rPr>
          <w:lang w:val="en-GB"/>
        </w:rPr>
        <w:t xml:space="preserve"> model </w:t>
      </w:r>
      <w:r w:rsidR="00C616E4">
        <w:rPr>
          <w:lang w:val="en-GB"/>
        </w:rPr>
        <w:t>considers</w:t>
      </w:r>
      <w:r w:rsidR="004E69B6" w:rsidRPr="004E69B6">
        <w:rPr>
          <w:lang w:val="en-GB"/>
        </w:rPr>
        <w:t xml:space="preserve"> the role of investor expectations on the possibility to upscale green finance and financ</w:t>
      </w:r>
      <w:r w:rsidR="00010C27">
        <w:rPr>
          <w:lang w:val="en-GB"/>
        </w:rPr>
        <w:t xml:space="preserve">ial system stability. The representation of expectations, for example subsequent to the introduction of climate policy, </w:t>
      </w:r>
      <w:r w:rsidR="004E69B6" w:rsidRPr="004E69B6">
        <w:rPr>
          <w:lang w:val="en-GB"/>
        </w:rPr>
        <w:t xml:space="preserve">of key actors, such as </w:t>
      </w:r>
      <w:r w:rsidR="00330730">
        <w:rPr>
          <w:lang w:val="en-GB"/>
        </w:rPr>
        <w:t xml:space="preserve">investors, </w:t>
      </w:r>
      <w:r w:rsidR="004E69B6" w:rsidRPr="004E69B6">
        <w:rPr>
          <w:lang w:val="en-GB"/>
        </w:rPr>
        <w:t>banks and innovators (e.g. related to energy technologies or storage and intermittency possibilities), are</w:t>
      </w:r>
      <w:r w:rsidR="00742E87">
        <w:rPr>
          <w:lang w:val="en-GB"/>
        </w:rPr>
        <w:t xml:space="preserve"> however</w:t>
      </w:r>
      <w:r w:rsidR="004E69B6" w:rsidRPr="004E69B6">
        <w:rPr>
          <w:lang w:val="en-GB"/>
        </w:rPr>
        <w:t xml:space="preserve"> relevant elements </w:t>
      </w:r>
      <w:r w:rsidR="00330730">
        <w:rPr>
          <w:lang w:val="en-GB"/>
        </w:rPr>
        <w:t xml:space="preserve">that can drive and </w:t>
      </w:r>
      <w:r w:rsidR="00010C27">
        <w:rPr>
          <w:lang w:val="en-GB"/>
        </w:rPr>
        <w:t>enable</w:t>
      </w:r>
      <w:r w:rsidR="00330730">
        <w:rPr>
          <w:lang w:val="en-GB"/>
        </w:rPr>
        <w:t xml:space="preserve"> </w:t>
      </w:r>
      <w:r w:rsidR="004E69B6" w:rsidRPr="004E69B6">
        <w:rPr>
          <w:lang w:val="en-GB"/>
        </w:rPr>
        <w:t xml:space="preserve">a low-carbon transition (see also below feature </w:t>
      </w:r>
      <w:r w:rsidR="00330730">
        <w:rPr>
          <w:lang w:val="en-GB"/>
        </w:rPr>
        <w:t xml:space="preserve">vii). Therefore, </w:t>
      </w:r>
      <w:r w:rsidR="004E69B6" w:rsidRPr="004E69B6">
        <w:rPr>
          <w:lang w:val="en-GB"/>
        </w:rPr>
        <w:t>we recommend their representation</w:t>
      </w:r>
      <w:r w:rsidR="007B7710" w:rsidRPr="004E69B6">
        <w:rPr>
          <w:lang w:val="en-GB"/>
        </w:rPr>
        <w:t xml:space="preserve"> </w:t>
      </w:r>
      <w:r w:rsidR="00330730">
        <w:rPr>
          <w:lang w:val="en-GB"/>
        </w:rPr>
        <w:t xml:space="preserve">in energy-transition models </w:t>
      </w:r>
      <w:r w:rsidR="007B7710" w:rsidRPr="004E69B6">
        <w:rPr>
          <w:lang w:val="en-GB"/>
        </w:rPr>
        <w:t xml:space="preserve">as </w:t>
      </w:r>
      <w:r w:rsidR="00010C27">
        <w:rPr>
          <w:lang w:val="en-GB"/>
        </w:rPr>
        <w:t xml:space="preserve">a </w:t>
      </w:r>
      <w:r w:rsidR="004E69B6" w:rsidRPr="004E69B6">
        <w:rPr>
          <w:lang w:val="en-GB"/>
        </w:rPr>
        <w:t xml:space="preserve">future research </w:t>
      </w:r>
      <w:r w:rsidR="00330730">
        <w:rPr>
          <w:lang w:val="en-GB"/>
        </w:rPr>
        <w:t xml:space="preserve">task. </w:t>
      </w:r>
    </w:p>
    <w:p w14:paraId="26E80062" w14:textId="1BDCEDC3" w:rsidR="00C616E4" w:rsidRDefault="0025664D" w:rsidP="00F96F72">
      <w:pPr>
        <w:pStyle w:val="ListParagraph"/>
        <w:numPr>
          <w:ilvl w:val="0"/>
          <w:numId w:val="23"/>
        </w:numPr>
        <w:spacing w:after="240"/>
        <w:rPr>
          <w:rStyle w:val="Ohne"/>
          <w:rFonts w:eastAsiaTheme="minorHAnsi"/>
          <w:u w:color="000000"/>
          <w:lang w:val="en-GB"/>
        </w:rPr>
      </w:pPr>
      <w:r w:rsidRPr="00AE6D77">
        <w:rPr>
          <w:rStyle w:val="Ohne"/>
          <w:b/>
          <w:szCs w:val="22"/>
          <w:u w:color="000000"/>
          <w:lang w:val="en-GB"/>
        </w:rPr>
        <w:t>I</w:t>
      </w:r>
      <w:r w:rsidRPr="00AE6D77">
        <w:rPr>
          <w:rStyle w:val="Ohne"/>
          <w:b/>
          <w:u w:color="000000"/>
          <w:lang w:val="en-GB"/>
        </w:rPr>
        <w:t>nterdisciplinary aspects</w:t>
      </w:r>
      <w:r w:rsidRPr="00AE6D77">
        <w:rPr>
          <w:rStyle w:val="Ohne"/>
          <w:u w:color="000000"/>
          <w:lang w:val="en-GB"/>
        </w:rPr>
        <w:t xml:space="preserve">: Most models include knowledge from other disciplines, such as psychology, behavioural economics or engineering (e.g. inclusion of inventories as buffer or the agent’s use of heuristics). </w:t>
      </w:r>
      <w:r w:rsidR="002C1C14">
        <w:rPr>
          <w:rStyle w:val="Ohne"/>
          <w:u w:color="000000"/>
          <w:lang w:val="en-GB"/>
        </w:rPr>
        <w:t>However, t</w:t>
      </w:r>
      <w:r w:rsidRPr="00AE6D77">
        <w:rPr>
          <w:rStyle w:val="Ohne"/>
          <w:u w:color="000000"/>
          <w:lang w:val="en-GB"/>
        </w:rPr>
        <w:t>he inclusion of interdisciplinary aspects into a macroeconomic model is certainly a field for further research. It could for example be an opportunity to use knowledge from neuroscience for the simulations of agent’s behaviour in economic modelling.</w:t>
      </w:r>
      <w:r w:rsidR="002C1C14">
        <w:rPr>
          <w:rStyle w:val="Ohne"/>
          <w:u w:color="000000"/>
          <w:lang w:val="en-GB"/>
        </w:rPr>
        <w:t xml:space="preserve"> Moreover, m</w:t>
      </w:r>
      <w:r w:rsidR="0097388E">
        <w:rPr>
          <w:rStyle w:val="Ohne"/>
          <w:u w:color="000000"/>
          <w:lang w:val="en-GB"/>
        </w:rPr>
        <w:t xml:space="preserve">ost of reviewed the energy-transition models include in their model base-run the assumption of no climate </w:t>
      </w:r>
      <w:r w:rsidR="00010C27">
        <w:rPr>
          <w:rStyle w:val="Ohne"/>
          <w:u w:color="000000"/>
          <w:lang w:val="en-GB"/>
        </w:rPr>
        <w:t>change damage</w:t>
      </w:r>
      <w:r w:rsidR="0097388E">
        <w:rPr>
          <w:rStyle w:val="Ohne"/>
          <w:u w:color="000000"/>
          <w:lang w:val="en-GB"/>
        </w:rPr>
        <w:t>, however, research in the field of climate science c</w:t>
      </w:r>
      <w:r w:rsidR="00125B8A">
        <w:rPr>
          <w:rStyle w:val="Ohne"/>
          <w:u w:color="000000"/>
          <w:lang w:val="en-GB"/>
        </w:rPr>
        <w:t xml:space="preserve">learly shows that this is not a </w:t>
      </w:r>
      <w:r w:rsidR="0097388E">
        <w:rPr>
          <w:rStyle w:val="Ohne"/>
          <w:u w:color="000000"/>
          <w:lang w:val="en-GB"/>
        </w:rPr>
        <w:t>likely under the current economic trajectory</w:t>
      </w:r>
      <w:r w:rsidR="006F6A1D">
        <w:rPr>
          <w:rStyle w:val="Ohne"/>
          <w:u w:color="000000"/>
          <w:lang w:val="en-GB"/>
        </w:rPr>
        <w:t>.</w:t>
      </w:r>
      <w:r w:rsidR="00125B8A">
        <w:rPr>
          <w:rStyle w:val="Ohne"/>
          <w:u w:color="000000"/>
          <w:lang w:val="en-GB"/>
        </w:rPr>
        <w:t xml:space="preserve"> </w:t>
      </w:r>
      <w:r w:rsidR="0097388E">
        <w:rPr>
          <w:rStyle w:val="Ohne"/>
          <w:u w:color="000000"/>
          <w:lang w:val="en-GB"/>
        </w:rPr>
        <w:t xml:space="preserve">Therefore, we recommend the inclusion of more realistic model base-runs </w:t>
      </w:r>
      <w:r w:rsidR="000E56B9">
        <w:rPr>
          <w:rStyle w:val="Ohne"/>
          <w:u w:color="000000"/>
          <w:lang w:val="en-GB"/>
        </w:rPr>
        <w:t>that</w:t>
      </w:r>
      <w:r w:rsidR="0097388E">
        <w:rPr>
          <w:rStyle w:val="Ohne"/>
          <w:u w:color="000000"/>
          <w:lang w:val="en-GB"/>
        </w:rPr>
        <w:t xml:space="preserve"> </w:t>
      </w:r>
      <w:r w:rsidR="000E56B9">
        <w:rPr>
          <w:rStyle w:val="Ohne"/>
          <w:u w:color="000000"/>
          <w:lang w:val="en-GB"/>
        </w:rPr>
        <w:t>account for</w:t>
      </w:r>
      <w:r w:rsidR="002C1C14">
        <w:rPr>
          <w:rStyle w:val="Ohne"/>
          <w:u w:color="000000"/>
          <w:lang w:val="en-GB"/>
        </w:rPr>
        <w:t xml:space="preserve"> climate damages, possibly in a standardised way, </w:t>
      </w:r>
      <w:r w:rsidR="0097388E">
        <w:rPr>
          <w:rStyle w:val="Ohne"/>
          <w:u w:color="000000"/>
          <w:lang w:val="en-GB"/>
        </w:rPr>
        <w:t>on the real economy in</w:t>
      </w:r>
      <w:r w:rsidR="000E56B9">
        <w:rPr>
          <w:rStyle w:val="Ohne"/>
          <w:u w:color="000000"/>
          <w:lang w:val="en-GB"/>
        </w:rPr>
        <w:t xml:space="preserve"> future</w:t>
      </w:r>
      <w:r w:rsidR="0097388E">
        <w:rPr>
          <w:rStyle w:val="Ohne"/>
          <w:u w:color="000000"/>
          <w:lang w:val="en-GB"/>
        </w:rPr>
        <w:t xml:space="preserve"> energy-transition models. </w:t>
      </w:r>
      <w:r w:rsidR="002C1C14">
        <w:rPr>
          <w:rStyle w:val="Ohne"/>
          <w:u w:color="000000"/>
          <w:lang w:val="en-GB"/>
        </w:rPr>
        <w:t xml:space="preserve">However, overall, </w:t>
      </w:r>
      <w:r w:rsidR="002C1C14" w:rsidRPr="00AE6D77">
        <w:rPr>
          <w:rStyle w:val="Ohne"/>
          <w:u w:color="000000"/>
          <w:lang w:val="en-GB"/>
        </w:rPr>
        <w:t>the inclusion of interdisciplinary knowledge into economic modelling touches at some point also the question on where to set the boundary of economic modellin</w:t>
      </w:r>
      <w:r w:rsidR="002C1C14">
        <w:rPr>
          <w:rStyle w:val="Ohne"/>
          <w:u w:color="000000"/>
          <w:lang w:val="en-GB"/>
        </w:rPr>
        <w:t xml:space="preserve">g. </w:t>
      </w:r>
    </w:p>
    <w:p w14:paraId="19A532F8" w14:textId="77777777" w:rsidR="00C616E4" w:rsidRPr="00F96F72" w:rsidRDefault="00C616E4" w:rsidP="00F96F72">
      <w:pPr>
        <w:pStyle w:val="ListParagraph"/>
        <w:spacing w:after="240"/>
        <w:rPr>
          <w:rStyle w:val="Ohne"/>
          <w:u w:color="000000"/>
          <w:lang w:val="en-GB"/>
        </w:rPr>
      </w:pPr>
    </w:p>
    <w:p w14:paraId="09A6BC06" w14:textId="252A67E0" w:rsidR="00C616E4" w:rsidRPr="004E69B6" w:rsidRDefault="0025664D" w:rsidP="00F96F72">
      <w:pPr>
        <w:pStyle w:val="ListParagraph"/>
        <w:numPr>
          <w:ilvl w:val="0"/>
          <w:numId w:val="23"/>
        </w:numPr>
        <w:rPr>
          <w:rStyle w:val="Ohne"/>
          <w:rFonts w:eastAsiaTheme="minorHAnsi"/>
          <w:u w:color="000000"/>
          <w:lang w:val="en-GB"/>
        </w:rPr>
      </w:pPr>
      <w:r w:rsidRPr="00C616E4">
        <w:rPr>
          <w:rStyle w:val="Ohne"/>
          <w:b/>
          <w:u w:color="000000"/>
          <w:lang w:val="en-GB"/>
        </w:rPr>
        <w:t>Role of institutions and social context</w:t>
      </w:r>
      <w:r w:rsidRPr="00C616E4">
        <w:rPr>
          <w:rStyle w:val="Ohne"/>
          <w:u w:color="000000"/>
          <w:lang w:val="en-GB"/>
        </w:rPr>
        <w:t xml:space="preserve">: Most models consider a variety of different policy instruments ranging from taxes to regulations or quantitative easing. </w:t>
      </w:r>
      <w:r w:rsidR="00062698" w:rsidRPr="00C616E4">
        <w:rPr>
          <w:rStyle w:val="Ohne"/>
          <w:u w:color="000000"/>
          <w:lang w:val="en-GB"/>
        </w:rPr>
        <w:t xml:space="preserve">However, we recommend </w:t>
      </w:r>
      <w:r w:rsidR="007D7628" w:rsidRPr="00C616E4">
        <w:rPr>
          <w:rStyle w:val="Ohne"/>
          <w:u w:color="000000"/>
          <w:lang w:val="en-GB"/>
        </w:rPr>
        <w:t xml:space="preserve">future model builders to </w:t>
      </w:r>
      <w:r w:rsidR="00C616E4">
        <w:rPr>
          <w:rStyle w:val="Ohne"/>
          <w:u w:color="000000"/>
          <w:lang w:val="en-GB"/>
        </w:rPr>
        <w:t>further expand their</w:t>
      </w:r>
      <w:r w:rsidR="00062698" w:rsidRPr="00C616E4">
        <w:rPr>
          <w:rStyle w:val="Ohne"/>
          <w:u w:color="000000"/>
          <w:lang w:val="en-GB"/>
        </w:rPr>
        <w:t xml:space="preserve"> model framework</w:t>
      </w:r>
      <w:r w:rsidR="007D7628" w:rsidRPr="00C616E4">
        <w:rPr>
          <w:rStyle w:val="Ohne"/>
          <w:u w:color="000000"/>
          <w:lang w:val="en-GB"/>
        </w:rPr>
        <w:t>s</w:t>
      </w:r>
      <w:r w:rsidR="00062698" w:rsidRPr="00C616E4">
        <w:rPr>
          <w:rStyle w:val="Ohne"/>
          <w:u w:color="000000"/>
          <w:lang w:val="en-GB"/>
        </w:rPr>
        <w:t xml:space="preserve"> </w:t>
      </w:r>
      <w:r w:rsidR="00C616E4">
        <w:rPr>
          <w:rStyle w:val="Ohne"/>
          <w:u w:color="000000"/>
          <w:lang w:val="en-GB"/>
        </w:rPr>
        <w:t xml:space="preserve">alongside the inclusion of key actor’s expectations and behaviour </w:t>
      </w:r>
      <w:r w:rsidR="000E56B9">
        <w:rPr>
          <w:rStyle w:val="Ohne"/>
          <w:u w:color="000000"/>
          <w:lang w:val="en-GB"/>
        </w:rPr>
        <w:t>such</w:t>
      </w:r>
      <w:r w:rsidR="00C616E4">
        <w:rPr>
          <w:rStyle w:val="Ohne"/>
          <w:u w:color="000000"/>
          <w:lang w:val="en-GB"/>
        </w:rPr>
        <w:t xml:space="preserve"> that future energy-transition models</w:t>
      </w:r>
      <w:r w:rsidR="007D7628" w:rsidRPr="00C616E4">
        <w:rPr>
          <w:rStyle w:val="Ohne"/>
          <w:u w:color="000000"/>
          <w:lang w:val="en-GB"/>
        </w:rPr>
        <w:t xml:space="preserve"> </w:t>
      </w:r>
      <w:r w:rsidR="00062698" w:rsidRPr="00C616E4">
        <w:rPr>
          <w:rStyle w:val="Ohne"/>
          <w:u w:color="000000"/>
          <w:lang w:val="en-GB"/>
        </w:rPr>
        <w:t xml:space="preserve">allow </w:t>
      </w:r>
      <w:r w:rsidR="007D7628" w:rsidRPr="00C616E4">
        <w:rPr>
          <w:rStyle w:val="Ohne"/>
          <w:u w:color="000000"/>
          <w:lang w:val="en-GB"/>
        </w:rPr>
        <w:t xml:space="preserve">investigating </w:t>
      </w:r>
      <w:r w:rsidR="000E56B9">
        <w:rPr>
          <w:rStyle w:val="Ohne"/>
          <w:u w:color="000000"/>
          <w:lang w:val="en-GB"/>
        </w:rPr>
        <w:t xml:space="preserve">policy </w:t>
      </w:r>
      <w:r w:rsidR="00062698" w:rsidRPr="00C616E4">
        <w:rPr>
          <w:rStyle w:val="Ohne"/>
          <w:u w:color="000000"/>
          <w:lang w:val="en-GB"/>
        </w:rPr>
        <w:t xml:space="preserve">effects </w:t>
      </w:r>
      <w:r w:rsidR="00C616E4">
        <w:rPr>
          <w:rStyle w:val="Ohne"/>
          <w:u w:color="000000"/>
          <w:lang w:val="en-GB"/>
        </w:rPr>
        <w:t>on</w:t>
      </w:r>
      <w:r w:rsidR="00062698" w:rsidRPr="00C616E4">
        <w:rPr>
          <w:rStyle w:val="Ohne"/>
          <w:u w:color="000000"/>
          <w:lang w:val="en-GB"/>
        </w:rPr>
        <w:t xml:space="preserve"> the real economy (e.g. GDP, employment, inequality), the financial system</w:t>
      </w:r>
      <w:r w:rsidR="007D7628" w:rsidRPr="00C616E4">
        <w:rPr>
          <w:rStyle w:val="Ohne"/>
          <w:u w:color="000000"/>
          <w:lang w:val="en-GB"/>
        </w:rPr>
        <w:t xml:space="preserve"> (e.g. stability of the financial system, increase in green investing, see feature viii)</w:t>
      </w:r>
      <w:r w:rsidR="00062698" w:rsidRPr="00C616E4">
        <w:rPr>
          <w:rStyle w:val="Ohne"/>
          <w:u w:color="000000"/>
          <w:lang w:val="en-GB"/>
        </w:rPr>
        <w:t xml:space="preserve"> and the environment (e.g. emissions). </w:t>
      </w:r>
      <w:r w:rsidR="007D7628" w:rsidRPr="00C616E4">
        <w:rPr>
          <w:rStyle w:val="Ohne"/>
          <w:u w:color="000000"/>
          <w:lang w:val="en-GB"/>
        </w:rPr>
        <w:t xml:space="preserve">This in turn would lead to a better understanding </w:t>
      </w:r>
      <w:r w:rsidR="00C616E4">
        <w:rPr>
          <w:rStyle w:val="Ohne"/>
          <w:u w:color="000000"/>
          <w:lang w:val="en-GB"/>
        </w:rPr>
        <w:t xml:space="preserve">on </w:t>
      </w:r>
      <w:r w:rsidR="007D7628" w:rsidRPr="00C616E4">
        <w:rPr>
          <w:rStyle w:val="Ohne"/>
          <w:u w:color="000000"/>
          <w:lang w:val="en-GB"/>
        </w:rPr>
        <w:t>how different institution</w:t>
      </w:r>
      <w:r w:rsidR="000E56B9">
        <w:rPr>
          <w:rStyle w:val="Ohne"/>
          <w:u w:color="000000"/>
          <w:lang w:val="en-GB"/>
        </w:rPr>
        <w:t>s</w:t>
      </w:r>
      <w:r w:rsidR="007D7628" w:rsidRPr="00C616E4">
        <w:rPr>
          <w:rStyle w:val="Ohne"/>
          <w:u w:color="000000"/>
          <w:lang w:val="en-GB"/>
        </w:rPr>
        <w:t xml:space="preserve"> (e.g. Central banks, financial regulatory authorities and governments) </w:t>
      </w:r>
      <w:r w:rsidR="000E56B9">
        <w:rPr>
          <w:rStyle w:val="Ohne"/>
          <w:u w:color="000000"/>
          <w:lang w:val="en-GB"/>
        </w:rPr>
        <w:t>can improve their policy coordination</w:t>
      </w:r>
      <w:r w:rsidR="006F6A1D">
        <w:rPr>
          <w:rStyle w:val="Ohne"/>
          <w:u w:color="000000"/>
          <w:lang w:val="en-GB"/>
        </w:rPr>
        <w:t xml:space="preserve"> </w:t>
      </w:r>
      <w:r w:rsidR="000E56B9">
        <w:rPr>
          <w:rStyle w:val="Ohne"/>
          <w:u w:color="000000"/>
          <w:lang w:val="en-GB"/>
        </w:rPr>
        <w:t xml:space="preserve">in order </w:t>
      </w:r>
      <w:r w:rsidR="007D7628" w:rsidRPr="00C616E4">
        <w:rPr>
          <w:rStyle w:val="Ohne"/>
          <w:u w:color="000000"/>
          <w:lang w:val="en-GB"/>
        </w:rPr>
        <w:t>to achieve different environmental, economic and financial policy objectives</w:t>
      </w:r>
      <w:r w:rsidR="000E56B9">
        <w:rPr>
          <w:rStyle w:val="Ohne"/>
          <w:u w:color="000000"/>
          <w:lang w:val="en-GB"/>
        </w:rPr>
        <w:t xml:space="preserve"> at the same time</w:t>
      </w:r>
      <w:r w:rsidR="007D7628" w:rsidRPr="00C616E4">
        <w:rPr>
          <w:rStyle w:val="Ohne"/>
          <w:u w:color="000000"/>
          <w:lang w:val="en-GB"/>
        </w:rPr>
        <w:t xml:space="preserve">. </w:t>
      </w:r>
      <w:r w:rsidRPr="00C616E4">
        <w:rPr>
          <w:rStyle w:val="Ohne"/>
          <w:u w:color="000000"/>
          <w:lang w:val="en-GB"/>
        </w:rPr>
        <w:t xml:space="preserve">Furthermore, the importance of the institutional context is also reflected in the wage rate equation in most of the models. </w:t>
      </w:r>
      <w:r w:rsidR="00062698" w:rsidRPr="00C616E4">
        <w:rPr>
          <w:rStyle w:val="Ohne"/>
          <w:u w:color="000000"/>
          <w:lang w:val="en-GB"/>
        </w:rPr>
        <w:t>A</w:t>
      </w:r>
      <w:r w:rsidRPr="00C616E4">
        <w:rPr>
          <w:rStyle w:val="Ohne"/>
          <w:u w:color="000000"/>
          <w:lang w:val="en-GB"/>
        </w:rPr>
        <w:t xml:space="preserve"> possibility for further inclusion of the importance of the institutional structure of the economy could be the inclusion of institutional path-tendencies related to vested interests and power imbalances, which can play an important role in (energy system) transitions (e.g. Bolton &amp; Foxon, 2015</w:t>
      </w:r>
      <w:r w:rsidR="0089314B" w:rsidRPr="00C616E4">
        <w:rPr>
          <w:rStyle w:val="Ohne"/>
          <w:u w:color="000000"/>
          <w:lang w:val="en-GB"/>
        </w:rPr>
        <w:t>a; b</w:t>
      </w:r>
      <w:r w:rsidRPr="00C616E4">
        <w:rPr>
          <w:rStyle w:val="Ohne"/>
          <w:u w:color="000000"/>
          <w:lang w:val="en-GB"/>
        </w:rPr>
        <w:t xml:space="preserve">). </w:t>
      </w:r>
      <w:r w:rsidR="00062698" w:rsidRPr="00C616E4">
        <w:rPr>
          <w:rStyle w:val="Ohne"/>
          <w:u w:color="000000"/>
          <w:lang w:val="en-GB"/>
        </w:rPr>
        <w:t xml:space="preserve"> </w:t>
      </w:r>
    </w:p>
    <w:p w14:paraId="4F8B9E0F" w14:textId="77777777" w:rsidR="00C616E4" w:rsidRPr="00F96F72" w:rsidRDefault="00C616E4" w:rsidP="00F96F72">
      <w:pPr>
        <w:pStyle w:val="ListParagraph"/>
        <w:spacing w:after="240"/>
        <w:rPr>
          <w:rStyle w:val="Ohne"/>
          <w:u w:color="000000"/>
          <w:lang w:val="en-GB"/>
        </w:rPr>
      </w:pPr>
    </w:p>
    <w:p w14:paraId="3F391748" w14:textId="68A9A77F" w:rsidR="0025664D" w:rsidRPr="00C616E4" w:rsidRDefault="0025664D" w:rsidP="00F96F72">
      <w:pPr>
        <w:pStyle w:val="ListParagraph"/>
        <w:numPr>
          <w:ilvl w:val="0"/>
          <w:numId w:val="23"/>
        </w:numPr>
        <w:spacing w:after="240"/>
        <w:rPr>
          <w:rStyle w:val="Ohne"/>
          <w:u w:color="000000"/>
          <w:lang w:val="en-GB"/>
        </w:rPr>
      </w:pPr>
      <w:r w:rsidRPr="00C616E4">
        <w:rPr>
          <w:rStyle w:val="Ohne"/>
          <w:b/>
          <w:u w:color="000000"/>
          <w:lang w:val="en-GB"/>
        </w:rPr>
        <w:t>Ethical and philosophical aspects</w:t>
      </w:r>
      <w:r w:rsidRPr="00C616E4">
        <w:rPr>
          <w:rStyle w:val="Ohne"/>
          <w:u w:color="000000"/>
          <w:lang w:val="en-GB"/>
        </w:rPr>
        <w:t xml:space="preserve">: Overall, none of the reviewed model would be suitable to optimize the amount of carbon reduction based on the optimization of the costs of emission </w:t>
      </w:r>
      <w:r w:rsidRPr="00C616E4">
        <w:rPr>
          <w:rStyle w:val="Ohne"/>
          <w:u w:color="000000"/>
          <w:lang w:val="en-GB"/>
        </w:rPr>
        <w:lastRenderedPageBreak/>
        <w:t xml:space="preserve">reduction measures and future damages from climate change on the economy by using discount rates. That is, those models allow for the discussion of ethical and philosophical aspects related to the question of climate justice between current and future generations. However, while the reviewed models leave space for ethical and philosophical judgement it is an important question for the future on how to connect ecological macroeconomic models further with ethical and philosophical aspects </w:t>
      </w:r>
      <w:r w:rsidR="00E11F19" w:rsidRPr="00C616E4">
        <w:rPr>
          <w:rStyle w:val="Ohne"/>
          <w:u w:color="000000"/>
          <w:lang w:val="en-GB"/>
        </w:rPr>
        <w:t xml:space="preserve">(e.g. related to a just energy transition) </w:t>
      </w:r>
      <w:r w:rsidRPr="00C616E4">
        <w:rPr>
          <w:rStyle w:val="Ohne"/>
          <w:u w:color="000000"/>
          <w:lang w:val="en-GB"/>
        </w:rPr>
        <w:t>or how to use insights from these fields together with results from ecological macroeconomic models to inform policy makers.</w:t>
      </w:r>
      <w:r w:rsidR="00DE2779" w:rsidRPr="00C616E4">
        <w:rPr>
          <w:rStyle w:val="Ohne"/>
          <w:u w:color="000000"/>
          <w:lang w:val="en-GB"/>
        </w:rPr>
        <w:t xml:space="preserve"> </w:t>
      </w:r>
    </w:p>
    <w:p w14:paraId="1A3D9018" w14:textId="77777777" w:rsidR="00D564C8" w:rsidRPr="00AE6D77" w:rsidRDefault="00D564C8" w:rsidP="00E11F19">
      <w:pPr>
        <w:pStyle w:val="ListParagraph"/>
        <w:spacing w:after="160"/>
        <w:ind w:left="510"/>
        <w:rPr>
          <w:rStyle w:val="Ohne"/>
          <w:u w:color="000000"/>
          <w:lang w:val="en-GB"/>
        </w:rPr>
      </w:pPr>
    </w:p>
    <w:p w14:paraId="0C3F0A9D" w14:textId="1EA6B45F" w:rsidR="0025664D" w:rsidRPr="00062698" w:rsidRDefault="0025664D" w:rsidP="00F96F72">
      <w:pPr>
        <w:pStyle w:val="ListParagraph"/>
        <w:numPr>
          <w:ilvl w:val="0"/>
          <w:numId w:val="23"/>
        </w:numPr>
        <w:spacing w:after="160"/>
        <w:rPr>
          <w:rStyle w:val="Ohne"/>
          <w:u w:color="000000"/>
          <w:lang w:val="en-GB"/>
        </w:rPr>
      </w:pPr>
      <w:r w:rsidRPr="00062698">
        <w:rPr>
          <w:rStyle w:val="Ohne"/>
          <w:b/>
          <w:szCs w:val="22"/>
          <w:u w:color="000000"/>
          <w:lang w:val="en-GB"/>
        </w:rPr>
        <w:t>F</w:t>
      </w:r>
      <w:r w:rsidRPr="00062698">
        <w:rPr>
          <w:rStyle w:val="Ohne"/>
          <w:b/>
          <w:u w:color="000000"/>
          <w:lang w:val="en-GB"/>
        </w:rPr>
        <w:t>inance</w:t>
      </w:r>
      <w:r w:rsidRPr="00062698">
        <w:rPr>
          <w:rStyle w:val="Ohne"/>
          <w:u w:color="000000"/>
          <w:lang w:val="en-GB"/>
        </w:rPr>
        <w:t xml:space="preserve">: As described in detail in the sub-section ‘economic core’ the majority of the reviewed models track monetary flows and are stock and flow consistent. </w:t>
      </w:r>
      <w:r w:rsidR="00746993">
        <w:rPr>
          <w:rStyle w:val="Ohne"/>
          <w:u w:color="000000"/>
          <w:lang w:val="en-GB"/>
        </w:rPr>
        <w:t xml:space="preserve">These models </w:t>
      </w:r>
      <w:r w:rsidR="008D40BA">
        <w:rPr>
          <w:rStyle w:val="Ohne"/>
          <w:u w:color="000000"/>
          <w:lang w:val="en-GB"/>
        </w:rPr>
        <w:t>could</w:t>
      </w:r>
      <w:r w:rsidR="00746993">
        <w:rPr>
          <w:rStyle w:val="Ohne"/>
          <w:u w:color="000000"/>
          <w:lang w:val="en-GB"/>
        </w:rPr>
        <w:t xml:space="preserve"> i</w:t>
      </w:r>
      <w:r w:rsidR="008D40BA">
        <w:rPr>
          <w:rStyle w:val="Ohne"/>
          <w:u w:color="000000"/>
          <w:lang w:val="en-GB"/>
        </w:rPr>
        <w:t>n principle</w:t>
      </w:r>
      <w:r w:rsidR="00746993" w:rsidRPr="00675A5D">
        <w:rPr>
          <w:rStyle w:val="Ohne"/>
          <w:u w:color="000000"/>
          <w:lang w:val="en-GB"/>
        </w:rPr>
        <w:t xml:space="preserve"> </w:t>
      </w:r>
      <w:r w:rsidR="00746993">
        <w:rPr>
          <w:rStyle w:val="Ohne"/>
          <w:u w:color="000000"/>
          <w:lang w:val="en-GB"/>
        </w:rPr>
        <w:t xml:space="preserve">be applied for the investigation of </w:t>
      </w:r>
      <w:r w:rsidR="008D40BA">
        <w:rPr>
          <w:rStyle w:val="Ohne"/>
          <w:u w:color="000000"/>
          <w:lang w:val="en-GB"/>
        </w:rPr>
        <w:t>climate-related transition</w:t>
      </w:r>
      <w:r w:rsidR="00746993">
        <w:rPr>
          <w:rStyle w:val="Ohne"/>
          <w:u w:color="000000"/>
          <w:lang w:val="en-GB"/>
        </w:rPr>
        <w:t xml:space="preserve"> risks </w:t>
      </w:r>
      <w:r w:rsidR="008D40BA">
        <w:rPr>
          <w:rStyle w:val="Ohne"/>
          <w:u w:color="000000"/>
          <w:lang w:val="en-GB"/>
        </w:rPr>
        <w:t xml:space="preserve">on </w:t>
      </w:r>
      <w:r w:rsidR="00746993" w:rsidRPr="00675A5D">
        <w:rPr>
          <w:rStyle w:val="Ohne"/>
          <w:u w:color="000000"/>
          <w:lang w:val="en-GB"/>
        </w:rPr>
        <w:t xml:space="preserve">financial </w:t>
      </w:r>
      <w:r w:rsidR="008D40BA">
        <w:rPr>
          <w:rStyle w:val="Ohne"/>
          <w:u w:color="000000"/>
          <w:lang w:val="en-GB"/>
        </w:rPr>
        <w:t>stability</w:t>
      </w:r>
      <w:r w:rsidR="00746993" w:rsidRPr="00675A5D">
        <w:rPr>
          <w:rStyle w:val="Ohne"/>
          <w:u w:color="000000"/>
          <w:lang w:val="en-GB"/>
        </w:rPr>
        <w:t xml:space="preserve">. </w:t>
      </w:r>
      <w:r w:rsidR="00746993">
        <w:rPr>
          <w:rStyle w:val="Ohne"/>
          <w:u w:color="000000"/>
          <w:lang w:val="en-GB"/>
        </w:rPr>
        <w:t xml:space="preserve">However, only the EIRIN model has been </w:t>
      </w:r>
      <w:r w:rsidR="008D40BA">
        <w:rPr>
          <w:rStyle w:val="Ohne"/>
          <w:u w:color="000000"/>
          <w:lang w:val="en-GB"/>
        </w:rPr>
        <w:t>applied</w:t>
      </w:r>
      <w:r w:rsidR="006F6A1D">
        <w:rPr>
          <w:rStyle w:val="Ohne"/>
          <w:u w:color="000000"/>
          <w:lang w:val="en-GB"/>
        </w:rPr>
        <w:t xml:space="preserve"> so far</w:t>
      </w:r>
      <w:r w:rsidR="000E56B9">
        <w:rPr>
          <w:rStyle w:val="Ohne"/>
          <w:u w:color="000000"/>
          <w:lang w:val="en-GB"/>
        </w:rPr>
        <w:t xml:space="preserve"> </w:t>
      </w:r>
      <w:r w:rsidR="00746993">
        <w:rPr>
          <w:rStyle w:val="Ohne"/>
          <w:u w:color="000000"/>
          <w:lang w:val="en-GB"/>
        </w:rPr>
        <w:t xml:space="preserve">to </w:t>
      </w:r>
      <w:r w:rsidR="008D40BA">
        <w:rPr>
          <w:rStyle w:val="Ohne"/>
          <w:u w:color="000000"/>
          <w:lang w:val="en-GB"/>
        </w:rPr>
        <w:t>assess the</w:t>
      </w:r>
      <w:r w:rsidR="00746993">
        <w:rPr>
          <w:rStyle w:val="Ohne"/>
          <w:u w:color="000000"/>
          <w:lang w:val="en-GB"/>
        </w:rPr>
        <w:t xml:space="preserve"> risks of the implementation of climate policies on financial stability (Dunz et al., 2018). </w:t>
      </w:r>
      <w:r w:rsidR="007C47A0">
        <w:rPr>
          <w:rStyle w:val="Ohne"/>
          <w:u w:color="000000"/>
          <w:lang w:val="en-GB"/>
        </w:rPr>
        <w:t xml:space="preserve">The representation of actors situated the financial system (e.g. investors, banks) and their expectations (e.g. with regard to </w:t>
      </w:r>
      <w:r w:rsidR="008D40BA">
        <w:rPr>
          <w:rStyle w:val="Ohne"/>
          <w:u w:color="000000"/>
          <w:lang w:val="en-GB"/>
        </w:rPr>
        <w:t>future</w:t>
      </w:r>
      <w:r w:rsidR="007C47A0">
        <w:rPr>
          <w:rStyle w:val="Ohne"/>
          <w:u w:color="000000"/>
          <w:lang w:val="en-GB"/>
        </w:rPr>
        <w:t xml:space="preserve"> return</w:t>
      </w:r>
      <w:r w:rsidR="008D40BA">
        <w:rPr>
          <w:rStyle w:val="Ohne"/>
          <w:u w:color="000000"/>
          <w:lang w:val="en-GB"/>
        </w:rPr>
        <w:t>s</w:t>
      </w:r>
      <w:r w:rsidR="007C47A0">
        <w:rPr>
          <w:rStyle w:val="Ohne"/>
          <w:u w:color="000000"/>
          <w:lang w:val="en-GB"/>
        </w:rPr>
        <w:t xml:space="preserve"> of brown vs. green assets) and </w:t>
      </w:r>
      <w:r w:rsidR="008D40BA">
        <w:rPr>
          <w:rStyle w:val="Ohne"/>
          <w:u w:color="000000"/>
          <w:lang w:val="en-GB"/>
        </w:rPr>
        <w:t>actions</w:t>
      </w:r>
      <w:r w:rsidR="007C47A0">
        <w:rPr>
          <w:rStyle w:val="Ohne"/>
          <w:u w:color="000000"/>
          <w:lang w:val="en-GB"/>
        </w:rPr>
        <w:t xml:space="preserve"> (e.g. increase in green investing) subsequent to the introduction of climate policies is only at its infantry</w:t>
      </w:r>
      <w:r w:rsidR="008D40BA">
        <w:rPr>
          <w:rStyle w:val="Ohne"/>
          <w:u w:color="000000"/>
          <w:lang w:val="en-GB"/>
        </w:rPr>
        <w:t xml:space="preserve"> (</w:t>
      </w:r>
      <w:r w:rsidR="007C47A0">
        <w:rPr>
          <w:rStyle w:val="Ohne"/>
          <w:u w:color="000000"/>
          <w:lang w:val="en-GB"/>
        </w:rPr>
        <w:t>see EIRIN</w:t>
      </w:r>
      <w:r w:rsidR="008D40BA">
        <w:rPr>
          <w:rStyle w:val="Ohne"/>
          <w:u w:color="000000"/>
          <w:lang w:val="en-GB"/>
        </w:rPr>
        <w:t xml:space="preserve"> in Dunz et al., 2018</w:t>
      </w:r>
      <w:r w:rsidR="007C47A0">
        <w:rPr>
          <w:rStyle w:val="Ohne"/>
          <w:u w:color="000000"/>
          <w:lang w:val="en-GB"/>
        </w:rPr>
        <w:t xml:space="preserve">). This representation is </w:t>
      </w:r>
      <w:r w:rsidR="008D40BA">
        <w:rPr>
          <w:rStyle w:val="Ohne"/>
          <w:u w:color="000000"/>
          <w:lang w:val="en-GB"/>
        </w:rPr>
        <w:t xml:space="preserve">however </w:t>
      </w:r>
      <w:r w:rsidR="007C47A0">
        <w:rPr>
          <w:rStyle w:val="Ohne"/>
          <w:u w:color="000000"/>
          <w:lang w:val="en-GB"/>
        </w:rPr>
        <w:t xml:space="preserve">relevant </w:t>
      </w:r>
      <w:r w:rsidR="008D40BA">
        <w:rPr>
          <w:rStyle w:val="Ohne"/>
          <w:u w:color="000000"/>
          <w:lang w:val="en-GB"/>
        </w:rPr>
        <w:t xml:space="preserve">in the context of low-carbon transitions </w:t>
      </w:r>
      <w:r w:rsidR="007C47A0">
        <w:rPr>
          <w:rStyle w:val="Ohne"/>
          <w:u w:color="000000"/>
          <w:lang w:val="en-GB"/>
        </w:rPr>
        <w:t>as expectations and decisions</w:t>
      </w:r>
      <w:r w:rsidR="00E81A3D">
        <w:rPr>
          <w:rStyle w:val="Ohne"/>
          <w:u w:color="000000"/>
          <w:lang w:val="en-GB"/>
        </w:rPr>
        <w:t xml:space="preserve"> of financial actors</w:t>
      </w:r>
      <w:r w:rsidR="007C47A0">
        <w:rPr>
          <w:rStyle w:val="Ohne"/>
          <w:u w:color="000000"/>
          <w:lang w:val="en-GB"/>
        </w:rPr>
        <w:t xml:space="preserve"> can </w:t>
      </w:r>
      <w:r w:rsidR="006F6A1D">
        <w:rPr>
          <w:rStyle w:val="Ohne"/>
          <w:u w:color="000000"/>
          <w:lang w:val="en-GB"/>
        </w:rPr>
        <w:t>impact on</w:t>
      </w:r>
      <w:r w:rsidR="007C47A0">
        <w:rPr>
          <w:rStyle w:val="Ohne"/>
          <w:u w:color="000000"/>
          <w:lang w:val="en-GB"/>
        </w:rPr>
        <w:t xml:space="preserve"> the stability of the financial system (e.g. through changes in asset values and </w:t>
      </w:r>
      <w:r w:rsidR="008D40BA">
        <w:rPr>
          <w:rStyle w:val="Ohne"/>
          <w:u w:color="000000"/>
          <w:lang w:val="en-GB"/>
        </w:rPr>
        <w:t xml:space="preserve">the </w:t>
      </w:r>
      <w:r w:rsidR="000E56B9">
        <w:rPr>
          <w:rStyle w:val="Ohne"/>
          <w:u w:color="000000"/>
          <w:lang w:val="en-GB"/>
        </w:rPr>
        <w:t>subsequent stranding of assets) and</w:t>
      </w:r>
      <w:r w:rsidR="007C47A0">
        <w:rPr>
          <w:rStyle w:val="Ohne"/>
          <w:u w:color="000000"/>
          <w:lang w:val="en-GB"/>
        </w:rPr>
        <w:t xml:space="preserve"> the economic system (e.g. changes in access to credit of firm</w:t>
      </w:r>
      <w:r w:rsidR="008D40BA">
        <w:rPr>
          <w:rStyle w:val="Ohne"/>
          <w:u w:color="000000"/>
          <w:lang w:val="en-GB"/>
        </w:rPr>
        <w:t xml:space="preserve"> or </w:t>
      </w:r>
      <w:r w:rsidR="00E81A3D">
        <w:rPr>
          <w:rStyle w:val="Ohne"/>
          <w:u w:color="000000"/>
          <w:lang w:val="en-GB"/>
        </w:rPr>
        <w:t>in the cost of capital</w:t>
      </w:r>
      <w:r w:rsidR="000E56B9">
        <w:rPr>
          <w:rStyle w:val="Ohne"/>
          <w:u w:color="000000"/>
          <w:lang w:val="en-GB"/>
        </w:rPr>
        <w:t>). In addition decisions of financial actors (e.g. investors, banks) can</w:t>
      </w:r>
      <w:r w:rsidR="00C616E4">
        <w:rPr>
          <w:rStyle w:val="Ohne"/>
          <w:u w:color="000000"/>
          <w:lang w:val="en-GB"/>
        </w:rPr>
        <w:t xml:space="preserve"> drive and enable a green energy transition as they influence </w:t>
      </w:r>
      <w:r w:rsidR="007C47A0">
        <w:rPr>
          <w:rStyle w:val="Ohne"/>
          <w:u w:color="000000"/>
          <w:lang w:val="en-GB"/>
        </w:rPr>
        <w:t xml:space="preserve">the possibility </w:t>
      </w:r>
      <w:r w:rsidR="00E81A3D">
        <w:rPr>
          <w:rStyle w:val="Ohne"/>
          <w:u w:color="000000"/>
          <w:lang w:val="en-GB"/>
        </w:rPr>
        <w:t xml:space="preserve">and costs </w:t>
      </w:r>
      <w:r w:rsidR="007C47A0">
        <w:rPr>
          <w:rStyle w:val="Ohne"/>
          <w:u w:color="000000"/>
          <w:lang w:val="en-GB"/>
        </w:rPr>
        <w:t xml:space="preserve">to upscale finance in renewable energy infrastructure, </w:t>
      </w:r>
      <w:r w:rsidR="00E81A3D">
        <w:rPr>
          <w:rStyle w:val="Ohne"/>
          <w:u w:color="000000"/>
          <w:lang w:val="en-GB"/>
        </w:rPr>
        <w:t xml:space="preserve">which </w:t>
      </w:r>
      <w:r w:rsidR="007C47A0">
        <w:rPr>
          <w:rStyle w:val="Ohne"/>
          <w:u w:color="000000"/>
          <w:lang w:val="en-GB"/>
        </w:rPr>
        <w:t xml:space="preserve">required for the decarbonisation of the energy system. </w:t>
      </w:r>
      <w:r w:rsidRPr="00062698">
        <w:rPr>
          <w:szCs w:val="22"/>
          <w:bdr w:val="nil"/>
          <w:lang w:val="en-GB"/>
        </w:rPr>
        <w:t xml:space="preserve">Therefore, </w:t>
      </w:r>
      <w:r w:rsidRPr="00062698">
        <w:rPr>
          <w:rStyle w:val="Ohne"/>
          <w:u w:color="000000"/>
          <w:lang w:val="en-GB"/>
        </w:rPr>
        <w:t xml:space="preserve">a more detailed inclusion of ‘finance’ </w:t>
      </w:r>
      <w:r w:rsidR="00DC0BDA" w:rsidRPr="00062698">
        <w:rPr>
          <w:rStyle w:val="Ohne"/>
          <w:u w:color="000000"/>
          <w:lang w:val="en-GB"/>
        </w:rPr>
        <w:t xml:space="preserve">alongside the representation of </w:t>
      </w:r>
      <w:r w:rsidR="000E56B9">
        <w:rPr>
          <w:rStyle w:val="Ohne"/>
          <w:u w:color="000000"/>
          <w:lang w:val="en-GB"/>
        </w:rPr>
        <w:t xml:space="preserve">key </w:t>
      </w:r>
      <w:r w:rsidR="0039137C" w:rsidRPr="00062698">
        <w:rPr>
          <w:rStyle w:val="Ohne"/>
          <w:u w:color="000000"/>
          <w:lang w:val="en-GB"/>
        </w:rPr>
        <w:t>actors</w:t>
      </w:r>
      <w:r w:rsidR="000E56B9">
        <w:rPr>
          <w:rStyle w:val="Ohne"/>
          <w:u w:color="000000"/>
          <w:lang w:val="en-GB"/>
        </w:rPr>
        <w:t>’ expectation and decisions</w:t>
      </w:r>
      <w:r w:rsidR="0039137C" w:rsidRPr="00062698">
        <w:rPr>
          <w:rStyle w:val="Ohne"/>
          <w:u w:color="000000"/>
          <w:lang w:val="en-GB"/>
        </w:rPr>
        <w:t xml:space="preserve"> </w:t>
      </w:r>
      <w:r w:rsidR="008D40BA">
        <w:rPr>
          <w:rStyle w:val="Ohne"/>
          <w:u w:color="000000"/>
          <w:lang w:val="en-GB"/>
        </w:rPr>
        <w:t xml:space="preserve">in the financial system </w:t>
      </w:r>
      <w:r w:rsidRPr="00062698">
        <w:rPr>
          <w:rStyle w:val="Ohne"/>
          <w:u w:color="000000"/>
          <w:lang w:val="en-GB"/>
        </w:rPr>
        <w:t xml:space="preserve">into ecological macroeconomic energy transition models </w:t>
      </w:r>
      <w:r w:rsidR="0039137C" w:rsidRPr="00062698">
        <w:rPr>
          <w:rStyle w:val="Ohne"/>
          <w:u w:color="000000"/>
          <w:lang w:val="en-GB"/>
        </w:rPr>
        <w:t>is recommended as an important</w:t>
      </w:r>
      <w:r w:rsidRPr="00062698">
        <w:rPr>
          <w:rStyle w:val="Ohne"/>
          <w:u w:color="000000"/>
          <w:lang w:val="en-GB"/>
        </w:rPr>
        <w:t xml:space="preserve"> endeavour for future research. </w:t>
      </w:r>
    </w:p>
    <w:p w14:paraId="0C50A42A" w14:textId="77777777" w:rsidR="00D564C8" w:rsidRPr="00AE6D77" w:rsidRDefault="00D564C8" w:rsidP="00D564C8">
      <w:pPr>
        <w:pStyle w:val="ListParagraph"/>
        <w:spacing w:after="160" w:line="259" w:lineRule="auto"/>
        <w:ind w:left="510"/>
        <w:rPr>
          <w:rStyle w:val="Ohne"/>
          <w:u w:color="000000"/>
          <w:lang w:val="en-GB"/>
        </w:rPr>
      </w:pPr>
    </w:p>
    <w:p w14:paraId="771909DC" w14:textId="7C6254CF" w:rsidR="004E69B6" w:rsidRPr="00AE6D77" w:rsidRDefault="0025664D" w:rsidP="00F96F72">
      <w:pPr>
        <w:pStyle w:val="ListParagraph"/>
        <w:numPr>
          <w:ilvl w:val="0"/>
          <w:numId w:val="23"/>
        </w:numPr>
        <w:spacing w:after="160"/>
        <w:rPr>
          <w:rStyle w:val="Ohne"/>
          <w:rFonts w:eastAsiaTheme="minorHAnsi"/>
          <w:u w:color="000000"/>
          <w:lang w:val="en-GB"/>
        </w:rPr>
      </w:pPr>
      <w:r w:rsidRPr="00AE6D77">
        <w:rPr>
          <w:rStyle w:val="Ohne"/>
          <w:b/>
          <w:u w:color="000000"/>
          <w:lang w:val="en-GB"/>
        </w:rPr>
        <w:t>Multiple equilibria/disequilibrium</w:t>
      </w:r>
      <w:r w:rsidRPr="00AE6D77">
        <w:rPr>
          <w:rStyle w:val="Ohne"/>
          <w:u w:color="000000"/>
          <w:lang w:val="en-GB"/>
        </w:rPr>
        <w:t xml:space="preserve">: All the reviewed models are simulation models and abstract away from the assumption that markets converge to a long-term equilibrium in the notion of cleared markets. </w:t>
      </w:r>
    </w:p>
    <w:p w14:paraId="75702323" w14:textId="5D43B917" w:rsidR="0025664D" w:rsidRPr="004E69B6" w:rsidRDefault="0025664D" w:rsidP="004E69B6">
      <w:pPr>
        <w:spacing w:after="160"/>
        <w:rPr>
          <w:rStyle w:val="Ohne"/>
          <w:u w:color="000000"/>
          <w:lang w:val="en-GB"/>
        </w:rPr>
      </w:pPr>
      <w:r w:rsidRPr="004E69B6">
        <w:rPr>
          <w:rStyle w:val="Ohne"/>
          <w:u w:color="000000"/>
          <w:lang w:val="en-GB"/>
        </w:rPr>
        <w:t>Overall, while the reviewed m</w:t>
      </w:r>
      <w:r w:rsidR="00243193" w:rsidRPr="004E69B6">
        <w:rPr>
          <w:rStyle w:val="Ohne"/>
          <w:u w:color="000000"/>
          <w:lang w:val="en-GB"/>
        </w:rPr>
        <w:t>odels are consistent with a new approach in economics</w:t>
      </w:r>
      <w:r w:rsidRPr="004E69B6">
        <w:rPr>
          <w:rStyle w:val="Ohne"/>
          <w:u w:color="000000"/>
          <w:lang w:val="en-GB"/>
        </w:rPr>
        <w:t xml:space="preserve">, there is certainly room for improvement (see above). Further, importantly, we do not suggest that quantitative models could, or should, </w:t>
      </w:r>
      <w:r w:rsidR="00E11F19" w:rsidRPr="004E69B6">
        <w:rPr>
          <w:rStyle w:val="Ohne"/>
          <w:u w:color="000000"/>
          <w:lang w:val="en-GB"/>
        </w:rPr>
        <w:t xml:space="preserve">necessarily </w:t>
      </w:r>
      <w:r w:rsidRPr="004E69B6">
        <w:rPr>
          <w:rStyle w:val="Ohne"/>
          <w:u w:color="000000"/>
          <w:lang w:val="en-GB"/>
        </w:rPr>
        <w:t xml:space="preserve">be the only tool informing policy-makers on economics; instead, we suggest that robust qualitative tools and insights from various research fields could complement results and conclusions drawn from macroeconomics models. </w:t>
      </w:r>
    </w:p>
    <w:p w14:paraId="6A00FE02" w14:textId="77777777" w:rsidR="0025664D" w:rsidRPr="00AE6D77" w:rsidRDefault="0025664D" w:rsidP="00160576">
      <w:pPr>
        <w:pStyle w:val="Heading1"/>
        <w:rPr>
          <w:color w:val="auto"/>
          <w:sz w:val="24"/>
          <w:szCs w:val="24"/>
        </w:rPr>
      </w:pPr>
      <w:r w:rsidRPr="00AE6D77">
        <w:rPr>
          <w:color w:val="auto"/>
          <w:sz w:val="24"/>
          <w:szCs w:val="24"/>
        </w:rPr>
        <w:t xml:space="preserve">5. Conclusions </w:t>
      </w:r>
    </w:p>
    <w:p w14:paraId="431D7C27" w14:textId="77777777" w:rsidR="0025664D" w:rsidRPr="00AE6D77" w:rsidRDefault="0025664D" w:rsidP="00160576">
      <w:pPr>
        <w:rPr>
          <w:rFonts w:asciiTheme="majorHAnsi" w:eastAsiaTheme="majorEastAsia" w:hAnsiTheme="majorHAnsi" w:cstheme="majorBidi"/>
          <w:lang w:val="en-GB"/>
        </w:rPr>
      </w:pPr>
    </w:p>
    <w:p w14:paraId="5D30AD72" w14:textId="2E89FD9F" w:rsidR="0025664D" w:rsidRPr="00AE6D77" w:rsidRDefault="0025664D" w:rsidP="00160576">
      <w:pPr>
        <w:rPr>
          <w:lang w:val="en-GB"/>
        </w:rPr>
      </w:pPr>
      <w:r w:rsidRPr="00AE6D77">
        <w:rPr>
          <w:lang w:val="en-GB"/>
        </w:rPr>
        <w:t xml:space="preserve">Our results demonstrate that the </w:t>
      </w:r>
      <w:r w:rsidR="00F8441F" w:rsidRPr="00AE6D77">
        <w:rPr>
          <w:lang w:val="en-GB"/>
        </w:rPr>
        <w:t xml:space="preserve">11 </w:t>
      </w:r>
      <w:r w:rsidRPr="00AE6D77">
        <w:rPr>
          <w:lang w:val="en-GB"/>
        </w:rPr>
        <w:t xml:space="preserve">reviewed </w:t>
      </w:r>
      <w:r w:rsidR="00732EBA" w:rsidRPr="00AE6D77">
        <w:rPr>
          <w:lang w:val="en-GB"/>
        </w:rPr>
        <w:t xml:space="preserve">ecological macroeconomic energy transitions </w:t>
      </w:r>
      <w:r w:rsidRPr="00AE6D77">
        <w:rPr>
          <w:lang w:val="en-GB"/>
        </w:rPr>
        <w:t>models account, to some extent, for the desired features of a new approach in economics. In particular, all reviewed models are grounded in an ontology of complexity and allow for the possibility of multiple equilibria and disequilibrium. All of the reviewed models are simulation models and account therefore for the importance of time, irreversibility and path-dependency. None of the reviewed models relies on rationality; instead, behavioural equa</w:t>
      </w:r>
      <w:r w:rsidR="00592412" w:rsidRPr="00AE6D77">
        <w:rPr>
          <w:lang w:val="en-GB"/>
        </w:rPr>
        <w:t>tions are based on econometrics or simulated though</w:t>
      </w:r>
      <w:r w:rsidRPr="00AE6D77">
        <w:rPr>
          <w:lang w:val="en-GB"/>
        </w:rPr>
        <w:t xml:space="preserve"> </w:t>
      </w:r>
      <w:r w:rsidRPr="00AE6D77">
        <w:rPr>
          <w:lang w:val="en-GB"/>
        </w:rPr>
        <w:lastRenderedPageBreak/>
        <w:t xml:space="preserve">heuristics </w:t>
      </w:r>
      <w:r w:rsidR="00592412" w:rsidRPr="00AE6D77">
        <w:rPr>
          <w:lang w:val="en-GB"/>
        </w:rPr>
        <w:t>based on knowledge from</w:t>
      </w:r>
      <w:r w:rsidRPr="00AE6D77">
        <w:rPr>
          <w:lang w:val="en-GB"/>
        </w:rPr>
        <w:t xml:space="preserve"> behavioural economics or expert</w:t>
      </w:r>
      <w:r w:rsidR="00592412" w:rsidRPr="00AE6D77">
        <w:rPr>
          <w:lang w:val="en-GB"/>
        </w:rPr>
        <w:t>s</w:t>
      </w:r>
      <w:r w:rsidRPr="00AE6D77">
        <w:rPr>
          <w:lang w:val="en-GB"/>
        </w:rPr>
        <w:t>. However, interdisciplinary knowledge</w:t>
      </w:r>
      <w:r w:rsidR="00B02F40">
        <w:rPr>
          <w:lang w:val="en-GB"/>
        </w:rPr>
        <w:t xml:space="preserve"> (e.g. on the impact of climate change on the real economy)</w:t>
      </w:r>
      <w:r w:rsidRPr="00AE6D77">
        <w:rPr>
          <w:lang w:val="en-GB"/>
        </w:rPr>
        <w:t>, ethical and philosophical aspects and the importance of institutions and social context co</w:t>
      </w:r>
      <w:r w:rsidR="00592412" w:rsidRPr="00AE6D77">
        <w:rPr>
          <w:lang w:val="en-GB"/>
        </w:rPr>
        <w:t>uld be included more explicitly</w:t>
      </w:r>
      <w:r w:rsidR="00B02F40">
        <w:rPr>
          <w:lang w:val="en-GB"/>
        </w:rPr>
        <w:t xml:space="preserve"> (ie. features iv to vi)</w:t>
      </w:r>
      <w:r w:rsidR="00592412" w:rsidRPr="00AE6D77">
        <w:rPr>
          <w:lang w:val="en-GB"/>
        </w:rPr>
        <w:t>. Alternatively, qualitative or quantitative tools, bringing in these aspects where relevant, could infor</w:t>
      </w:r>
      <w:r w:rsidR="00071A9A" w:rsidRPr="00AE6D77">
        <w:rPr>
          <w:lang w:val="en-GB"/>
        </w:rPr>
        <w:t>m policy decisions in addition. Further</w:t>
      </w:r>
      <w:r w:rsidRPr="00AE6D77">
        <w:rPr>
          <w:lang w:val="en-GB"/>
        </w:rPr>
        <w:t>, six of the eleven reviewed models include a finance sector o</w:t>
      </w:r>
      <w:r w:rsidR="003B7906" w:rsidRPr="00AE6D77">
        <w:rPr>
          <w:lang w:val="en-GB"/>
        </w:rPr>
        <w:t>r are stock-</w:t>
      </w:r>
      <w:r w:rsidR="00592412" w:rsidRPr="00AE6D77">
        <w:rPr>
          <w:lang w:val="en-GB"/>
        </w:rPr>
        <w:t xml:space="preserve">flow consistent. </w:t>
      </w:r>
      <w:r w:rsidR="00D768E6">
        <w:rPr>
          <w:lang w:val="en-GB"/>
        </w:rPr>
        <w:t>The Investigation of</w:t>
      </w:r>
      <w:r w:rsidR="00737767">
        <w:rPr>
          <w:lang w:val="en-GB"/>
        </w:rPr>
        <w:t xml:space="preserve"> </w:t>
      </w:r>
      <w:r w:rsidR="003760DB">
        <w:rPr>
          <w:lang w:val="en-GB"/>
        </w:rPr>
        <w:t xml:space="preserve">climate-related energy </w:t>
      </w:r>
      <w:r w:rsidR="00737767">
        <w:rPr>
          <w:lang w:val="en-GB"/>
        </w:rPr>
        <w:t>transition risks on the stability of the financial system</w:t>
      </w:r>
      <w:r w:rsidR="00D768E6">
        <w:rPr>
          <w:lang w:val="en-GB"/>
        </w:rPr>
        <w:t xml:space="preserve"> and the subsequent related feedback-effects on the real economy</w:t>
      </w:r>
      <w:r w:rsidR="003760DB">
        <w:rPr>
          <w:lang w:val="en-GB"/>
        </w:rPr>
        <w:t xml:space="preserve"> would in principle be possible by all SFC energy-transition models, but up to date has only been investigated by the EIRIN-model (see Dunz et al., 2018)</w:t>
      </w:r>
      <w:r w:rsidR="00D768E6">
        <w:rPr>
          <w:lang w:val="en-GB"/>
        </w:rPr>
        <w:t xml:space="preserve">. </w:t>
      </w:r>
      <w:r w:rsidR="00D63DF6">
        <w:rPr>
          <w:lang w:val="en-GB"/>
        </w:rPr>
        <w:t xml:space="preserve">The </w:t>
      </w:r>
      <w:r w:rsidR="00D768E6">
        <w:rPr>
          <w:lang w:val="en-GB"/>
        </w:rPr>
        <w:t xml:space="preserve">representation of the </w:t>
      </w:r>
      <w:r w:rsidR="003760DB">
        <w:rPr>
          <w:lang w:val="en-GB"/>
        </w:rPr>
        <w:t>behaviour and expectations of key actors in the financial system</w:t>
      </w:r>
      <w:r w:rsidR="00D768E6">
        <w:rPr>
          <w:lang w:val="en-GB"/>
        </w:rPr>
        <w:t xml:space="preserve"> </w:t>
      </w:r>
      <w:r w:rsidR="00D63DF6">
        <w:rPr>
          <w:lang w:val="en-GB"/>
        </w:rPr>
        <w:t xml:space="preserve">relevant for a </w:t>
      </w:r>
      <w:r w:rsidR="00D768E6">
        <w:rPr>
          <w:lang w:val="en-GB"/>
        </w:rPr>
        <w:t xml:space="preserve">better understanding of </w:t>
      </w:r>
      <w:r w:rsidR="003760DB">
        <w:rPr>
          <w:lang w:val="en-GB"/>
        </w:rPr>
        <w:t xml:space="preserve">climate-related energy transition </w:t>
      </w:r>
      <w:r w:rsidR="00D768E6">
        <w:rPr>
          <w:lang w:val="en-GB"/>
        </w:rPr>
        <w:t xml:space="preserve">risks </w:t>
      </w:r>
      <w:r w:rsidR="00D63DF6">
        <w:rPr>
          <w:lang w:val="en-GB"/>
        </w:rPr>
        <w:t xml:space="preserve">is only at the beginning </w:t>
      </w:r>
      <w:r w:rsidR="00B02F40">
        <w:rPr>
          <w:lang w:val="en-GB"/>
        </w:rPr>
        <w:t>(</w:t>
      </w:r>
      <w:r w:rsidR="001A01DB">
        <w:rPr>
          <w:lang w:val="en-GB"/>
        </w:rPr>
        <w:t xml:space="preserve">see </w:t>
      </w:r>
      <w:r w:rsidR="00D63DF6">
        <w:rPr>
          <w:lang w:val="en-GB"/>
        </w:rPr>
        <w:t xml:space="preserve">EIRIN-model, </w:t>
      </w:r>
      <w:r w:rsidR="00B02F40">
        <w:rPr>
          <w:lang w:val="en-GB"/>
        </w:rPr>
        <w:t>feature III and VII)</w:t>
      </w:r>
      <w:r w:rsidR="00D768E6">
        <w:rPr>
          <w:lang w:val="en-GB"/>
        </w:rPr>
        <w:t xml:space="preserve">. </w:t>
      </w:r>
      <w:r w:rsidR="003760DB">
        <w:rPr>
          <w:lang w:val="en-GB"/>
        </w:rPr>
        <w:t xml:space="preserve">Relatedly, the inclusion of expectations and decisions of key innovation generators (start-up’s, R&amp;D sector) or adopters (e.g. energy firms) of energy or </w:t>
      </w:r>
      <w:r w:rsidR="001A01DB">
        <w:rPr>
          <w:lang w:val="en-GB"/>
        </w:rPr>
        <w:t xml:space="preserve">energy </w:t>
      </w:r>
      <w:r w:rsidR="003760DB">
        <w:rPr>
          <w:lang w:val="en-GB"/>
        </w:rPr>
        <w:t xml:space="preserve">storage technologies for example subsequent to climate policy introduction </w:t>
      </w:r>
      <w:r w:rsidR="001A01DB">
        <w:rPr>
          <w:lang w:val="en-GB"/>
        </w:rPr>
        <w:t>is another</w:t>
      </w:r>
      <w:r w:rsidR="003760DB">
        <w:rPr>
          <w:lang w:val="en-GB"/>
        </w:rPr>
        <w:t xml:space="preserve"> element that </w:t>
      </w:r>
      <w:r w:rsidR="001A01DB">
        <w:rPr>
          <w:lang w:val="en-GB"/>
        </w:rPr>
        <w:t>warrants refined inclusion in</w:t>
      </w:r>
      <w:r w:rsidR="003760DB">
        <w:rPr>
          <w:lang w:val="en-GB"/>
        </w:rPr>
        <w:t xml:space="preserve"> future energy-transition models as innovation is a key driver and enabler of a low-carbon energy transition</w:t>
      </w:r>
      <w:r w:rsidR="00B02F40">
        <w:rPr>
          <w:lang w:val="en-GB"/>
        </w:rPr>
        <w:t xml:space="preserve"> (feature iii)</w:t>
      </w:r>
      <w:r w:rsidR="003760DB">
        <w:rPr>
          <w:lang w:val="en-GB"/>
        </w:rPr>
        <w:t xml:space="preserve">. </w:t>
      </w:r>
    </w:p>
    <w:p w14:paraId="2F7AE0FB" w14:textId="77777777" w:rsidR="0025664D" w:rsidRPr="00AE6D77" w:rsidRDefault="0025664D" w:rsidP="00160576">
      <w:pPr>
        <w:rPr>
          <w:lang w:val="en-GB"/>
        </w:rPr>
      </w:pPr>
    </w:p>
    <w:p w14:paraId="0F903C4D" w14:textId="03B4E01D" w:rsidR="00071A9A" w:rsidRPr="00AE6D77" w:rsidRDefault="00D64158" w:rsidP="00160576">
      <w:pPr>
        <w:rPr>
          <w:lang w:val="en-GB"/>
        </w:rPr>
      </w:pPr>
      <w:r w:rsidRPr="00AE6D77">
        <w:rPr>
          <w:lang w:val="en-GB"/>
        </w:rPr>
        <w:t>We draw two main conclusions. Firstly, w</w:t>
      </w:r>
      <w:r w:rsidR="0025664D" w:rsidRPr="00AE6D77">
        <w:rPr>
          <w:lang w:val="en-GB"/>
        </w:rPr>
        <w:t>e co</w:t>
      </w:r>
      <w:r w:rsidR="0080256B" w:rsidRPr="00AE6D77">
        <w:rPr>
          <w:lang w:val="en-GB"/>
        </w:rPr>
        <w:t xml:space="preserve">nclude that </w:t>
      </w:r>
      <w:r w:rsidR="0025664D" w:rsidRPr="00AE6D77">
        <w:rPr>
          <w:lang w:val="en-GB"/>
        </w:rPr>
        <w:t xml:space="preserve">the reviewed models </w:t>
      </w:r>
      <w:r w:rsidR="0080256B" w:rsidRPr="00AE6D77">
        <w:rPr>
          <w:lang w:val="en-GB"/>
        </w:rPr>
        <w:t>are relevant</w:t>
      </w:r>
      <w:r w:rsidR="0025664D" w:rsidRPr="00AE6D77">
        <w:rPr>
          <w:lang w:val="en-GB"/>
        </w:rPr>
        <w:t xml:space="preserve"> </w:t>
      </w:r>
      <w:r w:rsidR="0080256B" w:rsidRPr="00AE6D77">
        <w:rPr>
          <w:lang w:val="en-GB"/>
        </w:rPr>
        <w:t>for</w:t>
      </w:r>
      <w:r w:rsidR="0025664D" w:rsidRPr="00AE6D77">
        <w:rPr>
          <w:lang w:val="en-GB"/>
        </w:rPr>
        <w:t xml:space="preserve"> the creation </w:t>
      </w:r>
      <w:r w:rsidR="0080256B" w:rsidRPr="00AE6D77">
        <w:rPr>
          <w:lang w:val="en-GB"/>
        </w:rPr>
        <w:t xml:space="preserve">of a new approach in economics. </w:t>
      </w:r>
      <w:r w:rsidR="0025664D" w:rsidRPr="00AE6D77">
        <w:rPr>
          <w:lang w:val="en-GB"/>
        </w:rPr>
        <w:t>However, to increase the</w:t>
      </w:r>
      <w:r w:rsidR="0080256B" w:rsidRPr="00AE6D77">
        <w:rPr>
          <w:lang w:val="en-GB"/>
        </w:rPr>
        <w:t>ir</w:t>
      </w:r>
      <w:r w:rsidR="0025664D" w:rsidRPr="00AE6D77">
        <w:rPr>
          <w:lang w:val="en-GB"/>
        </w:rPr>
        <w:t xml:space="preserve"> relevance </w:t>
      </w:r>
      <w:r w:rsidR="0080256B" w:rsidRPr="00AE6D77">
        <w:rPr>
          <w:lang w:val="en-GB"/>
        </w:rPr>
        <w:t>further</w:t>
      </w:r>
      <w:r w:rsidR="0025664D" w:rsidRPr="00AE6D77">
        <w:rPr>
          <w:lang w:val="en-GB"/>
        </w:rPr>
        <w:t xml:space="preserve">, we recommend model-builders in the ecological macroeconomics community to (i) to strengthen the integration of the characteristics of a new approach in economics </w:t>
      </w:r>
      <w:r w:rsidR="00B02F40">
        <w:rPr>
          <w:lang w:val="en-GB"/>
        </w:rPr>
        <w:t xml:space="preserve">(see above) </w:t>
      </w:r>
      <w:r w:rsidR="0025664D" w:rsidRPr="00AE6D77">
        <w:rPr>
          <w:lang w:val="en-GB"/>
        </w:rPr>
        <w:t>and (ii) to enhance the comparability across models</w:t>
      </w:r>
      <w:r w:rsidR="00B12D4A" w:rsidRPr="0026588B">
        <w:rPr>
          <w:lang w:val="en-GB"/>
        </w:rPr>
        <w:t>. The latter is impo</w:t>
      </w:r>
      <w:r w:rsidR="00732EBA" w:rsidRPr="0026588B">
        <w:rPr>
          <w:lang w:val="en-GB"/>
        </w:rPr>
        <w:t>rtant for the identification</w:t>
      </w:r>
      <w:r w:rsidR="00B12D4A" w:rsidRPr="0026588B">
        <w:rPr>
          <w:lang w:val="en-GB"/>
        </w:rPr>
        <w:t xml:space="preserve"> of </w:t>
      </w:r>
      <w:r w:rsidR="00592412" w:rsidRPr="0026588B">
        <w:rPr>
          <w:lang w:val="en-GB"/>
        </w:rPr>
        <w:t>weaknesses and strengths</w:t>
      </w:r>
      <w:r w:rsidR="0080256B" w:rsidRPr="0026588B">
        <w:rPr>
          <w:lang w:val="en-GB"/>
        </w:rPr>
        <w:t xml:space="preserve"> of different models</w:t>
      </w:r>
      <w:r w:rsidR="00732EBA" w:rsidRPr="0026588B">
        <w:rPr>
          <w:lang w:val="en-GB"/>
        </w:rPr>
        <w:t>, and</w:t>
      </w:r>
      <w:r w:rsidR="00B12D4A" w:rsidRPr="0026588B">
        <w:rPr>
          <w:lang w:val="en-GB"/>
        </w:rPr>
        <w:t xml:space="preserve"> of </w:t>
      </w:r>
      <w:r w:rsidR="00B12D4A" w:rsidRPr="0074497F">
        <w:rPr>
          <w:lang w:val="en-GB"/>
        </w:rPr>
        <w:t xml:space="preserve">synergies in model advancement by exploiting the model structure or knowledge base of different </w:t>
      </w:r>
      <w:r w:rsidR="00144FEA" w:rsidRPr="0074497F">
        <w:rPr>
          <w:lang w:val="en-GB"/>
        </w:rPr>
        <w:t xml:space="preserve">ecological macroeconomics </w:t>
      </w:r>
      <w:r w:rsidR="00B12D4A" w:rsidRPr="0074497F">
        <w:rPr>
          <w:lang w:val="en-GB"/>
        </w:rPr>
        <w:t>models</w:t>
      </w:r>
      <w:r w:rsidR="0080256B" w:rsidRPr="0074497F">
        <w:rPr>
          <w:lang w:val="en-GB"/>
        </w:rPr>
        <w:t xml:space="preserve">. </w:t>
      </w:r>
      <w:r w:rsidR="0080256B" w:rsidRPr="00AE6D77">
        <w:rPr>
          <w:lang w:val="en-GB"/>
        </w:rPr>
        <w:t xml:space="preserve">We also recommend future research in the field of ecological economics </w:t>
      </w:r>
      <w:r w:rsidR="00732EBA" w:rsidRPr="00AE6D77">
        <w:rPr>
          <w:lang w:val="en-GB"/>
        </w:rPr>
        <w:t xml:space="preserve">to focus </w:t>
      </w:r>
      <w:r w:rsidR="0080256B" w:rsidRPr="00AE6D77">
        <w:rPr>
          <w:lang w:val="en-GB"/>
        </w:rPr>
        <w:t>on the institutionalization of a new approach in economics</w:t>
      </w:r>
      <w:r w:rsidR="0000691F">
        <w:rPr>
          <w:lang w:val="en-GB"/>
        </w:rPr>
        <w:t xml:space="preserve"> (i.e</w:t>
      </w:r>
      <w:r w:rsidR="00732EBA" w:rsidRPr="00AE6D77">
        <w:rPr>
          <w:lang w:val="en-GB"/>
        </w:rPr>
        <w:t>.</w:t>
      </w:r>
      <w:r w:rsidR="0000691F">
        <w:rPr>
          <w:lang w:val="en-GB"/>
        </w:rPr>
        <w:t xml:space="preserve"> the identification of a (or several) commonly applied macroeconomic frameworks and contribution towards a new approach in economics called for by various institutions). </w:t>
      </w:r>
      <w:r w:rsidR="00732EBA" w:rsidRPr="00AE6D77">
        <w:rPr>
          <w:lang w:val="en-GB"/>
        </w:rPr>
        <w:t xml:space="preserve"> </w:t>
      </w:r>
    </w:p>
    <w:p w14:paraId="175744D5" w14:textId="77777777" w:rsidR="0025664D" w:rsidRPr="00AE6D77" w:rsidRDefault="0025664D" w:rsidP="00160576">
      <w:pPr>
        <w:rPr>
          <w:lang w:val="en-GB"/>
        </w:rPr>
      </w:pPr>
    </w:p>
    <w:p w14:paraId="09F84FC9" w14:textId="46A6B2E3" w:rsidR="0025664D" w:rsidRPr="00AE6D77" w:rsidRDefault="00D64158" w:rsidP="00160576">
      <w:pPr>
        <w:rPr>
          <w:lang w:val="en-GB"/>
        </w:rPr>
      </w:pPr>
      <w:r w:rsidRPr="00AE6D77">
        <w:rPr>
          <w:lang w:val="en-GB"/>
        </w:rPr>
        <w:t>Secondly, w</w:t>
      </w:r>
      <w:r w:rsidR="0025664D" w:rsidRPr="00AE6D77">
        <w:rPr>
          <w:lang w:val="en-GB"/>
        </w:rPr>
        <w:t>e argue that the reviewed models are</w:t>
      </w:r>
      <w:r w:rsidR="00DE2779" w:rsidRPr="00AE6D77">
        <w:rPr>
          <w:lang w:val="en-GB"/>
        </w:rPr>
        <w:t xml:space="preserve"> </w:t>
      </w:r>
      <w:r w:rsidR="0025664D" w:rsidRPr="00AE6D77">
        <w:rPr>
          <w:lang w:val="en-GB"/>
        </w:rPr>
        <w:t xml:space="preserve">policy relevant </w:t>
      </w:r>
      <w:r w:rsidR="006B2654" w:rsidRPr="00AE6D77">
        <w:rPr>
          <w:lang w:val="en-GB"/>
        </w:rPr>
        <w:t>while exploring</w:t>
      </w:r>
      <w:r w:rsidR="0025664D" w:rsidRPr="0026588B">
        <w:rPr>
          <w:lang w:val="en-GB"/>
        </w:rPr>
        <w:t xml:space="preserve"> the </w:t>
      </w:r>
      <w:r w:rsidR="00CE32BF" w:rsidRPr="0026588B">
        <w:rPr>
          <w:lang w:val="en-GB"/>
        </w:rPr>
        <w:t>case</w:t>
      </w:r>
      <w:r w:rsidR="0025664D" w:rsidRPr="0026588B">
        <w:rPr>
          <w:lang w:val="en-GB"/>
        </w:rPr>
        <w:t xml:space="preserve"> of </w:t>
      </w:r>
      <w:r w:rsidR="00CE32BF" w:rsidRPr="0026588B">
        <w:rPr>
          <w:lang w:val="en-GB"/>
        </w:rPr>
        <w:t xml:space="preserve">the </w:t>
      </w:r>
      <w:r w:rsidR="0025664D" w:rsidRPr="0026588B">
        <w:rPr>
          <w:lang w:val="en-GB"/>
        </w:rPr>
        <w:t>decarbonisation of</w:t>
      </w:r>
      <w:r w:rsidR="00DE2779" w:rsidRPr="0026588B">
        <w:rPr>
          <w:lang w:val="en-GB"/>
        </w:rPr>
        <w:t xml:space="preserve"> </w:t>
      </w:r>
      <w:r w:rsidR="0025664D" w:rsidRPr="0026588B">
        <w:rPr>
          <w:lang w:val="en-GB"/>
        </w:rPr>
        <w:t xml:space="preserve">energy systems. </w:t>
      </w:r>
      <w:r w:rsidRPr="0026588B">
        <w:rPr>
          <w:lang w:val="en-GB"/>
        </w:rPr>
        <w:t>In this context, p</w:t>
      </w:r>
      <w:r w:rsidR="0025664D" w:rsidRPr="0026588B">
        <w:rPr>
          <w:lang w:val="en-GB"/>
        </w:rPr>
        <w:t>olic</w:t>
      </w:r>
      <w:r w:rsidR="0025664D" w:rsidRPr="0074497F">
        <w:rPr>
          <w:lang w:val="en-GB"/>
        </w:rPr>
        <w:t xml:space="preserve">ymakers are increasingly in </w:t>
      </w:r>
      <w:r w:rsidRPr="0074497F">
        <w:rPr>
          <w:lang w:val="en-GB"/>
        </w:rPr>
        <w:t xml:space="preserve">urgent </w:t>
      </w:r>
      <w:r w:rsidR="0025664D" w:rsidRPr="0074497F">
        <w:rPr>
          <w:lang w:val="en-GB"/>
        </w:rPr>
        <w:t xml:space="preserve">need for new long-term planning tools capturing relevant features of modern economies, including for example complexity, uncertainty, non-rationality or disequilibrium. </w:t>
      </w:r>
      <w:r w:rsidR="006B2654" w:rsidRPr="00AE6D77">
        <w:rPr>
          <w:lang w:val="en-GB"/>
        </w:rPr>
        <w:t>I</w:t>
      </w:r>
      <w:r w:rsidR="0025664D" w:rsidRPr="00AE6D77">
        <w:rPr>
          <w:lang w:val="en-GB"/>
        </w:rPr>
        <w:t>t remains a</w:t>
      </w:r>
      <w:r w:rsidR="00160576" w:rsidRPr="00AE6D77">
        <w:rPr>
          <w:lang w:val="en-GB"/>
        </w:rPr>
        <w:t>n important</w:t>
      </w:r>
      <w:r w:rsidR="0025664D" w:rsidRPr="00AE6D77">
        <w:rPr>
          <w:lang w:val="en-GB"/>
        </w:rPr>
        <w:t xml:space="preserve"> question for future research to identify how these models could be applied in a comparable and complementary way, alongside</w:t>
      </w:r>
      <w:r w:rsidR="002F4084" w:rsidRPr="00AE6D77">
        <w:rPr>
          <w:lang w:val="en-GB"/>
        </w:rPr>
        <w:t xml:space="preserve"> perhaps currently used models. In particular, we </w:t>
      </w:r>
      <w:r w:rsidRPr="00AE6D77">
        <w:rPr>
          <w:lang w:val="en-GB"/>
        </w:rPr>
        <w:t>recommend the model community</w:t>
      </w:r>
      <w:r w:rsidR="002F4084" w:rsidRPr="00AE6D77">
        <w:rPr>
          <w:lang w:val="en-GB"/>
        </w:rPr>
        <w:t xml:space="preserve"> to assure comparability of models’ data-sources, structures</w:t>
      </w:r>
      <w:r w:rsidR="00C04A96" w:rsidRPr="00AE6D77">
        <w:rPr>
          <w:lang w:val="en-GB"/>
        </w:rPr>
        <w:t>, theoretical underpinnings, modelling approaches</w:t>
      </w:r>
      <w:r w:rsidRPr="00AE6D77">
        <w:rPr>
          <w:lang w:val="en-GB"/>
        </w:rPr>
        <w:t xml:space="preserve"> and</w:t>
      </w:r>
      <w:r w:rsidR="002F4084" w:rsidRPr="00AE6D77">
        <w:rPr>
          <w:lang w:val="en-GB"/>
        </w:rPr>
        <w:t xml:space="preserve"> scenarios </w:t>
      </w:r>
      <w:r w:rsidR="00160576" w:rsidRPr="00AE6D77">
        <w:rPr>
          <w:lang w:val="en-GB"/>
        </w:rPr>
        <w:t>so that</w:t>
      </w:r>
      <w:r w:rsidRPr="00AE6D77">
        <w:rPr>
          <w:lang w:val="en-GB"/>
        </w:rPr>
        <w:t xml:space="preserve"> policy makers </w:t>
      </w:r>
      <w:r w:rsidR="00732EBA" w:rsidRPr="00AE6D77">
        <w:rPr>
          <w:lang w:val="en-GB"/>
        </w:rPr>
        <w:t>and</w:t>
      </w:r>
      <w:r w:rsidRPr="00AE6D77">
        <w:rPr>
          <w:lang w:val="en-GB"/>
        </w:rPr>
        <w:t xml:space="preserve"> analysts </w:t>
      </w:r>
      <w:r w:rsidR="00160576" w:rsidRPr="00AE6D77">
        <w:rPr>
          <w:lang w:val="en-GB"/>
        </w:rPr>
        <w:t xml:space="preserve">have clarity on </w:t>
      </w:r>
      <w:r w:rsidR="002F4084" w:rsidRPr="00AE6D77">
        <w:rPr>
          <w:lang w:val="en-GB"/>
        </w:rPr>
        <w:t>how to interpret</w:t>
      </w:r>
      <w:r w:rsidR="00160576" w:rsidRPr="00AE6D77">
        <w:rPr>
          <w:lang w:val="en-GB"/>
        </w:rPr>
        <w:t xml:space="preserve"> and compare</w:t>
      </w:r>
      <w:r w:rsidR="002F4084" w:rsidRPr="00AE6D77">
        <w:rPr>
          <w:lang w:val="en-GB"/>
        </w:rPr>
        <w:t xml:space="preserve"> model results and policy insights</w:t>
      </w:r>
      <w:r w:rsidR="00B176BF" w:rsidRPr="00AE6D77">
        <w:rPr>
          <w:lang w:val="en-GB"/>
        </w:rPr>
        <w:t xml:space="preserve"> coming from different models</w:t>
      </w:r>
      <w:r w:rsidR="002F4084" w:rsidRPr="00AE6D77">
        <w:rPr>
          <w:lang w:val="en-GB"/>
        </w:rPr>
        <w:t xml:space="preserve">. Further research should also explore </w:t>
      </w:r>
      <w:r w:rsidR="00357E0B" w:rsidRPr="00AE6D77">
        <w:rPr>
          <w:lang w:val="en-GB"/>
        </w:rPr>
        <w:t xml:space="preserve">new </w:t>
      </w:r>
      <w:r w:rsidR="002F4084" w:rsidRPr="00AE6D77">
        <w:rPr>
          <w:lang w:val="en-GB"/>
        </w:rPr>
        <w:t xml:space="preserve">ways </w:t>
      </w:r>
      <w:r w:rsidR="0025664D" w:rsidRPr="00AE6D77">
        <w:rPr>
          <w:lang w:val="en-GB"/>
        </w:rPr>
        <w:t xml:space="preserve">how </w:t>
      </w:r>
      <w:r w:rsidR="00263861" w:rsidRPr="00AE6D77">
        <w:rPr>
          <w:lang w:val="en-GB"/>
        </w:rPr>
        <w:t xml:space="preserve">model builders can communicate their </w:t>
      </w:r>
      <w:r w:rsidR="0025664D" w:rsidRPr="00AE6D77">
        <w:rPr>
          <w:lang w:val="en-GB"/>
        </w:rPr>
        <w:t xml:space="preserve">results </w:t>
      </w:r>
      <w:r w:rsidR="002F4084" w:rsidRPr="00AE6D77">
        <w:rPr>
          <w:lang w:val="en-GB"/>
        </w:rPr>
        <w:t>and policy insights</w:t>
      </w:r>
      <w:r w:rsidR="00263861" w:rsidRPr="00AE6D77">
        <w:rPr>
          <w:lang w:val="en-GB"/>
        </w:rPr>
        <w:t xml:space="preserve"> </w:t>
      </w:r>
      <w:r w:rsidR="0025664D" w:rsidRPr="00AE6D77">
        <w:rPr>
          <w:lang w:val="en-GB"/>
        </w:rPr>
        <w:t>in a meaningful and clear way to decision makers</w:t>
      </w:r>
      <w:r w:rsidR="0068732F" w:rsidRPr="00AE6D77">
        <w:rPr>
          <w:lang w:val="en-GB"/>
        </w:rPr>
        <w:t xml:space="preserve"> so that they </w:t>
      </w:r>
      <w:r w:rsidR="006B2654" w:rsidRPr="00AE6D77">
        <w:rPr>
          <w:lang w:val="en-GB"/>
        </w:rPr>
        <w:t>fully understand</w:t>
      </w:r>
      <w:r w:rsidR="0068732F" w:rsidRPr="00AE6D77">
        <w:rPr>
          <w:lang w:val="en-GB"/>
        </w:rPr>
        <w:t xml:space="preserve"> the relevance of the</w:t>
      </w:r>
      <w:r w:rsidR="006B2654" w:rsidRPr="00AE6D77">
        <w:rPr>
          <w:lang w:val="en-GB"/>
        </w:rPr>
        <w:t>se</w:t>
      </w:r>
      <w:r w:rsidR="0068732F" w:rsidRPr="00AE6D77">
        <w:rPr>
          <w:lang w:val="en-GB"/>
        </w:rPr>
        <w:t xml:space="preserve"> findings</w:t>
      </w:r>
      <w:r w:rsidR="00357E0B" w:rsidRPr="00AE6D77">
        <w:rPr>
          <w:lang w:val="en-GB"/>
        </w:rPr>
        <w:t xml:space="preserve">. </w:t>
      </w:r>
    </w:p>
    <w:p w14:paraId="1F26E668" w14:textId="77777777" w:rsidR="00071A9A" w:rsidRPr="00AE6D77" w:rsidRDefault="00071A9A" w:rsidP="00160576">
      <w:pPr>
        <w:rPr>
          <w:u w:color="000000"/>
          <w:lang w:val="en-GB"/>
        </w:rPr>
      </w:pPr>
    </w:p>
    <w:p w14:paraId="6E17544E" w14:textId="30D7E21A" w:rsidR="0025664D" w:rsidRPr="00AE6D77" w:rsidRDefault="0025664D" w:rsidP="00160576">
      <w:pPr>
        <w:rPr>
          <w:i/>
          <w:lang w:val="en-GB"/>
        </w:rPr>
      </w:pPr>
      <w:r w:rsidRPr="00AE6D77">
        <w:rPr>
          <w:u w:color="000000"/>
          <w:lang w:val="en-GB"/>
        </w:rPr>
        <w:t>Finally, our analysis does not investigate some important questions related to the model assessment and future development in this field. These questions</w:t>
      </w:r>
      <w:r w:rsidR="0031378E" w:rsidRPr="00AE6D77">
        <w:rPr>
          <w:u w:color="000000"/>
          <w:lang w:val="en-GB"/>
        </w:rPr>
        <w:t>, that should warrant further analysis,</w:t>
      </w:r>
      <w:r w:rsidRPr="00AE6D77">
        <w:rPr>
          <w:u w:color="000000"/>
          <w:lang w:val="en-GB"/>
        </w:rPr>
        <w:t xml:space="preserve"> include the following: are there unambiguous ‘best solutions’ for specific model structures and could synergies in model-building be better exploited? Is it possible that different ecological macroeconomics models </w:t>
      </w:r>
      <w:r w:rsidRPr="00AE6D77">
        <w:rPr>
          <w:u w:color="000000"/>
          <w:lang w:val="en-GB"/>
        </w:rPr>
        <w:lastRenderedPageBreak/>
        <w:t xml:space="preserve">can be connected to each other and if so, what are the benefits of doing so? What types of energy transition policies can be analysed by different models and </w:t>
      </w:r>
      <w:r w:rsidR="006B2654" w:rsidRPr="00AE6D77">
        <w:rPr>
          <w:u w:color="000000"/>
          <w:lang w:val="en-GB"/>
        </w:rPr>
        <w:t xml:space="preserve">what are the best approaches to combine and compare </w:t>
      </w:r>
      <w:r w:rsidRPr="00AE6D77">
        <w:rPr>
          <w:u w:color="000000"/>
          <w:lang w:val="en-GB"/>
        </w:rPr>
        <w:t>evaluations of different models be in order to gain a more comprehensive picture of policy implications? To which extent are policy</w:t>
      </w:r>
      <w:r w:rsidR="0031378E" w:rsidRPr="00AE6D77">
        <w:rPr>
          <w:u w:color="000000"/>
          <w:lang w:val="en-GB"/>
        </w:rPr>
        <w:t xml:space="preserve"> assessments’</w:t>
      </w:r>
      <w:r w:rsidRPr="00AE6D77">
        <w:rPr>
          <w:u w:color="000000"/>
          <w:lang w:val="en-GB"/>
        </w:rPr>
        <w:t xml:space="preserve"> results determined by the model structure? How to assure the transparency and </w:t>
      </w:r>
      <w:r w:rsidRPr="00AE6D77">
        <w:rPr>
          <w:bdr w:val="nil"/>
          <w:lang w:val="en-GB"/>
        </w:rPr>
        <w:t xml:space="preserve">comparability of models’ data-sources, structures, scenarios, results and policy insights? </w:t>
      </w:r>
    </w:p>
    <w:p w14:paraId="023F5E14" w14:textId="77777777" w:rsidR="00144FEA" w:rsidRPr="00AE6D77" w:rsidRDefault="00144FEA" w:rsidP="00160576">
      <w:pPr>
        <w:rPr>
          <w:b/>
          <w:lang w:val="en-GB"/>
        </w:rPr>
      </w:pPr>
    </w:p>
    <w:p w14:paraId="100A1991" w14:textId="2430E148" w:rsidR="0025664D" w:rsidRPr="00AE6D77" w:rsidRDefault="0025664D" w:rsidP="00160576">
      <w:pPr>
        <w:rPr>
          <w:rFonts w:eastAsia="Arial"/>
          <w:szCs w:val="22"/>
          <w:shd w:val="clear" w:color="auto" w:fill="FFFFFF"/>
          <w:lang w:val="en-GB"/>
        </w:rPr>
      </w:pPr>
      <w:r w:rsidRPr="00AE6D77">
        <w:rPr>
          <w:b/>
          <w:lang w:val="en-GB"/>
        </w:rPr>
        <w:t xml:space="preserve">Acknowledgements </w:t>
      </w:r>
    </w:p>
    <w:p w14:paraId="6E83926F" w14:textId="77777777" w:rsidR="0025664D" w:rsidRPr="0026588B" w:rsidRDefault="0025664D" w:rsidP="00160576">
      <w:pPr>
        <w:rPr>
          <w:lang w:val="en-GB"/>
        </w:rPr>
      </w:pPr>
    </w:p>
    <w:p w14:paraId="6789D585" w14:textId="43E3B8D8" w:rsidR="00B17248" w:rsidRPr="0026588B" w:rsidRDefault="0025664D" w:rsidP="00B17248">
      <w:pPr>
        <w:rPr>
          <w:lang w:val="en-GB"/>
        </w:rPr>
      </w:pPr>
      <w:r w:rsidRPr="0026588B">
        <w:rPr>
          <w:lang w:val="en-GB"/>
        </w:rPr>
        <w:t xml:space="preserve">The financial support of the Economic and Social Research Council for the Centre for the Understanding of Sustainable Prosperity (CUSP) (ESRC grant no: ES/M010163/1) is gratefully acknowledged. </w:t>
      </w:r>
      <w:r w:rsidR="000B7401" w:rsidRPr="0026588B">
        <w:rPr>
          <w:lang w:val="en-GB" w:eastAsia="en-US"/>
        </w:rPr>
        <w:t>We would like to thank all of the interview participants for their time and sharing with us their knowledge for this study. We also thank for the helpful comments of two anonymous reviewers</w:t>
      </w:r>
      <w:r w:rsidR="008F2DEE" w:rsidRPr="0026588B">
        <w:rPr>
          <w:lang w:val="en-GB" w:eastAsia="en-US"/>
        </w:rPr>
        <w:t xml:space="preserve">. </w:t>
      </w:r>
      <w:r w:rsidR="00B17248" w:rsidRPr="0026588B">
        <w:rPr>
          <w:lang w:val="en-GB"/>
        </w:rPr>
        <w:br w:type="page"/>
      </w:r>
    </w:p>
    <w:p w14:paraId="690C924D" w14:textId="2B75F789" w:rsidR="00B17248" w:rsidRPr="00380144" w:rsidRDefault="00B17248" w:rsidP="00B17248">
      <w:pPr>
        <w:ind w:left="720" w:hanging="720"/>
        <w:rPr>
          <w:rFonts w:eastAsia="Times New Roman"/>
          <w:color w:val="000000" w:themeColor="text1"/>
          <w:shd w:val="clear" w:color="auto" w:fill="FFFFFF"/>
          <w:lang w:val="en-GB"/>
        </w:rPr>
      </w:pPr>
      <w:r w:rsidRPr="0026588B">
        <w:rPr>
          <w:b/>
          <w:lang w:val="en-GB"/>
        </w:rPr>
        <w:lastRenderedPageBreak/>
        <w:t>References</w:t>
      </w:r>
    </w:p>
    <w:p w14:paraId="31DE7E1F" w14:textId="05BED3C7" w:rsidR="003C2645" w:rsidRPr="003C2645" w:rsidRDefault="003C2645" w:rsidP="003C2645">
      <w:pPr>
        <w:rPr>
          <w:lang w:val="en-GB"/>
        </w:rPr>
      </w:pPr>
    </w:p>
    <w:tbl>
      <w:tblPr>
        <w:tblW w:w="9066" w:type="dxa"/>
        <w:tblLook w:val="04A0" w:firstRow="1" w:lastRow="0" w:firstColumn="1" w:lastColumn="0" w:noHBand="0" w:noVBand="1"/>
      </w:tblPr>
      <w:tblGrid>
        <w:gridCol w:w="9066"/>
      </w:tblGrid>
      <w:tr w:rsidR="003C2645" w:rsidRPr="00742E87" w14:paraId="72D7EC53" w14:textId="77777777" w:rsidTr="00F96F72">
        <w:trPr>
          <w:trHeight w:val="290"/>
        </w:trPr>
        <w:tc>
          <w:tcPr>
            <w:tcW w:w="9066" w:type="dxa"/>
            <w:tcBorders>
              <w:top w:val="nil"/>
              <w:left w:val="nil"/>
              <w:bottom w:val="nil"/>
              <w:right w:val="nil"/>
            </w:tcBorders>
            <w:shd w:val="clear" w:color="auto" w:fill="auto"/>
            <w:noWrap/>
            <w:vAlign w:val="center"/>
            <w:hideMark/>
          </w:tcPr>
          <w:p w14:paraId="3F99301F" w14:textId="77777777" w:rsidR="003C2645" w:rsidRPr="003C2645" w:rsidRDefault="003C2645" w:rsidP="007B1254">
            <w:pPr>
              <w:spacing w:after="220" w:line="240" w:lineRule="auto"/>
              <w:ind w:left="720" w:hanging="720"/>
              <w:rPr>
                <w:rFonts w:eastAsia="Times New Roman" w:cstheme="minorHAnsi"/>
                <w:lang w:val="en-GB" w:eastAsia="en-GB"/>
              </w:rPr>
            </w:pPr>
            <w:r w:rsidRPr="003C2645">
              <w:rPr>
                <w:rFonts w:eastAsia="Times New Roman" w:cstheme="minorHAnsi"/>
                <w:lang w:val="en-GB" w:eastAsia="en-GB"/>
              </w:rPr>
              <w:t xml:space="preserve">Ackerman, F (2014). (Mis)understanding Climate Policy. The role of economic modelling. Available at: http://frankackerman.com/publications/climatechange/Misunderstanding_Climate_Policy.pdf (01.02.2019). </w:t>
            </w:r>
          </w:p>
        </w:tc>
      </w:tr>
      <w:tr w:rsidR="003C2645" w:rsidRPr="00F712A5" w14:paraId="631E2C68" w14:textId="77777777" w:rsidTr="00F96F72">
        <w:trPr>
          <w:trHeight w:val="290"/>
        </w:trPr>
        <w:tc>
          <w:tcPr>
            <w:tcW w:w="9066" w:type="dxa"/>
            <w:tcBorders>
              <w:top w:val="nil"/>
              <w:left w:val="nil"/>
              <w:bottom w:val="nil"/>
              <w:right w:val="nil"/>
            </w:tcBorders>
            <w:shd w:val="clear" w:color="auto" w:fill="auto"/>
            <w:noWrap/>
            <w:hideMark/>
          </w:tcPr>
          <w:p w14:paraId="60922EE7"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Ackerman, F. (2002). Still dead after all these years: interpreting the failure of general equilibrium theory. </w:t>
            </w:r>
            <w:r w:rsidRPr="00F712A5">
              <w:rPr>
                <w:rFonts w:eastAsia="Times New Roman" w:cstheme="minorHAnsi"/>
                <w:i/>
                <w:iCs/>
                <w:lang w:eastAsia="en-GB"/>
              </w:rPr>
              <w:t>Journal of economic methodology</w:t>
            </w:r>
            <w:r w:rsidRPr="00F712A5">
              <w:rPr>
                <w:rFonts w:eastAsia="Times New Roman" w:cstheme="minorHAnsi"/>
                <w:lang w:eastAsia="en-GB"/>
              </w:rPr>
              <w:t>, </w:t>
            </w:r>
            <w:r w:rsidRPr="00F712A5">
              <w:rPr>
                <w:rFonts w:eastAsia="Times New Roman" w:cstheme="minorHAnsi"/>
                <w:i/>
                <w:iCs/>
                <w:lang w:eastAsia="en-GB"/>
              </w:rPr>
              <w:t>9</w:t>
            </w:r>
            <w:r w:rsidRPr="00F712A5">
              <w:rPr>
                <w:rFonts w:eastAsia="Times New Roman" w:cstheme="minorHAnsi"/>
                <w:lang w:eastAsia="en-GB"/>
              </w:rPr>
              <w:t xml:space="preserve">(2), 119-139. </w:t>
            </w:r>
          </w:p>
        </w:tc>
      </w:tr>
      <w:tr w:rsidR="003C2645" w:rsidRPr="00F712A5" w14:paraId="1D19422A" w14:textId="77777777" w:rsidTr="00F96F72">
        <w:trPr>
          <w:trHeight w:val="290"/>
        </w:trPr>
        <w:tc>
          <w:tcPr>
            <w:tcW w:w="9066" w:type="dxa"/>
            <w:tcBorders>
              <w:top w:val="nil"/>
              <w:left w:val="nil"/>
              <w:bottom w:val="nil"/>
              <w:right w:val="nil"/>
            </w:tcBorders>
            <w:shd w:val="clear" w:color="auto" w:fill="auto"/>
            <w:noWrap/>
            <w:vAlign w:val="center"/>
            <w:hideMark/>
          </w:tcPr>
          <w:p w14:paraId="179A7F7B"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Ackerman, F., Nadal, A., &amp; Gallagher, K. P. (2004). </w:t>
            </w:r>
            <w:r w:rsidRPr="003C2645">
              <w:rPr>
                <w:rFonts w:eastAsia="Times New Roman" w:cstheme="minorHAnsi"/>
                <w:i/>
                <w:iCs/>
                <w:lang w:val="en-GB" w:eastAsia="en-GB"/>
              </w:rPr>
              <w:t>The Flawed Foundations of General Equilibrium Theory: Critical Essays on Economic Theory</w:t>
            </w:r>
            <w:r w:rsidRPr="003C2645">
              <w:rPr>
                <w:rFonts w:eastAsia="Times New Roman" w:cstheme="minorHAnsi"/>
                <w:lang w:val="en-GB" w:eastAsia="en-GB"/>
              </w:rPr>
              <w:t xml:space="preserve">. </w:t>
            </w:r>
            <w:r w:rsidRPr="00F712A5">
              <w:rPr>
                <w:rFonts w:eastAsia="Times New Roman" w:cstheme="minorHAnsi"/>
                <w:lang w:eastAsia="en-GB"/>
              </w:rPr>
              <w:t>Routledge.</w:t>
            </w:r>
          </w:p>
        </w:tc>
      </w:tr>
      <w:tr w:rsidR="003C2645" w:rsidRPr="00F712A5" w14:paraId="02519371" w14:textId="77777777" w:rsidTr="00F96F72">
        <w:trPr>
          <w:trHeight w:val="290"/>
        </w:trPr>
        <w:tc>
          <w:tcPr>
            <w:tcW w:w="9066" w:type="dxa"/>
            <w:tcBorders>
              <w:top w:val="nil"/>
              <w:left w:val="nil"/>
              <w:bottom w:val="nil"/>
              <w:right w:val="nil"/>
            </w:tcBorders>
            <w:shd w:val="clear" w:color="auto" w:fill="auto"/>
            <w:noWrap/>
            <w:vAlign w:val="center"/>
            <w:hideMark/>
          </w:tcPr>
          <w:p w14:paraId="6D0C0CBD"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de-CH" w:eastAsia="en-GB"/>
              </w:rPr>
              <w:t xml:space="preserve">Anger, A., &amp; Barker, T. S. (2015). </w:t>
            </w:r>
            <w:r w:rsidRPr="003C2645">
              <w:rPr>
                <w:rFonts w:eastAsia="Times New Roman" w:cstheme="minorHAnsi"/>
                <w:lang w:val="en-GB" w:eastAsia="en-GB"/>
              </w:rPr>
              <w:t xml:space="preserve">The effects of the financial system and financial crises on global growth and the environment. In P. Arestis &amp; M. Sawyer (Eds.), </w:t>
            </w:r>
            <w:r w:rsidRPr="003C2645">
              <w:rPr>
                <w:rFonts w:eastAsia="Times New Roman" w:cstheme="minorHAnsi"/>
                <w:i/>
                <w:iCs/>
                <w:lang w:val="en-GB" w:eastAsia="en-GB"/>
              </w:rPr>
              <w:t xml:space="preserve">Finance and the macroeconomics of environmental policies </w:t>
            </w:r>
            <w:r w:rsidRPr="003C2645">
              <w:rPr>
                <w:rFonts w:eastAsia="Times New Roman" w:cstheme="minorHAnsi"/>
                <w:lang w:val="en-GB" w:eastAsia="en-GB"/>
              </w:rPr>
              <w:t xml:space="preserve">(pp. 153–193). </w:t>
            </w:r>
            <w:r w:rsidRPr="00F712A5">
              <w:rPr>
                <w:rFonts w:eastAsia="Times New Roman" w:cstheme="minorHAnsi"/>
                <w:lang w:val="de-CH" w:eastAsia="en-GB"/>
              </w:rPr>
              <w:t xml:space="preserve">Basingstoke: Palgrave Macmillan. </w:t>
            </w:r>
          </w:p>
        </w:tc>
      </w:tr>
      <w:tr w:rsidR="003C2645" w:rsidRPr="00F712A5" w14:paraId="154A7D49" w14:textId="77777777" w:rsidTr="00F96F72">
        <w:trPr>
          <w:trHeight w:val="290"/>
        </w:trPr>
        <w:tc>
          <w:tcPr>
            <w:tcW w:w="9066" w:type="dxa"/>
            <w:tcBorders>
              <w:top w:val="nil"/>
              <w:left w:val="nil"/>
              <w:bottom w:val="nil"/>
              <w:right w:val="nil"/>
            </w:tcBorders>
            <w:shd w:val="clear" w:color="auto" w:fill="auto"/>
            <w:noWrap/>
            <w:vAlign w:val="center"/>
            <w:hideMark/>
          </w:tcPr>
          <w:p w14:paraId="0E92155E"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Antonelli, C., &amp; Ferraris, G. (2011). Innovation as an emerging system property: an agent based simulation model. </w:t>
            </w:r>
            <w:r w:rsidRPr="00F712A5">
              <w:rPr>
                <w:rFonts w:eastAsia="Times New Roman" w:cstheme="minorHAnsi"/>
                <w:i/>
                <w:iCs/>
                <w:lang w:eastAsia="en-GB"/>
              </w:rPr>
              <w:t>Journal of Artificial Societies and Social Simulation</w:t>
            </w:r>
            <w:r w:rsidRPr="00F712A5">
              <w:rPr>
                <w:rFonts w:eastAsia="Times New Roman" w:cstheme="minorHAnsi"/>
                <w:lang w:eastAsia="en-GB"/>
              </w:rPr>
              <w:t xml:space="preserve">, </w:t>
            </w:r>
            <w:r w:rsidRPr="00F712A5">
              <w:rPr>
                <w:rFonts w:eastAsia="Times New Roman" w:cstheme="minorHAnsi"/>
                <w:i/>
                <w:iCs/>
                <w:lang w:eastAsia="en-GB"/>
              </w:rPr>
              <w:t>14</w:t>
            </w:r>
            <w:r w:rsidRPr="00F712A5">
              <w:rPr>
                <w:rFonts w:eastAsia="Times New Roman" w:cstheme="minorHAnsi"/>
                <w:lang w:eastAsia="en-GB"/>
              </w:rPr>
              <w:t>(2), 1.</w:t>
            </w:r>
          </w:p>
        </w:tc>
      </w:tr>
      <w:tr w:rsidR="003C2645" w:rsidRPr="00F712A5" w14:paraId="7149DB91" w14:textId="77777777" w:rsidTr="00F96F72">
        <w:trPr>
          <w:trHeight w:val="290"/>
        </w:trPr>
        <w:tc>
          <w:tcPr>
            <w:tcW w:w="9066" w:type="dxa"/>
            <w:tcBorders>
              <w:top w:val="nil"/>
              <w:left w:val="nil"/>
              <w:bottom w:val="nil"/>
              <w:right w:val="nil"/>
            </w:tcBorders>
            <w:shd w:val="clear" w:color="auto" w:fill="auto"/>
            <w:noWrap/>
            <w:vAlign w:val="center"/>
            <w:hideMark/>
          </w:tcPr>
          <w:p w14:paraId="65B52499"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Arrow, K. J., &amp; Debreu, G. (1954). Existence of an equilibrium for a competitive economy. </w:t>
            </w:r>
            <w:r w:rsidRPr="00F712A5">
              <w:rPr>
                <w:rFonts w:eastAsia="Times New Roman" w:cstheme="minorHAnsi"/>
                <w:i/>
                <w:iCs/>
                <w:lang w:eastAsia="en-GB"/>
              </w:rPr>
              <w:t>Econometrica: Journal of the Econometric Society</w:t>
            </w:r>
            <w:r w:rsidRPr="00F712A5">
              <w:rPr>
                <w:rFonts w:eastAsia="Times New Roman" w:cstheme="minorHAnsi"/>
                <w:lang w:eastAsia="en-GB"/>
              </w:rPr>
              <w:t xml:space="preserve">, 265-290. </w:t>
            </w:r>
          </w:p>
        </w:tc>
      </w:tr>
      <w:tr w:rsidR="003C2645" w:rsidRPr="00F712A5" w14:paraId="7DF16473" w14:textId="77777777" w:rsidTr="00F96F72">
        <w:trPr>
          <w:trHeight w:val="290"/>
        </w:trPr>
        <w:tc>
          <w:tcPr>
            <w:tcW w:w="9066" w:type="dxa"/>
            <w:tcBorders>
              <w:top w:val="nil"/>
              <w:left w:val="nil"/>
              <w:bottom w:val="nil"/>
              <w:right w:val="nil"/>
            </w:tcBorders>
            <w:shd w:val="clear" w:color="auto" w:fill="auto"/>
            <w:noWrap/>
            <w:vAlign w:val="center"/>
            <w:hideMark/>
          </w:tcPr>
          <w:p w14:paraId="39794FA6"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Arthur, W. B. (1994). </w:t>
            </w:r>
            <w:r w:rsidRPr="003C2645">
              <w:rPr>
                <w:rFonts w:eastAsia="Times New Roman" w:cstheme="minorHAnsi"/>
                <w:i/>
                <w:iCs/>
                <w:lang w:val="en-GB" w:eastAsia="en-GB"/>
              </w:rPr>
              <w:t>Increasing returns and path dependence in the economy</w:t>
            </w:r>
            <w:r w:rsidRPr="003C2645">
              <w:rPr>
                <w:rFonts w:eastAsia="Times New Roman" w:cstheme="minorHAnsi"/>
                <w:lang w:val="en-GB" w:eastAsia="en-GB"/>
              </w:rPr>
              <w:t xml:space="preserve">. </w:t>
            </w:r>
            <w:r w:rsidRPr="00F712A5">
              <w:rPr>
                <w:rFonts w:eastAsia="Times New Roman" w:cstheme="minorHAnsi"/>
                <w:lang w:eastAsia="en-GB"/>
              </w:rPr>
              <w:t>University of michigan Press.</w:t>
            </w:r>
          </w:p>
        </w:tc>
      </w:tr>
      <w:tr w:rsidR="003C2645" w:rsidRPr="00F712A5" w14:paraId="25AA94C2" w14:textId="77777777" w:rsidTr="00F96F72">
        <w:trPr>
          <w:trHeight w:val="290"/>
        </w:trPr>
        <w:tc>
          <w:tcPr>
            <w:tcW w:w="9066" w:type="dxa"/>
            <w:tcBorders>
              <w:top w:val="nil"/>
              <w:left w:val="nil"/>
              <w:bottom w:val="nil"/>
              <w:right w:val="nil"/>
            </w:tcBorders>
            <w:shd w:val="clear" w:color="auto" w:fill="auto"/>
            <w:noWrap/>
            <w:vAlign w:val="center"/>
            <w:hideMark/>
          </w:tcPr>
          <w:p w14:paraId="30A7851E"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Arthur, W. B. (1999). Complexity and the economy. </w:t>
            </w:r>
            <w:r>
              <w:rPr>
                <w:rFonts w:eastAsia="Times New Roman" w:cstheme="minorHAnsi"/>
                <w:i/>
                <w:iCs/>
                <w:lang w:eastAsia="en-GB"/>
              </w:rPr>
              <w:t>S</w:t>
            </w:r>
            <w:r w:rsidRPr="00F712A5">
              <w:rPr>
                <w:rFonts w:eastAsia="Times New Roman" w:cstheme="minorHAnsi"/>
                <w:i/>
                <w:iCs/>
                <w:lang w:eastAsia="en-GB"/>
              </w:rPr>
              <w:t>cience</w:t>
            </w:r>
            <w:r w:rsidRPr="00F712A5">
              <w:rPr>
                <w:rFonts w:eastAsia="Times New Roman" w:cstheme="minorHAnsi"/>
                <w:lang w:eastAsia="en-GB"/>
              </w:rPr>
              <w:t xml:space="preserve">, </w:t>
            </w:r>
            <w:r w:rsidRPr="00F712A5">
              <w:rPr>
                <w:rFonts w:eastAsia="Times New Roman" w:cstheme="minorHAnsi"/>
                <w:i/>
                <w:iCs/>
                <w:lang w:eastAsia="en-GB"/>
              </w:rPr>
              <w:t>284</w:t>
            </w:r>
            <w:r w:rsidRPr="00F712A5">
              <w:rPr>
                <w:rFonts w:eastAsia="Times New Roman" w:cstheme="minorHAnsi"/>
                <w:lang w:eastAsia="en-GB"/>
              </w:rPr>
              <w:t>(5411), 107-109.</w:t>
            </w:r>
          </w:p>
        </w:tc>
      </w:tr>
      <w:tr w:rsidR="003C2645" w:rsidRPr="00F712A5" w14:paraId="202389E3" w14:textId="77777777" w:rsidTr="00F96F72">
        <w:trPr>
          <w:trHeight w:val="290"/>
        </w:trPr>
        <w:tc>
          <w:tcPr>
            <w:tcW w:w="9066" w:type="dxa"/>
            <w:tcBorders>
              <w:top w:val="nil"/>
              <w:left w:val="nil"/>
              <w:bottom w:val="nil"/>
              <w:right w:val="nil"/>
            </w:tcBorders>
            <w:shd w:val="clear" w:color="auto" w:fill="auto"/>
            <w:noWrap/>
            <w:vAlign w:val="center"/>
            <w:hideMark/>
          </w:tcPr>
          <w:p w14:paraId="1C19AD8C"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Arthur, W. B., Holland, J. H., LeBaron, B., Palmer, R., &amp; Tayler, P. (1996). Asset pricing under endogenous expectations in an artificial stock market. </w:t>
            </w:r>
            <w:r w:rsidRPr="00F712A5">
              <w:rPr>
                <w:rFonts w:eastAsia="Times New Roman" w:cstheme="minorHAnsi"/>
                <w:i/>
                <w:iCs/>
                <w:lang w:eastAsia="en-GB"/>
              </w:rPr>
              <w:t>The economy as an evolving complex system II</w:t>
            </w:r>
            <w:r w:rsidRPr="00F712A5">
              <w:rPr>
                <w:rFonts w:eastAsia="Times New Roman" w:cstheme="minorHAnsi"/>
                <w:lang w:eastAsia="en-GB"/>
              </w:rPr>
              <w:t xml:space="preserve">, </w:t>
            </w:r>
            <w:r w:rsidRPr="00F712A5">
              <w:rPr>
                <w:rFonts w:eastAsia="Times New Roman" w:cstheme="minorHAnsi"/>
                <w:i/>
                <w:iCs/>
                <w:lang w:eastAsia="en-GB"/>
              </w:rPr>
              <w:t>27</w:t>
            </w:r>
            <w:r w:rsidRPr="00F712A5">
              <w:rPr>
                <w:rFonts w:eastAsia="Times New Roman" w:cstheme="minorHAnsi"/>
                <w:lang w:eastAsia="en-GB"/>
              </w:rPr>
              <w:t>.</w:t>
            </w:r>
          </w:p>
        </w:tc>
      </w:tr>
      <w:tr w:rsidR="003C2645" w:rsidRPr="00F712A5" w14:paraId="19285DAF" w14:textId="77777777" w:rsidTr="00F96F72">
        <w:trPr>
          <w:trHeight w:val="290"/>
        </w:trPr>
        <w:tc>
          <w:tcPr>
            <w:tcW w:w="9066" w:type="dxa"/>
            <w:tcBorders>
              <w:top w:val="nil"/>
              <w:left w:val="nil"/>
              <w:bottom w:val="nil"/>
              <w:right w:val="nil"/>
            </w:tcBorders>
            <w:shd w:val="clear" w:color="auto" w:fill="auto"/>
            <w:noWrap/>
            <w:vAlign w:val="center"/>
            <w:hideMark/>
          </w:tcPr>
          <w:p w14:paraId="0E6D7B85"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Ayres, R. U., &amp; Warr, B. (2010). </w:t>
            </w:r>
            <w:r w:rsidRPr="003C2645">
              <w:rPr>
                <w:rFonts w:eastAsia="Times New Roman" w:cstheme="minorHAnsi"/>
                <w:i/>
                <w:iCs/>
                <w:lang w:val="en-GB" w:eastAsia="en-GB"/>
              </w:rPr>
              <w:t>The economic growth engine: how energy and work drive material prosperity</w:t>
            </w:r>
            <w:r w:rsidRPr="003C2645">
              <w:rPr>
                <w:rFonts w:eastAsia="Times New Roman" w:cstheme="minorHAnsi"/>
                <w:lang w:val="en-GB" w:eastAsia="en-GB"/>
              </w:rPr>
              <w:t xml:space="preserve">. </w:t>
            </w:r>
            <w:r w:rsidRPr="00F712A5">
              <w:rPr>
                <w:rFonts w:eastAsia="Times New Roman" w:cstheme="minorHAnsi"/>
                <w:lang w:eastAsia="en-GB"/>
              </w:rPr>
              <w:t>Edward Elgar Publishing.</w:t>
            </w:r>
          </w:p>
        </w:tc>
      </w:tr>
      <w:tr w:rsidR="003C2645" w:rsidRPr="00742E87" w14:paraId="2FE60075" w14:textId="77777777" w:rsidTr="00F96F72">
        <w:trPr>
          <w:trHeight w:val="290"/>
        </w:trPr>
        <w:tc>
          <w:tcPr>
            <w:tcW w:w="9066" w:type="dxa"/>
            <w:tcBorders>
              <w:top w:val="nil"/>
              <w:left w:val="nil"/>
              <w:bottom w:val="nil"/>
              <w:right w:val="nil"/>
            </w:tcBorders>
            <w:shd w:val="clear" w:color="auto" w:fill="auto"/>
            <w:noWrap/>
            <w:vAlign w:val="center"/>
            <w:hideMark/>
          </w:tcPr>
          <w:p w14:paraId="3C9EB72D" w14:textId="77777777" w:rsidR="003C2645" w:rsidRPr="003C2645" w:rsidRDefault="003C2645" w:rsidP="007B1254">
            <w:pPr>
              <w:spacing w:after="220" w:line="240" w:lineRule="auto"/>
              <w:ind w:left="720" w:hanging="720"/>
              <w:rPr>
                <w:rFonts w:eastAsia="Times New Roman" w:cstheme="minorHAnsi"/>
                <w:lang w:val="en-GB" w:eastAsia="en-GB"/>
              </w:rPr>
            </w:pPr>
            <w:r w:rsidRPr="00F712A5">
              <w:rPr>
                <w:rFonts w:eastAsia="Times New Roman" w:cstheme="minorHAnsi"/>
                <w:lang w:val="de-CH" w:eastAsia="en-GB"/>
              </w:rPr>
              <w:t xml:space="preserve">Ayres, R. U., Van den Bergh, J. C., Lindenberger, D., &amp; Warr, B. (2013). </w:t>
            </w:r>
            <w:r w:rsidRPr="003C2645">
              <w:rPr>
                <w:rFonts w:eastAsia="Times New Roman" w:cstheme="minorHAnsi"/>
                <w:lang w:val="en-GB" w:eastAsia="en-GB"/>
              </w:rPr>
              <w:t xml:space="preserve">The underestimated contribution of energy to economic growth. </w:t>
            </w:r>
            <w:r w:rsidRPr="003C2645">
              <w:rPr>
                <w:rFonts w:eastAsia="Times New Roman" w:cstheme="minorHAnsi"/>
                <w:i/>
                <w:iCs/>
                <w:lang w:val="en-GB" w:eastAsia="en-GB"/>
              </w:rPr>
              <w:t>Structural Change and Economic Dynamics</w:t>
            </w:r>
            <w:r w:rsidRPr="003C2645">
              <w:rPr>
                <w:rFonts w:eastAsia="Times New Roman" w:cstheme="minorHAnsi"/>
                <w:lang w:val="en-GB" w:eastAsia="en-GB"/>
              </w:rPr>
              <w:t xml:space="preserve">, </w:t>
            </w:r>
            <w:r w:rsidRPr="003C2645">
              <w:rPr>
                <w:rFonts w:eastAsia="Times New Roman" w:cstheme="minorHAnsi"/>
                <w:i/>
                <w:iCs/>
                <w:lang w:val="en-GB" w:eastAsia="en-GB"/>
              </w:rPr>
              <w:t>27</w:t>
            </w:r>
            <w:r w:rsidRPr="003C2645">
              <w:rPr>
                <w:rFonts w:eastAsia="Times New Roman" w:cstheme="minorHAnsi"/>
                <w:lang w:val="en-GB" w:eastAsia="en-GB"/>
              </w:rPr>
              <w:t>, 79-88.</w:t>
            </w:r>
          </w:p>
        </w:tc>
      </w:tr>
      <w:tr w:rsidR="003C2645" w:rsidRPr="00F712A5" w14:paraId="5DB0A4E5" w14:textId="77777777" w:rsidTr="00F96F72">
        <w:trPr>
          <w:trHeight w:val="290"/>
        </w:trPr>
        <w:tc>
          <w:tcPr>
            <w:tcW w:w="9066" w:type="dxa"/>
            <w:tcBorders>
              <w:top w:val="nil"/>
              <w:left w:val="nil"/>
              <w:bottom w:val="nil"/>
              <w:right w:val="nil"/>
            </w:tcBorders>
            <w:shd w:val="clear" w:color="auto" w:fill="auto"/>
            <w:noWrap/>
            <w:vAlign w:val="center"/>
            <w:hideMark/>
          </w:tcPr>
          <w:p w14:paraId="25AC4A71"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Balint, T., Lamperti, F., Mandel, A., Napoletano, M., Roventini, A., &amp; Sapio, A. (2017). Complexity and the economics of climate change: A survey and a look forward. </w:t>
            </w:r>
            <w:r w:rsidRPr="00F712A5">
              <w:rPr>
                <w:rFonts w:eastAsia="Times New Roman" w:cstheme="minorHAnsi"/>
                <w:i/>
                <w:iCs/>
                <w:lang w:eastAsia="en-GB"/>
              </w:rPr>
              <w:t>Ecological Economics</w:t>
            </w:r>
            <w:r w:rsidRPr="00F712A5">
              <w:rPr>
                <w:rFonts w:eastAsia="Times New Roman" w:cstheme="minorHAnsi"/>
                <w:lang w:eastAsia="en-GB"/>
              </w:rPr>
              <w:t>, </w:t>
            </w:r>
            <w:r w:rsidRPr="00F712A5">
              <w:rPr>
                <w:rFonts w:eastAsia="Times New Roman" w:cstheme="minorHAnsi"/>
                <w:i/>
                <w:iCs/>
                <w:lang w:eastAsia="en-GB"/>
              </w:rPr>
              <w:t>138</w:t>
            </w:r>
            <w:r w:rsidRPr="00F712A5">
              <w:rPr>
                <w:rFonts w:eastAsia="Times New Roman" w:cstheme="minorHAnsi"/>
                <w:lang w:eastAsia="en-GB"/>
              </w:rPr>
              <w:t>, 252-265.</w:t>
            </w:r>
          </w:p>
        </w:tc>
      </w:tr>
      <w:tr w:rsidR="003C2645" w:rsidRPr="00F712A5" w14:paraId="51CFF6A3" w14:textId="77777777" w:rsidTr="00F96F72">
        <w:trPr>
          <w:trHeight w:val="290"/>
        </w:trPr>
        <w:tc>
          <w:tcPr>
            <w:tcW w:w="9066" w:type="dxa"/>
            <w:tcBorders>
              <w:top w:val="nil"/>
              <w:left w:val="nil"/>
              <w:bottom w:val="nil"/>
              <w:right w:val="nil"/>
            </w:tcBorders>
            <w:shd w:val="clear" w:color="auto" w:fill="auto"/>
            <w:noWrap/>
            <w:vAlign w:val="center"/>
            <w:hideMark/>
          </w:tcPr>
          <w:p w14:paraId="5CB2C8D8"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Barker, T. (2004). The transition to sustainability: a comparison of general–equilibrium and space–time–economics approaches. </w:t>
            </w:r>
            <w:r w:rsidRPr="00F712A5">
              <w:rPr>
                <w:rFonts w:eastAsia="Times New Roman" w:cstheme="minorHAnsi"/>
                <w:i/>
                <w:iCs/>
                <w:lang w:eastAsia="en-GB"/>
              </w:rPr>
              <w:t>Tyndall Centre for Climate Change Research, Norwich</w:t>
            </w:r>
            <w:r w:rsidRPr="00F712A5">
              <w:rPr>
                <w:rFonts w:eastAsia="Times New Roman" w:cstheme="minorHAnsi"/>
                <w:lang w:eastAsia="en-GB"/>
              </w:rPr>
              <w:t xml:space="preserve">. </w:t>
            </w:r>
          </w:p>
        </w:tc>
      </w:tr>
      <w:tr w:rsidR="003C2645" w:rsidRPr="00F712A5" w14:paraId="4E8E4151" w14:textId="77777777" w:rsidTr="00F96F72">
        <w:trPr>
          <w:trHeight w:val="290"/>
        </w:trPr>
        <w:tc>
          <w:tcPr>
            <w:tcW w:w="9066" w:type="dxa"/>
            <w:tcBorders>
              <w:top w:val="nil"/>
              <w:left w:val="nil"/>
              <w:bottom w:val="nil"/>
              <w:right w:val="nil"/>
            </w:tcBorders>
            <w:shd w:val="clear" w:color="auto" w:fill="auto"/>
            <w:noWrap/>
            <w:vAlign w:val="center"/>
            <w:hideMark/>
          </w:tcPr>
          <w:p w14:paraId="3235A1D5"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Barker, T. (2008). The economics of avoiding dangerous climate change. </w:t>
            </w:r>
            <w:r w:rsidRPr="00F712A5">
              <w:rPr>
                <w:rFonts w:eastAsia="Times New Roman" w:cstheme="minorHAnsi"/>
                <w:lang w:eastAsia="en-GB"/>
              </w:rPr>
              <w:t xml:space="preserve">An editorial essay on The Stern Review. </w:t>
            </w:r>
            <w:r w:rsidRPr="00F712A5">
              <w:rPr>
                <w:rFonts w:eastAsia="Times New Roman" w:cstheme="minorHAnsi"/>
                <w:i/>
                <w:iCs/>
                <w:lang w:eastAsia="en-GB"/>
              </w:rPr>
              <w:t>Climatic Change, 89</w:t>
            </w:r>
            <w:r w:rsidRPr="00F712A5">
              <w:rPr>
                <w:rFonts w:eastAsia="Times New Roman" w:cstheme="minorHAnsi"/>
                <w:lang w:eastAsia="en-GB"/>
              </w:rPr>
              <w:t xml:space="preserve">, 173-194. </w:t>
            </w:r>
          </w:p>
        </w:tc>
      </w:tr>
      <w:tr w:rsidR="003C2645" w:rsidRPr="00742E87" w14:paraId="5EE4EC27" w14:textId="77777777" w:rsidTr="00F96F72">
        <w:trPr>
          <w:trHeight w:val="290"/>
        </w:trPr>
        <w:tc>
          <w:tcPr>
            <w:tcW w:w="9066" w:type="dxa"/>
            <w:tcBorders>
              <w:top w:val="nil"/>
              <w:left w:val="nil"/>
              <w:bottom w:val="nil"/>
              <w:right w:val="nil"/>
            </w:tcBorders>
            <w:shd w:val="clear" w:color="auto" w:fill="auto"/>
            <w:noWrap/>
            <w:vAlign w:val="center"/>
            <w:hideMark/>
          </w:tcPr>
          <w:p w14:paraId="426CB191" w14:textId="77777777" w:rsidR="003C2645" w:rsidRPr="003C2645" w:rsidRDefault="003C2645" w:rsidP="007B1254">
            <w:pPr>
              <w:spacing w:after="220" w:line="240" w:lineRule="auto"/>
              <w:ind w:left="720" w:hanging="720"/>
              <w:rPr>
                <w:rFonts w:eastAsia="Times New Roman" w:cstheme="minorHAnsi"/>
                <w:lang w:val="en-GB" w:eastAsia="en-GB"/>
              </w:rPr>
            </w:pPr>
            <w:r w:rsidRPr="003C2645">
              <w:rPr>
                <w:rFonts w:eastAsia="Times New Roman" w:cstheme="minorHAnsi"/>
                <w:lang w:val="en-GB" w:eastAsia="en-GB"/>
              </w:rPr>
              <w:t>Barker, T. (2011). Towards a ‘new economics’: Values, resources, money, markets, growth and policy. In </w:t>
            </w:r>
            <w:r w:rsidRPr="003C2645">
              <w:rPr>
                <w:rFonts w:eastAsia="Times New Roman" w:cstheme="minorHAnsi"/>
                <w:i/>
                <w:iCs/>
                <w:lang w:val="en-GB" w:eastAsia="en-GB"/>
              </w:rPr>
              <w:t>New economics as mainstream economics</w:t>
            </w:r>
            <w:r w:rsidRPr="003C2645">
              <w:rPr>
                <w:rFonts w:eastAsia="Times New Roman" w:cstheme="minorHAnsi"/>
                <w:lang w:val="en-GB" w:eastAsia="en-GB"/>
              </w:rPr>
              <w:t xml:space="preserve"> (pp. 39-76). Palgrave Macmillan, London. </w:t>
            </w:r>
          </w:p>
        </w:tc>
      </w:tr>
      <w:tr w:rsidR="003C2645" w:rsidRPr="00F712A5" w14:paraId="5292CDFD" w14:textId="77777777" w:rsidTr="00F96F72">
        <w:trPr>
          <w:trHeight w:val="290"/>
        </w:trPr>
        <w:tc>
          <w:tcPr>
            <w:tcW w:w="9066" w:type="dxa"/>
            <w:tcBorders>
              <w:top w:val="nil"/>
              <w:left w:val="nil"/>
              <w:bottom w:val="nil"/>
              <w:right w:val="nil"/>
            </w:tcBorders>
            <w:shd w:val="clear" w:color="auto" w:fill="auto"/>
            <w:noWrap/>
            <w:vAlign w:val="center"/>
            <w:hideMark/>
          </w:tcPr>
          <w:p w14:paraId="0F448444"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lastRenderedPageBreak/>
              <w:t xml:space="preserve">Barker, T., Alexandri, E., Mercure, J. F., Ogawa, Y., &amp; Pollitt, H. (2016). GDP and employment effects of policies to close the 2020 emissions gap. </w:t>
            </w:r>
            <w:r w:rsidRPr="00F712A5">
              <w:rPr>
                <w:rFonts w:eastAsia="Times New Roman" w:cstheme="minorHAnsi"/>
                <w:i/>
                <w:iCs/>
                <w:lang w:eastAsia="en-GB"/>
              </w:rPr>
              <w:t>Climate Policy, 16</w:t>
            </w:r>
            <w:r w:rsidRPr="00F712A5">
              <w:rPr>
                <w:rFonts w:eastAsia="Times New Roman" w:cstheme="minorHAnsi"/>
                <w:lang w:eastAsia="en-GB"/>
              </w:rPr>
              <w:t xml:space="preserve">(4), 393-414. </w:t>
            </w:r>
          </w:p>
        </w:tc>
      </w:tr>
      <w:tr w:rsidR="003C2645" w:rsidRPr="00F712A5" w14:paraId="2FA3FDDD" w14:textId="77777777" w:rsidTr="00F96F72">
        <w:trPr>
          <w:trHeight w:val="290"/>
        </w:trPr>
        <w:tc>
          <w:tcPr>
            <w:tcW w:w="9066" w:type="dxa"/>
            <w:tcBorders>
              <w:top w:val="nil"/>
              <w:left w:val="nil"/>
              <w:bottom w:val="nil"/>
              <w:right w:val="nil"/>
            </w:tcBorders>
            <w:shd w:val="clear" w:color="auto" w:fill="auto"/>
            <w:noWrap/>
            <w:vAlign w:val="center"/>
            <w:hideMark/>
          </w:tcPr>
          <w:p w14:paraId="64F53FF8"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Barker, T., Anger, A., Chewpreecha, U., &amp; Pollitt, H. (2012). A new economics approach to modelling policies to achieve global 2020 targets for climate stabilisation. </w:t>
            </w:r>
            <w:r w:rsidRPr="00F712A5">
              <w:rPr>
                <w:rFonts w:eastAsia="Times New Roman" w:cstheme="minorHAnsi"/>
                <w:i/>
                <w:iCs/>
                <w:lang w:eastAsia="en-GB"/>
              </w:rPr>
              <w:t>International Review of Applied Economics</w:t>
            </w:r>
            <w:r w:rsidRPr="00F712A5">
              <w:rPr>
                <w:rFonts w:eastAsia="Times New Roman" w:cstheme="minorHAnsi"/>
                <w:lang w:eastAsia="en-GB"/>
              </w:rPr>
              <w:t>, </w:t>
            </w:r>
            <w:r w:rsidRPr="00F712A5">
              <w:rPr>
                <w:rFonts w:eastAsia="Times New Roman" w:cstheme="minorHAnsi"/>
                <w:i/>
                <w:iCs/>
                <w:lang w:eastAsia="en-GB"/>
              </w:rPr>
              <w:t>26</w:t>
            </w:r>
            <w:r w:rsidRPr="00F712A5">
              <w:rPr>
                <w:rFonts w:eastAsia="Times New Roman" w:cstheme="minorHAnsi"/>
                <w:lang w:eastAsia="en-GB"/>
              </w:rPr>
              <w:t>(2), 205-221.</w:t>
            </w:r>
          </w:p>
        </w:tc>
      </w:tr>
      <w:tr w:rsidR="003C2645" w:rsidRPr="00F712A5" w14:paraId="067EE413" w14:textId="77777777" w:rsidTr="00F96F72">
        <w:trPr>
          <w:trHeight w:val="290"/>
        </w:trPr>
        <w:tc>
          <w:tcPr>
            <w:tcW w:w="9066" w:type="dxa"/>
            <w:tcBorders>
              <w:top w:val="nil"/>
              <w:left w:val="nil"/>
              <w:bottom w:val="nil"/>
              <w:right w:val="nil"/>
            </w:tcBorders>
            <w:shd w:val="clear" w:color="auto" w:fill="auto"/>
            <w:noWrap/>
            <w:vAlign w:val="center"/>
            <w:hideMark/>
          </w:tcPr>
          <w:p w14:paraId="414EC8EC"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Barlas, Y. (2007). System dynamics: systemic feedback modeling for policy analysis. </w:t>
            </w:r>
            <w:r w:rsidRPr="00F712A5">
              <w:rPr>
                <w:rFonts w:eastAsia="Times New Roman" w:cstheme="minorHAnsi"/>
                <w:i/>
                <w:iCs/>
                <w:lang w:eastAsia="en-GB"/>
              </w:rPr>
              <w:t>System</w:t>
            </w:r>
            <w:r w:rsidRPr="00F712A5">
              <w:rPr>
                <w:rFonts w:eastAsia="Times New Roman" w:cstheme="minorHAnsi"/>
                <w:lang w:eastAsia="en-GB"/>
              </w:rPr>
              <w:t xml:space="preserve">, </w:t>
            </w:r>
            <w:r w:rsidRPr="00F712A5">
              <w:rPr>
                <w:rFonts w:eastAsia="Times New Roman" w:cstheme="minorHAnsi"/>
                <w:i/>
                <w:iCs/>
                <w:lang w:eastAsia="en-GB"/>
              </w:rPr>
              <w:t>1</w:t>
            </w:r>
            <w:r w:rsidRPr="00F712A5">
              <w:rPr>
                <w:rFonts w:eastAsia="Times New Roman" w:cstheme="minorHAnsi"/>
                <w:lang w:eastAsia="en-GB"/>
              </w:rPr>
              <w:t>, 59.</w:t>
            </w:r>
          </w:p>
        </w:tc>
      </w:tr>
      <w:tr w:rsidR="003C2645" w:rsidRPr="00F712A5" w14:paraId="20AF6FBC" w14:textId="77777777" w:rsidTr="00F96F72">
        <w:trPr>
          <w:trHeight w:val="290"/>
        </w:trPr>
        <w:tc>
          <w:tcPr>
            <w:tcW w:w="9066" w:type="dxa"/>
            <w:tcBorders>
              <w:top w:val="nil"/>
              <w:left w:val="nil"/>
              <w:bottom w:val="nil"/>
              <w:right w:val="nil"/>
            </w:tcBorders>
            <w:shd w:val="clear" w:color="auto" w:fill="auto"/>
            <w:noWrap/>
            <w:vAlign w:val="center"/>
            <w:hideMark/>
          </w:tcPr>
          <w:p w14:paraId="4D005450"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Bassi, A. M., &amp; Shilling, J. D. (2010). Informing the US energy policy debate with Threshold 21. </w:t>
            </w:r>
            <w:r w:rsidRPr="00F712A5">
              <w:rPr>
                <w:rFonts w:eastAsia="Times New Roman" w:cstheme="minorHAnsi"/>
                <w:i/>
                <w:iCs/>
                <w:lang w:eastAsia="en-GB"/>
              </w:rPr>
              <w:t>Technological Forecasting and Social Change</w:t>
            </w:r>
            <w:r w:rsidRPr="00F712A5">
              <w:rPr>
                <w:rFonts w:eastAsia="Times New Roman" w:cstheme="minorHAnsi"/>
                <w:lang w:eastAsia="en-GB"/>
              </w:rPr>
              <w:t xml:space="preserve">, </w:t>
            </w:r>
            <w:r w:rsidRPr="00F712A5">
              <w:rPr>
                <w:rFonts w:eastAsia="Times New Roman" w:cstheme="minorHAnsi"/>
                <w:i/>
                <w:iCs/>
                <w:lang w:eastAsia="en-GB"/>
              </w:rPr>
              <w:t>77</w:t>
            </w:r>
            <w:r w:rsidRPr="00F712A5">
              <w:rPr>
                <w:rFonts w:eastAsia="Times New Roman" w:cstheme="minorHAnsi"/>
                <w:lang w:eastAsia="en-GB"/>
              </w:rPr>
              <w:t xml:space="preserve">(3), 396-410. </w:t>
            </w:r>
          </w:p>
        </w:tc>
      </w:tr>
      <w:tr w:rsidR="003C2645" w:rsidRPr="00F712A5" w14:paraId="0B6F74DA" w14:textId="77777777" w:rsidTr="00F96F72">
        <w:trPr>
          <w:trHeight w:val="290"/>
        </w:trPr>
        <w:tc>
          <w:tcPr>
            <w:tcW w:w="9066" w:type="dxa"/>
            <w:tcBorders>
              <w:top w:val="nil"/>
              <w:left w:val="nil"/>
              <w:bottom w:val="nil"/>
              <w:right w:val="nil"/>
            </w:tcBorders>
            <w:shd w:val="clear" w:color="auto" w:fill="auto"/>
            <w:noWrap/>
            <w:vAlign w:val="center"/>
            <w:hideMark/>
          </w:tcPr>
          <w:p w14:paraId="055E3DA4"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Blanchard, O. (2009). The state of macro. </w:t>
            </w:r>
            <w:r w:rsidRPr="00F712A5">
              <w:rPr>
                <w:rFonts w:eastAsia="Times New Roman" w:cstheme="minorHAnsi"/>
                <w:i/>
                <w:iCs/>
                <w:lang w:eastAsia="en-GB"/>
              </w:rPr>
              <w:t>Annuel Review of Economics</w:t>
            </w:r>
            <w:r w:rsidRPr="00F712A5">
              <w:rPr>
                <w:rFonts w:eastAsia="Times New Roman" w:cstheme="minorHAnsi"/>
                <w:lang w:eastAsia="en-GB"/>
              </w:rPr>
              <w:t xml:space="preserve">, </w:t>
            </w:r>
            <w:r w:rsidRPr="00F712A5">
              <w:rPr>
                <w:rFonts w:eastAsia="Times New Roman" w:cstheme="minorHAnsi"/>
                <w:i/>
                <w:iCs/>
                <w:lang w:eastAsia="en-GB"/>
              </w:rPr>
              <w:t>1</w:t>
            </w:r>
            <w:r w:rsidRPr="00F712A5">
              <w:rPr>
                <w:rFonts w:eastAsia="Times New Roman" w:cstheme="minorHAnsi"/>
                <w:lang w:eastAsia="en-GB"/>
              </w:rPr>
              <w:t>(1), 209–228.</w:t>
            </w:r>
          </w:p>
        </w:tc>
      </w:tr>
      <w:tr w:rsidR="003C2645" w:rsidRPr="00742E87" w14:paraId="081A56DF" w14:textId="77777777" w:rsidTr="00F96F72">
        <w:trPr>
          <w:trHeight w:val="290"/>
        </w:trPr>
        <w:tc>
          <w:tcPr>
            <w:tcW w:w="9066" w:type="dxa"/>
            <w:tcBorders>
              <w:top w:val="nil"/>
              <w:left w:val="nil"/>
              <w:bottom w:val="nil"/>
              <w:right w:val="nil"/>
            </w:tcBorders>
            <w:shd w:val="clear" w:color="auto" w:fill="auto"/>
            <w:noWrap/>
            <w:vAlign w:val="center"/>
            <w:hideMark/>
          </w:tcPr>
          <w:p w14:paraId="4DE2927B" w14:textId="77777777" w:rsidR="003C2645" w:rsidRPr="003C2645" w:rsidRDefault="003C2645" w:rsidP="007B1254">
            <w:pPr>
              <w:spacing w:after="220" w:line="240" w:lineRule="auto"/>
              <w:ind w:left="720" w:hanging="720"/>
              <w:rPr>
                <w:rFonts w:eastAsia="Times New Roman" w:cstheme="minorHAnsi"/>
                <w:lang w:val="en-GB" w:eastAsia="en-GB"/>
              </w:rPr>
            </w:pPr>
            <w:r w:rsidRPr="003C2645">
              <w:rPr>
                <w:rFonts w:eastAsia="Times New Roman" w:cstheme="minorHAnsi"/>
                <w:lang w:val="en-GB" w:eastAsia="en-GB"/>
              </w:rPr>
              <w:t>Blanchard, O. (2018). On the future of macroeconomic models. </w:t>
            </w:r>
            <w:r w:rsidRPr="003C2645">
              <w:rPr>
                <w:rFonts w:eastAsia="Times New Roman" w:cstheme="minorHAnsi"/>
                <w:i/>
                <w:iCs/>
                <w:lang w:val="en-GB" w:eastAsia="en-GB"/>
              </w:rPr>
              <w:t>Oxford Review of Economic Policy</w:t>
            </w:r>
            <w:r w:rsidRPr="003C2645">
              <w:rPr>
                <w:rFonts w:eastAsia="Times New Roman" w:cstheme="minorHAnsi"/>
                <w:lang w:val="en-GB" w:eastAsia="en-GB"/>
              </w:rPr>
              <w:t>, </w:t>
            </w:r>
            <w:r w:rsidRPr="003C2645">
              <w:rPr>
                <w:rFonts w:eastAsia="Times New Roman" w:cstheme="minorHAnsi"/>
                <w:i/>
                <w:iCs/>
                <w:lang w:val="en-GB" w:eastAsia="en-GB"/>
              </w:rPr>
              <w:t>34</w:t>
            </w:r>
            <w:r w:rsidRPr="003C2645">
              <w:rPr>
                <w:rFonts w:eastAsia="Times New Roman" w:cstheme="minorHAnsi"/>
                <w:lang w:val="en-GB" w:eastAsia="en-GB"/>
              </w:rPr>
              <w:t>(1-2), 43-54.</w:t>
            </w:r>
          </w:p>
        </w:tc>
      </w:tr>
      <w:tr w:rsidR="003C2645" w:rsidRPr="00742E87" w14:paraId="4D5A43BE" w14:textId="77777777" w:rsidTr="00F96F72">
        <w:trPr>
          <w:trHeight w:val="290"/>
        </w:trPr>
        <w:tc>
          <w:tcPr>
            <w:tcW w:w="9066" w:type="dxa"/>
            <w:tcBorders>
              <w:top w:val="nil"/>
              <w:left w:val="nil"/>
              <w:bottom w:val="nil"/>
              <w:right w:val="nil"/>
            </w:tcBorders>
            <w:shd w:val="clear" w:color="auto" w:fill="auto"/>
            <w:noWrap/>
            <w:vAlign w:val="center"/>
            <w:hideMark/>
          </w:tcPr>
          <w:p w14:paraId="758368D9" w14:textId="77777777" w:rsidR="003C2645" w:rsidRPr="003C2645" w:rsidRDefault="00650294" w:rsidP="007B1254">
            <w:pPr>
              <w:spacing w:after="220" w:line="240" w:lineRule="auto"/>
              <w:ind w:left="720" w:hanging="720"/>
              <w:rPr>
                <w:rFonts w:eastAsia="Times New Roman" w:cstheme="minorHAnsi"/>
                <w:lang w:val="en-GB" w:eastAsia="en-GB"/>
              </w:rPr>
            </w:pPr>
            <w:hyperlink r:id="rId9" w:history="1">
              <w:r w:rsidR="003C2645" w:rsidRPr="00F712A5">
                <w:rPr>
                  <w:rFonts w:eastAsia="Times New Roman" w:cstheme="minorHAnsi"/>
                  <w:lang w:val="de-CH" w:eastAsia="en-GB"/>
                </w:rPr>
                <w:t>Bockermann, A., Meyer, B., Omann, I., &amp; Spangenberg, J. H. (2000). </w:t>
              </w:r>
              <w:r w:rsidR="003C2645" w:rsidRPr="003C2645">
                <w:rPr>
                  <w:rFonts w:eastAsia="Times New Roman" w:cstheme="minorHAnsi"/>
                  <w:lang w:val="en-GB" w:eastAsia="en-GB"/>
                </w:rPr>
                <w:t xml:space="preserve">Modelling sustainability with PANTA RHEI and SuE. Available at: http://citeseerx.ist.psu.edu/viewdoc/download?doi=10.1.1.198.6148&amp;rep=rep1&amp;type=pdf (31.03.2019). </w:t>
              </w:r>
            </w:hyperlink>
          </w:p>
        </w:tc>
      </w:tr>
      <w:tr w:rsidR="003C2645" w:rsidRPr="00F712A5" w14:paraId="7939435E" w14:textId="77777777" w:rsidTr="00F96F72">
        <w:trPr>
          <w:trHeight w:val="290"/>
        </w:trPr>
        <w:tc>
          <w:tcPr>
            <w:tcW w:w="9066" w:type="dxa"/>
            <w:tcBorders>
              <w:top w:val="nil"/>
              <w:left w:val="nil"/>
              <w:bottom w:val="nil"/>
              <w:right w:val="nil"/>
            </w:tcBorders>
            <w:shd w:val="clear" w:color="auto" w:fill="auto"/>
            <w:noWrap/>
            <w:vAlign w:val="center"/>
            <w:hideMark/>
          </w:tcPr>
          <w:p w14:paraId="1AE5B40E"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Böhringer, C., &amp; Löschel, A. (2006). Computable general equilibrium models for sustainability impact assessment: Status quo and prospects. </w:t>
            </w:r>
            <w:r w:rsidRPr="00F712A5">
              <w:rPr>
                <w:rFonts w:eastAsia="Times New Roman" w:cstheme="minorHAnsi"/>
                <w:i/>
                <w:iCs/>
                <w:lang w:eastAsia="en-GB"/>
              </w:rPr>
              <w:t>Ecological economics</w:t>
            </w:r>
            <w:r w:rsidRPr="00F712A5">
              <w:rPr>
                <w:rFonts w:eastAsia="Times New Roman" w:cstheme="minorHAnsi"/>
                <w:lang w:eastAsia="en-GB"/>
              </w:rPr>
              <w:t>, </w:t>
            </w:r>
            <w:r w:rsidRPr="00F712A5">
              <w:rPr>
                <w:rFonts w:eastAsia="Times New Roman" w:cstheme="minorHAnsi"/>
                <w:i/>
                <w:iCs/>
                <w:lang w:eastAsia="en-GB"/>
              </w:rPr>
              <w:t>60</w:t>
            </w:r>
            <w:r w:rsidRPr="00F712A5">
              <w:rPr>
                <w:rFonts w:eastAsia="Times New Roman" w:cstheme="minorHAnsi"/>
                <w:lang w:eastAsia="en-GB"/>
              </w:rPr>
              <w:t>(1), 49-64.</w:t>
            </w:r>
          </w:p>
        </w:tc>
      </w:tr>
      <w:tr w:rsidR="003C2645" w:rsidRPr="00F712A5" w14:paraId="670FD091" w14:textId="77777777" w:rsidTr="00F96F72">
        <w:trPr>
          <w:trHeight w:val="290"/>
        </w:trPr>
        <w:tc>
          <w:tcPr>
            <w:tcW w:w="9066" w:type="dxa"/>
            <w:tcBorders>
              <w:top w:val="nil"/>
              <w:left w:val="nil"/>
              <w:bottom w:val="nil"/>
              <w:right w:val="nil"/>
            </w:tcBorders>
            <w:shd w:val="clear" w:color="auto" w:fill="auto"/>
            <w:noWrap/>
            <w:vAlign w:val="center"/>
            <w:hideMark/>
          </w:tcPr>
          <w:p w14:paraId="24DA5587"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Bolton, R., &amp; Foxon, T. J. (2015a). A socio-technical perspective on low carbon investment challenges–insights for UK energy policy. </w:t>
            </w:r>
            <w:r w:rsidRPr="00F712A5">
              <w:rPr>
                <w:rFonts w:eastAsia="Times New Roman" w:cstheme="minorHAnsi"/>
                <w:i/>
                <w:iCs/>
                <w:lang w:eastAsia="en-GB"/>
              </w:rPr>
              <w:t>Environmental innovation and societal transitions</w:t>
            </w:r>
            <w:r w:rsidRPr="00F712A5">
              <w:rPr>
                <w:rFonts w:eastAsia="Times New Roman" w:cstheme="minorHAnsi"/>
                <w:lang w:eastAsia="en-GB"/>
              </w:rPr>
              <w:t xml:space="preserve">, </w:t>
            </w:r>
            <w:r w:rsidRPr="00F712A5">
              <w:rPr>
                <w:rFonts w:eastAsia="Times New Roman" w:cstheme="minorHAnsi"/>
                <w:i/>
                <w:iCs/>
                <w:lang w:eastAsia="en-GB"/>
              </w:rPr>
              <w:t>14</w:t>
            </w:r>
            <w:r w:rsidRPr="00F712A5">
              <w:rPr>
                <w:rFonts w:eastAsia="Times New Roman" w:cstheme="minorHAnsi"/>
                <w:lang w:eastAsia="en-GB"/>
              </w:rPr>
              <w:t>, 165-181.</w:t>
            </w:r>
          </w:p>
        </w:tc>
      </w:tr>
      <w:tr w:rsidR="003C2645" w:rsidRPr="00F712A5" w14:paraId="628877C4" w14:textId="77777777" w:rsidTr="00F96F72">
        <w:trPr>
          <w:trHeight w:val="840"/>
        </w:trPr>
        <w:tc>
          <w:tcPr>
            <w:tcW w:w="9066" w:type="dxa"/>
            <w:tcBorders>
              <w:top w:val="nil"/>
              <w:left w:val="nil"/>
              <w:bottom w:val="nil"/>
              <w:right w:val="nil"/>
            </w:tcBorders>
            <w:shd w:val="clear" w:color="auto" w:fill="auto"/>
            <w:noWrap/>
            <w:vAlign w:val="center"/>
            <w:hideMark/>
          </w:tcPr>
          <w:p w14:paraId="64C1312D"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Bolton, R., &amp; Foxon, T. J. (2015b). Infrastructure transformation as a socio-technical process—Implications for the governance of energy distribution networks in the UK. </w:t>
            </w:r>
            <w:r w:rsidRPr="00F712A5">
              <w:rPr>
                <w:rFonts w:eastAsia="Times New Roman" w:cstheme="minorHAnsi"/>
                <w:i/>
                <w:iCs/>
                <w:lang w:eastAsia="en-GB"/>
              </w:rPr>
              <w:t>Technological Forecasting and Social Change</w:t>
            </w:r>
            <w:r w:rsidRPr="00F712A5">
              <w:rPr>
                <w:rFonts w:eastAsia="Times New Roman" w:cstheme="minorHAnsi"/>
                <w:lang w:eastAsia="en-GB"/>
              </w:rPr>
              <w:t xml:space="preserve">, </w:t>
            </w:r>
            <w:r w:rsidRPr="00F712A5">
              <w:rPr>
                <w:rFonts w:eastAsia="Times New Roman" w:cstheme="minorHAnsi"/>
                <w:i/>
                <w:iCs/>
                <w:lang w:eastAsia="en-GB"/>
              </w:rPr>
              <w:t>90</w:t>
            </w:r>
            <w:r w:rsidRPr="00F712A5">
              <w:rPr>
                <w:rFonts w:eastAsia="Times New Roman" w:cstheme="minorHAnsi"/>
                <w:lang w:eastAsia="en-GB"/>
              </w:rPr>
              <w:t>, 538-550.</w:t>
            </w:r>
          </w:p>
        </w:tc>
      </w:tr>
      <w:tr w:rsidR="003C2645" w:rsidRPr="00742E87" w14:paraId="28A70473" w14:textId="77777777" w:rsidTr="00F96F72">
        <w:trPr>
          <w:trHeight w:val="290"/>
        </w:trPr>
        <w:tc>
          <w:tcPr>
            <w:tcW w:w="9066" w:type="dxa"/>
            <w:tcBorders>
              <w:top w:val="nil"/>
              <w:left w:val="nil"/>
              <w:bottom w:val="nil"/>
              <w:right w:val="nil"/>
            </w:tcBorders>
            <w:shd w:val="clear" w:color="auto" w:fill="auto"/>
            <w:noWrap/>
            <w:vAlign w:val="center"/>
            <w:hideMark/>
          </w:tcPr>
          <w:p w14:paraId="2867940A" w14:textId="77777777" w:rsidR="003C2645" w:rsidRPr="003C2645" w:rsidRDefault="003C2645" w:rsidP="007B1254">
            <w:pPr>
              <w:spacing w:after="220" w:line="240" w:lineRule="auto"/>
              <w:ind w:left="720" w:hanging="720"/>
              <w:rPr>
                <w:rFonts w:eastAsia="Times New Roman" w:cstheme="minorHAnsi"/>
                <w:lang w:val="en-GB" w:eastAsia="en-GB"/>
              </w:rPr>
            </w:pPr>
            <w:r w:rsidRPr="003C2645">
              <w:rPr>
                <w:rFonts w:eastAsia="Times New Roman" w:cstheme="minorHAnsi"/>
                <w:lang w:val="en-GB" w:eastAsia="en-GB"/>
              </w:rPr>
              <w:t xml:space="preserve">Cambridge Economics (2019). E3ME. </w:t>
            </w:r>
            <w:r w:rsidRPr="003C2645">
              <w:rPr>
                <w:rFonts w:eastAsia="Times New Roman" w:cstheme="minorHAnsi"/>
                <w:i/>
                <w:iCs/>
                <w:lang w:val="en-GB" w:eastAsia="en-GB"/>
              </w:rPr>
              <w:t>Technical Manual, Version 6.1. March 2019</w:t>
            </w:r>
            <w:r w:rsidRPr="003C2645">
              <w:rPr>
                <w:rFonts w:eastAsia="Times New Roman" w:cstheme="minorHAnsi"/>
                <w:lang w:val="en-GB" w:eastAsia="en-GB"/>
              </w:rPr>
              <w:t>. Available: https://www.e3me.com/wp-content/uploads/2019/09/E3ME-Technical-Manual-v6.1-onlineSML.pdf (01.02.2019).</w:t>
            </w:r>
          </w:p>
        </w:tc>
      </w:tr>
      <w:tr w:rsidR="003C2645" w:rsidRPr="00F712A5" w14:paraId="1C35DE66" w14:textId="77777777" w:rsidTr="00F96F72">
        <w:trPr>
          <w:trHeight w:val="290"/>
        </w:trPr>
        <w:tc>
          <w:tcPr>
            <w:tcW w:w="9066" w:type="dxa"/>
            <w:tcBorders>
              <w:top w:val="nil"/>
              <w:left w:val="nil"/>
              <w:bottom w:val="nil"/>
              <w:right w:val="nil"/>
            </w:tcBorders>
            <w:shd w:val="clear" w:color="auto" w:fill="auto"/>
            <w:noWrap/>
            <w:vAlign w:val="center"/>
            <w:hideMark/>
          </w:tcPr>
          <w:p w14:paraId="2A6267D3" w14:textId="77777777" w:rsidR="003C2645" w:rsidRPr="00F712A5" w:rsidRDefault="00650294" w:rsidP="007B1254">
            <w:pPr>
              <w:spacing w:after="220" w:line="240" w:lineRule="auto"/>
              <w:ind w:left="720" w:hanging="720"/>
              <w:rPr>
                <w:rFonts w:eastAsia="Times New Roman" w:cstheme="minorHAnsi"/>
                <w:lang w:eastAsia="en-GB"/>
              </w:rPr>
            </w:pPr>
            <w:hyperlink r:id="rId10" w:history="1">
              <w:r w:rsidR="003C2645" w:rsidRPr="00F96F72">
                <w:rPr>
                  <w:rStyle w:val="Hyperlink"/>
                  <w:rFonts w:eastAsia="Times New Roman" w:cstheme="minorHAnsi"/>
                  <w:lang w:val="en-GB" w:eastAsia="en-GB"/>
                </w:rPr>
                <w:t xml:space="preserve">Capellán-Pérez, Iñigo, ñigo Capellán-Pérez (ICM-CSIC), Ignacio de Blas, Jaime Nieto, Carlos de Castro, Luis Javier Miguel, Margarita Mediavilla, Óscar Carpintero, Paula Rodrigo, Fernando Frechoso &amp; Santiago Cáceres (2017). </w:t>
              </w:r>
              <w:r w:rsidR="003C2645" w:rsidRPr="003C2645">
                <w:rPr>
                  <w:rStyle w:val="Hyperlink"/>
                  <w:rFonts w:eastAsia="Times New Roman" w:cstheme="minorHAnsi"/>
                  <w:i/>
                  <w:lang w:val="en-GB" w:eastAsia="en-GB"/>
                </w:rPr>
                <w:t>Guiding European Policy toward a low-carbon economy. Modelling sustainable Energy system Development under Environmental and Socioeconomic constraints</w:t>
              </w:r>
              <w:r w:rsidR="003C2645" w:rsidRPr="003C2645">
                <w:rPr>
                  <w:rStyle w:val="Hyperlink"/>
                  <w:rFonts w:eastAsia="Times New Roman" w:cstheme="minorHAnsi"/>
                  <w:lang w:val="en-GB" w:eastAsia="en-GB"/>
                </w:rPr>
                <w:t xml:space="preserve">. D4.1 (D13) Global Model: MEDEAS-World Model and IOA implementation at global geographical level. </w:t>
              </w:r>
              <w:r w:rsidR="003C2645" w:rsidRPr="00347B8A">
                <w:rPr>
                  <w:rStyle w:val="Hyperlink"/>
                  <w:rFonts w:eastAsia="Times New Roman" w:cstheme="minorHAnsi"/>
                  <w:lang w:eastAsia="en-GB"/>
                </w:rPr>
                <w:t>Available at http://medeas.eu/deliverables (31.07.2018).</w:t>
              </w:r>
            </w:hyperlink>
          </w:p>
        </w:tc>
      </w:tr>
      <w:tr w:rsidR="003C2645" w:rsidRPr="00F712A5" w14:paraId="2B66103D" w14:textId="77777777" w:rsidTr="00F96F72">
        <w:trPr>
          <w:trHeight w:val="290"/>
        </w:trPr>
        <w:tc>
          <w:tcPr>
            <w:tcW w:w="9066" w:type="dxa"/>
            <w:tcBorders>
              <w:top w:val="nil"/>
              <w:left w:val="nil"/>
              <w:bottom w:val="nil"/>
              <w:right w:val="nil"/>
            </w:tcBorders>
            <w:shd w:val="clear" w:color="auto" w:fill="auto"/>
            <w:noWrap/>
            <w:vAlign w:val="center"/>
            <w:hideMark/>
          </w:tcPr>
          <w:p w14:paraId="59A1B33D" w14:textId="77777777" w:rsidR="003C2645" w:rsidRPr="00F712A5" w:rsidRDefault="00650294" w:rsidP="007B1254">
            <w:pPr>
              <w:spacing w:after="220" w:line="240" w:lineRule="auto"/>
              <w:ind w:left="720" w:hanging="720"/>
              <w:rPr>
                <w:rFonts w:eastAsia="Times New Roman" w:cstheme="minorHAnsi"/>
                <w:lang w:eastAsia="en-GB"/>
              </w:rPr>
            </w:pPr>
            <w:hyperlink r:id="rId11" w:history="1">
              <w:r w:rsidR="003C2645" w:rsidRPr="003C2645">
                <w:rPr>
                  <w:rFonts w:eastAsia="Times New Roman" w:cstheme="minorHAnsi"/>
                  <w:lang w:val="en-GB" w:eastAsia="en-GB"/>
                </w:rPr>
                <w:t xml:space="preserve">Capros, P., Van Regemorter, D., Paroussos, L., &amp; Karkatsoulis, P. (2013). GEM-E3 model documentation, JRC technical report, Luxembourg: Publications Office of the European Union. </w:t>
              </w:r>
              <w:r w:rsidR="003C2645" w:rsidRPr="00F712A5">
                <w:rPr>
                  <w:rFonts w:eastAsia="Times New Roman" w:cstheme="minorHAnsi"/>
                  <w:lang w:eastAsia="en-GB"/>
                </w:rPr>
                <w:t xml:space="preserve">Available at: http://ftp.jrc.es/EURdoc/JRC83177.pdf (01.04.2019). </w:t>
              </w:r>
            </w:hyperlink>
          </w:p>
        </w:tc>
      </w:tr>
      <w:tr w:rsidR="003C2645" w:rsidRPr="00F712A5" w14:paraId="12E1857A" w14:textId="77777777" w:rsidTr="00F96F72">
        <w:trPr>
          <w:trHeight w:val="290"/>
        </w:trPr>
        <w:tc>
          <w:tcPr>
            <w:tcW w:w="9066" w:type="dxa"/>
            <w:tcBorders>
              <w:top w:val="nil"/>
              <w:left w:val="nil"/>
              <w:bottom w:val="nil"/>
              <w:right w:val="nil"/>
            </w:tcBorders>
            <w:shd w:val="clear" w:color="auto" w:fill="auto"/>
            <w:noWrap/>
            <w:vAlign w:val="center"/>
            <w:hideMark/>
          </w:tcPr>
          <w:p w14:paraId="0589CF47"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Carroll, C. D. (2001). A theory of the consumption function, with and without liquidity constraints. </w:t>
            </w:r>
            <w:r w:rsidRPr="00F712A5">
              <w:rPr>
                <w:rFonts w:eastAsia="Times New Roman" w:cstheme="minorHAnsi"/>
                <w:i/>
                <w:iCs/>
                <w:lang w:eastAsia="en-GB"/>
              </w:rPr>
              <w:t>Journal of Economic Perspectives</w:t>
            </w:r>
            <w:r w:rsidRPr="00F712A5">
              <w:rPr>
                <w:rFonts w:eastAsia="Times New Roman" w:cstheme="minorHAnsi"/>
                <w:lang w:eastAsia="en-GB"/>
              </w:rPr>
              <w:t xml:space="preserve">, </w:t>
            </w:r>
            <w:r w:rsidRPr="00F712A5">
              <w:rPr>
                <w:rFonts w:eastAsia="Times New Roman" w:cstheme="minorHAnsi"/>
                <w:i/>
                <w:iCs/>
                <w:lang w:eastAsia="en-GB"/>
              </w:rPr>
              <w:t>15</w:t>
            </w:r>
            <w:r w:rsidRPr="00F712A5">
              <w:rPr>
                <w:rFonts w:eastAsia="Times New Roman" w:cstheme="minorHAnsi"/>
                <w:lang w:eastAsia="en-GB"/>
              </w:rPr>
              <w:t xml:space="preserve">(3): 23–45. </w:t>
            </w:r>
          </w:p>
        </w:tc>
      </w:tr>
      <w:tr w:rsidR="003C2645" w:rsidRPr="00F712A5" w14:paraId="1CDF950D" w14:textId="77777777" w:rsidTr="00F96F72">
        <w:trPr>
          <w:trHeight w:val="290"/>
        </w:trPr>
        <w:tc>
          <w:tcPr>
            <w:tcW w:w="9066" w:type="dxa"/>
            <w:tcBorders>
              <w:top w:val="nil"/>
              <w:left w:val="nil"/>
              <w:bottom w:val="nil"/>
              <w:right w:val="nil"/>
            </w:tcBorders>
            <w:shd w:val="clear" w:color="auto" w:fill="auto"/>
            <w:noWrap/>
            <w:vAlign w:val="center"/>
            <w:hideMark/>
          </w:tcPr>
          <w:p w14:paraId="70CA5303"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Caverzasi, E., &amp; Godin, A. (2015). Post-Keynesian stock-flow-consistent modelling: a survey. </w:t>
            </w:r>
            <w:r w:rsidRPr="00F712A5">
              <w:rPr>
                <w:rFonts w:eastAsia="Times New Roman" w:cstheme="minorHAnsi"/>
                <w:i/>
                <w:iCs/>
                <w:lang w:eastAsia="en-GB"/>
              </w:rPr>
              <w:t>Cambridge Journal of Economics</w:t>
            </w:r>
            <w:r w:rsidRPr="00F712A5">
              <w:rPr>
                <w:rFonts w:eastAsia="Times New Roman" w:cstheme="minorHAnsi"/>
                <w:lang w:eastAsia="en-GB"/>
              </w:rPr>
              <w:t xml:space="preserve">, </w:t>
            </w:r>
            <w:r w:rsidRPr="00F712A5">
              <w:rPr>
                <w:rFonts w:eastAsia="Times New Roman" w:cstheme="minorHAnsi"/>
                <w:i/>
                <w:iCs/>
                <w:lang w:eastAsia="en-GB"/>
              </w:rPr>
              <w:t>39</w:t>
            </w:r>
            <w:r w:rsidRPr="00F712A5">
              <w:rPr>
                <w:rFonts w:eastAsia="Times New Roman" w:cstheme="minorHAnsi"/>
                <w:lang w:eastAsia="en-GB"/>
              </w:rPr>
              <w:t>(1), 157-187.</w:t>
            </w:r>
          </w:p>
        </w:tc>
      </w:tr>
      <w:tr w:rsidR="003C2645" w:rsidRPr="00742E87" w14:paraId="0404FC4A" w14:textId="77777777" w:rsidTr="00F96F72">
        <w:trPr>
          <w:trHeight w:val="290"/>
        </w:trPr>
        <w:tc>
          <w:tcPr>
            <w:tcW w:w="9066" w:type="dxa"/>
            <w:tcBorders>
              <w:top w:val="nil"/>
              <w:left w:val="nil"/>
              <w:bottom w:val="nil"/>
              <w:right w:val="nil"/>
            </w:tcBorders>
            <w:shd w:val="clear" w:color="auto" w:fill="auto"/>
            <w:noWrap/>
            <w:vAlign w:val="center"/>
            <w:hideMark/>
          </w:tcPr>
          <w:p w14:paraId="4865CA0C" w14:textId="77777777" w:rsidR="003C2645" w:rsidRPr="003C2645" w:rsidRDefault="003C2645" w:rsidP="007B1254">
            <w:pPr>
              <w:spacing w:after="220" w:line="240" w:lineRule="auto"/>
              <w:ind w:left="720" w:hanging="720"/>
              <w:rPr>
                <w:rFonts w:eastAsia="Times New Roman" w:cstheme="minorHAnsi"/>
                <w:lang w:val="en-GB" w:eastAsia="en-GB"/>
              </w:rPr>
            </w:pPr>
            <w:r w:rsidRPr="00F712A5">
              <w:rPr>
                <w:rFonts w:eastAsia="Times New Roman" w:cstheme="minorHAnsi"/>
                <w:lang w:val="de-CH" w:eastAsia="en-GB"/>
              </w:rPr>
              <w:lastRenderedPageBreak/>
              <w:t xml:space="preserve">Christiano, L. J., Eichenbaum, M. S., &amp; Trabandt, M. (2018). </w:t>
            </w:r>
            <w:r w:rsidRPr="003C2645">
              <w:rPr>
                <w:rFonts w:eastAsia="Times New Roman" w:cstheme="minorHAnsi"/>
                <w:lang w:val="en-GB" w:eastAsia="en-GB"/>
              </w:rPr>
              <w:t xml:space="preserve">On DSGE models. </w:t>
            </w:r>
            <w:r w:rsidRPr="003C2645">
              <w:rPr>
                <w:rFonts w:eastAsia="Times New Roman" w:cstheme="minorHAnsi"/>
                <w:i/>
                <w:iCs/>
                <w:lang w:val="en-GB" w:eastAsia="en-GB"/>
              </w:rPr>
              <w:t>Journal of Economic Perspectives</w:t>
            </w:r>
            <w:r w:rsidRPr="003C2645">
              <w:rPr>
                <w:rFonts w:eastAsia="Times New Roman" w:cstheme="minorHAnsi"/>
                <w:lang w:val="en-GB" w:eastAsia="en-GB"/>
              </w:rPr>
              <w:t xml:space="preserve">, </w:t>
            </w:r>
            <w:r w:rsidRPr="003C2645">
              <w:rPr>
                <w:rFonts w:eastAsia="Times New Roman" w:cstheme="minorHAnsi"/>
                <w:i/>
                <w:iCs/>
                <w:lang w:val="en-GB" w:eastAsia="en-GB"/>
              </w:rPr>
              <w:t>32</w:t>
            </w:r>
            <w:r w:rsidRPr="003C2645">
              <w:rPr>
                <w:rFonts w:eastAsia="Times New Roman" w:cstheme="minorHAnsi"/>
                <w:lang w:val="en-GB" w:eastAsia="en-GB"/>
              </w:rPr>
              <w:t>(3), 113-40.</w:t>
            </w:r>
          </w:p>
        </w:tc>
      </w:tr>
      <w:tr w:rsidR="003C2645" w:rsidRPr="00F712A5" w14:paraId="5426DF4D" w14:textId="77777777" w:rsidTr="00F96F72">
        <w:trPr>
          <w:trHeight w:val="290"/>
        </w:trPr>
        <w:tc>
          <w:tcPr>
            <w:tcW w:w="9066" w:type="dxa"/>
            <w:tcBorders>
              <w:top w:val="nil"/>
              <w:left w:val="nil"/>
              <w:bottom w:val="nil"/>
              <w:right w:val="nil"/>
            </w:tcBorders>
            <w:shd w:val="clear" w:color="auto" w:fill="auto"/>
            <w:noWrap/>
            <w:vAlign w:val="center"/>
            <w:hideMark/>
          </w:tcPr>
          <w:p w14:paraId="4E4F52C3"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Cincotti, S., Raberto, M., &amp; Teglio, A. (2010). Credit money and macroeconomic instability in the agent-based model and simulator Eurace. </w:t>
            </w:r>
            <w:r w:rsidRPr="00F712A5">
              <w:rPr>
                <w:rFonts w:eastAsia="Times New Roman" w:cstheme="minorHAnsi"/>
                <w:i/>
                <w:iCs/>
                <w:lang w:eastAsia="en-GB"/>
              </w:rPr>
              <w:t xml:space="preserve">The Open-Access, Open-Assessment E-Journal. </w:t>
            </w:r>
            <w:r w:rsidRPr="00F712A5">
              <w:rPr>
                <w:rFonts w:eastAsia="Times New Roman" w:cstheme="minorHAnsi"/>
                <w:lang w:eastAsia="en-GB"/>
              </w:rPr>
              <w:t xml:space="preserve">42010-26. </w:t>
            </w:r>
          </w:p>
        </w:tc>
      </w:tr>
      <w:tr w:rsidR="003C2645" w:rsidRPr="00F712A5" w14:paraId="38B6C1AA" w14:textId="77777777" w:rsidTr="00F96F72">
        <w:trPr>
          <w:trHeight w:val="290"/>
        </w:trPr>
        <w:tc>
          <w:tcPr>
            <w:tcW w:w="9066" w:type="dxa"/>
            <w:tcBorders>
              <w:top w:val="nil"/>
              <w:left w:val="nil"/>
              <w:bottom w:val="nil"/>
              <w:right w:val="nil"/>
            </w:tcBorders>
            <w:shd w:val="clear" w:color="auto" w:fill="auto"/>
            <w:noWrap/>
            <w:vAlign w:val="center"/>
            <w:hideMark/>
          </w:tcPr>
          <w:p w14:paraId="72516C5B"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Cohen, A. J., &amp; Harcourt, G. C. (2003). Retrospectives: whatever happened to the Cambridge capital theory controversies?. </w:t>
            </w:r>
            <w:r w:rsidRPr="00F712A5">
              <w:rPr>
                <w:rFonts w:eastAsia="Times New Roman" w:cstheme="minorHAnsi"/>
                <w:i/>
                <w:iCs/>
                <w:lang w:eastAsia="en-GB"/>
              </w:rPr>
              <w:t>The Journal of Economic Perspectives</w:t>
            </w:r>
            <w:r w:rsidRPr="00F712A5">
              <w:rPr>
                <w:rFonts w:eastAsia="Times New Roman" w:cstheme="minorHAnsi"/>
                <w:lang w:eastAsia="en-GB"/>
              </w:rPr>
              <w:t>, </w:t>
            </w:r>
            <w:r w:rsidRPr="00F712A5">
              <w:rPr>
                <w:rFonts w:eastAsia="Times New Roman" w:cstheme="minorHAnsi"/>
                <w:i/>
                <w:iCs/>
                <w:lang w:eastAsia="en-GB"/>
              </w:rPr>
              <w:t>17</w:t>
            </w:r>
            <w:r w:rsidRPr="00F712A5">
              <w:rPr>
                <w:rFonts w:eastAsia="Times New Roman" w:cstheme="minorHAnsi"/>
                <w:lang w:eastAsia="en-GB"/>
              </w:rPr>
              <w:t xml:space="preserve">(1), 199-214. </w:t>
            </w:r>
          </w:p>
        </w:tc>
      </w:tr>
      <w:tr w:rsidR="003C2645" w:rsidRPr="00F712A5" w14:paraId="1B95ECAB" w14:textId="77777777" w:rsidTr="00F96F72">
        <w:trPr>
          <w:trHeight w:val="290"/>
        </w:trPr>
        <w:tc>
          <w:tcPr>
            <w:tcW w:w="9066" w:type="dxa"/>
            <w:tcBorders>
              <w:top w:val="nil"/>
              <w:left w:val="nil"/>
              <w:bottom w:val="nil"/>
              <w:right w:val="nil"/>
            </w:tcBorders>
            <w:shd w:val="clear" w:color="auto" w:fill="auto"/>
            <w:noWrap/>
            <w:vAlign w:val="center"/>
            <w:hideMark/>
          </w:tcPr>
          <w:p w14:paraId="56307218"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de-CH" w:eastAsia="en-GB"/>
              </w:rPr>
              <w:t xml:space="preserve">Colander, D., Goldberg, M., Haas, A., Juselius, K., Kirman, A., Lux, T., &amp; Sloth, B. (2009). </w:t>
            </w:r>
            <w:r w:rsidRPr="003C2645">
              <w:rPr>
                <w:rFonts w:eastAsia="Times New Roman" w:cstheme="minorHAnsi"/>
                <w:lang w:val="en-GB" w:eastAsia="en-GB"/>
              </w:rPr>
              <w:t xml:space="preserve">The financial crisis and the systemic failure of the economics profession. </w:t>
            </w:r>
            <w:r w:rsidRPr="00F712A5">
              <w:rPr>
                <w:rFonts w:eastAsia="Times New Roman" w:cstheme="minorHAnsi"/>
                <w:i/>
                <w:iCs/>
                <w:lang w:val="de-CH" w:eastAsia="en-GB"/>
              </w:rPr>
              <w:t>Critical Review</w:t>
            </w:r>
            <w:r w:rsidRPr="00F712A5">
              <w:rPr>
                <w:rFonts w:eastAsia="Times New Roman" w:cstheme="minorHAnsi"/>
                <w:lang w:val="de-CH" w:eastAsia="en-GB"/>
              </w:rPr>
              <w:t xml:space="preserve">, </w:t>
            </w:r>
            <w:r w:rsidRPr="00F712A5">
              <w:rPr>
                <w:rFonts w:eastAsia="Times New Roman" w:cstheme="minorHAnsi"/>
                <w:i/>
                <w:iCs/>
                <w:lang w:val="de-CH" w:eastAsia="en-GB"/>
              </w:rPr>
              <w:t>21</w:t>
            </w:r>
            <w:r w:rsidRPr="00F712A5">
              <w:rPr>
                <w:rFonts w:eastAsia="Times New Roman" w:cstheme="minorHAnsi"/>
                <w:lang w:val="de-CH" w:eastAsia="en-GB"/>
              </w:rPr>
              <w:t xml:space="preserve">(2-3), 249-267. </w:t>
            </w:r>
          </w:p>
        </w:tc>
      </w:tr>
      <w:tr w:rsidR="003C2645" w:rsidRPr="00F712A5" w14:paraId="19283AA5" w14:textId="77777777" w:rsidTr="00F96F72">
        <w:trPr>
          <w:trHeight w:val="290"/>
        </w:trPr>
        <w:tc>
          <w:tcPr>
            <w:tcW w:w="9066" w:type="dxa"/>
            <w:tcBorders>
              <w:top w:val="nil"/>
              <w:left w:val="nil"/>
              <w:bottom w:val="nil"/>
              <w:right w:val="nil"/>
            </w:tcBorders>
            <w:shd w:val="clear" w:color="auto" w:fill="auto"/>
            <w:noWrap/>
            <w:vAlign w:val="center"/>
            <w:hideMark/>
          </w:tcPr>
          <w:p w14:paraId="61A52FD0"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Costanza, R. (1992). </w:t>
            </w:r>
            <w:r w:rsidRPr="003C2645">
              <w:rPr>
                <w:rFonts w:eastAsia="Times New Roman" w:cstheme="minorHAnsi"/>
                <w:i/>
                <w:iCs/>
                <w:lang w:val="en-GB" w:eastAsia="en-GB"/>
              </w:rPr>
              <w:t>Ecological economics: the science and management of sustainability</w:t>
            </w:r>
            <w:r w:rsidRPr="003C2645">
              <w:rPr>
                <w:rFonts w:eastAsia="Times New Roman" w:cstheme="minorHAnsi"/>
                <w:lang w:val="en-GB" w:eastAsia="en-GB"/>
              </w:rPr>
              <w:t xml:space="preserve">. </w:t>
            </w:r>
            <w:r w:rsidRPr="00F712A5">
              <w:rPr>
                <w:rFonts w:eastAsia="Times New Roman" w:cstheme="minorHAnsi"/>
                <w:lang w:eastAsia="en-GB"/>
              </w:rPr>
              <w:t>Columbia University Press.</w:t>
            </w:r>
          </w:p>
        </w:tc>
      </w:tr>
      <w:tr w:rsidR="003C2645" w:rsidRPr="00F712A5" w14:paraId="43DFC8C7" w14:textId="77777777" w:rsidTr="00F96F72">
        <w:trPr>
          <w:trHeight w:val="290"/>
        </w:trPr>
        <w:tc>
          <w:tcPr>
            <w:tcW w:w="9066" w:type="dxa"/>
            <w:tcBorders>
              <w:top w:val="nil"/>
              <w:left w:val="nil"/>
              <w:bottom w:val="nil"/>
              <w:right w:val="nil"/>
            </w:tcBorders>
            <w:shd w:val="clear" w:color="auto" w:fill="auto"/>
            <w:noWrap/>
            <w:vAlign w:val="center"/>
            <w:hideMark/>
          </w:tcPr>
          <w:p w14:paraId="375E9DFD" w14:textId="77777777" w:rsidR="003C2645" w:rsidRPr="00F712A5" w:rsidRDefault="003C2645" w:rsidP="007B1254">
            <w:pPr>
              <w:spacing w:after="220" w:line="240" w:lineRule="auto"/>
              <w:ind w:left="720" w:hanging="720"/>
              <w:rPr>
                <w:rFonts w:eastAsia="Times New Roman" w:cstheme="minorHAnsi"/>
                <w:lang w:eastAsia="en-GB"/>
              </w:rPr>
            </w:pPr>
            <w:r w:rsidRPr="00F712A5">
              <w:rPr>
                <w:rFonts w:eastAsia="Times New Roman" w:cstheme="minorHAnsi"/>
                <w:lang w:val="de-CH" w:eastAsia="en-GB"/>
              </w:rPr>
              <w:t xml:space="preserve">D’Alessandro, S., Cieplinski, A., Distefano, T., &amp; Dittmer, K. (2020). Feasible alternatives to green growth. </w:t>
            </w:r>
            <w:r w:rsidRPr="00F712A5">
              <w:rPr>
                <w:rFonts w:eastAsia="Times New Roman" w:cstheme="minorHAnsi"/>
                <w:i/>
                <w:iCs/>
                <w:lang w:val="de-CH" w:eastAsia="en-GB"/>
              </w:rPr>
              <w:t>Nature Sustainability</w:t>
            </w:r>
            <w:r w:rsidRPr="00F712A5">
              <w:rPr>
                <w:rFonts w:eastAsia="Times New Roman" w:cstheme="minorHAnsi"/>
                <w:lang w:val="de-CH" w:eastAsia="en-GB"/>
              </w:rPr>
              <w:t>, 1-7.</w:t>
            </w:r>
          </w:p>
        </w:tc>
      </w:tr>
      <w:tr w:rsidR="003C2645" w:rsidRPr="00F712A5" w14:paraId="0962236C" w14:textId="77777777" w:rsidTr="00F96F72">
        <w:trPr>
          <w:trHeight w:val="290"/>
        </w:trPr>
        <w:tc>
          <w:tcPr>
            <w:tcW w:w="9066" w:type="dxa"/>
            <w:tcBorders>
              <w:top w:val="nil"/>
              <w:left w:val="nil"/>
              <w:bottom w:val="nil"/>
              <w:right w:val="nil"/>
            </w:tcBorders>
            <w:shd w:val="clear" w:color="auto" w:fill="auto"/>
            <w:noWrap/>
            <w:vAlign w:val="center"/>
            <w:hideMark/>
          </w:tcPr>
          <w:p w14:paraId="7B265A46" w14:textId="77777777" w:rsidR="003C2645" w:rsidRPr="00F712A5" w:rsidRDefault="003C2645" w:rsidP="007B1254">
            <w:pPr>
              <w:spacing w:after="220" w:line="240" w:lineRule="auto"/>
              <w:ind w:left="720" w:hanging="720"/>
              <w:rPr>
                <w:rFonts w:eastAsia="Times New Roman" w:cstheme="minorHAnsi"/>
                <w:lang w:eastAsia="en-GB"/>
              </w:rPr>
            </w:pPr>
            <w:r w:rsidRPr="00F712A5">
              <w:rPr>
                <w:rFonts w:eastAsia="Times New Roman" w:cstheme="minorHAnsi"/>
                <w:lang w:val="de-CH" w:eastAsia="en-GB"/>
              </w:rPr>
              <w:t xml:space="preserve">Dafermos, Y., Nikolaidi, M., &amp; Galanis, G. (2017). </w:t>
            </w:r>
            <w:r w:rsidRPr="003C2645">
              <w:rPr>
                <w:rFonts w:eastAsia="Times New Roman" w:cstheme="minorHAnsi"/>
                <w:lang w:val="en-GB" w:eastAsia="en-GB"/>
              </w:rPr>
              <w:t>A stock-flow-fund ecological macroeconomic model. </w:t>
            </w:r>
            <w:r w:rsidRPr="00F712A5">
              <w:rPr>
                <w:rFonts w:eastAsia="Times New Roman" w:cstheme="minorHAnsi"/>
                <w:i/>
                <w:iCs/>
                <w:lang w:val="de-CH" w:eastAsia="en-GB"/>
              </w:rPr>
              <w:t>Ecological Economics</w:t>
            </w:r>
            <w:r w:rsidRPr="00F712A5">
              <w:rPr>
                <w:rFonts w:eastAsia="Times New Roman" w:cstheme="minorHAnsi"/>
                <w:lang w:val="de-CH" w:eastAsia="en-GB"/>
              </w:rPr>
              <w:t>, </w:t>
            </w:r>
            <w:r w:rsidRPr="00F712A5">
              <w:rPr>
                <w:rFonts w:eastAsia="Times New Roman" w:cstheme="minorHAnsi"/>
                <w:i/>
                <w:iCs/>
                <w:lang w:val="de-CH" w:eastAsia="en-GB"/>
              </w:rPr>
              <w:t>131</w:t>
            </w:r>
            <w:r w:rsidRPr="00F712A5">
              <w:rPr>
                <w:rFonts w:eastAsia="Times New Roman" w:cstheme="minorHAnsi"/>
                <w:lang w:val="de-CH" w:eastAsia="en-GB"/>
              </w:rPr>
              <w:t>, 191-207.</w:t>
            </w:r>
          </w:p>
        </w:tc>
      </w:tr>
      <w:tr w:rsidR="003C2645" w:rsidRPr="00F712A5" w14:paraId="2E1F20E4" w14:textId="77777777" w:rsidTr="00F96F72">
        <w:trPr>
          <w:trHeight w:val="290"/>
        </w:trPr>
        <w:tc>
          <w:tcPr>
            <w:tcW w:w="9066" w:type="dxa"/>
            <w:tcBorders>
              <w:top w:val="nil"/>
              <w:left w:val="nil"/>
              <w:bottom w:val="nil"/>
              <w:right w:val="nil"/>
            </w:tcBorders>
            <w:shd w:val="clear" w:color="auto" w:fill="auto"/>
            <w:noWrap/>
            <w:vAlign w:val="center"/>
            <w:hideMark/>
          </w:tcPr>
          <w:p w14:paraId="14F5A09B"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Daly, H. E., &amp; Farley, J. (2011). </w:t>
            </w:r>
            <w:r w:rsidRPr="003C2645">
              <w:rPr>
                <w:rFonts w:eastAsia="Times New Roman" w:cstheme="minorHAnsi"/>
                <w:i/>
                <w:iCs/>
                <w:lang w:val="en-GB" w:eastAsia="en-GB"/>
              </w:rPr>
              <w:t>Ecological economics: principles and applications</w:t>
            </w:r>
            <w:r w:rsidRPr="003C2645">
              <w:rPr>
                <w:rFonts w:eastAsia="Times New Roman" w:cstheme="minorHAnsi"/>
                <w:lang w:val="en-GB" w:eastAsia="en-GB"/>
              </w:rPr>
              <w:t xml:space="preserve">. </w:t>
            </w:r>
            <w:r w:rsidRPr="00F712A5">
              <w:rPr>
                <w:rFonts w:eastAsia="Times New Roman" w:cstheme="minorHAnsi"/>
                <w:lang w:eastAsia="en-GB"/>
              </w:rPr>
              <w:t>Island press.</w:t>
            </w:r>
          </w:p>
        </w:tc>
      </w:tr>
      <w:tr w:rsidR="003C2645" w:rsidRPr="00F712A5" w14:paraId="077E3ED0" w14:textId="77777777" w:rsidTr="00F96F72">
        <w:trPr>
          <w:trHeight w:val="290"/>
        </w:trPr>
        <w:tc>
          <w:tcPr>
            <w:tcW w:w="9066" w:type="dxa"/>
            <w:tcBorders>
              <w:top w:val="nil"/>
              <w:left w:val="nil"/>
              <w:bottom w:val="nil"/>
              <w:right w:val="nil"/>
            </w:tcBorders>
            <w:shd w:val="clear" w:color="auto" w:fill="auto"/>
            <w:noWrap/>
            <w:vAlign w:val="center"/>
            <w:hideMark/>
          </w:tcPr>
          <w:p w14:paraId="7B3DA8B6"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Davidson, P. (1982). Rational expectations: a fallacious foundation for studying crucial decision-making processes. </w:t>
            </w:r>
            <w:r w:rsidRPr="00F712A5">
              <w:rPr>
                <w:rFonts w:eastAsia="Times New Roman" w:cstheme="minorHAnsi"/>
                <w:i/>
                <w:iCs/>
                <w:lang w:eastAsia="en-GB"/>
              </w:rPr>
              <w:t>Journal of Post Keynesian Economics</w:t>
            </w:r>
            <w:r w:rsidRPr="00F712A5">
              <w:rPr>
                <w:rFonts w:eastAsia="Times New Roman" w:cstheme="minorHAnsi"/>
                <w:lang w:eastAsia="en-GB"/>
              </w:rPr>
              <w:t xml:space="preserve">, </w:t>
            </w:r>
            <w:r w:rsidRPr="00F712A5">
              <w:rPr>
                <w:rFonts w:eastAsia="Times New Roman" w:cstheme="minorHAnsi"/>
                <w:i/>
                <w:iCs/>
                <w:lang w:eastAsia="en-GB"/>
              </w:rPr>
              <w:t>5</w:t>
            </w:r>
            <w:r w:rsidRPr="00F712A5">
              <w:rPr>
                <w:rFonts w:eastAsia="Times New Roman" w:cstheme="minorHAnsi"/>
                <w:lang w:eastAsia="en-GB"/>
              </w:rPr>
              <w:t xml:space="preserve">(2), 182-198. </w:t>
            </w:r>
          </w:p>
        </w:tc>
      </w:tr>
      <w:tr w:rsidR="003C2645" w:rsidRPr="00F712A5" w14:paraId="5610F5E3" w14:textId="77777777" w:rsidTr="00F96F72">
        <w:trPr>
          <w:trHeight w:val="290"/>
        </w:trPr>
        <w:tc>
          <w:tcPr>
            <w:tcW w:w="9066" w:type="dxa"/>
            <w:tcBorders>
              <w:top w:val="nil"/>
              <w:left w:val="nil"/>
              <w:bottom w:val="nil"/>
              <w:right w:val="nil"/>
            </w:tcBorders>
            <w:shd w:val="clear" w:color="auto" w:fill="auto"/>
            <w:noWrap/>
            <w:vAlign w:val="center"/>
            <w:hideMark/>
          </w:tcPr>
          <w:p w14:paraId="113C6C3C"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De Bondt, W. F., &amp; Thaler, R. H. (1995). Financial decision-making in markets and firms: A behavioral perspective. </w:t>
            </w:r>
            <w:r w:rsidRPr="00F712A5">
              <w:rPr>
                <w:rFonts w:eastAsia="Times New Roman" w:cstheme="minorHAnsi"/>
                <w:i/>
                <w:iCs/>
                <w:lang w:eastAsia="en-GB"/>
              </w:rPr>
              <w:t>Handbooks in operations research and management science</w:t>
            </w:r>
            <w:r w:rsidRPr="00F712A5">
              <w:rPr>
                <w:rFonts w:eastAsia="Times New Roman" w:cstheme="minorHAnsi"/>
                <w:lang w:eastAsia="en-GB"/>
              </w:rPr>
              <w:t xml:space="preserve">, </w:t>
            </w:r>
            <w:r w:rsidRPr="00F712A5">
              <w:rPr>
                <w:rFonts w:eastAsia="Times New Roman" w:cstheme="minorHAnsi"/>
                <w:i/>
                <w:iCs/>
                <w:lang w:eastAsia="en-GB"/>
              </w:rPr>
              <w:t>9</w:t>
            </w:r>
            <w:r w:rsidRPr="00F712A5">
              <w:rPr>
                <w:rFonts w:eastAsia="Times New Roman" w:cstheme="minorHAnsi"/>
                <w:lang w:eastAsia="en-GB"/>
              </w:rPr>
              <w:t>, 385-410.</w:t>
            </w:r>
          </w:p>
        </w:tc>
      </w:tr>
      <w:tr w:rsidR="003C2645" w:rsidRPr="00F712A5" w14:paraId="57271843" w14:textId="77777777" w:rsidTr="00F96F72">
        <w:trPr>
          <w:trHeight w:val="290"/>
        </w:trPr>
        <w:tc>
          <w:tcPr>
            <w:tcW w:w="9066" w:type="dxa"/>
            <w:tcBorders>
              <w:top w:val="nil"/>
              <w:left w:val="nil"/>
              <w:bottom w:val="nil"/>
              <w:right w:val="nil"/>
            </w:tcBorders>
            <w:shd w:val="clear" w:color="auto" w:fill="auto"/>
            <w:noWrap/>
            <w:vAlign w:val="center"/>
            <w:hideMark/>
          </w:tcPr>
          <w:p w14:paraId="63B5F93A"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Deaton, A. (1992). Household saving in LDCs: credit markets, insurance and welfare. </w:t>
            </w:r>
            <w:r w:rsidRPr="00F712A5">
              <w:rPr>
                <w:rFonts w:eastAsia="Times New Roman" w:cstheme="minorHAnsi"/>
                <w:i/>
                <w:iCs/>
                <w:lang w:eastAsia="en-GB"/>
              </w:rPr>
              <w:t>The Scandinavian Journal of Economics</w:t>
            </w:r>
            <w:r w:rsidRPr="00F712A5">
              <w:rPr>
                <w:rFonts w:eastAsia="Times New Roman" w:cstheme="minorHAnsi"/>
                <w:lang w:eastAsia="en-GB"/>
              </w:rPr>
              <w:t xml:space="preserve">, </w:t>
            </w:r>
            <w:r w:rsidRPr="00F712A5">
              <w:rPr>
                <w:rFonts w:eastAsia="Times New Roman" w:cstheme="minorHAnsi"/>
                <w:i/>
                <w:iCs/>
                <w:lang w:eastAsia="en-GB"/>
              </w:rPr>
              <w:t>94</w:t>
            </w:r>
            <w:r w:rsidRPr="00F712A5">
              <w:rPr>
                <w:rFonts w:eastAsia="Times New Roman" w:cstheme="minorHAnsi"/>
                <w:lang w:eastAsia="en-GB"/>
              </w:rPr>
              <w:t>(2): 253–273.</w:t>
            </w:r>
          </w:p>
        </w:tc>
      </w:tr>
      <w:tr w:rsidR="003C2645" w:rsidRPr="00F712A5" w14:paraId="099DEE49" w14:textId="77777777" w:rsidTr="00F96F72">
        <w:trPr>
          <w:trHeight w:val="290"/>
        </w:trPr>
        <w:tc>
          <w:tcPr>
            <w:tcW w:w="9066" w:type="dxa"/>
            <w:tcBorders>
              <w:top w:val="nil"/>
              <w:left w:val="nil"/>
              <w:bottom w:val="nil"/>
              <w:right w:val="nil"/>
            </w:tcBorders>
            <w:shd w:val="clear" w:color="auto" w:fill="auto"/>
            <w:noWrap/>
            <w:vAlign w:val="center"/>
            <w:hideMark/>
          </w:tcPr>
          <w:p w14:paraId="11DA954A"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DeCanio, S. (2003). </w:t>
            </w:r>
            <w:r w:rsidRPr="003C2645">
              <w:rPr>
                <w:rFonts w:eastAsia="Times New Roman" w:cstheme="minorHAnsi"/>
                <w:i/>
                <w:iCs/>
                <w:lang w:val="en-GB" w:eastAsia="en-GB"/>
              </w:rPr>
              <w:t>Economic models of climate change: a critique</w:t>
            </w:r>
            <w:r w:rsidRPr="003C2645">
              <w:rPr>
                <w:rFonts w:eastAsia="Times New Roman" w:cstheme="minorHAnsi"/>
                <w:lang w:val="en-GB" w:eastAsia="en-GB"/>
              </w:rPr>
              <w:t xml:space="preserve">. </w:t>
            </w:r>
            <w:r w:rsidRPr="00F712A5">
              <w:rPr>
                <w:rFonts w:eastAsia="Times New Roman" w:cstheme="minorHAnsi"/>
                <w:lang w:eastAsia="en-GB"/>
              </w:rPr>
              <w:t>Springer.</w:t>
            </w:r>
          </w:p>
        </w:tc>
      </w:tr>
      <w:tr w:rsidR="003C2645" w:rsidRPr="00F712A5" w14:paraId="2BF365D8" w14:textId="77777777" w:rsidTr="00F96F72">
        <w:trPr>
          <w:trHeight w:val="290"/>
        </w:trPr>
        <w:tc>
          <w:tcPr>
            <w:tcW w:w="9066" w:type="dxa"/>
            <w:tcBorders>
              <w:top w:val="nil"/>
              <w:left w:val="nil"/>
              <w:bottom w:val="nil"/>
              <w:right w:val="nil"/>
            </w:tcBorders>
            <w:shd w:val="clear" w:color="auto" w:fill="auto"/>
            <w:noWrap/>
            <w:vAlign w:val="center"/>
            <w:hideMark/>
          </w:tcPr>
          <w:p w14:paraId="0ACB150E"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de-CH" w:eastAsia="en-GB"/>
              </w:rPr>
              <w:t xml:space="preserve">Deissenberg, C., Van Der Hoog, S., &amp; Dawid, H. (2008). </w:t>
            </w:r>
            <w:r w:rsidRPr="003C2645">
              <w:rPr>
                <w:rFonts w:eastAsia="Times New Roman" w:cstheme="minorHAnsi"/>
                <w:lang w:val="en-GB" w:eastAsia="en-GB"/>
              </w:rPr>
              <w:t xml:space="preserve">EURACE: A massively parallel agent-based model of the European economy. </w:t>
            </w:r>
            <w:r w:rsidRPr="00F712A5">
              <w:rPr>
                <w:rFonts w:eastAsia="Times New Roman" w:cstheme="minorHAnsi"/>
                <w:i/>
                <w:iCs/>
                <w:lang w:val="de-CH" w:eastAsia="en-GB"/>
              </w:rPr>
              <w:t>Applied Mathematics and Computation</w:t>
            </w:r>
            <w:r w:rsidRPr="00F712A5">
              <w:rPr>
                <w:rFonts w:eastAsia="Times New Roman" w:cstheme="minorHAnsi"/>
                <w:lang w:val="de-CH" w:eastAsia="en-GB"/>
              </w:rPr>
              <w:t xml:space="preserve">, </w:t>
            </w:r>
            <w:r w:rsidRPr="00F712A5">
              <w:rPr>
                <w:rFonts w:eastAsia="Times New Roman" w:cstheme="minorHAnsi"/>
                <w:i/>
                <w:iCs/>
                <w:lang w:val="de-CH" w:eastAsia="en-GB"/>
              </w:rPr>
              <w:t>204</w:t>
            </w:r>
            <w:r w:rsidRPr="00F712A5">
              <w:rPr>
                <w:rFonts w:eastAsia="Times New Roman" w:cstheme="minorHAnsi"/>
                <w:lang w:val="de-CH" w:eastAsia="en-GB"/>
              </w:rPr>
              <w:t>(2), 541-552.</w:t>
            </w:r>
          </w:p>
        </w:tc>
      </w:tr>
      <w:tr w:rsidR="003C2645" w:rsidRPr="00742E87" w14:paraId="3FF44833" w14:textId="77777777" w:rsidTr="00F96F72">
        <w:trPr>
          <w:trHeight w:val="290"/>
        </w:trPr>
        <w:tc>
          <w:tcPr>
            <w:tcW w:w="9066" w:type="dxa"/>
            <w:tcBorders>
              <w:top w:val="nil"/>
              <w:left w:val="nil"/>
              <w:bottom w:val="nil"/>
              <w:right w:val="nil"/>
            </w:tcBorders>
            <w:shd w:val="clear" w:color="auto" w:fill="auto"/>
            <w:noWrap/>
            <w:vAlign w:val="center"/>
            <w:hideMark/>
          </w:tcPr>
          <w:p w14:paraId="3396EC4E" w14:textId="77777777" w:rsidR="003C2645" w:rsidRPr="00F96F72" w:rsidRDefault="003C2645" w:rsidP="007B1254">
            <w:pPr>
              <w:spacing w:after="220" w:line="240" w:lineRule="auto"/>
              <w:ind w:left="720" w:hanging="720"/>
              <w:rPr>
                <w:rFonts w:eastAsia="Times New Roman" w:cstheme="minorHAnsi"/>
                <w:lang w:val="en-GB" w:eastAsia="en-GB"/>
              </w:rPr>
            </w:pPr>
            <w:r w:rsidRPr="003C2645">
              <w:rPr>
                <w:rFonts w:eastAsia="Times New Roman" w:cstheme="minorHAnsi"/>
                <w:lang w:val="en-GB" w:eastAsia="en-GB"/>
              </w:rPr>
              <w:t>Dixon, P. B., &amp; Jorgenson, D. W. (Eds.). (2012). </w:t>
            </w:r>
            <w:r w:rsidRPr="003C2645">
              <w:rPr>
                <w:rFonts w:eastAsia="Times New Roman" w:cstheme="minorHAnsi"/>
                <w:i/>
                <w:iCs/>
                <w:lang w:val="en-GB" w:eastAsia="en-GB"/>
              </w:rPr>
              <w:t>Handbook of Computable General Equilibrium Modeling: Volume 1A</w:t>
            </w:r>
            <w:r w:rsidRPr="003C2645">
              <w:rPr>
                <w:rFonts w:eastAsia="Times New Roman" w:cstheme="minorHAnsi"/>
                <w:lang w:val="en-GB" w:eastAsia="en-GB"/>
              </w:rPr>
              <w:t xml:space="preserve">. </w:t>
            </w:r>
            <w:r w:rsidRPr="00F96F72">
              <w:rPr>
                <w:rFonts w:eastAsia="Times New Roman" w:cstheme="minorHAnsi"/>
                <w:lang w:val="en-GB" w:eastAsia="en-GB"/>
              </w:rPr>
              <w:t>Newnes.</w:t>
            </w:r>
          </w:p>
        </w:tc>
      </w:tr>
      <w:tr w:rsidR="003C2645" w:rsidRPr="00F712A5" w14:paraId="426F0A41" w14:textId="77777777" w:rsidTr="00F96F72">
        <w:trPr>
          <w:trHeight w:val="290"/>
        </w:trPr>
        <w:tc>
          <w:tcPr>
            <w:tcW w:w="9066" w:type="dxa"/>
            <w:tcBorders>
              <w:top w:val="nil"/>
              <w:left w:val="nil"/>
              <w:bottom w:val="nil"/>
              <w:right w:val="nil"/>
            </w:tcBorders>
            <w:shd w:val="clear" w:color="auto" w:fill="auto"/>
            <w:noWrap/>
            <w:vAlign w:val="center"/>
            <w:hideMark/>
          </w:tcPr>
          <w:p w14:paraId="19829A88"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Dos Santos, C. H. (2006). Keynesian theorising during hard times: stock-flow consistent models as an unexplored ‘frontier’of Keynesian macroeconomics. </w:t>
            </w:r>
            <w:r w:rsidRPr="00F712A5">
              <w:rPr>
                <w:rFonts w:eastAsia="Times New Roman" w:cstheme="minorHAnsi"/>
                <w:i/>
                <w:iCs/>
                <w:lang w:eastAsia="en-GB"/>
              </w:rPr>
              <w:t>Cambridge Journal of Economics</w:t>
            </w:r>
            <w:r w:rsidRPr="00F712A5">
              <w:rPr>
                <w:rFonts w:eastAsia="Times New Roman" w:cstheme="minorHAnsi"/>
                <w:lang w:eastAsia="en-GB"/>
              </w:rPr>
              <w:t xml:space="preserve">, </w:t>
            </w:r>
            <w:r w:rsidRPr="00F712A5">
              <w:rPr>
                <w:rFonts w:eastAsia="Times New Roman" w:cstheme="minorHAnsi"/>
                <w:i/>
                <w:iCs/>
                <w:lang w:eastAsia="en-GB"/>
              </w:rPr>
              <w:t>30</w:t>
            </w:r>
            <w:r w:rsidRPr="00F712A5">
              <w:rPr>
                <w:rFonts w:eastAsia="Times New Roman" w:cstheme="minorHAnsi"/>
                <w:lang w:eastAsia="en-GB"/>
              </w:rPr>
              <w:t>(4), 541-565.</w:t>
            </w:r>
          </w:p>
        </w:tc>
      </w:tr>
      <w:tr w:rsidR="003C2645" w:rsidRPr="00F712A5" w14:paraId="66146B66" w14:textId="77777777" w:rsidTr="00F96F72">
        <w:trPr>
          <w:trHeight w:val="290"/>
        </w:trPr>
        <w:tc>
          <w:tcPr>
            <w:tcW w:w="9066" w:type="dxa"/>
            <w:tcBorders>
              <w:top w:val="nil"/>
              <w:left w:val="nil"/>
              <w:bottom w:val="nil"/>
              <w:right w:val="nil"/>
            </w:tcBorders>
            <w:shd w:val="clear" w:color="auto" w:fill="auto"/>
            <w:noWrap/>
            <w:vAlign w:val="center"/>
            <w:hideMark/>
          </w:tcPr>
          <w:p w14:paraId="38E937F4"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Dosi, G., &amp; Nelson, R. R. (1994). An introduction to evolutionary theories in economics. </w:t>
            </w:r>
            <w:r w:rsidRPr="00F712A5">
              <w:rPr>
                <w:rFonts w:eastAsia="Times New Roman" w:cstheme="minorHAnsi"/>
                <w:i/>
                <w:iCs/>
                <w:lang w:eastAsia="en-GB"/>
              </w:rPr>
              <w:t>Journal of evolutionary economics</w:t>
            </w:r>
            <w:r w:rsidRPr="00F712A5">
              <w:rPr>
                <w:rFonts w:eastAsia="Times New Roman" w:cstheme="minorHAnsi"/>
                <w:lang w:eastAsia="en-GB"/>
              </w:rPr>
              <w:t xml:space="preserve">, </w:t>
            </w:r>
            <w:r w:rsidRPr="00F712A5">
              <w:rPr>
                <w:rFonts w:eastAsia="Times New Roman" w:cstheme="minorHAnsi"/>
                <w:i/>
                <w:iCs/>
                <w:lang w:eastAsia="en-GB"/>
              </w:rPr>
              <w:t>4</w:t>
            </w:r>
            <w:r w:rsidRPr="00F712A5">
              <w:rPr>
                <w:rFonts w:eastAsia="Times New Roman" w:cstheme="minorHAnsi"/>
                <w:lang w:eastAsia="en-GB"/>
              </w:rPr>
              <w:t>(3), 153-172.</w:t>
            </w:r>
          </w:p>
        </w:tc>
      </w:tr>
      <w:tr w:rsidR="003C2645" w:rsidRPr="00F712A5" w14:paraId="3043B6D0" w14:textId="77777777" w:rsidTr="00F96F72">
        <w:trPr>
          <w:trHeight w:val="290"/>
        </w:trPr>
        <w:tc>
          <w:tcPr>
            <w:tcW w:w="9066" w:type="dxa"/>
            <w:tcBorders>
              <w:top w:val="nil"/>
              <w:left w:val="nil"/>
              <w:bottom w:val="nil"/>
              <w:right w:val="nil"/>
            </w:tcBorders>
            <w:shd w:val="clear" w:color="auto" w:fill="auto"/>
            <w:noWrap/>
            <w:vAlign w:val="center"/>
            <w:hideMark/>
          </w:tcPr>
          <w:p w14:paraId="38690724"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Doukas, H., Nikas, A., González-Eguino, M., Arto, I., &amp; Anger-Kraavi, A. (2018). From integrated to integrative: Delivering on the Paris Agreement. </w:t>
            </w:r>
            <w:r w:rsidRPr="00F712A5">
              <w:rPr>
                <w:rFonts w:eastAsia="Times New Roman" w:cstheme="minorHAnsi"/>
                <w:i/>
                <w:iCs/>
                <w:lang w:eastAsia="en-GB"/>
              </w:rPr>
              <w:t>Sustainability</w:t>
            </w:r>
            <w:r w:rsidRPr="00F712A5">
              <w:rPr>
                <w:rFonts w:eastAsia="Times New Roman" w:cstheme="minorHAnsi"/>
                <w:lang w:eastAsia="en-GB"/>
              </w:rPr>
              <w:t xml:space="preserve">, </w:t>
            </w:r>
            <w:r w:rsidRPr="00F712A5">
              <w:rPr>
                <w:rFonts w:eastAsia="Times New Roman" w:cstheme="minorHAnsi"/>
                <w:i/>
                <w:iCs/>
                <w:lang w:eastAsia="en-GB"/>
              </w:rPr>
              <w:t>10</w:t>
            </w:r>
            <w:r w:rsidRPr="00F712A5">
              <w:rPr>
                <w:rFonts w:eastAsia="Times New Roman" w:cstheme="minorHAnsi"/>
                <w:lang w:eastAsia="en-GB"/>
              </w:rPr>
              <w:t>(7), 2299.</w:t>
            </w:r>
          </w:p>
        </w:tc>
      </w:tr>
      <w:tr w:rsidR="003C2645" w:rsidRPr="00F712A5" w14:paraId="2C521B45" w14:textId="77777777" w:rsidTr="00F96F72">
        <w:trPr>
          <w:trHeight w:val="290"/>
        </w:trPr>
        <w:tc>
          <w:tcPr>
            <w:tcW w:w="9066" w:type="dxa"/>
            <w:tcBorders>
              <w:top w:val="nil"/>
              <w:left w:val="nil"/>
              <w:bottom w:val="nil"/>
              <w:right w:val="nil"/>
            </w:tcBorders>
            <w:shd w:val="clear" w:color="auto" w:fill="auto"/>
            <w:noWrap/>
            <w:vAlign w:val="center"/>
            <w:hideMark/>
          </w:tcPr>
          <w:p w14:paraId="30C90F06"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Dow, S. C. (1997). Methodological pluralism and pluralism of method. </w:t>
            </w:r>
            <w:r w:rsidRPr="00F712A5">
              <w:rPr>
                <w:rFonts w:eastAsia="Times New Roman" w:cstheme="minorHAnsi"/>
                <w:i/>
                <w:iCs/>
                <w:lang w:eastAsia="en-GB"/>
              </w:rPr>
              <w:t>Pluralism in economics: New perspectives in history and methodology</w:t>
            </w:r>
            <w:r w:rsidRPr="00F712A5">
              <w:rPr>
                <w:rFonts w:eastAsia="Times New Roman" w:cstheme="minorHAnsi"/>
                <w:lang w:eastAsia="en-GB"/>
              </w:rPr>
              <w:t>, 89-99.</w:t>
            </w:r>
          </w:p>
        </w:tc>
      </w:tr>
      <w:tr w:rsidR="003C2645" w:rsidRPr="00742E87" w14:paraId="6E932D75" w14:textId="77777777" w:rsidTr="00F96F72">
        <w:trPr>
          <w:trHeight w:val="290"/>
        </w:trPr>
        <w:tc>
          <w:tcPr>
            <w:tcW w:w="9066" w:type="dxa"/>
            <w:tcBorders>
              <w:top w:val="nil"/>
              <w:left w:val="nil"/>
              <w:bottom w:val="nil"/>
              <w:right w:val="nil"/>
            </w:tcBorders>
            <w:shd w:val="clear" w:color="auto" w:fill="auto"/>
            <w:noWrap/>
            <w:vAlign w:val="center"/>
            <w:hideMark/>
          </w:tcPr>
          <w:p w14:paraId="64ECE17C" w14:textId="77777777" w:rsidR="003C2645" w:rsidRPr="003C2645" w:rsidRDefault="003C2645" w:rsidP="007B1254">
            <w:pPr>
              <w:spacing w:after="220" w:line="240" w:lineRule="auto"/>
              <w:ind w:left="720" w:hanging="720"/>
              <w:rPr>
                <w:rFonts w:eastAsia="Times New Roman" w:cstheme="minorHAnsi"/>
                <w:lang w:val="en-GB" w:eastAsia="en-GB"/>
              </w:rPr>
            </w:pPr>
            <w:r w:rsidRPr="003C2645">
              <w:rPr>
                <w:rFonts w:eastAsia="Times New Roman" w:cstheme="minorHAnsi"/>
                <w:lang w:val="en-GB" w:eastAsia="en-GB"/>
              </w:rPr>
              <w:lastRenderedPageBreak/>
              <w:t>Duesenberry, J. S. (1949). Income, saving, and the theory of consumer behavior.</w:t>
            </w:r>
          </w:p>
        </w:tc>
      </w:tr>
      <w:tr w:rsidR="003C2645" w:rsidRPr="00742E87" w14:paraId="07EC48E3" w14:textId="77777777" w:rsidTr="00F96F72">
        <w:trPr>
          <w:trHeight w:val="290"/>
        </w:trPr>
        <w:tc>
          <w:tcPr>
            <w:tcW w:w="9066" w:type="dxa"/>
            <w:tcBorders>
              <w:top w:val="nil"/>
              <w:left w:val="nil"/>
              <w:bottom w:val="nil"/>
              <w:right w:val="nil"/>
            </w:tcBorders>
            <w:shd w:val="clear" w:color="auto" w:fill="auto"/>
            <w:noWrap/>
            <w:vAlign w:val="center"/>
            <w:hideMark/>
          </w:tcPr>
          <w:p w14:paraId="70704E70" w14:textId="0D34051A" w:rsidR="00C67442" w:rsidRPr="00C83848" w:rsidRDefault="00C67442" w:rsidP="007B1254">
            <w:pPr>
              <w:spacing w:after="220" w:line="240" w:lineRule="auto"/>
              <w:ind w:left="720" w:hanging="720"/>
              <w:rPr>
                <w:rFonts w:cstheme="minorHAnsi"/>
                <w:color w:val="222222"/>
                <w:szCs w:val="22"/>
                <w:lang w:val="en-GB"/>
              </w:rPr>
            </w:pPr>
            <w:r w:rsidRPr="00C83848">
              <w:rPr>
                <w:rFonts w:cstheme="minorHAnsi"/>
                <w:color w:val="222222"/>
                <w:szCs w:val="22"/>
              </w:rPr>
              <w:t xml:space="preserve">Dunz, N., Monasterolo, I., &amp; Raberto, M. (2018). </w:t>
            </w:r>
            <w:r w:rsidRPr="00C83848">
              <w:rPr>
                <w:rFonts w:cstheme="minorHAnsi"/>
                <w:color w:val="222222"/>
                <w:szCs w:val="22"/>
                <w:lang w:val="en-GB"/>
              </w:rPr>
              <w:t xml:space="preserve">Don’t Forget Climate Sentiments: Real and Financial Markets’ Reactions to Climate Risks. </w:t>
            </w:r>
            <w:r w:rsidRPr="00C83848">
              <w:rPr>
                <w:rFonts w:cstheme="minorHAnsi"/>
                <w:i/>
                <w:iCs/>
                <w:color w:val="222222"/>
                <w:szCs w:val="22"/>
                <w:lang w:val="en-GB"/>
              </w:rPr>
              <w:t>Available at SSRN 3264181</w:t>
            </w:r>
            <w:r w:rsidRPr="00C83848">
              <w:rPr>
                <w:rFonts w:cstheme="minorHAnsi"/>
                <w:color w:val="222222"/>
                <w:szCs w:val="22"/>
                <w:lang w:val="en-GB"/>
              </w:rPr>
              <w:t>.</w:t>
            </w:r>
          </w:p>
          <w:p w14:paraId="281BCDFC" w14:textId="77777777" w:rsidR="00DA0CBE" w:rsidRPr="00F96F72" w:rsidRDefault="00DA0CBE" w:rsidP="007B1254">
            <w:pPr>
              <w:spacing w:after="220" w:line="240" w:lineRule="auto"/>
              <w:ind w:left="720" w:hanging="720"/>
              <w:rPr>
                <w:rFonts w:cstheme="minorHAnsi"/>
                <w:color w:val="323232"/>
                <w:spacing w:val="10"/>
                <w:szCs w:val="22"/>
                <w:lang w:val="en-GB"/>
              </w:rPr>
            </w:pPr>
            <w:r w:rsidRPr="00F96F72">
              <w:rPr>
                <w:rFonts w:cstheme="minorHAnsi"/>
                <w:color w:val="323232"/>
                <w:spacing w:val="10"/>
                <w:szCs w:val="22"/>
                <w:lang w:val="en-GB"/>
              </w:rPr>
              <w:t xml:space="preserve">Dunz, N., Naqvi, A., Monasterolo, I. (2019). </w:t>
            </w:r>
            <w:r w:rsidRPr="00C83848">
              <w:rPr>
                <w:rFonts w:cstheme="minorHAnsi"/>
                <w:color w:val="323232"/>
                <w:spacing w:val="10"/>
                <w:szCs w:val="22"/>
                <w:lang w:val="en-GB"/>
              </w:rPr>
              <w:t xml:space="preserve">Climate Transition Risk, Climate Sentiments, and Financial Stability in a Stock-Flow Consistent approach. </w:t>
            </w:r>
            <w:r w:rsidRPr="00C83848">
              <w:rPr>
                <w:rStyle w:val="Emphasis"/>
                <w:rFonts w:cstheme="minorHAnsi"/>
                <w:color w:val="323232"/>
                <w:spacing w:val="10"/>
                <w:szCs w:val="22"/>
                <w:lang w:val="en-GB"/>
              </w:rPr>
              <w:t>Ecological Economic Papers</w:t>
            </w:r>
            <w:r w:rsidRPr="00C83848">
              <w:rPr>
                <w:rFonts w:cstheme="minorHAnsi"/>
                <w:color w:val="323232"/>
                <w:spacing w:val="10"/>
                <w:szCs w:val="22"/>
                <w:lang w:val="en-GB"/>
              </w:rPr>
              <w:t xml:space="preserve">, 23 (R&amp;R at </w:t>
            </w:r>
            <w:r w:rsidRPr="00C83848">
              <w:rPr>
                <w:rStyle w:val="Emphasis"/>
                <w:rFonts w:cstheme="minorHAnsi"/>
                <w:color w:val="323232"/>
                <w:spacing w:val="10"/>
                <w:szCs w:val="22"/>
                <w:lang w:val="en-GB"/>
              </w:rPr>
              <w:t>Journal of Financial Stability</w:t>
            </w:r>
            <w:r w:rsidRPr="00C83848">
              <w:rPr>
                <w:rFonts w:cstheme="minorHAnsi"/>
                <w:color w:val="323232"/>
                <w:spacing w:val="10"/>
                <w:szCs w:val="22"/>
                <w:lang w:val="en-GB"/>
              </w:rPr>
              <w:t>).</w:t>
            </w:r>
          </w:p>
          <w:p w14:paraId="1F43D26C" w14:textId="58574C6D" w:rsidR="003C2645" w:rsidRPr="003C2645" w:rsidRDefault="00650294" w:rsidP="007B1254">
            <w:pPr>
              <w:spacing w:after="220" w:line="240" w:lineRule="auto"/>
              <w:ind w:left="720" w:hanging="720"/>
              <w:rPr>
                <w:rFonts w:eastAsia="Times New Roman" w:cstheme="minorHAnsi"/>
                <w:lang w:val="en-GB" w:eastAsia="en-GB"/>
              </w:rPr>
            </w:pPr>
            <w:hyperlink r:id="rId12" w:history="1">
              <w:r w:rsidR="003C2645" w:rsidRPr="003C2645">
                <w:rPr>
                  <w:rFonts w:eastAsia="Times New Roman" w:cstheme="minorHAnsi"/>
                  <w:lang w:val="en-GB" w:eastAsia="en-GB"/>
                </w:rPr>
                <w:t xml:space="preserve">EC (2014). Climate and energy priorities for Europe: the way forward. Presentation of J.M. Barroso. Available at: https://ec.europa.eu/clima/sites/clima/files/strategies/2030/docs/climate_energy_priorities_en.pdf (08.03.2019). </w:t>
              </w:r>
            </w:hyperlink>
          </w:p>
        </w:tc>
      </w:tr>
      <w:tr w:rsidR="003C2645" w:rsidRPr="00F712A5" w14:paraId="4C7B8CA9" w14:textId="77777777" w:rsidTr="00F96F72">
        <w:trPr>
          <w:trHeight w:val="290"/>
        </w:trPr>
        <w:tc>
          <w:tcPr>
            <w:tcW w:w="9066" w:type="dxa"/>
            <w:tcBorders>
              <w:top w:val="nil"/>
              <w:left w:val="nil"/>
              <w:bottom w:val="nil"/>
              <w:right w:val="nil"/>
            </w:tcBorders>
            <w:shd w:val="clear" w:color="auto" w:fill="auto"/>
            <w:noWrap/>
            <w:vAlign w:val="center"/>
            <w:hideMark/>
          </w:tcPr>
          <w:p w14:paraId="0EB4E32A"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Fagerberg, J. (2003). Schumpeter and the revival of evolutionary economics: an appraisal of the literature. </w:t>
            </w:r>
            <w:r w:rsidRPr="00F712A5">
              <w:rPr>
                <w:rFonts w:eastAsia="Times New Roman" w:cstheme="minorHAnsi"/>
                <w:i/>
                <w:iCs/>
                <w:lang w:eastAsia="en-GB"/>
              </w:rPr>
              <w:t>Journal of evolutionary economics</w:t>
            </w:r>
            <w:r w:rsidRPr="00F712A5">
              <w:rPr>
                <w:rFonts w:eastAsia="Times New Roman" w:cstheme="minorHAnsi"/>
                <w:lang w:eastAsia="en-GB"/>
              </w:rPr>
              <w:t xml:space="preserve">, </w:t>
            </w:r>
            <w:r w:rsidRPr="00F712A5">
              <w:rPr>
                <w:rFonts w:eastAsia="Times New Roman" w:cstheme="minorHAnsi"/>
                <w:i/>
                <w:iCs/>
                <w:lang w:eastAsia="en-GB"/>
              </w:rPr>
              <w:t>13</w:t>
            </w:r>
            <w:r w:rsidRPr="00F712A5">
              <w:rPr>
                <w:rFonts w:eastAsia="Times New Roman" w:cstheme="minorHAnsi"/>
                <w:lang w:eastAsia="en-GB"/>
              </w:rPr>
              <w:t>(2), 125-159.</w:t>
            </w:r>
          </w:p>
        </w:tc>
      </w:tr>
      <w:tr w:rsidR="003C2645" w:rsidRPr="00F712A5" w14:paraId="5C1E5C06" w14:textId="77777777" w:rsidTr="00F96F72">
        <w:trPr>
          <w:trHeight w:val="290"/>
        </w:trPr>
        <w:tc>
          <w:tcPr>
            <w:tcW w:w="9066" w:type="dxa"/>
            <w:tcBorders>
              <w:top w:val="nil"/>
              <w:left w:val="nil"/>
              <w:bottom w:val="nil"/>
              <w:right w:val="nil"/>
            </w:tcBorders>
            <w:shd w:val="clear" w:color="auto" w:fill="auto"/>
            <w:noWrap/>
            <w:vAlign w:val="center"/>
            <w:hideMark/>
          </w:tcPr>
          <w:p w14:paraId="3AD01765"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Fagiolo, G., &amp; Roventini, A. (2016). </w:t>
            </w:r>
            <w:r w:rsidRPr="003C2645">
              <w:rPr>
                <w:rFonts w:eastAsia="Times New Roman" w:cstheme="minorHAnsi"/>
                <w:i/>
                <w:iCs/>
                <w:lang w:val="en-GB" w:eastAsia="en-GB"/>
              </w:rPr>
              <w:t>Macroeconomic policy in dsge and agent-based models redux: New developments and challenges ahead</w:t>
            </w:r>
            <w:r w:rsidRPr="003C2645">
              <w:rPr>
                <w:rFonts w:eastAsia="Times New Roman" w:cstheme="minorHAnsi"/>
                <w:lang w:val="en-GB" w:eastAsia="en-GB"/>
              </w:rPr>
              <w:t xml:space="preserve">. </w:t>
            </w:r>
            <w:r w:rsidRPr="00F712A5">
              <w:rPr>
                <w:rFonts w:eastAsia="Times New Roman" w:cstheme="minorHAnsi"/>
                <w:lang w:eastAsia="en-GB"/>
              </w:rPr>
              <w:t xml:space="preserve">Available at SSRN 2763735. </w:t>
            </w:r>
          </w:p>
        </w:tc>
      </w:tr>
      <w:tr w:rsidR="003C2645" w:rsidRPr="00F712A5" w14:paraId="5F3F8018" w14:textId="77777777" w:rsidTr="00F96F72">
        <w:trPr>
          <w:trHeight w:val="290"/>
        </w:trPr>
        <w:tc>
          <w:tcPr>
            <w:tcW w:w="9066" w:type="dxa"/>
            <w:tcBorders>
              <w:top w:val="nil"/>
              <w:left w:val="nil"/>
              <w:bottom w:val="nil"/>
              <w:right w:val="nil"/>
            </w:tcBorders>
            <w:shd w:val="clear" w:color="auto" w:fill="auto"/>
            <w:noWrap/>
            <w:vAlign w:val="center"/>
            <w:hideMark/>
          </w:tcPr>
          <w:p w14:paraId="13BD4652"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Farmer, J. D., &amp; Foley, D. (2009). The economy needs agent-based modelling. </w:t>
            </w:r>
            <w:r w:rsidRPr="00F712A5">
              <w:rPr>
                <w:rFonts w:eastAsia="Times New Roman" w:cstheme="minorHAnsi"/>
                <w:i/>
                <w:iCs/>
                <w:lang w:eastAsia="en-GB"/>
              </w:rPr>
              <w:t>Nature</w:t>
            </w:r>
            <w:r w:rsidRPr="00F712A5">
              <w:rPr>
                <w:rFonts w:eastAsia="Times New Roman" w:cstheme="minorHAnsi"/>
                <w:lang w:eastAsia="en-GB"/>
              </w:rPr>
              <w:t xml:space="preserve">, </w:t>
            </w:r>
            <w:r w:rsidRPr="00F712A5">
              <w:rPr>
                <w:rFonts w:eastAsia="Times New Roman" w:cstheme="minorHAnsi"/>
                <w:i/>
                <w:iCs/>
                <w:lang w:eastAsia="en-GB"/>
              </w:rPr>
              <w:t>460</w:t>
            </w:r>
            <w:r w:rsidRPr="00F712A5">
              <w:rPr>
                <w:rFonts w:eastAsia="Times New Roman" w:cstheme="minorHAnsi"/>
                <w:lang w:eastAsia="en-GB"/>
              </w:rPr>
              <w:t>(7256), 685-686.</w:t>
            </w:r>
          </w:p>
        </w:tc>
      </w:tr>
      <w:tr w:rsidR="003C2645" w:rsidRPr="00F712A5" w14:paraId="0D03F6DF" w14:textId="77777777" w:rsidTr="00F96F72">
        <w:trPr>
          <w:trHeight w:val="290"/>
        </w:trPr>
        <w:tc>
          <w:tcPr>
            <w:tcW w:w="9066" w:type="dxa"/>
            <w:tcBorders>
              <w:top w:val="nil"/>
              <w:left w:val="nil"/>
              <w:bottom w:val="nil"/>
              <w:right w:val="nil"/>
            </w:tcBorders>
            <w:shd w:val="clear" w:color="auto" w:fill="auto"/>
            <w:noWrap/>
            <w:vAlign w:val="center"/>
            <w:hideMark/>
          </w:tcPr>
          <w:p w14:paraId="2221FD6D"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Fiddaman, T. S. (2002). Exploring policy options with a behavioral climate–economy model. </w:t>
            </w:r>
            <w:r w:rsidRPr="00F712A5">
              <w:rPr>
                <w:rFonts w:eastAsia="Times New Roman" w:cstheme="minorHAnsi"/>
                <w:i/>
                <w:iCs/>
                <w:lang w:eastAsia="en-GB"/>
              </w:rPr>
              <w:t>System Dynamics Review</w:t>
            </w:r>
            <w:r w:rsidRPr="00F712A5">
              <w:rPr>
                <w:rFonts w:eastAsia="Times New Roman" w:cstheme="minorHAnsi"/>
                <w:lang w:eastAsia="en-GB"/>
              </w:rPr>
              <w:t xml:space="preserve">, </w:t>
            </w:r>
            <w:r w:rsidRPr="00F712A5">
              <w:rPr>
                <w:rFonts w:eastAsia="Times New Roman" w:cstheme="minorHAnsi"/>
                <w:i/>
                <w:iCs/>
                <w:lang w:eastAsia="en-GB"/>
              </w:rPr>
              <w:t>18</w:t>
            </w:r>
            <w:r w:rsidRPr="00F712A5">
              <w:rPr>
                <w:rFonts w:eastAsia="Times New Roman" w:cstheme="minorHAnsi"/>
                <w:lang w:eastAsia="en-GB"/>
              </w:rPr>
              <w:t>(2), 243-267.</w:t>
            </w:r>
          </w:p>
        </w:tc>
      </w:tr>
      <w:tr w:rsidR="003C2645" w:rsidRPr="00F712A5" w14:paraId="046D1DCC" w14:textId="77777777" w:rsidTr="00F96F72">
        <w:trPr>
          <w:trHeight w:val="290"/>
        </w:trPr>
        <w:tc>
          <w:tcPr>
            <w:tcW w:w="9066" w:type="dxa"/>
            <w:tcBorders>
              <w:top w:val="nil"/>
              <w:left w:val="nil"/>
              <w:bottom w:val="nil"/>
              <w:right w:val="nil"/>
            </w:tcBorders>
            <w:shd w:val="clear" w:color="auto" w:fill="auto"/>
            <w:noWrap/>
            <w:vAlign w:val="center"/>
            <w:hideMark/>
          </w:tcPr>
          <w:p w14:paraId="6C228C4C"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bCs/>
                <w:lang w:val="en-GB" w:eastAsia="en-GB"/>
              </w:rPr>
              <w:t>Fontana, G., &amp; Sawyer, M. (2013). Post-Keynesian and Kaleckian thoughts on ecological macroeconomics. </w:t>
            </w:r>
            <w:r w:rsidRPr="00F712A5">
              <w:rPr>
                <w:rFonts w:eastAsia="Times New Roman" w:cstheme="minorHAnsi"/>
                <w:i/>
                <w:iCs/>
                <w:lang w:eastAsia="en-GB"/>
              </w:rPr>
              <w:t>European Journal of Economics and Economic Policies</w:t>
            </w:r>
            <w:r w:rsidRPr="00F712A5">
              <w:rPr>
                <w:rFonts w:eastAsia="Times New Roman" w:cstheme="minorHAnsi"/>
                <w:lang w:eastAsia="en-GB"/>
              </w:rPr>
              <w:t xml:space="preserve">: </w:t>
            </w:r>
            <w:r w:rsidRPr="00F712A5">
              <w:rPr>
                <w:rFonts w:eastAsia="Times New Roman" w:cstheme="minorHAnsi"/>
                <w:i/>
                <w:iCs/>
                <w:lang w:eastAsia="en-GB"/>
              </w:rPr>
              <w:t>Intervention</w:t>
            </w:r>
            <w:r w:rsidRPr="00F712A5">
              <w:rPr>
                <w:rFonts w:eastAsia="Times New Roman" w:cstheme="minorHAnsi"/>
                <w:lang w:eastAsia="en-GB"/>
              </w:rPr>
              <w:t xml:space="preserve">, </w:t>
            </w:r>
            <w:r w:rsidRPr="00F712A5">
              <w:rPr>
                <w:rFonts w:eastAsia="Times New Roman" w:cstheme="minorHAnsi"/>
                <w:i/>
                <w:iCs/>
                <w:lang w:eastAsia="en-GB"/>
              </w:rPr>
              <w:t>10</w:t>
            </w:r>
            <w:r w:rsidRPr="00F712A5">
              <w:rPr>
                <w:rFonts w:eastAsia="Times New Roman" w:cstheme="minorHAnsi"/>
                <w:lang w:eastAsia="en-GB"/>
              </w:rPr>
              <w:t>(2), 256-267.</w:t>
            </w:r>
          </w:p>
        </w:tc>
      </w:tr>
      <w:tr w:rsidR="003C2645" w:rsidRPr="00F712A5" w14:paraId="130B4CB3" w14:textId="77777777" w:rsidTr="00F96F72">
        <w:trPr>
          <w:trHeight w:val="290"/>
        </w:trPr>
        <w:tc>
          <w:tcPr>
            <w:tcW w:w="9066" w:type="dxa"/>
            <w:tcBorders>
              <w:top w:val="nil"/>
              <w:left w:val="nil"/>
              <w:bottom w:val="nil"/>
              <w:right w:val="nil"/>
            </w:tcBorders>
            <w:shd w:val="clear" w:color="auto" w:fill="auto"/>
            <w:noWrap/>
            <w:vAlign w:val="center"/>
            <w:hideMark/>
          </w:tcPr>
          <w:p w14:paraId="691CDB05"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bCs/>
                <w:lang w:val="en-GB" w:eastAsia="en-GB"/>
              </w:rPr>
              <w:t>Fontana, G., &amp; Sawyer, M. (2016). Towards post-Keynesian ecological macroeconomics. </w:t>
            </w:r>
            <w:r w:rsidRPr="00F712A5">
              <w:rPr>
                <w:rFonts w:eastAsia="Times New Roman" w:cstheme="minorHAnsi"/>
                <w:i/>
                <w:iCs/>
                <w:lang w:eastAsia="en-GB"/>
              </w:rPr>
              <w:t>Ecological Economics</w:t>
            </w:r>
            <w:r w:rsidRPr="00F712A5">
              <w:rPr>
                <w:rFonts w:eastAsia="Times New Roman" w:cstheme="minorHAnsi"/>
                <w:lang w:eastAsia="en-GB"/>
              </w:rPr>
              <w:t>, </w:t>
            </w:r>
            <w:r w:rsidRPr="00F712A5">
              <w:rPr>
                <w:rFonts w:eastAsia="Times New Roman" w:cstheme="minorHAnsi"/>
                <w:i/>
                <w:iCs/>
                <w:lang w:eastAsia="en-GB"/>
              </w:rPr>
              <w:t>121</w:t>
            </w:r>
            <w:r w:rsidRPr="00F712A5">
              <w:rPr>
                <w:rFonts w:eastAsia="Times New Roman" w:cstheme="minorHAnsi"/>
                <w:lang w:eastAsia="en-GB"/>
              </w:rPr>
              <w:t xml:space="preserve">, 186-195. </w:t>
            </w:r>
          </w:p>
        </w:tc>
      </w:tr>
      <w:tr w:rsidR="003C2645" w:rsidRPr="00F712A5" w14:paraId="56407630" w14:textId="77777777" w:rsidTr="00F96F72">
        <w:trPr>
          <w:trHeight w:val="290"/>
        </w:trPr>
        <w:tc>
          <w:tcPr>
            <w:tcW w:w="9066" w:type="dxa"/>
            <w:tcBorders>
              <w:top w:val="nil"/>
              <w:left w:val="nil"/>
              <w:bottom w:val="nil"/>
              <w:right w:val="nil"/>
            </w:tcBorders>
            <w:shd w:val="clear" w:color="auto" w:fill="auto"/>
            <w:noWrap/>
            <w:vAlign w:val="center"/>
            <w:hideMark/>
          </w:tcPr>
          <w:p w14:paraId="338A2880"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Forrester, J. W. (1958). Industrial dynamics: a major breakthrough for decision makers. </w:t>
            </w:r>
            <w:r w:rsidRPr="00F712A5">
              <w:rPr>
                <w:rFonts w:eastAsia="Times New Roman" w:cstheme="minorHAnsi"/>
                <w:lang w:eastAsia="en-GB"/>
              </w:rPr>
              <w:t xml:space="preserve">Harvard Business Review, 36(4), 37-65. </w:t>
            </w:r>
          </w:p>
        </w:tc>
      </w:tr>
      <w:tr w:rsidR="003C2645" w:rsidRPr="00F712A5" w14:paraId="4700C057" w14:textId="77777777" w:rsidTr="00F96F72">
        <w:trPr>
          <w:trHeight w:val="290"/>
        </w:trPr>
        <w:tc>
          <w:tcPr>
            <w:tcW w:w="9066" w:type="dxa"/>
            <w:tcBorders>
              <w:top w:val="nil"/>
              <w:left w:val="nil"/>
              <w:bottom w:val="nil"/>
              <w:right w:val="nil"/>
            </w:tcBorders>
            <w:shd w:val="clear" w:color="auto" w:fill="auto"/>
            <w:noWrap/>
            <w:vAlign w:val="center"/>
            <w:hideMark/>
          </w:tcPr>
          <w:p w14:paraId="0202F86B"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Forrester, J. W. (1961). </w:t>
            </w:r>
            <w:r w:rsidRPr="003C2645">
              <w:rPr>
                <w:rFonts w:eastAsia="Times New Roman" w:cstheme="minorHAnsi"/>
                <w:i/>
                <w:iCs/>
                <w:lang w:val="en-GB" w:eastAsia="en-GB"/>
              </w:rPr>
              <w:t>Industrial Dynamics</w:t>
            </w:r>
            <w:r w:rsidRPr="003C2645">
              <w:rPr>
                <w:rFonts w:eastAsia="Times New Roman" w:cstheme="minorHAnsi"/>
                <w:lang w:val="en-GB" w:eastAsia="en-GB"/>
              </w:rPr>
              <w:t xml:space="preserve">. Portland, OR: Productivity Press. </w:t>
            </w:r>
            <w:r w:rsidRPr="00F712A5">
              <w:rPr>
                <w:rFonts w:eastAsia="Times New Roman" w:cstheme="minorHAnsi"/>
                <w:lang w:eastAsia="en-GB"/>
              </w:rPr>
              <w:t xml:space="preserve">464 pp. </w:t>
            </w:r>
          </w:p>
        </w:tc>
      </w:tr>
      <w:tr w:rsidR="003C2645" w:rsidRPr="00742E87" w14:paraId="5A37A1F3" w14:textId="77777777" w:rsidTr="00F96F72">
        <w:trPr>
          <w:trHeight w:val="290"/>
        </w:trPr>
        <w:tc>
          <w:tcPr>
            <w:tcW w:w="9066" w:type="dxa"/>
            <w:tcBorders>
              <w:top w:val="nil"/>
              <w:left w:val="nil"/>
              <w:bottom w:val="nil"/>
              <w:right w:val="nil"/>
            </w:tcBorders>
            <w:shd w:val="clear" w:color="auto" w:fill="auto"/>
            <w:noWrap/>
            <w:vAlign w:val="center"/>
            <w:hideMark/>
          </w:tcPr>
          <w:p w14:paraId="02DFAE8A" w14:textId="77777777" w:rsidR="003C2645" w:rsidRPr="003C2645" w:rsidRDefault="003C2645" w:rsidP="007B1254">
            <w:pPr>
              <w:spacing w:after="220" w:line="240" w:lineRule="auto"/>
              <w:ind w:left="720" w:hanging="720"/>
              <w:rPr>
                <w:rFonts w:eastAsia="Times New Roman" w:cstheme="minorHAnsi"/>
                <w:lang w:val="en-GB" w:eastAsia="en-GB"/>
              </w:rPr>
            </w:pPr>
            <w:r w:rsidRPr="003C2645">
              <w:rPr>
                <w:rFonts w:eastAsia="Times New Roman" w:cstheme="minorHAnsi"/>
                <w:lang w:val="en-GB" w:eastAsia="en-GB"/>
              </w:rPr>
              <w:t xml:space="preserve">Francois, J. (1998). Scale economies and imperfect competition in the GTAP model. </w:t>
            </w:r>
            <w:r w:rsidRPr="003C2645">
              <w:rPr>
                <w:rFonts w:eastAsia="Times New Roman" w:cstheme="minorHAnsi"/>
                <w:i/>
                <w:iCs/>
                <w:lang w:val="en-GB" w:eastAsia="en-GB"/>
              </w:rPr>
              <w:t>GTAP technical papers</w:t>
            </w:r>
            <w:r w:rsidRPr="003C2645">
              <w:rPr>
                <w:rFonts w:eastAsia="Times New Roman" w:cstheme="minorHAnsi"/>
                <w:lang w:val="en-GB" w:eastAsia="en-GB"/>
              </w:rPr>
              <w:t>, 16. Available at: http://docs.lib.purdue.edu/gtaptp/16 (02.05.2019).</w:t>
            </w:r>
          </w:p>
        </w:tc>
      </w:tr>
      <w:tr w:rsidR="003C2645" w:rsidRPr="00F712A5" w14:paraId="51C1EE46" w14:textId="77777777" w:rsidTr="00F96F72">
        <w:trPr>
          <w:trHeight w:val="290"/>
        </w:trPr>
        <w:tc>
          <w:tcPr>
            <w:tcW w:w="9066" w:type="dxa"/>
            <w:tcBorders>
              <w:top w:val="nil"/>
              <w:left w:val="nil"/>
              <w:bottom w:val="nil"/>
              <w:right w:val="nil"/>
            </w:tcBorders>
            <w:shd w:val="clear" w:color="auto" w:fill="auto"/>
            <w:noWrap/>
            <w:vAlign w:val="center"/>
            <w:hideMark/>
          </w:tcPr>
          <w:p w14:paraId="234CBB80"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Galí, J. (2015). </w:t>
            </w:r>
            <w:r w:rsidRPr="003C2645">
              <w:rPr>
                <w:rFonts w:eastAsia="Times New Roman" w:cstheme="minorHAnsi"/>
                <w:i/>
                <w:iCs/>
                <w:lang w:val="en-GB" w:eastAsia="en-GB"/>
              </w:rPr>
              <w:t>Monetary policy, inflation, and the business cycle: an introduction to the new Keynesian framework and its applications</w:t>
            </w:r>
            <w:r w:rsidRPr="003C2645">
              <w:rPr>
                <w:rFonts w:eastAsia="Times New Roman" w:cstheme="minorHAnsi"/>
                <w:lang w:val="en-GB" w:eastAsia="en-GB"/>
              </w:rPr>
              <w:t xml:space="preserve">. </w:t>
            </w:r>
            <w:r w:rsidRPr="00F712A5">
              <w:rPr>
                <w:rFonts w:eastAsia="Times New Roman" w:cstheme="minorHAnsi"/>
                <w:lang w:eastAsia="en-GB"/>
              </w:rPr>
              <w:t>Princeton University Press.</w:t>
            </w:r>
          </w:p>
        </w:tc>
      </w:tr>
      <w:tr w:rsidR="003C2645" w:rsidRPr="00F712A5" w14:paraId="585BEE69" w14:textId="77777777" w:rsidTr="00F96F72">
        <w:trPr>
          <w:trHeight w:val="290"/>
        </w:trPr>
        <w:tc>
          <w:tcPr>
            <w:tcW w:w="9066" w:type="dxa"/>
            <w:tcBorders>
              <w:top w:val="nil"/>
              <w:left w:val="nil"/>
              <w:bottom w:val="nil"/>
              <w:right w:val="nil"/>
            </w:tcBorders>
            <w:shd w:val="clear" w:color="auto" w:fill="auto"/>
            <w:noWrap/>
            <w:vAlign w:val="center"/>
            <w:hideMark/>
          </w:tcPr>
          <w:p w14:paraId="17DEC5EE"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Gerst, M. D., Wang, P., &amp; Borsuk, M. E. (2013a). Discovering plausible energy and economic futures under global change using multidimensional scenario discovery. </w:t>
            </w:r>
            <w:r w:rsidRPr="00F712A5">
              <w:rPr>
                <w:rFonts w:eastAsia="Times New Roman" w:cstheme="minorHAnsi"/>
                <w:i/>
                <w:iCs/>
                <w:lang w:eastAsia="en-GB"/>
              </w:rPr>
              <w:t>Environmental modelling &amp; software, 44</w:t>
            </w:r>
            <w:r w:rsidRPr="00F712A5">
              <w:rPr>
                <w:rFonts w:eastAsia="Times New Roman" w:cstheme="minorHAnsi"/>
                <w:lang w:eastAsia="en-GB"/>
              </w:rPr>
              <w:t xml:space="preserve">, 76-86.  </w:t>
            </w:r>
          </w:p>
        </w:tc>
      </w:tr>
      <w:tr w:rsidR="003C2645" w:rsidRPr="00F712A5" w14:paraId="068D7215" w14:textId="77777777" w:rsidTr="00F96F72">
        <w:trPr>
          <w:trHeight w:val="290"/>
        </w:trPr>
        <w:tc>
          <w:tcPr>
            <w:tcW w:w="9066" w:type="dxa"/>
            <w:tcBorders>
              <w:top w:val="nil"/>
              <w:left w:val="nil"/>
              <w:bottom w:val="nil"/>
              <w:right w:val="nil"/>
            </w:tcBorders>
            <w:shd w:val="clear" w:color="auto" w:fill="auto"/>
            <w:noWrap/>
            <w:vAlign w:val="center"/>
            <w:hideMark/>
          </w:tcPr>
          <w:p w14:paraId="59D61FC3"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Gerst, M. D., Wang, P., Roventini, A., Fagiolo, G., Dosi, G., Howarth, R. B., &amp; Borsuk, M. E. (2013b). Agent-based modeling of climate policy: An introduction to the ENGAGE multi-level model framework. </w:t>
            </w:r>
            <w:r w:rsidRPr="00F712A5">
              <w:rPr>
                <w:rFonts w:eastAsia="Times New Roman" w:cstheme="minorHAnsi"/>
                <w:i/>
                <w:iCs/>
                <w:lang w:eastAsia="en-GB"/>
              </w:rPr>
              <w:t>Environmental Modelling &amp; Software, 44</w:t>
            </w:r>
            <w:r w:rsidRPr="00F712A5">
              <w:rPr>
                <w:rFonts w:eastAsia="Times New Roman" w:cstheme="minorHAnsi"/>
                <w:lang w:eastAsia="en-GB"/>
              </w:rPr>
              <w:t xml:space="preserve">, 62-75. </w:t>
            </w:r>
          </w:p>
        </w:tc>
      </w:tr>
      <w:tr w:rsidR="003C2645" w:rsidRPr="00742E87" w14:paraId="681F0D0D" w14:textId="77777777" w:rsidTr="00F96F72">
        <w:trPr>
          <w:trHeight w:val="290"/>
        </w:trPr>
        <w:tc>
          <w:tcPr>
            <w:tcW w:w="9066" w:type="dxa"/>
            <w:tcBorders>
              <w:top w:val="nil"/>
              <w:left w:val="nil"/>
              <w:bottom w:val="nil"/>
              <w:right w:val="nil"/>
            </w:tcBorders>
            <w:shd w:val="clear" w:color="auto" w:fill="auto"/>
            <w:noWrap/>
            <w:vAlign w:val="center"/>
            <w:hideMark/>
          </w:tcPr>
          <w:p w14:paraId="7B5E34DD" w14:textId="77777777" w:rsidR="003C2645" w:rsidRPr="003C2645" w:rsidRDefault="00650294" w:rsidP="007B1254">
            <w:pPr>
              <w:spacing w:after="220" w:line="240" w:lineRule="auto"/>
              <w:ind w:left="720" w:hanging="720"/>
              <w:rPr>
                <w:rFonts w:eastAsia="Times New Roman" w:cstheme="minorHAnsi"/>
                <w:lang w:val="en-GB" w:eastAsia="en-GB"/>
              </w:rPr>
            </w:pPr>
            <w:hyperlink r:id="rId13" w:history="1">
              <w:r w:rsidR="003C2645" w:rsidRPr="003C2645">
                <w:rPr>
                  <w:rFonts w:eastAsia="Times New Roman" w:cstheme="minorHAnsi"/>
                  <w:lang w:val="en-GB" w:eastAsia="en-GB"/>
                </w:rPr>
                <w:t xml:space="preserve">Giles (2009). Wishful thinking and hubris - why the global financial crisis was not foreseen. Available at: http://www.lse.ac.uk/website-archive/newsAndMedia/news/archives/2009/07/LettertoQueen2.aspx (01.04.2019). </w:t>
              </w:r>
            </w:hyperlink>
          </w:p>
        </w:tc>
      </w:tr>
      <w:tr w:rsidR="003C2645" w:rsidRPr="00742E87" w14:paraId="040F1C9B" w14:textId="77777777" w:rsidTr="00F96F72">
        <w:trPr>
          <w:trHeight w:val="290"/>
        </w:trPr>
        <w:tc>
          <w:tcPr>
            <w:tcW w:w="9066" w:type="dxa"/>
            <w:tcBorders>
              <w:top w:val="nil"/>
              <w:left w:val="nil"/>
              <w:bottom w:val="nil"/>
              <w:right w:val="nil"/>
            </w:tcBorders>
            <w:shd w:val="clear" w:color="auto" w:fill="auto"/>
            <w:noWrap/>
            <w:vAlign w:val="center"/>
            <w:hideMark/>
          </w:tcPr>
          <w:p w14:paraId="0A4494DA" w14:textId="77777777" w:rsidR="003C2645" w:rsidRPr="003C2645" w:rsidRDefault="003C2645" w:rsidP="007B1254">
            <w:pPr>
              <w:spacing w:after="220" w:line="240" w:lineRule="auto"/>
              <w:ind w:left="720" w:hanging="720"/>
              <w:rPr>
                <w:rFonts w:eastAsia="Times New Roman" w:cstheme="minorHAnsi"/>
                <w:lang w:val="en-GB" w:eastAsia="en-GB"/>
              </w:rPr>
            </w:pPr>
            <w:r w:rsidRPr="003C2645">
              <w:rPr>
                <w:rFonts w:eastAsia="Times New Roman" w:cstheme="minorHAnsi"/>
                <w:lang w:val="en-GB" w:eastAsia="en-GB"/>
              </w:rPr>
              <w:t xml:space="preserve">Godley, W. (2012). Seven unsustainable processes: medium-term prospects and policies for the United States and the World. In </w:t>
            </w:r>
            <w:r w:rsidRPr="003C2645">
              <w:rPr>
                <w:rFonts w:eastAsia="Times New Roman" w:cstheme="minorHAnsi"/>
                <w:i/>
                <w:iCs/>
                <w:lang w:val="en-GB" w:eastAsia="en-GB"/>
              </w:rPr>
              <w:t>The Stock-Flow Consistent Approach</w:t>
            </w:r>
            <w:r w:rsidRPr="003C2645">
              <w:rPr>
                <w:rFonts w:eastAsia="Times New Roman" w:cstheme="minorHAnsi"/>
                <w:lang w:val="en-GB" w:eastAsia="en-GB"/>
              </w:rPr>
              <w:t xml:space="preserve"> (pp. 216-254). Palgrave Macmillan, London.</w:t>
            </w:r>
          </w:p>
        </w:tc>
      </w:tr>
      <w:tr w:rsidR="003C2645" w:rsidRPr="00F712A5" w14:paraId="085C40C8" w14:textId="77777777" w:rsidTr="00F96F72">
        <w:trPr>
          <w:trHeight w:val="290"/>
        </w:trPr>
        <w:tc>
          <w:tcPr>
            <w:tcW w:w="9066" w:type="dxa"/>
            <w:tcBorders>
              <w:top w:val="nil"/>
              <w:left w:val="nil"/>
              <w:bottom w:val="nil"/>
              <w:right w:val="nil"/>
            </w:tcBorders>
            <w:shd w:val="clear" w:color="auto" w:fill="auto"/>
            <w:noWrap/>
            <w:vAlign w:val="center"/>
            <w:hideMark/>
          </w:tcPr>
          <w:p w14:paraId="52C91CA1"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Godley, W., &amp; Lavoie, M. (2016). </w:t>
            </w:r>
            <w:r w:rsidRPr="003C2645">
              <w:rPr>
                <w:rFonts w:eastAsia="Times New Roman" w:cstheme="minorHAnsi"/>
                <w:i/>
                <w:iCs/>
                <w:lang w:val="en-GB" w:eastAsia="en-GB"/>
              </w:rPr>
              <w:t xml:space="preserve">Monetary economics: an integrated approach to credit, money, income, </w:t>
            </w:r>
            <w:r w:rsidRPr="003C2645">
              <w:rPr>
                <w:rFonts w:eastAsia="Times New Roman" w:cstheme="minorHAnsi"/>
                <w:iCs/>
                <w:lang w:val="en-GB" w:eastAsia="en-GB"/>
              </w:rPr>
              <w:t>Production and Wealth.</w:t>
            </w:r>
            <w:r w:rsidRPr="003C2645">
              <w:rPr>
                <w:rFonts w:eastAsia="Times New Roman" w:cstheme="minorHAnsi"/>
                <w:lang w:val="en-GB" w:eastAsia="en-GB"/>
              </w:rPr>
              <w:t xml:space="preserve"> </w:t>
            </w:r>
            <w:r w:rsidRPr="00F712A5">
              <w:rPr>
                <w:rFonts w:eastAsia="Times New Roman" w:cstheme="minorHAnsi"/>
                <w:lang w:eastAsia="en-GB"/>
              </w:rPr>
              <w:t>Springer Palgrave MacMillan.</w:t>
            </w:r>
          </w:p>
        </w:tc>
      </w:tr>
      <w:tr w:rsidR="003C2645" w:rsidRPr="00F712A5" w14:paraId="3A3EAC3B" w14:textId="77777777" w:rsidTr="00F96F72">
        <w:trPr>
          <w:trHeight w:val="290"/>
        </w:trPr>
        <w:tc>
          <w:tcPr>
            <w:tcW w:w="9066" w:type="dxa"/>
            <w:tcBorders>
              <w:top w:val="nil"/>
              <w:left w:val="nil"/>
              <w:bottom w:val="nil"/>
              <w:right w:val="nil"/>
            </w:tcBorders>
            <w:shd w:val="clear" w:color="auto" w:fill="auto"/>
            <w:noWrap/>
            <w:vAlign w:val="center"/>
            <w:hideMark/>
          </w:tcPr>
          <w:p w14:paraId="562DE889"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Gowdy, J., &amp; Erickson, J. D. (2005). The approach of ecological economics. </w:t>
            </w:r>
            <w:r w:rsidRPr="00F712A5">
              <w:rPr>
                <w:rFonts w:eastAsia="Times New Roman" w:cstheme="minorHAnsi"/>
                <w:i/>
                <w:iCs/>
                <w:lang w:eastAsia="en-GB"/>
              </w:rPr>
              <w:t>Cambridge Journal of economics</w:t>
            </w:r>
            <w:r w:rsidRPr="00F712A5">
              <w:rPr>
                <w:rFonts w:eastAsia="Times New Roman" w:cstheme="minorHAnsi"/>
                <w:lang w:eastAsia="en-GB"/>
              </w:rPr>
              <w:t>, </w:t>
            </w:r>
            <w:r w:rsidRPr="00F712A5">
              <w:rPr>
                <w:rFonts w:eastAsia="Times New Roman" w:cstheme="minorHAnsi"/>
                <w:i/>
                <w:iCs/>
                <w:lang w:eastAsia="en-GB"/>
              </w:rPr>
              <w:t>29</w:t>
            </w:r>
            <w:r w:rsidRPr="00F712A5">
              <w:rPr>
                <w:rFonts w:eastAsia="Times New Roman" w:cstheme="minorHAnsi"/>
                <w:lang w:eastAsia="en-GB"/>
              </w:rPr>
              <w:t>(2), 207-222.</w:t>
            </w:r>
          </w:p>
        </w:tc>
      </w:tr>
      <w:tr w:rsidR="003C2645" w:rsidRPr="00F712A5" w14:paraId="7F445E87" w14:textId="77777777" w:rsidTr="00F96F72">
        <w:trPr>
          <w:trHeight w:val="290"/>
        </w:trPr>
        <w:tc>
          <w:tcPr>
            <w:tcW w:w="9066" w:type="dxa"/>
            <w:tcBorders>
              <w:top w:val="nil"/>
              <w:left w:val="nil"/>
              <w:bottom w:val="nil"/>
              <w:right w:val="nil"/>
            </w:tcBorders>
            <w:shd w:val="clear" w:color="auto" w:fill="auto"/>
            <w:noWrap/>
            <w:vAlign w:val="center"/>
            <w:hideMark/>
          </w:tcPr>
          <w:p w14:paraId="116232D2"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Granger, C. J. (1986). Developments in the study of cointegrated economic variables. </w:t>
            </w:r>
            <w:r w:rsidRPr="00F712A5">
              <w:rPr>
                <w:rFonts w:eastAsia="Times New Roman" w:cstheme="minorHAnsi"/>
                <w:lang w:eastAsia="en-GB"/>
              </w:rPr>
              <w:t xml:space="preserve">Oxford Bulletin of economics and statistics, 48(3), 213-228. </w:t>
            </w:r>
          </w:p>
        </w:tc>
      </w:tr>
      <w:tr w:rsidR="003C2645" w:rsidRPr="00F712A5" w14:paraId="6D37FD0B" w14:textId="77777777" w:rsidTr="00F96F72">
        <w:trPr>
          <w:trHeight w:val="290"/>
        </w:trPr>
        <w:tc>
          <w:tcPr>
            <w:tcW w:w="9066" w:type="dxa"/>
            <w:tcBorders>
              <w:top w:val="nil"/>
              <w:left w:val="nil"/>
              <w:bottom w:val="nil"/>
              <w:right w:val="nil"/>
            </w:tcBorders>
            <w:shd w:val="clear" w:color="auto" w:fill="auto"/>
            <w:noWrap/>
            <w:vAlign w:val="center"/>
            <w:hideMark/>
          </w:tcPr>
          <w:p w14:paraId="7CEB62BE"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Grassini, M. (2009). Rowing along the computable general equilibrium modelling mainstream. </w:t>
            </w:r>
            <w:r w:rsidRPr="00F712A5">
              <w:rPr>
                <w:rFonts w:eastAsia="Times New Roman" w:cstheme="minorHAnsi"/>
                <w:i/>
                <w:iCs/>
                <w:lang w:eastAsia="en-GB"/>
              </w:rPr>
              <w:t>Studies on Russian Economic Development</w:t>
            </w:r>
            <w:r>
              <w:rPr>
                <w:rFonts w:eastAsia="Times New Roman" w:cstheme="minorHAnsi"/>
                <w:lang w:eastAsia="en-GB"/>
              </w:rPr>
              <w:t xml:space="preserve">, </w:t>
            </w:r>
            <w:r w:rsidRPr="00F712A5">
              <w:rPr>
                <w:rFonts w:eastAsia="Times New Roman" w:cstheme="minorHAnsi"/>
                <w:i/>
                <w:iCs/>
                <w:lang w:eastAsia="en-GB"/>
              </w:rPr>
              <w:t>20</w:t>
            </w:r>
            <w:r w:rsidRPr="00F712A5">
              <w:rPr>
                <w:rFonts w:eastAsia="Times New Roman" w:cstheme="minorHAnsi"/>
                <w:lang w:eastAsia="en-GB"/>
              </w:rPr>
              <w:t>(2), 134-146.</w:t>
            </w:r>
          </w:p>
        </w:tc>
      </w:tr>
      <w:tr w:rsidR="003C2645" w:rsidRPr="00742E87" w14:paraId="75EBE7B8" w14:textId="77777777" w:rsidTr="00F96F72">
        <w:trPr>
          <w:trHeight w:val="290"/>
        </w:trPr>
        <w:tc>
          <w:tcPr>
            <w:tcW w:w="9066" w:type="dxa"/>
            <w:tcBorders>
              <w:top w:val="nil"/>
              <w:left w:val="nil"/>
              <w:bottom w:val="nil"/>
              <w:right w:val="nil"/>
            </w:tcBorders>
            <w:shd w:val="clear" w:color="auto" w:fill="auto"/>
            <w:noWrap/>
            <w:vAlign w:val="center"/>
            <w:hideMark/>
          </w:tcPr>
          <w:p w14:paraId="17F3901A" w14:textId="77777777" w:rsidR="003C2645" w:rsidRPr="003C2645" w:rsidRDefault="00650294" w:rsidP="007B1254">
            <w:pPr>
              <w:spacing w:after="220" w:line="240" w:lineRule="auto"/>
              <w:ind w:left="720" w:hanging="720"/>
              <w:rPr>
                <w:rFonts w:eastAsia="Times New Roman" w:cstheme="minorHAnsi"/>
                <w:lang w:val="en-GB" w:eastAsia="en-GB"/>
              </w:rPr>
            </w:pPr>
            <w:hyperlink r:id="rId14" w:history="1">
              <w:r w:rsidR="003C2645" w:rsidRPr="003C2645">
                <w:rPr>
                  <w:rFonts w:eastAsia="Times New Roman" w:cstheme="minorHAnsi"/>
                  <w:lang w:val="en-GB" w:eastAsia="en-GB"/>
                </w:rPr>
                <w:t xml:space="preserve">Groẞmann, A. &amp; Lutz, C. (2015): </w:t>
              </w:r>
              <w:r w:rsidR="003C2645" w:rsidRPr="003C2645">
                <w:rPr>
                  <w:rFonts w:eastAsia="Times New Roman" w:cstheme="minorHAnsi"/>
                  <w:i/>
                  <w:lang w:val="en-GB" w:eastAsia="en-GB"/>
                </w:rPr>
                <w:t>Macroeconomic Effects of the Energy Transition</w:t>
              </w:r>
              <w:r w:rsidR="003C2645" w:rsidRPr="003C2645">
                <w:rPr>
                  <w:rFonts w:eastAsia="Times New Roman" w:cstheme="minorHAnsi"/>
                  <w:lang w:val="en-GB" w:eastAsia="en-GB"/>
                </w:rPr>
                <w:t xml:space="preserve">. Conference proceedings of the 23rd conference of the International Input Output Association in Mexico City (Mexico). Available at: https://www.iioa.org/conferences/23rd/papers/files/2165_20150529081_Grossmann_Lutz_23IIOA.pdf (29.03.2019). </w:t>
              </w:r>
            </w:hyperlink>
          </w:p>
        </w:tc>
      </w:tr>
      <w:tr w:rsidR="003C2645" w:rsidRPr="00742E87" w14:paraId="16B20C13" w14:textId="77777777" w:rsidTr="00F96F72">
        <w:trPr>
          <w:trHeight w:val="290"/>
        </w:trPr>
        <w:tc>
          <w:tcPr>
            <w:tcW w:w="9066" w:type="dxa"/>
            <w:tcBorders>
              <w:top w:val="nil"/>
              <w:left w:val="nil"/>
              <w:bottom w:val="nil"/>
              <w:right w:val="nil"/>
            </w:tcBorders>
            <w:shd w:val="clear" w:color="auto" w:fill="auto"/>
            <w:noWrap/>
            <w:vAlign w:val="center"/>
            <w:hideMark/>
          </w:tcPr>
          <w:p w14:paraId="76257979" w14:textId="77777777" w:rsidR="003C2645" w:rsidRPr="003C2645" w:rsidRDefault="00650294" w:rsidP="007B1254">
            <w:pPr>
              <w:spacing w:after="220" w:line="240" w:lineRule="auto"/>
              <w:ind w:left="720" w:hanging="720"/>
              <w:rPr>
                <w:rFonts w:eastAsia="Times New Roman" w:cstheme="minorHAnsi"/>
                <w:lang w:val="en-GB" w:eastAsia="en-GB"/>
              </w:rPr>
            </w:pPr>
            <w:hyperlink r:id="rId15" w:history="1">
              <w:r w:rsidR="003C2645" w:rsidRPr="00F712A5">
                <w:rPr>
                  <w:rFonts w:eastAsia="Times New Roman" w:cstheme="minorHAnsi"/>
                  <w:lang w:val="de-CH" w:eastAsia="en-GB"/>
                </w:rPr>
                <w:t xml:space="preserve">GWS (2018). Energie und Klima. Modelle. </w:t>
              </w:r>
              <w:r w:rsidR="003C2645" w:rsidRPr="003C2645">
                <w:rPr>
                  <w:rFonts w:eastAsia="Times New Roman" w:cstheme="minorHAnsi"/>
                  <w:lang w:val="en-GB" w:eastAsia="en-GB"/>
                </w:rPr>
                <w:t xml:space="preserve">PANTHA RHEI. Available at: https://www.gws-os.com/de/index.php/energy-and-climate/models/model-details/panta-rhei.html (02.08.2018). </w:t>
              </w:r>
            </w:hyperlink>
          </w:p>
        </w:tc>
      </w:tr>
      <w:tr w:rsidR="003C2645" w:rsidRPr="00F712A5" w14:paraId="76A6A91D" w14:textId="77777777" w:rsidTr="00F96F72">
        <w:trPr>
          <w:trHeight w:val="290"/>
        </w:trPr>
        <w:tc>
          <w:tcPr>
            <w:tcW w:w="9066" w:type="dxa"/>
            <w:tcBorders>
              <w:top w:val="nil"/>
              <w:left w:val="nil"/>
              <w:bottom w:val="nil"/>
              <w:right w:val="nil"/>
            </w:tcBorders>
            <w:shd w:val="clear" w:color="auto" w:fill="auto"/>
            <w:noWrap/>
            <w:vAlign w:val="center"/>
            <w:hideMark/>
          </w:tcPr>
          <w:p w14:paraId="4785E4C8"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Hafner, S., James, O., &amp; Jones, A. (2019). A scoping review of barriers to investment in climate change solutions. </w:t>
            </w:r>
            <w:r w:rsidRPr="00F712A5">
              <w:rPr>
                <w:rFonts w:eastAsia="Times New Roman" w:cstheme="minorHAnsi"/>
                <w:i/>
                <w:iCs/>
                <w:lang w:eastAsia="en-GB"/>
              </w:rPr>
              <w:t>Sustainability</w:t>
            </w:r>
            <w:r w:rsidRPr="00F712A5">
              <w:rPr>
                <w:rFonts w:eastAsia="Times New Roman" w:cstheme="minorHAnsi"/>
                <w:lang w:eastAsia="en-GB"/>
              </w:rPr>
              <w:t xml:space="preserve">, </w:t>
            </w:r>
            <w:r w:rsidRPr="00F712A5">
              <w:rPr>
                <w:rFonts w:eastAsia="Times New Roman" w:cstheme="minorHAnsi"/>
                <w:i/>
                <w:iCs/>
                <w:lang w:eastAsia="en-GB"/>
              </w:rPr>
              <w:t>11</w:t>
            </w:r>
            <w:r w:rsidRPr="00F712A5">
              <w:rPr>
                <w:rFonts w:eastAsia="Times New Roman" w:cstheme="minorHAnsi"/>
                <w:lang w:eastAsia="en-GB"/>
              </w:rPr>
              <w:t>(11), 3201.</w:t>
            </w:r>
          </w:p>
        </w:tc>
      </w:tr>
      <w:tr w:rsidR="003C2645" w:rsidRPr="00F712A5" w14:paraId="4EFA83D6" w14:textId="77777777" w:rsidTr="00F96F72">
        <w:trPr>
          <w:trHeight w:val="290"/>
        </w:trPr>
        <w:tc>
          <w:tcPr>
            <w:tcW w:w="9066" w:type="dxa"/>
            <w:tcBorders>
              <w:top w:val="nil"/>
              <w:left w:val="nil"/>
              <w:bottom w:val="nil"/>
              <w:right w:val="nil"/>
            </w:tcBorders>
            <w:shd w:val="clear" w:color="auto" w:fill="auto"/>
            <w:noWrap/>
            <w:vAlign w:val="center"/>
            <w:hideMark/>
          </w:tcPr>
          <w:p w14:paraId="72B2C348" w14:textId="77777777" w:rsidR="003C2645" w:rsidRPr="00F712A5" w:rsidRDefault="003C2645" w:rsidP="007B1254">
            <w:pPr>
              <w:spacing w:after="220" w:line="240" w:lineRule="auto"/>
              <w:ind w:left="720" w:hanging="720"/>
              <w:rPr>
                <w:rFonts w:eastAsia="Times New Roman" w:cstheme="minorHAnsi"/>
                <w:lang w:eastAsia="en-GB"/>
              </w:rPr>
            </w:pPr>
            <w:r w:rsidRPr="00F712A5">
              <w:rPr>
                <w:rFonts w:eastAsia="Times New Roman" w:cstheme="minorHAnsi"/>
                <w:lang w:val="de-CH" w:eastAsia="en-GB"/>
              </w:rPr>
              <w:t xml:space="preserve">Hafner, S., Jones, A., Anger-Kraavi, A., &amp; Pohl, J. (2020). </w:t>
            </w:r>
            <w:r w:rsidRPr="003C2645">
              <w:rPr>
                <w:rFonts w:eastAsia="Times New Roman" w:cstheme="minorHAnsi"/>
                <w:lang w:val="en-GB" w:eastAsia="en-GB"/>
              </w:rPr>
              <w:t xml:space="preserve">Closing the green finance gap–A systems perspective. </w:t>
            </w:r>
            <w:r w:rsidRPr="00F712A5">
              <w:rPr>
                <w:rFonts w:eastAsia="Times New Roman" w:cstheme="minorHAnsi"/>
                <w:i/>
                <w:iCs/>
                <w:lang w:val="de-CH" w:eastAsia="en-GB"/>
              </w:rPr>
              <w:t>Environmental Innovation and Societal Transitions</w:t>
            </w:r>
            <w:r w:rsidRPr="00F712A5">
              <w:rPr>
                <w:rFonts w:eastAsia="Times New Roman" w:cstheme="minorHAnsi"/>
                <w:lang w:val="de-CH" w:eastAsia="en-GB"/>
              </w:rPr>
              <w:t xml:space="preserve">, </w:t>
            </w:r>
            <w:r w:rsidRPr="00F712A5">
              <w:rPr>
                <w:rFonts w:eastAsia="Times New Roman" w:cstheme="minorHAnsi"/>
                <w:i/>
                <w:iCs/>
                <w:lang w:val="de-CH" w:eastAsia="en-GB"/>
              </w:rPr>
              <w:t>34</w:t>
            </w:r>
            <w:r w:rsidRPr="00F712A5">
              <w:rPr>
                <w:rFonts w:eastAsia="Times New Roman" w:cstheme="minorHAnsi"/>
                <w:lang w:val="de-CH" w:eastAsia="en-GB"/>
              </w:rPr>
              <w:t>, 26-60.</w:t>
            </w:r>
          </w:p>
        </w:tc>
      </w:tr>
      <w:tr w:rsidR="003C2645" w:rsidRPr="00F712A5" w14:paraId="5906110E" w14:textId="77777777" w:rsidTr="00F96F72">
        <w:trPr>
          <w:trHeight w:val="290"/>
        </w:trPr>
        <w:tc>
          <w:tcPr>
            <w:tcW w:w="9066" w:type="dxa"/>
            <w:tcBorders>
              <w:top w:val="nil"/>
              <w:left w:val="nil"/>
              <w:bottom w:val="nil"/>
              <w:right w:val="nil"/>
            </w:tcBorders>
            <w:shd w:val="clear" w:color="auto" w:fill="auto"/>
            <w:noWrap/>
            <w:vAlign w:val="center"/>
            <w:hideMark/>
          </w:tcPr>
          <w:p w14:paraId="7BA08B1F" w14:textId="77777777" w:rsidR="003C2645" w:rsidRPr="00F712A5" w:rsidRDefault="003C2645" w:rsidP="007B1254">
            <w:pPr>
              <w:spacing w:after="220" w:line="240" w:lineRule="auto"/>
              <w:ind w:left="720" w:hanging="720"/>
              <w:rPr>
                <w:rFonts w:eastAsia="Times New Roman" w:cstheme="minorHAnsi"/>
                <w:lang w:eastAsia="en-GB"/>
              </w:rPr>
            </w:pPr>
            <w:r w:rsidRPr="00F712A5">
              <w:rPr>
                <w:rFonts w:eastAsia="Times New Roman" w:cstheme="minorHAnsi"/>
                <w:lang w:val="de-CH" w:eastAsia="en-GB"/>
              </w:rPr>
              <w:t xml:space="preserve">Haldane, A. G., &amp; Turrell, A. E. (2018). </w:t>
            </w:r>
            <w:r w:rsidRPr="003C2645">
              <w:rPr>
                <w:rFonts w:eastAsia="Times New Roman" w:cstheme="minorHAnsi"/>
                <w:lang w:val="en-GB" w:eastAsia="en-GB"/>
              </w:rPr>
              <w:t xml:space="preserve">An interdisciplinary model for macroeconomics. </w:t>
            </w:r>
            <w:r w:rsidRPr="00F712A5">
              <w:rPr>
                <w:rFonts w:eastAsia="Times New Roman" w:cstheme="minorHAnsi"/>
                <w:i/>
                <w:iCs/>
                <w:lang w:val="de-CH" w:eastAsia="en-GB"/>
              </w:rPr>
              <w:t>Oxford Review of Economic Policy</w:t>
            </w:r>
            <w:r w:rsidRPr="00F712A5">
              <w:rPr>
                <w:rFonts w:eastAsia="Times New Roman" w:cstheme="minorHAnsi"/>
                <w:lang w:val="de-CH" w:eastAsia="en-GB"/>
              </w:rPr>
              <w:t xml:space="preserve">, </w:t>
            </w:r>
            <w:r w:rsidRPr="00F712A5">
              <w:rPr>
                <w:rFonts w:eastAsia="Times New Roman" w:cstheme="minorHAnsi"/>
                <w:i/>
                <w:iCs/>
                <w:lang w:val="de-CH" w:eastAsia="en-GB"/>
              </w:rPr>
              <w:t>34</w:t>
            </w:r>
            <w:r w:rsidRPr="00F712A5">
              <w:rPr>
                <w:rFonts w:eastAsia="Times New Roman" w:cstheme="minorHAnsi"/>
                <w:lang w:val="de-CH" w:eastAsia="en-GB"/>
              </w:rPr>
              <w:t xml:space="preserve">(1-2), 219-251. </w:t>
            </w:r>
          </w:p>
        </w:tc>
      </w:tr>
      <w:tr w:rsidR="003C2645" w:rsidRPr="00F712A5" w14:paraId="3B1EE7A0" w14:textId="77777777" w:rsidTr="00F96F72">
        <w:trPr>
          <w:trHeight w:val="290"/>
        </w:trPr>
        <w:tc>
          <w:tcPr>
            <w:tcW w:w="9066" w:type="dxa"/>
            <w:tcBorders>
              <w:top w:val="nil"/>
              <w:left w:val="nil"/>
              <w:bottom w:val="nil"/>
              <w:right w:val="nil"/>
            </w:tcBorders>
            <w:shd w:val="clear" w:color="auto" w:fill="auto"/>
            <w:noWrap/>
            <w:vAlign w:val="center"/>
            <w:hideMark/>
          </w:tcPr>
          <w:p w14:paraId="58C93C66"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Hansen, B. E. (2016). Econometrics. University of Wisconsin, Department of Economics. </w:t>
            </w:r>
            <w:r w:rsidRPr="00F712A5">
              <w:rPr>
                <w:rFonts w:eastAsia="Times New Roman" w:cstheme="minorHAnsi"/>
                <w:lang w:eastAsia="en-GB"/>
              </w:rPr>
              <w:t xml:space="preserve">Wisconsin, United States </w:t>
            </w:r>
          </w:p>
        </w:tc>
      </w:tr>
      <w:tr w:rsidR="003C2645" w:rsidRPr="00742E87" w14:paraId="04AA1049" w14:textId="77777777" w:rsidTr="00F96F72">
        <w:trPr>
          <w:trHeight w:val="290"/>
        </w:trPr>
        <w:tc>
          <w:tcPr>
            <w:tcW w:w="9066" w:type="dxa"/>
            <w:tcBorders>
              <w:top w:val="nil"/>
              <w:left w:val="nil"/>
              <w:bottom w:val="nil"/>
              <w:right w:val="nil"/>
            </w:tcBorders>
            <w:shd w:val="clear" w:color="auto" w:fill="auto"/>
            <w:noWrap/>
            <w:vAlign w:val="center"/>
            <w:hideMark/>
          </w:tcPr>
          <w:p w14:paraId="2BA8C569" w14:textId="77777777" w:rsidR="003C2645" w:rsidRPr="003C2645" w:rsidRDefault="003C2645" w:rsidP="007B1254">
            <w:pPr>
              <w:spacing w:after="220" w:line="240" w:lineRule="auto"/>
              <w:ind w:left="720" w:hanging="720"/>
              <w:rPr>
                <w:rFonts w:eastAsia="Times New Roman" w:cstheme="minorHAnsi"/>
                <w:lang w:val="en-GB" w:eastAsia="en-GB"/>
              </w:rPr>
            </w:pPr>
            <w:r w:rsidRPr="003C2645">
              <w:rPr>
                <w:rFonts w:eastAsia="Times New Roman" w:cstheme="minorHAnsi"/>
                <w:lang w:val="en-GB" w:eastAsia="en-GB"/>
              </w:rPr>
              <w:t xml:space="preserve">Harcourt, G. C. (2008). The structure of post-Keynesian economics. In </w:t>
            </w:r>
            <w:r w:rsidRPr="003C2645">
              <w:rPr>
                <w:rFonts w:eastAsia="Times New Roman" w:cstheme="minorHAnsi"/>
                <w:i/>
                <w:iCs/>
                <w:lang w:val="en-GB" w:eastAsia="en-GB"/>
              </w:rPr>
              <w:t>Keynes for the Twenty-First Century</w:t>
            </w:r>
            <w:r w:rsidRPr="003C2645">
              <w:rPr>
                <w:rFonts w:eastAsia="Times New Roman" w:cstheme="minorHAnsi"/>
                <w:lang w:val="en-GB" w:eastAsia="en-GB"/>
              </w:rPr>
              <w:t xml:space="preserve"> (pp. 185-197). Palgrave Macmillan, New York. </w:t>
            </w:r>
          </w:p>
        </w:tc>
      </w:tr>
      <w:tr w:rsidR="003C2645" w:rsidRPr="00742E87" w14:paraId="1AE1DFDD" w14:textId="77777777" w:rsidTr="00F96F72">
        <w:trPr>
          <w:trHeight w:val="290"/>
        </w:trPr>
        <w:tc>
          <w:tcPr>
            <w:tcW w:w="9066" w:type="dxa"/>
            <w:tcBorders>
              <w:top w:val="nil"/>
              <w:left w:val="nil"/>
              <w:bottom w:val="nil"/>
              <w:right w:val="nil"/>
            </w:tcBorders>
            <w:shd w:val="clear" w:color="auto" w:fill="auto"/>
            <w:noWrap/>
            <w:vAlign w:val="center"/>
            <w:hideMark/>
          </w:tcPr>
          <w:p w14:paraId="0B3F6A68" w14:textId="77777777" w:rsidR="003C2645" w:rsidRPr="00F96F72" w:rsidRDefault="003C2645" w:rsidP="007B1254">
            <w:pPr>
              <w:spacing w:after="220" w:line="240" w:lineRule="auto"/>
              <w:ind w:left="720" w:hanging="720"/>
              <w:rPr>
                <w:rFonts w:eastAsia="Times New Roman" w:cstheme="minorHAnsi"/>
                <w:lang w:val="en-GB" w:eastAsia="en-GB"/>
              </w:rPr>
            </w:pPr>
            <w:r w:rsidRPr="003C2645">
              <w:rPr>
                <w:rFonts w:eastAsia="Times New Roman" w:cstheme="minorHAnsi"/>
                <w:lang w:val="en-GB" w:eastAsia="en-GB"/>
              </w:rPr>
              <w:t xml:space="preserve">Harcourt, G. C. (Ed.). (1977). </w:t>
            </w:r>
            <w:r w:rsidRPr="003C2645">
              <w:rPr>
                <w:rFonts w:eastAsia="Times New Roman" w:cstheme="minorHAnsi"/>
                <w:i/>
                <w:iCs/>
                <w:lang w:val="en-GB" w:eastAsia="en-GB"/>
              </w:rPr>
              <w:t>The microeconomic foundations of macroeconomics</w:t>
            </w:r>
            <w:r w:rsidRPr="003C2645">
              <w:rPr>
                <w:rFonts w:eastAsia="Times New Roman" w:cstheme="minorHAnsi"/>
                <w:lang w:val="en-GB" w:eastAsia="en-GB"/>
              </w:rPr>
              <w:t xml:space="preserve">. </w:t>
            </w:r>
            <w:r w:rsidRPr="00F96F72">
              <w:rPr>
                <w:rFonts w:eastAsia="Times New Roman" w:cstheme="minorHAnsi"/>
                <w:lang w:val="en-GB" w:eastAsia="en-GB"/>
              </w:rPr>
              <w:t>Springer.</w:t>
            </w:r>
          </w:p>
        </w:tc>
      </w:tr>
      <w:tr w:rsidR="003C2645" w:rsidRPr="00F712A5" w14:paraId="0A0E9DA1" w14:textId="77777777" w:rsidTr="00F96F72">
        <w:trPr>
          <w:trHeight w:val="290"/>
        </w:trPr>
        <w:tc>
          <w:tcPr>
            <w:tcW w:w="9066" w:type="dxa"/>
            <w:tcBorders>
              <w:top w:val="nil"/>
              <w:left w:val="nil"/>
              <w:bottom w:val="nil"/>
              <w:right w:val="nil"/>
            </w:tcBorders>
            <w:shd w:val="clear" w:color="auto" w:fill="auto"/>
            <w:noWrap/>
            <w:vAlign w:val="center"/>
            <w:hideMark/>
          </w:tcPr>
          <w:p w14:paraId="6655F115"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Hardt, L., &amp; O'Neill, D. W. (2017). Ecological Macroeconomic Models: Assessing Current Developments. </w:t>
            </w:r>
            <w:r w:rsidRPr="00F712A5">
              <w:rPr>
                <w:rFonts w:eastAsia="Times New Roman" w:cstheme="minorHAnsi"/>
                <w:i/>
                <w:iCs/>
                <w:lang w:eastAsia="en-GB"/>
              </w:rPr>
              <w:t>Ecological Economics</w:t>
            </w:r>
            <w:r w:rsidRPr="00F712A5">
              <w:rPr>
                <w:rFonts w:eastAsia="Times New Roman" w:cstheme="minorHAnsi"/>
                <w:lang w:eastAsia="en-GB"/>
              </w:rPr>
              <w:t>, </w:t>
            </w:r>
            <w:r w:rsidRPr="00F712A5">
              <w:rPr>
                <w:rFonts w:eastAsia="Times New Roman" w:cstheme="minorHAnsi"/>
                <w:i/>
                <w:iCs/>
                <w:lang w:eastAsia="en-GB"/>
              </w:rPr>
              <w:t>134</w:t>
            </w:r>
            <w:r w:rsidRPr="00F712A5">
              <w:rPr>
                <w:rFonts w:eastAsia="Times New Roman" w:cstheme="minorHAnsi"/>
                <w:lang w:eastAsia="en-GB"/>
              </w:rPr>
              <w:t xml:space="preserve">, 198-211. </w:t>
            </w:r>
          </w:p>
        </w:tc>
      </w:tr>
      <w:tr w:rsidR="003C2645" w:rsidRPr="00F712A5" w14:paraId="437A280E" w14:textId="77777777" w:rsidTr="00F96F72">
        <w:trPr>
          <w:trHeight w:val="290"/>
        </w:trPr>
        <w:tc>
          <w:tcPr>
            <w:tcW w:w="9066" w:type="dxa"/>
            <w:tcBorders>
              <w:top w:val="nil"/>
              <w:left w:val="nil"/>
              <w:bottom w:val="nil"/>
              <w:right w:val="nil"/>
            </w:tcBorders>
            <w:shd w:val="clear" w:color="auto" w:fill="auto"/>
            <w:noWrap/>
            <w:vAlign w:val="center"/>
            <w:hideMark/>
          </w:tcPr>
          <w:p w14:paraId="6DC1EBA6"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Hertel, T. (1999). </w:t>
            </w:r>
            <w:r w:rsidRPr="003C2645">
              <w:rPr>
                <w:rFonts w:eastAsia="Times New Roman" w:cstheme="minorHAnsi"/>
                <w:i/>
                <w:iCs/>
                <w:lang w:val="en-GB" w:eastAsia="en-GB"/>
              </w:rPr>
              <w:t>Global trade analysis: Modeling and applications</w:t>
            </w:r>
            <w:r w:rsidRPr="003C2645">
              <w:rPr>
                <w:rFonts w:eastAsia="Times New Roman" w:cstheme="minorHAnsi"/>
                <w:lang w:val="en-GB" w:eastAsia="en-GB"/>
              </w:rPr>
              <w:t xml:space="preserve">. </w:t>
            </w:r>
            <w:r w:rsidRPr="00F712A5">
              <w:rPr>
                <w:rFonts w:eastAsia="Times New Roman" w:cstheme="minorHAnsi"/>
                <w:lang w:eastAsia="en-GB"/>
              </w:rPr>
              <w:t xml:space="preserve">Cambridge: Cambridge University Press. </w:t>
            </w:r>
          </w:p>
        </w:tc>
      </w:tr>
      <w:tr w:rsidR="003C2645" w:rsidRPr="00742E87" w14:paraId="299FABE9" w14:textId="77777777" w:rsidTr="00F96F72">
        <w:trPr>
          <w:trHeight w:val="290"/>
        </w:trPr>
        <w:tc>
          <w:tcPr>
            <w:tcW w:w="9066" w:type="dxa"/>
            <w:tcBorders>
              <w:top w:val="nil"/>
              <w:left w:val="nil"/>
              <w:bottom w:val="nil"/>
              <w:right w:val="nil"/>
            </w:tcBorders>
            <w:shd w:val="clear" w:color="auto" w:fill="auto"/>
            <w:noWrap/>
            <w:vAlign w:val="center"/>
            <w:hideMark/>
          </w:tcPr>
          <w:p w14:paraId="405F7887" w14:textId="77777777" w:rsidR="003C2645" w:rsidRPr="003C2645" w:rsidRDefault="003C2645" w:rsidP="007B1254">
            <w:pPr>
              <w:spacing w:after="220" w:line="240" w:lineRule="auto"/>
              <w:ind w:left="720" w:hanging="720"/>
              <w:rPr>
                <w:rFonts w:eastAsia="Times New Roman" w:cstheme="minorHAnsi"/>
                <w:lang w:val="en-GB" w:eastAsia="en-GB"/>
              </w:rPr>
            </w:pPr>
            <w:r w:rsidRPr="003C2645">
              <w:rPr>
                <w:rFonts w:eastAsia="Times New Roman" w:cstheme="minorHAnsi"/>
                <w:lang w:val="en-GB" w:eastAsia="en-GB"/>
              </w:rPr>
              <w:lastRenderedPageBreak/>
              <w:t>Holt, R. (2007). What is Post Keynesian Economics?. </w:t>
            </w:r>
            <w:r w:rsidRPr="003C2645">
              <w:rPr>
                <w:rFonts w:eastAsia="Times New Roman" w:cstheme="minorHAnsi"/>
                <w:i/>
                <w:iCs/>
                <w:lang w:val="en-GB" w:eastAsia="en-GB"/>
              </w:rPr>
              <w:t>Post Keynesian macroeconomics: essays in honour of Ingrid Rima</w:t>
            </w:r>
            <w:r w:rsidRPr="003C2645">
              <w:rPr>
                <w:rFonts w:eastAsia="Times New Roman" w:cstheme="minorHAnsi"/>
                <w:lang w:val="en-GB" w:eastAsia="en-GB"/>
              </w:rPr>
              <w:t xml:space="preserve">, 89-107. </w:t>
            </w:r>
          </w:p>
        </w:tc>
      </w:tr>
      <w:tr w:rsidR="003C2645" w:rsidRPr="00742E87" w14:paraId="33E0C3BE" w14:textId="77777777" w:rsidTr="00F96F72">
        <w:trPr>
          <w:trHeight w:val="290"/>
        </w:trPr>
        <w:tc>
          <w:tcPr>
            <w:tcW w:w="9066" w:type="dxa"/>
            <w:tcBorders>
              <w:top w:val="nil"/>
              <w:left w:val="nil"/>
              <w:bottom w:val="nil"/>
              <w:right w:val="nil"/>
            </w:tcBorders>
            <w:shd w:val="clear" w:color="auto" w:fill="auto"/>
            <w:noWrap/>
            <w:vAlign w:val="center"/>
            <w:hideMark/>
          </w:tcPr>
          <w:p w14:paraId="6D92CD74" w14:textId="77777777" w:rsidR="003C2645" w:rsidRPr="00F96F72" w:rsidRDefault="003C2645" w:rsidP="007B1254">
            <w:pPr>
              <w:spacing w:after="220" w:line="240" w:lineRule="auto"/>
              <w:ind w:left="720" w:hanging="720"/>
              <w:rPr>
                <w:rFonts w:eastAsia="Times New Roman" w:cstheme="minorHAnsi"/>
                <w:lang w:val="en-GB" w:eastAsia="en-GB"/>
              </w:rPr>
            </w:pPr>
            <w:r w:rsidRPr="003C2645">
              <w:rPr>
                <w:rFonts w:eastAsia="Times New Roman" w:cstheme="minorHAnsi"/>
                <w:lang w:val="en-GB" w:eastAsia="en-GB"/>
              </w:rPr>
              <w:t xml:space="preserve">Holt, R. P., Pressman, S., &amp; Spash, C. L. (Eds.). (2009). </w:t>
            </w:r>
            <w:r w:rsidRPr="003C2645">
              <w:rPr>
                <w:rFonts w:eastAsia="Times New Roman" w:cstheme="minorHAnsi"/>
                <w:i/>
                <w:iCs/>
                <w:lang w:val="en-GB" w:eastAsia="en-GB"/>
              </w:rPr>
              <w:t>Post Keynesian and Ecological Economics: Confronting Environmental Issues</w:t>
            </w:r>
            <w:r w:rsidRPr="003C2645">
              <w:rPr>
                <w:rFonts w:eastAsia="Times New Roman" w:cstheme="minorHAnsi"/>
                <w:lang w:val="en-GB" w:eastAsia="en-GB"/>
              </w:rPr>
              <w:t xml:space="preserve">. </w:t>
            </w:r>
            <w:r w:rsidRPr="00F96F72">
              <w:rPr>
                <w:rFonts w:eastAsia="Times New Roman" w:cstheme="minorHAnsi"/>
                <w:lang w:val="en-GB" w:eastAsia="en-GB"/>
              </w:rPr>
              <w:t xml:space="preserve">Edward Elgar Publishing. </w:t>
            </w:r>
          </w:p>
        </w:tc>
      </w:tr>
      <w:tr w:rsidR="003C2645" w:rsidRPr="00F712A5" w14:paraId="41547169" w14:textId="77777777" w:rsidTr="00F96F72">
        <w:trPr>
          <w:trHeight w:val="290"/>
        </w:trPr>
        <w:tc>
          <w:tcPr>
            <w:tcW w:w="9066" w:type="dxa"/>
            <w:tcBorders>
              <w:top w:val="nil"/>
              <w:left w:val="nil"/>
              <w:bottom w:val="nil"/>
              <w:right w:val="nil"/>
            </w:tcBorders>
            <w:shd w:val="clear" w:color="auto" w:fill="auto"/>
            <w:noWrap/>
            <w:vAlign w:val="center"/>
            <w:hideMark/>
          </w:tcPr>
          <w:p w14:paraId="50C21961" w14:textId="77777777" w:rsidR="003C2645" w:rsidRPr="00F712A5" w:rsidRDefault="00650294" w:rsidP="007B1254">
            <w:pPr>
              <w:spacing w:after="220" w:line="240" w:lineRule="auto"/>
              <w:ind w:left="720" w:hanging="720"/>
              <w:rPr>
                <w:rFonts w:eastAsia="Times New Roman" w:cstheme="minorHAnsi"/>
                <w:lang w:eastAsia="en-GB"/>
              </w:rPr>
            </w:pPr>
            <w:hyperlink r:id="rId16" w:history="1">
              <w:r w:rsidR="003C2645" w:rsidRPr="003C2645">
                <w:rPr>
                  <w:rFonts w:eastAsia="Times New Roman" w:cstheme="minorHAnsi"/>
                  <w:lang w:val="en-GB" w:eastAsia="en-GB"/>
                </w:rPr>
                <w:t xml:space="preserve">INET (2018a). We advance sound economic ideas to better serve humanity. </w:t>
              </w:r>
              <w:r w:rsidR="003C2645" w:rsidRPr="00F712A5">
                <w:rPr>
                  <w:rFonts w:eastAsia="Times New Roman" w:cstheme="minorHAnsi"/>
                  <w:lang w:eastAsia="en-GB"/>
                </w:rPr>
                <w:t xml:space="preserve">Available at: https://www.ineteconomics.org/about/our-purpose (02.08.2018). </w:t>
              </w:r>
            </w:hyperlink>
          </w:p>
        </w:tc>
      </w:tr>
      <w:tr w:rsidR="003C2645" w:rsidRPr="00742E87" w14:paraId="223EC84F" w14:textId="77777777" w:rsidTr="00F96F72">
        <w:trPr>
          <w:trHeight w:val="290"/>
        </w:trPr>
        <w:tc>
          <w:tcPr>
            <w:tcW w:w="9066" w:type="dxa"/>
            <w:tcBorders>
              <w:top w:val="nil"/>
              <w:left w:val="nil"/>
              <w:bottom w:val="nil"/>
              <w:right w:val="nil"/>
            </w:tcBorders>
            <w:shd w:val="clear" w:color="auto" w:fill="auto"/>
            <w:noWrap/>
            <w:vAlign w:val="center"/>
            <w:hideMark/>
          </w:tcPr>
          <w:p w14:paraId="5F8F9472" w14:textId="77777777" w:rsidR="003C2645" w:rsidRPr="003C2645" w:rsidRDefault="00650294" w:rsidP="007B1254">
            <w:pPr>
              <w:spacing w:after="220" w:line="240" w:lineRule="auto"/>
              <w:ind w:left="720" w:hanging="720"/>
              <w:rPr>
                <w:rFonts w:eastAsia="Times New Roman" w:cstheme="minorHAnsi"/>
                <w:lang w:val="en-GB" w:eastAsia="en-GB"/>
              </w:rPr>
            </w:pPr>
            <w:hyperlink r:id="rId17" w:history="1">
              <w:r w:rsidR="003C2645" w:rsidRPr="003C2645">
                <w:rPr>
                  <w:rFonts w:eastAsia="Times New Roman" w:cstheme="minorHAnsi"/>
                  <w:lang w:val="en-GB" w:eastAsia="en-GB"/>
                </w:rPr>
                <w:t xml:space="preserve">INET (2018b). Why We Need the Knightian Uncertainty Hypothesis. Available at: https://www.ineteconomics.org/perspectives/blog/why-we-need-the-knightian-uncertainty-hypothesis (18.04.2019). </w:t>
              </w:r>
            </w:hyperlink>
          </w:p>
        </w:tc>
      </w:tr>
      <w:tr w:rsidR="003C2645" w:rsidRPr="00742E87" w14:paraId="112F8330" w14:textId="77777777" w:rsidTr="00F96F72">
        <w:trPr>
          <w:trHeight w:val="290"/>
        </w:trPr>
        <w:tc>
          <w:tcPr>
            <w:tcW w:w="9066" w:type="dxa"/>
            <w:tcBorders>
              <w:top w:val="nil"/>
              <w:left w:val="nil"/>
              <w:bottom w:val="nil"/>
              <w:right w:val="nil"/>
            </w:tcBorders>
            <w:shd w:val="clear" w:color="auto" w:fill="auto"/>
            <w:noWrap/>
            <w:vAlign w:val="center"/>
            <w:hideMark/>
          </w:tcPr>
          <w:p w14:paraId="5D9751F1" w14:textId="77777777" w:rsidR="003C2645" w:rsidRPr="003C2645" w:rsidRDefault="003C2645" w:rsidP="007B1254">
            <w:pPr>
              <w:spacing w:after="220" w:line="240" w:lineRule="auto"/>
              <w:ind w:left="720" w:hanging="720"/>
              <w:rPr>
                <w:rFonts w:eastAsia="Times New Roman" w:cstheme="minorHAnsi"/>
                <w:lang w:val="en-GB" w:eastAsia="en-GB"/>
              </w:rPr>
            </w:pPr>
            <w:r w:rsidRPr="003C2645">
              <w:rPr>
                <w:rFonts w:eastAsia="Times New Roman" w:cstheme="minorHAnsi"/>
                <w:lang w:val="en-GB" w:eastAsia="en-GB"/>
              </w:rPr>
              <w:t xml:space="preserve">IPCC (2014). Climate change 2014: mitigation of climate change. Contribution of Working Group III to the Fifth Assessment Report of the Intergovernmental Panel on Climate Change. (eds Field, C. B. et al.) 1–32. Cambridge: Cambridge University Press. </w:t>
            </w:r>
          </w:p>
        </w:tc>
      </w:tr>
      <w:tr w:rsidR="003C2645" w:rsidRPr="00742E87" w14:paraId="36D03474" w14:textId="77777777" w:rsidTr="00F96F72">
        <w:trPr>
          <w:trHeight w:val="290"/>
        </w:trPr>
        <w:tc>
          <w:tcPr>
            <w:tcW w:w="9066" w:type="dxa"/>
            <w:tcBorders>
              <w:top w:val="nil"/>
              <w:left w:val="nil"/>
              <w:bottom w:val="nil"/>
              <w:right w:val="nil"/>
            </w:tcBorders>
            <w:shd w:val="clear" w:color="auto" w:fill="auto"/>
            <w:noWrap/>
            <w:vAlign w:val="center"/>
            <w:hideMark/>
          </w:tcPr>
          <w:p w14:paraId="66C88CD8" w14:textId="77777777" w:rsidR="003C2645" w:rsidRPr="003C2645" w:rsidRDefault="00650294" w:rsidP="007B1254">
            <w:pPr>
              <w:spacing w:after="220" w:line="240" w:lineRule="auto"/>
              <w:ind w:left="720" w:hanging="720"/>
              <w:rPr>
                <w:rFonts w:eastAsia="Times New Roman" w:cstheme="minorHAnsi"/>
                <w:lang w:val="en-GB" w:eastAsia="en-GB"/>
              </w:rPr>
            </w:pPr>
            <w:hyperlink r:id="rId18" w:history="1">
              <w:r w:rsidR="003C2645" w:rsidRPr="003C2645">
                <w:rPr>
                  <w:rStyle w:val="Hyperlink"/>
                  <w:rFonts w:eastAsia="Times New Roman" w:cstheme="minorHAnsi"/>
                  <w:lang w:val="en-GB" w:eastAsia="en-GB"/>
                </w:rPr>
                <w:t xml:space="preserve">Jackson, T. and P. Victor (2018). LowGrow SFC - a stock-flow consistent ecological macroeconomic model for Canada. CUSP Working Paper No 16. Available at: https://www.cusp.ac.uk/themes/aetw/wp16 (10.12.2019). </w:t>
              </w:r>
            </w:hyperlink>
          </w:p>
        </w:tc>
      </w:tr>
      <w:tr w:rsidR="003C2645" w:rsidRPr="00742E87" w14:paraId="7C2344FE" w14:textId="77777777" w:rsidTr="00F96F72">
        <w:trPr>
          <w:trHeight w:val="290"/>
        </w:trPr>
        <w:tc>
          <w:tcPr>
            <w:tcW w:w="9066" w:type="dxa"/>
            <w:tcBorders>
              <w:top w:val="nil"/>
              <w:left w:val="nil"/>
              <w:bottom w:val="nil"/>
              <w:right w:val="nil"/>
            </w:tcBorders>
            <w:shd w:val="clear" w:color="auto" w:fill="auto"/>
            <w:noWrap/>
            <w:vAlign w:val="center"/>
            <w:hideMark/>
          </w:tcPr>
          <w:p w14:paraId="6C7914E3" w14:textId="77777777" w:rsidR="003C2645" w:rsidRPr="003C2645" w:rsidRDefault="003C2645" w:rsidP="007B1254">
            <w:pPr>
              <w:spacing w:after="220" w:line="240" w:lineRule="auto"/>
              <w:ind w:left="720" w:hanging="720"/>
              <w:rPr>
                <w:rFonts w:eastAsia="Times New Roman" w:cstheme="minorHAnsi"/>
                <w:lang w:val="en-GB" w:eastAsia="en-GB"/>
              </w:rPr>
            </w:pPr>
            <w:r w:rsidRPr="003C2645">
              <w:rPr>
                <w:rFonts w:eastAsia="Times New Roman" w:cstheme="minorHAnsi"/>
                <w:lang w:val="en-GB" w:eastAsia="en-GB"/>
              </w:rPr>
              <w:t>Jackson, T., &amp; Victor, P. A. (2015). Does credit create a ‘growth imperative’? A quasi-stationary economy with interest-bearing debt. </w:t>
            </w:r>
            <w:r w:rsidRPr="003C2645">
              <w:rPr>
                <w:rFonts w:eastAsia="Times New Roman" w:cstheme="minorHAnsi"/>
                <w:i/>
                <w:iCs/>
                <w:lang w:val="en-GB" w:eastAsia="en-GB"/>
              </w:rPr>
              <w:t>Ecological Economics</w:t>
            </w:r>
            <w:r w:rsidRPr="003C2645">
              <w:rPr>
                <w:rFonts w:eastAsia="Times New Roman" w:cstheme="minorHAnsi"/>
                <w:lang w:val="en-GB" w:eastAsia="en-GB"/>
              </w:rPr>
              <w:t>, </w:t>
            </w:r>
            <w:r w:rsidRPr="003C2645">
              <w:rPr>
                <w:rFonts w:eastAsia="Times New Roman" w:cstheme="minorHAnsi"/>
                <w:i/>
                <w:iCs/>
                <w:lang w:val="en-GB" w:eastAsia="en-GB"/>
              </w:rPr>
              <w:t>120</w:t>
            </w:r>
            <w:r w:rsidRPr="003C2645">
              <w:rPr>
                <w:rFonts w:eastAsia="Times New Roman" w:cstheme="minorHAnsi"/>
                <w:lang w:val="en-GB" w:eastAsia="en-GB"/>
              </w:rPr>
              <w:t xml:space="preserve">, 32-48. </w:t>
            </w:r>
          </w:p>
        </w:tc>
      </w:tr>
      <w:tr w:rsidR="003C2645" w:rsidRPr="00F712A5" w14:paraId="4D4F554F" w14:textId="77777777" w:rsidTr="00F96F72">
        <w:trPr>
          <w:trHeight w:val="290"/>
        </w:trPr>
        <w:tc>
          <w:tcPr>
            <w:tcW w:w="9066" w:type="dxa"/>
            <w:tcBorders>
              <w:top w:val="nil"/>
              <w:left w:val="nil"/>
              <w:bottom w:val="nil"/>
              <w:right w:val="nil"/>
            </w:tcBorders>
            <w:shd w:val="clear" w:color="auto" w:fill="auto"/>
            <w:noWrap/>
            <w:vAlign w:val="center"/>
            <w:hideMark/>
          </w:tcPr>
          <w:p w14:paraId="701AC047"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Jackson, T., &amp; Victor, P. A. (2016). Does slow growth lead to rising inequality? </w:t>
            </w:r>
            <w:r w:rsidRPr="00F712A5">
              <w:rPr>
                <w:rFonts w:eastAsia="Times New Roman" w:cstheme="minorHAnsi"/>
                <w:lang w:eastAsia="en-GB"/>
              </w:rPr>
              <w:t>Some theoretical reflections and numerical simulations. </w:t>
            </w:r>
            <w:r w:rsidRPr="00F712A5">
              <w:rPr>
                <w:rFonts w:eastAsia="Times New Roman" w:cstheme="minorHAnsi"/>
                <w:i/>
                <w:iCs/>
                <w:lang w:eastAsia="en-GB"/>
              </w:rPr>
              <w:t>Ecological Economics</w:t>
            </w:r>
            <w:r w:rsidRPr="00F712A5">
              <w:rPr>
                <w:rFonts w:eastAsia="Times New Roman" w:cstheme="minorHAnsi"/>
                <w:lang w:eastAsia="en-GB"/>
              </w:rPr>
              <w:t>, </w:t>
            </w:r>
            <w:r w:rsidRPr="00F712A5">
              <w:rPr>
                <w:rFonts w:eastAsia="Times New Roman" w:cstheme="minorHAnsi"/>
                <w:i/>
                <w:iCs/>
                <w:lang w:eastAsia="en-GB"/>
              </w:rPr>
              <w:t>121</w:t>
            </w:r>
            <w:r w:rsidRPr="00F712A5">
              <w:rPr>
                <w:rFonts w:eastAsia="Times New Roman" w:cstheme="minorHAnsi"/>
                <w:lang w:eastAsia="en-GB"/>
              </w:rPr>
              <w:t>, 206-219.</w:t>
            </w:r>
          </w:p>
        </w:tc>
      </w:tr>
      <w:tr w:rsidR="003C2645" w:rsidRPr="00F712A5" w14:paraId="4E582064" w14:textId="77777777" w:rsidTr="00F96F72">
        <w:trPr>
          <w:trHeight w:val="290"/>
        </w:trPr>
        <w:tc>
          <w:tcPr>
            <w:tcW w:w="9066" w:type="dxa"/>
            <w:tcBorders>
              <w:top w:val="nil"/>
              <w:left w:val="nil"/>
              <w:bottom w:val="nil"/>
              <w:right w:val="nil"/>
            </w:tcBorders>
            <w:shd w:val="clear" w:color="auto" w:fill="auto"/>
            <w:noWrap/>
            <w:vAlign w:val="center"/>
            <w:hideMark/>
          </w:tcPr>
          <w:p w14:paraId="778898BA"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Jenkins, K., McCauley, D., Heffron, R., Stephan, H., &amp; Rehner, R. (2016). </w:t>
            </w:r>
            <w:r w:rsidRPr="00F712A5">
              <w:rPr>
                <w:rFonts w:eastAsia="Times New Roman" w:cstheme="minorHAnsi"/>
                <w:lang w:eastAsia="en-GB"/>
              </w:rPr>
              <w:t xml:space="preserve">Energy justice: a conceptual review. </w:t>
            </w:r>
            <w:r w:rsidRPr="00F712A5">
              <w:rPr>
                <w:rFonts w:eastAsia="Times New Roman" w:cstheme="minorHAnsi"/>
                <w:i/>
                <w:iCs/>
                <w:lang w:eastAsia="en-GB"/>
              </w:rPr>
              <w:t>Energy Research &amp; Social Science</w:t>
            </w:r>
            <w:r w:rsidRPr="00F712A5">
              <w:rPr>
                <w:rFonts w:eastAsia="Times New Roman" w:cstheme="minorHAnsi"/>
                <w:lang w:eastAsia="en-GB"/>
              </w:rPr>
              <w:t xml:space="preserve">, </w:t>
            </w:r>
            <w:r w:rsidRPr="00F712A5">
              <w:rPr>
                <w:rFonts w:eastAsia="Times New Roman" w:cstheme="minorHAnsi"/>
                <w:i/>
                <w:iCs/>
                <w:lang w:eastAsia="en-GB"/>
              </w:rPr>
              <w:t>11</w:t>
            </w:r>
            <w:r w:rsidRPr="00F712A5">
              <w:rPr>
                <w:rFonts w:eastAsia="Times New Roman" w:cstheme="minorHAnsi"/>
                <w:lang w:eastAsia="en-GB"/>
              </w:rPr>
              <w:t>, 174-182.</w:t>
            </w:r>
          </w:p>
        </w:tc>
      </w:tr>
      <w:tr w:rsidR="003C2645" w:rsidRPr="00742E87" w14:paraId="06EDB682" w14:textId="77777777" w:rsidTr="00F96F72">
        <w:trPr>
          <w:trHeight w:val="290"/>
        </w:trPr>
        <w:tc>
          <w:tcPr>
            <w:tcW w:w="9066" w:type="dxa"/>
            <w:tcBorders>
              <w:top w:val="nil"/>
              <w:left w:val="nil"/>
              <w:bottom w:val="nil"/>
              <w:right w:val="nil"/>
            </w:tcBorders>
            <w:shd w:val="clear" w:color="auto" w:fill="auto"/>
            <w:noWrap/>
            <w:vAlign w:val="center"/>
            <w:hideMark/>
          </w:tcPr>
          <w:p w14:paraId="25DF69E1" w14:textId="77777777" w:rsidR="003C2645" w:rsidRPr="003C2645" w:rsidRDefault="003C2645" w:rsidP="007B1254">
            <w:pPr>
              <w:spacing w:after="220" w:line="240" w:lineRule="auto"/>
              <w:ind w:left="720" w:hanging="720"/>
              <w:rPr>
                <w:rFonts w:eastAsia="Times New Roman" w:cstheme="minorHAnsi"/>
                <w:lang w:val="en-GB" w:eastAsia="en-GB"/>
              </w:rPr>
            </w:pPr>
            <w:r w:rsidRPr="003C2645">
              <w:rPr>
                <w:rFonts w:eastAsia="Times New Roman" w:cstheme="minorHAnsi"/>
                <w:lang w:val="en-GB" w:eastAsia="en-GB"/>
              </w:rPr>
              <w:t>Johansen, L. (1960). Multi-sectoral study of economic growth.</w:t>
            </w:r>
          </w:p>
        </w:tc>
      </w:tr>
      <w:tr w:rsidR="003C2645" w:rsidRPr="00F712A5" w14:paraId="7469C12F" w14:textId="77777777" w:rsidTr="00F96F72">
        <w:trPr>
          <w:trHeight w:val="290"/>
        </w:trPr>
        <w:tc>
          <w:tcPr>
            <w:tcW w:w="9066" w:type="dxa"/>
            <w:tcBorders>
              <w:top w:val="nil"/>
              <w:left w:val="nil"/>
              <w:bottom w:val="nil"/>
              <w:right w:val="nil"/>
            </w:tcBorders>
            <w:shd w:val="clear" w:color="auto" w:fill="auto"/>
            <w:noWrap/>
            <w:vAlign w:val="center"/>
            <w:hideMark/>
          </w:tcPr>
          <w:p w14:paraId="687F3D91"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Keen, S. (2011). </w:t>
            </w:r>
            <w:r w:rsidRPr="003C2645">
              <w:rPr>
                <w:rFonts w:eastAsia="Times New Roman" w:cstheme="minorHAnsi"/>
                <w:i/>
                <w:iCs/>
                <w:lang w:val="en-GB" w:eastAsia="en-GB"/>
              </w:rPr>
              <w:t>Debunking economics: The naked emperor dethroned?</w:t>
            </w:r>
            <w:r w:rsidRPr="003C2645">
              <w:rPr>
                <w:rFonts w:eastAsia="Times New Roman" w:cstheme="minorHAnsi"/>
                <w:lang w:val="en-GB" w:eastAsia="en-GB"/>
              </w:rPr>
              <w:t xml:space="preserve">. </w:t>
            </w:r>
            <w:r w:rsidRPr="00F712A5">
              <w:rPr>
                <w:rFonts w:eastAsia="Times New Roman" w:cstheme="minorHAnsi"/>
                <w:lang w:eastAsia="en-GB"/>
              </w:rPr>
              <w:t>Zed Books Ltd.</w:t>
            </w:r>
          </w:p>
        </w:tc>
      </w:tr>
      <w:tr w:rsidR="003C2645" w:rsidRPr="00F712A5" w14:paraId="62BB123B" w14:textId="77777777" w:rsidTr="00F96F72">
        <w:trPr>
          <w:trHeight w:val="290"/>
        </w:trPr>
        <w:tc>
          <w:tcPr>
            <w:tcW w:w="9066" w:type="dxa"/>
            <w:tcBorders>
              <w:top w:val="nil"/>
              <w:left w:val="nil"/>
              <w:bottom w:val="nil"/>
              <w:right w:val="nil"/>
            </w:tcBorders>
            <w:shd w:val="clear" w:color="auto" w:fill="auto"/>
            <w:noWrap/>
            <w:vAlign w:val="center"/>
            <w:hideMark/>
          </w:tcPr>
          <w:p w14:paraId="18251C4A"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Keynes, J. M. (1964). The general theory of employment, interest and money (1936). </w:t>
            </w:r>
            <w:r w:rsidRPr="00F712A5">
              <w:rPr>
                <w:rFonts w:eastAsia="Times New Roman" w:cstheme="minorHAnsi"/>
                <w:i/>
                <w:iCs/>
                <w:lang w:eastAsia="en-GB"/>
              </w:rPr>
              <w:t>The Collected Writings of John Maynard Keynes</w:t>
            </w:r>
            <w:r w:rsidRPr="00F712A5">
              <w:rPr>
                <w:rFonts w:eastAsia="Times New Roman" w:cstheme="minorHAnsi"/>
                <w:lang w:eastAsia="en-GB"/>
              </w:rPr>
              <w:t xml:space="preserve">, </w:t>
            </w:r>
            <w:r w:rsidRPr="00F712A5">
              <w:rPr>
                <w:rFonts w:eastAsia="Times New Roman" w:cstheme="minorHAnsi"/>
                <w:i/>
                <w:iCs/>
                <w:lang w:eastAsia="en-GB"/>
              </w:rPr>
              <w:t>7</w:t>
            </w:r>
            <w:r w:rsidRPr="00F712A5">
              <w:rPr>
                <w:rFonts w:eastAsia="Times New Roman" w:cstheme="minorHAnsi"/>
                <w:lang w:eastAsia="en-GB"/>
              </w:rPr>
              <w:t xml:space="preserve">, 1971-9. </w:t>
            </w:r>
          </w:p>
        </w:tc>
      </w:tr>
      <w:tr w:rsidR="003C2645" w:rsidRPr="00F712A5" w14:paraId="3B77C66F" w14:textId="77777777" w:rsidTr="00F96F72">
        <w:trPr>
          <w:trHeight w:val="290"/>
        </w:trPr>
        <w:tc>
          <w:tcPr>
            <w:tcW w:w="9066" w:type="dxa"/>
            <w:tcBorders>
              <w:top w:val="nil"/>
              <w:left w:val="nil"/>
              <w:bottom w:val="nil"/>
              <w:right w:val="nil"/>
            </w:tcBorders>
            <w:shd w:val="clear" w:color="auto" w:fill="auto"/>
            <w:noWrap/>
            <w:vAlign w:val="center"/>
            <w:hideMark/>
          </w:tcPr>
          <w:p w14:paraId="3DB748FC"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Kirman, A. (1989). The intrinsic limits of modern economic theory: the emperor has no clothes. </w:t>
            </w:r>
            <w:r w:rsidRPr="00F712A5">
              <w:rPr>
                <w:rFonts w:eastAsia="Times New Roman" w:cstheme="minorHAnsi"/>
                <w:i/>
                <w:iCs/>
                <w:lang w:eastAsia="en-GB"/>
              </w:rPr>
              <w:t>The Economic Journal</w:t>
            </w:r>
            <w:r w:rsidRPr="00F712A5">
              <w:rPr>
                <w:rFonts w:eastAsia="Times New Roman" w:cstheme="minorHAnsi"/>
                <w:lang w:eastAsia="en-GB"/>
              </w:rPr>
              <w:t>, </w:t>
            </w:r>
            <w:r w:rsidRPr="00F712A5">
              <w:rPr>
                <w:rFonts w:eastAsia="Times New Roman" w:cstheme="minorHAnsi"/>
                <w:i/>
                <w:iCs/>
                <w:lang w:eastAsia="en-GB"/>
              </w:rPr>
              <w:t>99</w:t>
            </w:r>
            <w:r w:rsidRPr="00F712A5">
              <w:rPr>
                <w:rFonts w:eastAsia="Times New Roman" w:cstheme="minorHAnsi"/>
                <w:lang w:eastAsia="en-GB"/>
              </w:rPr>
              <w:t>(395), 126-139.</w:t>
            </w:r>
          </w:p>
        </w:tc>
      </w:tr>
      <w:tr w:rsidR="003C2645" w:rsidRPr="00F712A5" w14:paraId="2F4F6913" w14:textId="77777777" w:rsidTr="00F96F72">
        <w:trPr>
          <w:trHeight w:val="290"/>
        </w:trPr>
        <w:tc>
          <w:tcPr>
            <w:tcW w:w="9066" w:type="dxa"/>
            <w:tcBorders>
              <w:top w:val="nil"/>
              <w:left w:val="nil"/>
              <w:bottom w:val="nil"/>
              <w:right w:val="nil"/>
            </w:tcBorders>
            <w:shd w:val="clear" w:color="auto" w:fill="auto"/>
            <w:noWrap/>
            <w:vAlign w:val="center"/>
            <w:hideMark/>
          </w:tcPr>
          <w:p w14:paraId="7D0476D3"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Kirman, A. (2010). The economic crisis is a crisis for economic theory. </w:t>
            </w:r>
            <w:r w:rsidRPr="00F712A5">
              <w:rPr>
                <w:rFonts w:eastAsia="Times New Roman" w:cstheme="minorHAnsi"/>
                <w:i/>
                <w:iCs/>
                <w:lang w:eastAsia="en-GB"/>
              </w:rPr>
              <w:t>CESifo Economic Studies</w:t>
            </w:r>
            <w:r w:rsidRPr="00F712A5">
              <w:rPr>
                <w:rFonts w:eastAsia="Times New Roman" w:cstheme="minorHAnsi"/>
                <w:lang w:eastAsia="en-GB"/>
              </w:rPr>
              <w:t xml:space="preserve">, </w:t>
            </w:r>
            <w:r w:rsidRPr="00F712A5">
              <w:rPr>
                <w:rFonts w:eastAsia="Times New Roman" w:cstheme="minorHAnsi"/>
                <w:i/>
                <w:iCs/>
                <w:lang w:eastAsia="en-GB"/>
              </w:rPr>
              <w:t>56</w:t>
            </w:r>
            <w:r w:rsidRPr="00F712A5">
              <w:rPr>
                <w:rFonts w:eastAsia="Times New Roman" w:cstheme="minorHAnsi"/>
                <w:lang w:eastAsia="en-GB"/>
              </w:rPr>
              <w:t>(4), 498-535.</w:t>
            </w:r>
          </w:p>
        </w:tc>
      </w:tr>
      <w:tr w:rsidR="003C2645" w:rsidRPr="00F712A5" w14:paraId="6035F08F" w14:textId="77777777" w:rsidTr="00F96F72">
        <w:trPr>
          <w:trHeight w:val="290"/>
        </w:trPr>
        <w:tc>
          <w:tcPr>
            <w:tcW w:w="9066" w:type="dxa"/>
            <w:tcBorders>
              <w:top w:val="nil"/>
              <w:left w:val="nil"/>
              <w:bottom w:val="nil"/>
              <w:right w:val="nil"/>
            </w:tcBorders>
            <w:shd w:val="clear" w:color="auto" w:fill="auto"/>
            <w:noWrap/>
            <w:vAlign w:val="center"/>
            <w:hideMark/>
          </w:tcPr>
          <w:p w14:paraId="147ED173"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Kirman, A. (1992). Whom or what does the representative individual represent?. </w:t>
            </w:r>
            <w:r w:rsidRPr="00F712A5">
              <w:rPr>
                <w:rFonts w:eastAsia="Times New Roman" w:cstheme="minorHAnsi"/>
                <w:i/>
                <w:iCs/>
                <w:lang w:eastAsia="en-GB"/>
              </w:rPr>
              <w:t>Journal of economic perspectives</w:t>
            </w:r>
            <w:r w:rsidRPr="00F712A5">
              <w:rPr>
                <w:rFonts w:eastAsia="Times New Roman" w:cstheme="minorHAnsi"/>
                <w:lang w:eastAsia="en-GB"/>
              </w:rPr>
              <w:t>, </w:t>
            </w:r>
            <w:r w:rsidRPr="00F712A5">
              <w:rPr>
                <w:rFonts w:eastAsia="Times New Roman" w:cstheme="minorHAnsi"/>
                <w:i/>
                <w:iCs/>
                <w:lang w:eastAsia="en-GB"/>
              </w:rPr>
              <w:t>6</w:t>
            </w:r>
            <w:r w:rsidRPr="00F712A5">
              <w:rPr>
                <w:rFonts w:eastAsia="Times New Roman" w:cstheme="minorHAnsi"/>
                <w:lang w:eastAsia="en-GB"/>
              </w:rPr>
              <w:t>(2), 117-136.</w:t>
            </w:r>
          </w:p>
        </w:tc>
      </w:tr>
      <w:tr w:rsidR="003C2645" w:rsidRPr="00742E87" w14:paraId="79C39147" w14:textId="77777777" w:rsidTr="00F96F72">
        <w:trPr>
          <w:trHeight w:val="290"/>
        </w:trPr>
        <w:tc>
          <w:tcPr>
            <w:tcW w:w="9066" w:type="dxa"/>
            <w:tcBorders>
              <w:top w:val="nil"/>
              <w:left w:val="nil"/>
              <w:bottom w:val="nil"/>
              <w:right w:val="nil"/>
            </w:tcBorders>
            <w:shd w:val="clear" w:color="auto" w:fill="auto"/>
            <w:noWrap/>
            <w:vAlign w:val="center"/>
            <w:hideMark/>
          </w:tcPr>
          <w:p w14:paraId="105A783E" w14:textId="77777777" w:rsidR="003C2645" w:rsidRPr="003C2645" w:rsidRDefault="003C2645" w:rsidP="007B1254">
            <w:pPr>
              <w:spacing w:after="220" w:line="240" w:lineRule="auto"/>
              <w:ind w:left="720" w:hanging="720"/>
              <w:rPr>
                <w:rFonts w:eastAsia="Times New Roman" w:cstheme="minorHAnsi"/>
                <w:lang w:val="en-GB" w:eastAsia="en-GB"/>
              </w:rPr>
            </w:pPr>
            <w:r w:rsidRPr="003C2645">
              <w:rPr>
                <w:rFonts w:eastAsia="Times New Roman" w:cstheme="minorHAnsi"/>
                <w:lang w:val="en-GB" w:eastAsia="en-GB"/>
              </w:rPr>
              <w:t>Knight, F. H. (1921). Risk, uncertainty and pro</w:t>
            </w:r>
            <w:r w:rsidRPr="00F712A5">
              <w:rPr>
                <w:rFonts w:eastAsia="Times New Roman" w:cstheme="minorHAnsi"/>
                <w:lang w:eastAsia="en-GB"/>
              </w:rPr>
              <w:t>ﬁ</w:t>
            </w:r>
            <w:r w:rsidRPr="003C2645">
              <w:rPr>
                <w:rFonts w:eastAsia="Times New Roman" w:cstheme="minorHAnsi"/>
                <w:lang w:val="en-GB" w:eastAsia="en-GB"/>
              </w:rPr>
              <w:t>t. </w:t>
            </w:r>
            <w:r w:rsidRPr="003C2645">
              <w:rPr>
                <w:rFonts w:eastAsia="Times New Roman" w:cstheme="minorHAnsi"/>
                <w:i/>
                <w:iCs/>
                <w:lang w:val="en-GB" w:eastAsia="en-GB"/>
              </w:rPr>
              <w:t>New York: Hart, Schaffner and Marx</w:t>
            </w:r>
            <w:r w:rsidRPr="003C2645">
              <w:rPr>
                <w:rFonts w:eastAsia="Times New Roman" w:cstheme="minorHAnsi"/>
                <w:lang w:val="en-GB" w:eastAsia="en-GB"/>
              </w:rPr>
              <w:t xml:space="preserve">. </w:t>
            </w:r>
          </w:p>
        </w:tc>
      </w:tr>
      <w:tr w:rsidR="003C2645" w:rsidRPr="00F712A5" w14:paraId="1CCF43D7" w14:textId="77777777" w:rsidTr="00F96F72">
        <w:trPr>
          <w:trHeight w:val="290"/>
        </w:trPr>
        <w:tc>
          <w:tcPr>
            <w:tcW w:w="9066" w:type="dxa"/>
            <w:tcBorders>
              <w:top w:val="nil"/>
              <w:left w:val="nil"/>
              <w:bottom w:val="nil"/>
              <w:right w:val="nil"/>
            </w:tcBorders>
            <w:shd w:val="clear" w:color="auto" w:fill="auto"/>
            <w:noWrap/>
            <w:vAlign w:val="center"/>
            <w:hideMark/>
          </w:tcPr>
          <w:p w14:paraId="5EA937D1"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Köhler, J., De Haan, F., Holtz, G., Kubeczko, K., Moallemi, E., Papachristos, G., &amp; Chappin, E. (2018). Modelling sustainability transitions: An assessment of approaches and challenges. </w:t>
            </w:r>
            <w:r w:rsidRPr="00F712A5">
              <w:rPr>
                <w:rFonts w:eastAsia="Times New Roman" w:cstheme="minorHAnsi"/>
                <w:i/>
                <w:iCs/>
                <w:lang w:eastAsia="en-GB"/>
              </w:rPr>
              <w:t>Journal of Artificial Societies and Social Simulation</w:t>
            </w:r>
            <w:r w:rsidRPr="00F712A5">
              <w:rPr>
                <w:rFonts w:eastAsia="Times New Roman" w:cstheme="minorHAnsi"/>
                <w:lang w:eastAsia="en-GB"/>
              </w:rPr>
              <w:t xml:space="preserve">, </w:t>
            </w:r>
            <w:r w:rsidRPr="00F712A5">
              <w:rPr>
                <w:rFonts w:eastAsia="Times New Roman" w:cstheme="minorHAnsi"/>
                <w:i/>
                <w:iCs/>
                <w:lang w:eastAsia="en-GB"/>
              </w:rPr>
              <w:t>21</w:t>
            </w:r>
            <w:r w:rsidRPr="00F712A5">
              <w:rPr>
                <w:rFonts w:eastAsia="Times New Roman" w:cstheme="minorHAnsi"/>
                <w:lang w:eastAsia="en-GB"/>
              </w:rPr>
              <w:t>(1).</w:t>
            </w:r>
          </w:p>
        </w:tc>
      </w:tr>
      <w:tr w:rsidR="003C2645" w:rsidRPr="00F712A5" w14:paraId="470D2E57" w14:textId="77777777" w:rsidTr="00F96F72">
        <w:trPr>
          <w:trHeight w:val="290"/>
        </w:trPr>
        <w:tc>
          <w:tcPr>
            <w:tcW w:w="9066" w:type="dxa"/>
            <w:tcBorders>
              <w:top w:val="nil"/>
              <w:left w:val="nil"/>
              <w:bottom w:val="nil"/>
              <w:right w:val="nil"/>
            </w:tcBorders>
            <w:shd w:val="clear" w:color="auto" w:fill="auto"/>
            <w:noWrap/>
            <w:vAlign w:val="center"/>
            <w:hideMark/>
          </w:tcPr>
          <w:p w14:paraId="566A4CB2"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Krugman, P. (2011). The profession and the crisis. </w:t>
            </w:r>
            <w:r w:rsidRPr="00F712A5">
              <w:rPr>
                <w:rFonts w:eastAsia="Times New Roman" w:cstheme="minorHAnsi"/>
                <w:i/>
                <w:iCs/>
                <w:lang w:eastAsia="en-GB"/>
              </w:rPr>
              <w:t>Eastern Economic Journal</w:t>
            </w:r>
            <w:r w:rsidRPr="00F712A5">
              <w:rPr>
                <w:rFonts w:eastAsia="Times New Roman" w:cstheme="minorHAnsi"/>
                <w:lang w:eastAsia="en-GB"/>
              </w:rPr>
              <w:t>, </w:t>
            </w:r>
            <w:r w:rsidRPr="00F712A5">
              <w:rPr>
                <w:rFonts w:eastAsia="Times New Roman" w:cstheme="minorHAnsi"/>
                <w:i/>
                <w:iCs/>
                <w:lang w:eastAsia="en-GB"/>
              </w:rPr>
              <w:t>37</w:t>
            </w:r>
            <w:r w:rsidRPr="00F712A5">
              <w:rPr>
                <w:rFonts w:eastAsia="Times New Roman" w:cstheme="minorHAnsi"/>
                <w:lang w:eastAsia="en-GB"/>
              </w:rPr>
              <w:t xml:space="preserve">(3), 307-312. </w:t>
            </w:r>
          </w:p>
        </w:tc>
      </w:tr>
      <w:tr w:rsidR="003C2645" w:rsidRPr="00F712A5" w14:paraId="24523BE3" w14:textId="77777777" w:rsidTr="00F96F72">
        <w:trPr>
          <w:trHeight w:val="290"/>
        </w:trPr>
        <w:tc>
          <w:tcPr>
            <w:tcW w:w="9066" w:type="dxa"/>
            <w:tcBorders>
              <w:top w:val="nil"/>
              <w:left w:val="nil"/>
              <w:bottom w:val="nil"/>
              <w:right w:val="nil"/>
            </w:tcBorders>
            <w:shd w:val="clear" w:color="auto" w:fill="auto"/>
            <w:noWrap/>
            <w:vAlign w:val="center"/>
            <w:hideMark/>
          </w:tcPr>
          <w:p w14:paraId="5FB7AC1A"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lastRenderedPageBreak/>
              <w:t xml:space="preserve">Kümmel, R., &amp; Lindenberger, D. (2014). How energy conversion drives economic growth far from the equilibrium of neoclassical economics. </w:t>
            </w:r>
            <w:r w:rsidRPr="00F712A5">
              <w:rPr>
                <w:rFonts w:eastAsia="Times New Roman" w:cstheme="minorHAnsi"/>
                <w:i/>
                <w:iCs/>
                <w:lang w:eastAsia="en-GB"/>
              </w:rPr>
              <w:t>New Journal of Physics</w:t>
            </w:r>
            <w:r w:rsidRPr="00F712A5">
              <w:rPr>
                <w:rFonts w:eastAsia="Times New Roman" w:cstheme="minorHAnsi"/>
                <w:lang w:eastAsia="en-GB"/>
              </w:rPr>
              <w:t xml:space="preserve">, </w:t>
            </w:r>
            <w:r w:rsidRPr="00F712A5">
              <w:rPr>
                <w:rFonts w:eastAsia="Times New Roman" w:cstheme="minorHAnsi"/>
                <w:i/>
                <w:iCs/>
                <w:lang w:eastAsia="en-GB"/>
              </w:rPr>
              <w:t>16</w:t>
            </w:r>
            <w:r w:rsidRPr="00F712A5">
              <w:rPr>
                <w:rFonts w:eastAsia="Times New Roman" w:cstheme="minorHAnsi"/>
                <w:lang w:eastAsia="en-GB"/>
              </w:rPr>
              <w:t>(12), 125008.</w:t>
            </w:r>
          </w:p>
        </w:tc>
      </w:tr>
      <w:tr w:rsidR="003C2645" w:rsidRPr="00F712A5" w14:paraId="2AD44D51" w14:textId="77777777" w:rsidTr="00F96F72">
        <w:trPr>
          <w:trHeight w:val="290"/>
        </w:trPr>
        <w:tc>
          <w:tcPr>
            <w:tcW w:w="9066" w:type="dxa"/>
            <w:tcBorders>
              <w:top w:val="nil"/>
              <w:left w:val="nil"/>
              <w:bottom w:val="nil"/>
              <w:right w:val="nil"/>
            </w:tcBorders>
            <w:shd w:val="clear" w:color="auto" w:fill="auto"/>
            <w:noWrap/>
            <w:vAlign w:val="center"/>
            <w:hideMark/>
          </w:tcPr>
          <w:p w14:paraId="01D03029" w14:textId="77777777" w:rsidR="003C2645" w:rsidRPr="00F712A5" w:rsidRDefault="003C2645" w:rsidP="007B1254">
            <w:pPr>
              <w:spacing w:after="220" w:line="240" w:lineRule="auto"/>
              <w:ind w:left="720" w:hanging="720"/>
              <w:rPr>
                <w:rFonts w:eastAsia="Times New Roman" w:cstheme="minorHAnsi"/>
                <w:lang w:eastAsia="en-GB"/>
              </w:rPr>
            </w:pPr>
            <w:r w:rsidRPr="00F712A5">
              <w:rPr>
                <w:rFonts w:eastAsia="Times New Roman" w:cstheme="minorHAnsi"/>
                <w:lang w:val="de-CH" w:eastAsia="en-GB"/>
              </w:rPr>
              <w:t xml:space="preserve">Kwakkel, J. H., &amp; Pruyt, E. (2013). </w:t>
            </w:r>
            <w:r w:rsidRPr="003C2645">
              <w:rPr>
                <w:rFonts w:eastAsia="Times New Roman" w:cstheme="minorHAnsi"/>
                <w:lang w:val="en-GB" w:eastAsia="en-GB"/>
              </w:rPr>
              <w:t xml:space="preserve">Exploratory Modeling and Analysis, an approach for model-based foresight under deep uncertainty. </w:t>
            </w:r>
            <w:r w:rsidRPr="00F712A5">
              <w:rPr>
                <w:rFonts w:eastAsia="Times New Roman" w:cstheme="minorHAnsi"/>
                <w:i/>
                <w:iCs/>
                <w:lang w:eastAsia="en-GB"/>
              </w:rPr>
              <w:t>Technological Forecasting and Social Change</w:t>
            </w:r>
            <w:r w:rsidRPr="00F712A5">
              <w:rPr>
                <w:rFonts w:eastAsia="Times New Roman" w:cstheme="minorHAnsi"/>
                <w:lang w:eastAsia="en-GB"/>
              </w:rPr>
              <w:t xml:space="preserve">, </w:t>
            </w:r>
            <w:r w:rsidRPr="00F712A5">
              <w:rPr>
                <w:rFonts w:eastAsia="Times New Roman" w:cstheme="minorHAnsi"/>
                <w:i/>
                <w:iCs/>
                <w:lang w:eastAsia="en-GB"/>
              </w:rPr>
              <w:t>80</w:t>
            </w:r>
            <w:r w:rsidRPr="00F712A5">
              <w:rPr>
                <w:rFonts w:eastAsia="Times New Roman" w:cstheme="minorHAnsi"/>
                <w:lang w:eastAsia="en-GB"/>
              </w:rPr>
              <w:t>(3), 419-431.</w:t>
            </w:r>
          </w:p>
        </w:tc>
      </w:tr>
      <w:tr w:rsidR="003C2645" w:rsidRPr="007B1254" w14:paraId="77F7E63F" w14:textId="77777777" w:rsidTr="00F96F72">
        <w:trPr>
          <w:trHeight w:val="290"/>
        </w:trPr>
        <w:tc>
          <w:tcPr>
            <w:tcW w:w="9066" w:type="dxa"/>
            <w:tcBorders>
              <w:top w:val="nil"/>
              <w:left w:val="nil"/>
              <w:bottom w:val="nil"/>
              <w:right w:val="nil"/>
            </w:tcBorders>
            <w:shd w:val="clear" w:color="auto" w:fill="auto"/>
            <w:noWrap/>
            <w:vAlign w:val="center"/>
            <w:hideMark/>
          </w:tcPr>
          <w:p w14:paraId="200BC942" w14:textId="77777777" w:rsidR="003C2645" w:rsidRDefault="007B1254" w:rsidP="007B1254">
            <w:pPr>
              <w:spacing w:after="220" w:line="240" w:lineRule="auto"/>
              <w:ind w:left="720" w:hanging="720"/>
              <w:rPr>
                <w:rFonts w:eastAsia="Times New Roman" w:cstheme="minorHAnsi"/>
                <w:lang w:val="en-GB" w:eastAsia="en-GB"/>
              </w:rPr>
            </w:pPr>
            <w:r w:rsidRPr="007B1254">
              <w:rPr>
                <w:rFonts w:ascii="Arial" w:hAnsi="Arial" w:cs="Arial"/>
                <w:color w:val="222222"/>
                <w:sz w:val="20"/>
                <w:szCs w:val="20"/>
                <w:lang w:val="en-GB"/>
              </w:rPr>
              <w:t>Lamperti, F., Dosi, G., Napoletano, M., Roventini, A., &amp; Sapio, A. (2018</w:t>
            </w:r>
            <w:r w:rsidR="005525F1">
              <w:rPr>
                <w:rFonts w:ascii="Arial" w:hAnsi="Arial" w:cs="Arial"/>
                <w:color w:val="222222"/>
                <w:sz w:val="20"/>
                <w:szCs w:val="20"/>
                <w:lang w:val="en-GB"/>
              </w:rPr>
              <w:t>a</w:t>
            </w:r>
            <w:r w:rsidRPr="007B1254">
              <w:rPr>
                <w:rFonts w:ascii="Arial" w:hAnsi="Arial" w:cs="Arial"/>
                <w:color w:val="222222"/>
                <w:sz w:val="20"/>
                <w:szCs w:val="20"/>
                <w:lang w:val="en-GB"/>
              </w:rPr>
              <w:t xml:space="preserve">). Faraway, so close: coupled climate and economic dynamics in an agent-based integrated assessment model. </w:t>
            </w:r>
            <w:r w:rsidRPr="00F96F72">
              <w:rPr>
                <w:rFonts w:ascii="Arial" w:hAnsi="Arial" w:cs="Arial"/>
                <w:i/>
                <w:iCs/>
                <w:color w:val="222222"/>
                <w:sz w:val="20"/>
                <w:szCs w:val="20"/>
                <w:lang w:val="en-GB"/>
              </w:rPr>
              <w:t>Ecological Economics</w:t>
            </w:r>
            <w:r w:rsidRPr="00F96F72">
              <w:rPr>
                <w:rFonts w:ascii="Arial" w:hAnsi="Arial" w:cs="Arial"/>
                <w:color w:val="222222"/>
                <w:sz w:val="20"/>
                <w:szCs w:val="20"/>
                <w:lang w:val="en-GB"/>
              </w:rPr>
              <w:t xml:space="preserve">, </w:t>
            </w:r>
            <w:r w:rsidRPr="00F96F72">
              <w:rPr>
                <w:rFonts w:ascii="Arial" w:hAnsi="Arial" w:cs="Arial"/>
                <w:i/>
                <w:iCs/>
                <w:color w:val="222222"/>
                <w:sz w:val="20"/>
                <w:szCs w:val="20"/>
                <w:lang w:val="en-GB"/>
              </w:rPr>
              <w:t>150</w:t>
            </w:r>
            <w:r w:rsidRPr="00F96F72">
              <w:rPr>
                <w:rFonts w:ascii="Arial" w:hAnsi="Arial" w:cs="Arial"/>
                <w:color w:val="222222"/>
                <w:sz w:val="20"/>
                <w:szCs w:val="20"/>
                <w:lang w:val="en-GB"/>
              </w:rPr>
              <w:t>, 315-339.</w:t>
            </w:r>
            <w:r w:rsidR="003C2645" w:rsidRPr="003C2645">
              <w:rPr>
                <w:rFonts w:eastAsia="Times New Roman" w:cstheme="minorHAnsi"/>
                <w:lang w:val="en-GB" w:eastAsia="en-GB"/>
              </w:rPr>
              <w:t xml:space="preserve">Lavoie, M. (2014). </w:t>
            </w:r>
            <w:r w:rsidR="003C2645" w:rsidRPr="003C2645">
              <w:rPr>
                <w:rFonts w:eastAsia="Times New Roman" w:cstheme="minorHAnsi"/>
                <w:i/>
                <w:iCs/>
                <w:lang w:val="en-GB" w:eastAsia="en-GB"/>
              </w:rPr>
              <w:t>Post-Keynesian economics: new foundations</w:t>
            </w:r>
            <w:r w:rsidR="003C2645" w:rsidRPr="003C2645">
              <w:rPr>
                <w:rFonts w:eastAsia="Times New Roman" w:cstheme="minorHAnsi"/>
                <w:lang w:val="en-GB" w:eastAsia="en-GB"/>
              </w:rPr>
              <w:t xml:space="preserve">. </w:t>
            </w:r>
            <w:r w:rsidR="003C2645" w:rsidRPr="007B1254">
              <w:rPr>
                <w:rFonts w:eastAsia="Times New Roman" w:cstheme="minorHAnsi"/>
                <w:lang w:val="en-GB" w:eastAsia="en-GB"/>
              </w:rPr>
              <w:t>Edward Elgar Publishing.</w:t>
            </w:r>
          </w:p>
          <w:p w14:paraId="2DA6EDA7" w14:textId="38DE0A87" w:rsidR="005525F1" w:rsidRPr="007B1254" w:rsidRDefault="005525F1" w:rsidP="007B1254">
            <w:pPr>
              <w:spacing w:after="220" w:line="240" w:lineRule="auto"/>
              <w:ind w:left="720" w:hanging="720"/>
              <w:rPr>
                <w:rFonts w:eastAsia="Times New Roman" w:cstheme="minorHAnsi"/>
                <w:lang w:val="en-GB" w:eastAsia="en-GB"/>
              </w:rPr>
            </w:pPr>
            <w:r w:rsidRPr="005525F1">
              <w:rPr>
                <w:rFonts w:ascii="Arial" w:hAnsi="Arial" w:cs="Arial"/>
                <w:color w:val="222222"/>
                <w:sz w:val="20"/>
                <w:szCs w:val="20"/>
                <w:lang w:val="en-GB"/>
              </w:rPr>
              <w:t>Lamperti, F., Dosi, G., Napoletano, M., Roventini, A., &amp; Sapio, A. (2018</w:t>
            </w:r>
            <w:r>
              <w:rPr>
                <w:rFonts w:ascii="Arial" w:hAnsi="Arial" w:cs="Arial"/>
                <w:color w:val="222222"/>
                <w:sz w:val="20"/>
                <w:szCs w:val="20"/>
                <w:lang w:val="en-GB"/>
              </w:rPr>
              <w:t>b</w:t>
            </w:r>
            <w:r w:rsidRPr="005525F1">
              <w:rPr>
                <w:rFonts w:ascii="Arial" w:hAnsi="Arial" w:cs="Arial"/>
                <w:color w:val="222222"/>
                <w:sz w:val="20"/>
                <w:szCs w:val="20"/>
                <w:lang w:val="en-GB"/>
              </w:rPr>
              <w:t xml:space="preserve">). And then he wasn’ta she: Climate change and green transitions in an agent-based integrated assessment model. </w:t>
            </w:r>
            <w:r>
              <w:rPr>
                <w:rFonts w:ascii="Arial" w:hAnsi="Arial" w:cs="Arial"/>
                <w:i/>
                <w:iCs/>
                <w:color w:val="222222"/>
                <w:sz w:val="20"/>
                <w:szCs w:val="20"/>
              </w:rPr>
              <w:t>Scuola Superiore Sant'Anna, LEM Working Papers</w:t>
            </w:r>
            <w:r>
              <w:rPr>
                <w:rFonts w:ascii="Arial" w:hAnsi="Arial" w:cs="Arial"/>
                <w:color w:val="222222"/>
                <w:sz w:val="20"/>
                <w:szCs w:val="20"/>
              </w:rPr>
              <w:t xml:space="preserve">, </w:t>
            </w:r>
            <w:r>
              <w:rPr>
                <w:rFonts w:ascii="Arial" w:hAnsi="Arial" w:cs="Arial"/>
                <w:i/>
                <w:iCs/>
                <w:color w:val="222222"/>
                <w:sz w:val="20"/>
                <w:szCs w:val="20"/>
              </w:rPr>
              <w:t>14</w:t>
            </w:r>
            <w:r>
              <w:rPr>
                <w:rFonts w:ascii="Arial" w:hAnsi="Arial" w:cs="Arial"/>
                <w:color w:val="222222"/>
                <w:sz w:val="20"/>
                <w:szCs w:val="20"/>
              </w:rPr>
              <w:t>.</w:t>
            </w:r>
          </w:p>
        </w:tc>
      </w:tr>
      <w:tr w:rsidR="003C2645" w:rsidRPr="00F712A5" w14:paraId="180A201F" w14:textId="77777777" w:rsidTr="00F96F72">
        <w:trPr>
          <w:trHeight w:val="290"/>
        </w:trPr>
        <w:tc>
          <w:tcPr>
            <w:tcW w:w="9066" w:type="dxa"/>
            <w:tcBorders>
              <w:top w:val="nil"/>
              <w:left w:val="nil"/>
              <w:bottom w:val="nil"/>
              <w:right w:val="nil"/>
            </w:tcBorders>
            <w:shd w:val="clear" w:color="auto" w:fill="auto"/>
            <w:noWrap/>
            <w:vAlign w:val="center"/>
            <w:hideMark/>
          </w:tcPr>
          <w:p w14:paraId="7C490322"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Lavoie, M., &amp; Godley, W. (2001). Kaleckian models of growth in a coherent stock-flow monetary framework: a Kaldorian view. </w:t>
            </w:r>
            <w:r w:rsidRPr="00F712A5">
              <w:rPr>
                <w:rFonts w:eastAsia="Times New Roman" w:cstheme="minorHAnsi"/>
                <w:i/>
                <w:iCs/>
                <w:lang w:eastAsia="en-GB"/>
              </w:rPr>
              <w:t>Journal of Post Keynesian Economics</w:t>
            </w:r>
            <w:r w:rsidRPr="00F712A5">
              <w:rPr>
                <w:rFonts w:eastAsia="Times New Roman" w:cstheme="minorHAnsi"/>
                <w:lang w:eastAsia="en-GB"/>
              </w:rPr>
              <w:t xml:space="preserve">, </w:t>
            </w:r>
            <w:r w:rsidRPr="00F712A5">
              <w:rPr>
                <w:rFonts w:eastAsia="Times New Roman" w:cstheme="minorHAnsi"/>
                <w:i/>
                <w:iCs/>
                <w:lang w:eastAsia="en-GB"/>
              </w:rPr>
              <w:t>24</w:t>
            </w:r>
            <w:r w:rsidRPr="00F712A5">
              <w:rPr>
                <w:rFonts w:eastAsia="Times New Roman" w:cstheme="minorHAnsi"/>
                <w:lang w:eastAsia="en-GB"/>
              </w:rPr>
              <w:t xml:space="preserve">(2), 277-311. </w:t>
            </w:r>
          </w:p>
        </w:tc>
      </w:tr>
      <w:tr w:rsidR="003C2645" w:rsidRPr="00F712A5" w14:paraId="3F3B63C3" w14:textId="77777777" w:rsidTr="00F96F72">
        <w:trPr>
          <w:trHeight w:val="290"/>
        </w:trPr>
        <w:tc>
          <w:tcPr>
            <w:tcW w:w="9066" w:type="dxa"/>
            <w:tcBorders>
              <w:top w:val="nil"/>
              <w:left w:val="nil"/>
              <w:bottom w:val="nil"/>
              <w:right w:val="nil"/>
            </w:tcBorders>
            <w:shd w:val="clear" w:color="auto" w:fill="auto"/>
            <w:noWrap/>
            <w:vAlign w:val="center"/>
            <w:hideMark/>
          </w:tcPr>
          <w:p w14:paraId="577F06F9"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LeBaron, B., &amp; Tesfatsion, L. (2008). Modeling macroeconomies as open-ended dynamic systems of interacting agents. </w:t>
            </w:r>
            <w:r w:rsidRPr="00F712A5">
              <w:rPr>
                <w:rFonts w:eastAsia="Times New Roman" w:cstheme="minorHAnsi"/>
                <w:i/>
                <w:iCs/>
                <w:lang w:eastAsia="en-GB"/>
              </w:rPr>
              <w:t>American Economic Review</w:t>
            </w:r>
            <w:r w:rsidRPr="00F712A5">
              <w:rPr>
                <w:rFonts w:eastAsia="Times New Roman" w:cstheme="minorHAnsi"/>
                <w:lang w:eastAsia="en-GB"/>
              </w:rPr>
              <w:t xml:space="preserve">, </w:t>
            </w:r>
            <w:r w:rsidRPr="00F712A5">
              <w:rPr>
                <w:rFonts w:eastAsia="Times New Roman" w:cstheme="minorHAnsi"/>
                <w:i/>
                <w:iCs/>
                <w:lang w:eastAsia="en-GB"/>
              </w:rPr>
              <w:t>98</w:t>
            </w:r>
            <w:r w:rsidRPr="00F712A5">
              <w:rPr>
                <w:rFonts w:eastAsia="Times New Roman" w:cstheme="minorHAnsi"/>
                <w:lang w:eastAsia="en-GB"/>
              </w:rPr>
              <w:t>(2), 246-50.</w:t>
            </w:r>
          </w:p>
        </w:tc>
      </w:tr>
      <w:tr w:rsidR="003C2645" w:rsidRPr="00F712A5" w14:paraId="106645D2" w14:textId="77777777" w:rsidTr="00F96F72">
        <w:trPr>
          <w:trHeight w:val="290"/>
        </w:trPr>
        <w:tc>
          <w:tcPr>
            <w:tcW w:w="9066" w:type="dxa"/>
            <w:tcBorders>
              <w:top w:val="nil"/>
              <w:left w:val="nil"/>
              <w:bottom w:val="nil"/>
              <w:right w:val="nil"/>
            </w:tcBorders>
            <w:shd w:val="clear" w:color="auto" w:fill="auto"/>
            <w:noWrap/>
            <w:vAlign w:val="center"/>
            <w:hideMark/>
          </w:tcPr>
          <w:p w14:paraId="646EF97E"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Li, F. G., &amp; Strachan, N. (2017). Modelling energy transitions for climate targets under landscape and actor inertia. </w:t>
            </w:r>
            <w:r w:rsidRPr="00F712A5">
              <w:rPr>
                <w:rFonts w:eastAsia="Times New Roman" w:cstheme="minorHAnsi"/>
                <w:i/>
                <w:iCs/>
                <w:lang w:eastAsia="en-GB"/>
              </w:rPr>
              <w:t>Environmental innovation and societal transitions</w:t>
            </w:r>
            <w:r w:rsidRPr="00F712A5">
              <w:rPr>
                <w:rFonts w:eastAsia="Times New Roman" w:cstheme="minorHAnsi"/>
                <w:lang w:eastAsia="en-GB"/>
              </w:rPr>
              <w:t xml:space="preserve">, </w:t>
            </w:r>
            <w:r w:rsidRPr="00F712A5">
              <w:rPr>
                <w:rFonts w:eastAsia="Times New Roman" w:cstheme="minorHAnsi"/>
                <w:i/>
                <w:iCs/>
                <w:lang w:eastAsia="en-GB"/>
              </w:rPr>
              <w:t>24</w:t>
            </w:r>
            <w:r w:rsidRPr="00F712A5">
              <w:rPr>
                <w:rFonts w:eastAsia="Times New Roman" w:cstheme="minorHAnsi"/>
                <w:lang w:eastAsia="en-GB"/>
              </w:rPr>
              <w:t>, 106-129.</w:t>
            </w:r>
          </w:p>
        </w:tc>
      </w:tr>
      <w:tr w:rsidR="003C2645" w:rsidRPr="00742E87" w14:paraId="65EEB033" w14:textId="77777777" w:rsidTr="00F96F72">
        <w:trPr>
          <w:trHeight w:val="290"/>
        </w:trPr>
        <w:tc>
          <w:tcPr>
            <w:tcW w:w="9066" w:type="dxa"/>
            <w:tcBorders>
              <w:top w:val="nil"/>
              <w:left w:val="nil"/>
              <w:bottom w:val="nil"/>
              <w:right w:val="nil"/>
            </w:tcBorders>
            <w:shd w:val="clear" w:color="auto" w:fill="auto"/>
            <w:noWrap/>
            <w:vAlign w:val="center"/>
            <w:hideMark/>
          </w:tcPr>
          <w:p w14:paraId="3E91441C" w14:textId="77777777" w:rsidR="003C2645" w:rsidRPr="003C2645" w:rsidRDefault="00650294" w:rsidP="007B1254">
            <w:pPr>
              <w:spacing w:after="220" w:line="240" w:lineRule="auto"/>
              <w:ind w:left="720" w:hanging="720"/>
              <w:rPr>
                <w:rFonts w:eastAsia="Times New Roman" w:cstheme="minorHAnsi"/>
                <w:lang w:val="en-GB" w:eastAsia="en-GB"/>
              </w:rPr>
            </w:pPr>
            <w:hyperlink r:id="rId19" w:history="1">
              <w:r w:rsidR="003C2645" w:rsidRPr="003C2645">
                <w:rPr>
                  <w:rFonts w:eastAsia="Times New Roman" w:cstheme="minorHAnsi"/>
                  <w:lang w:val="en-GB" w:eastAsia="en-GB"/>
                </w:rPr>
                <w:t>Love, P. (ed.) (2016), Debate the Issues: New Approaches to Economic Challenges, OECD Insights, OECD Publishing, Paris, https://doi.org/10.1787/9789264264687-en.</w:t>
              </w:r>
            </w:hyperlink>
          </w:p>
        </w:tc>
      </w:tr>
      <w:tr w:rsidR="003C2645" w:rsidRPr="00F712A5" w14:paraId="0F3F3F4D" w14:textId="77777777" w:rsidTr="00F96F72">
        <w:trPr>
          <w:trHeight w:val="290"/>
        </w:trPr>
        <w:tc>
          <w:tcPr>
            <w:tcW w:w="9066" w:type="dxa"/>
            <w:tcBorders>
              <w:top w:val="nil"/>
              <w:left w:val="nil"/>
              <w:bottom w:val="nil"/>
              <w:right w:val="nil"/>
            </w:tcBorders>
            <w:shd w:val="clear" w:color="auto" w:fill="auto"/>
            <w:noWrap/>
            <w:vAlign w:val="center"/>
            <w:hideMark/>
          </w:tcPr>
          <w:p w14:paraId="10EA800D"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Lucas Jr, R. E. (2003). Macroeconomic priorities. </w:t>
            </w:r>
            <w:r w:rsidRPr="00F712A5">
              <w:rPr>
                <w:rFonts w:eastAsia="Times New Roman" w:cstheme="minorHAnsi"/>
                <w:i/>
                <w:iCs/>
                <w:lang w:eastAsia="en-GB"/>
              </w:rPr>
              <w:t>American economic review</w:t>
            </w:r>
            <w:r w:rsidRPr="00F712A5">
              <w:rPr>
                <w:rFonts w:eastAsia="Times New Roman" w:cstheme="minorHAnsi"/>
                <w:lang w:eastAsia="en-GB"/>
              </w:rPr>
              <w:t>, </w:t>
            </w:r>
            <w:r w:rsidRPr="00F712A5">
              <w:rPr>
                <w:rFonts w:eastAsia="Times New Roman" w:cstheme="minorHAnsi"/>
                <w:i/>
                <w:iCs/>
                <w:lang w:eastAsia="en-GB"/>
              </w:rPr>
              <w:t>93</w:t>
            </w:r>
            <w:r w:rsidRPr="00F712A5">
              <w:rPr>
                <w:rFonts w:eastAsia="Times New Roman" w:cstheme="minorHAnsi"/>
                <w:lang w:eastAsia="en-GB"/>
              </w:rPr>
              <w:t>(1), 1-14.</w:t>
            </w:r>
          </w:p>
        </w:tc>
      </w:tr>
      <w:tr w:rsidR="003C2645" w:rsidRPr="00F712A5" w14:paraId="3ACEC34A" w14:textId="77777777" w:rsidTr="00F96F72">
        <w:trPr>
          <w:trHeight w:val="290"/>
        </w:trPr>
        <w:tc>
          <w:tcPr>
            <w:tcW w:w="9066" w:type="dxa"/>
            <w:tcBorders>
              <w:top w:val="nil"/>
              <w:left w:val="nil"/>
              <w:bottom w:val="nil"/>
              <w:right w:val="nil"/>
            </w:tcBorders>
            <w:shd w:val="clear" w:color="auto" w:fill="auto"/>
            <w:noWrap/>
            <w:vAlign w:val="center"/>
            <w:hideMark/>
          </w:tcPr>
          <w:p w14:paraId="086C38E1"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Lutz, C. (2011): Energy scenarios for Germany: Simulations with the model Panta Rhei. </w:t>
            </w:r>
            <w:r w:rsidRPr="003C2645">
              <w:rPr>
                <w:rFonts w:eastAsia="Times New Roman" w:cstheme="minorHAnsi"/>
                <w:i/>
                <w:iCs/>
                <w:lang w:val="en-GB" w:eastAsia="en-GB"/>
              </w:rPr>
              <w:t xml:space="preserve">In: Mullins, D., Viljoen, J. &amp; Leeuwner, H. (ed.): Interindustry based analysis of macroeconomic forecasting. </w:t>
            </w:r>
            <w:r w:rsidRPr="00F712A5">
              <w:rPr>
                <w:rFonts w:eastAsia="Times New Roman" w:cstheme="minorHAnsi"/>
                <w:i/>
                <w:iCs/>
                <w:lang w:eastAsia="en-GB"/>
              </w:rPr>
              <w:t>Proceedings of the 19th INFORUM World Conference</w:t>
            </w:r>
            <w:r w:rsidRPr="00F712A5">
              <w:rPr>
                <w:rFonts w:eastAsia="Times New Roman" w:cstheme="minorHAnsi"/>
                <w:lang w:eastAsia="en-GB"/>
              </w:rPr>
              <w:t xml:space="preserve">, </w:t>
            </w:r>
            <w:r w:rsidRPr="00F712A5">
              <w:rPr>
                <w:rFonts w:eastAsia="Times New Roman" w:cstheme="minorHAnsi"/>
                <w:i/>
                <w:iCs/>
                <w:lang w:eastAsia="en-GB"/>
              </w:rPr>
              <w:t>Pretoria</w:t>
            </w:r>
            <w:r w:rsidRPr="00F712A5">
              <w:rPr>
                <w:rFonts w:eastAsia="Times New Roman" w:cstheme="minorHAnsi"/>
                <w:lang w:eastAsia="en-GB"/>
              </w:rPr>
              <w:t xml:space="preserve"> (pp. 203-224).</w:t>
            </w:r>
          </w:p>
        </w:tc>
      </w:tr>
      <w:tr w:rsidR="003C2645" w:rsidRPr="00F712A5" w14:paraId="4F9AD7F3" w14:textId="77777777" w:rsidTr="00F96F72">
        <w:trPr>
          <w:trHeight w:val="290"/>
        </w:trPr>
        <w:tc>
          <w:tcPr>
            <w:tcW w:w="9066" w:type="dxa"/>
            <w:tcBorders>
              <w:top w:val="nil"/>
              <w:left w:val="nil"/>
              <w:bottom w:val="nil"/>
              <w:right w:val="nil"/>
            </w:tcBorders>
            <w:shd w:val="clear" w:color="auto" w:fill="auto"/>
            <w:noWrap/>
            <w:vAlign w:val="center"/>
            <w:hideMark/>
          </w:tcPr>
          <w:p w14:paraId="2926C686"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Lutz, C., &amp; Meyer, B. (2009). Environmental and economic effects of post-Kyoto carbon regimes: Results of simulations with the global model GINFORS. </w:t>
            </w:r>
            <w:r w:rsidRPr="00F712A5">
              <w:rPr>
                <w:rFonts w:eastAsia="Times New Roman" w:cstheme="minorHAnsi"/>
                <w:i/>
                <w:iCs/>
                <w:lang w:eastAsia="en-GB"/>
              </w:rPr>
              <w:t>Energy Policy, 37</w:t>
            </w:r>
            <w:r w:rsidRPr="00F712A5">
              <w:rPr>
                <w:rFonts w:eastAsia="Times New Roman" w:cstheme="minorHAnsi"/>
                <w:lang w:eastAsia="en-GB"/>
              </w:rPr>
              <w:t xml:space="preserve">(5), 1758-1766. </w:t>
            </w:r>
          </w:p>
        </w:tc>
      </w:tr>
      <w:tr w:rsidR="003C2645" w:rsidRPr="00F712A5" w14:paraId="04ADA6F9" w14:textId="77777777" w:rsidTr="00F96F72">
        <w:trPr>
          <w:trHeight w:val="290"/>
        </w:trPr>
        <w:tc>
          <w:tcPr>
            <w:tcW w:w="9066" w:type="dxa"/>
            <w:tcBorders>
              <w:top w:val="nil"/>
              <w:left w:val="nil"/>
              <w:bottom w:val="nil"/>
              <w:right w:val="nil"/>
            </w:tcBorders>
            <w:shd w:val="clear" w:color="auto" w:fill="auto"/>
            <w:noWrap/>
            <w:vAlign w:val="center"/>
            <w:hideMark/>
          </w:tcPr>
          <w:p w14:paraId="025B53E2" w14:textId="77777777" w:rsidR="003C2645" w:rsidRPr="00F712A5" w:rsidRDefault="003C2645" w:rsidP="007B1254">
            <w:pPr>
              <w:spacing w:after="220" w:line="240" w:lineRule="auto"/>
              <w:ind w:left="720" w:hanging="720"/>
              <w:rPr>
                <w:rFonts w:eastAsia="Times New Roman" w:cstheme="minorHAnsi"/>
                <w:lang w:eastAsia="en-GB"/>
              </w:rPr>
            </w:pPr>
            <w:r w:rsidRPr="00F712A5">
              <w:rPr>
                <w:rFonts w:eastAsia="Times New Roman" w:cstheme="minorHAnsi"/>
                <w:lang w:val="de-CH" w:eastAsia="en-GB"/>
              </w:rPr>
              <w:t xml:space="preserve">Lutz, C., Meyer, B., &amp; Wolter, M. I. (2009). </w:t>
            </w:r>
            <w:r w:rsidRPr="003C2645">
              <w:rPr>
                <w:rFonts w:eastAsia="Times New Roman" w:cstheme="minorHAnsi"/>
                <w:lang w:val="en-GB" w:eastAsia="en-GB"/>
              </w:rPr>
              <w:t xml:space="preserve">The global multisector/multicountry 3-E model GINFORS. A description of the model and a baseline forecast for global energy demand and CO2 emissions. </w:t>
            </w:r>
            <w:r w:rsidRPr="00F712A5">
              <w:rPr>
                <w:rFonts w:eastAsia="Times New Roman" w:cstheme="minorHAnsi"/>
                <w:i/>
                <w:iCs/>
                <w:lang w:val="de-CH" w:eastAsia="en-GB"/>
              </w:rPr>
              <w:t>International Journal of Global Environmental Issues, 10</w:t>
            </w:r>
            <w:r w:rsidRPr="00F712A5">
              <w:rPr>
                <w:rFonts w:eastAsia="Times New Roman" w:cstheme="minorHAnsi"/>
                <w:lang w:val="de-CH" w:eastAsia="en-GB"/>
              </w:rPr>
              <w:t>(1-2), 25-45.</w:t>
            </w:r>
          </w:p>
        </w:tc>
      </w:tr>
      <w:tr w:rsidR="003C2645" w:rsidRPr="00F712A5" w14:paraId="23489FC4" w14:textId="77777777" w:rsidTr="00F96F72">
        <w:trPr>
          <w:trHeight w:val="290"/>
        </w:trPr>
        <w:tc>
          <w:tcPr>
            <w:tcW w:w="9066" w:type="dxa"/>
            <w:tcBorders>
              <w:top w:val="nil"/>
              <w:left w:val="nil"/>
              <w:bottom w:val="nil"/>
              <w:right w:val="nil"/>
            </w:tcBorders>
            <w:shd w:val="clear" w:color="auto" w:fill="auto"/>
            <w:noWrap/>
            <w:vAlign w:val="center"/>
            <w:hideMark/>
          </w:tcPr>
          <w:p w14:paraId="14EB55D6"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Markard, J., Raven, R., &amp; Truffer, B. (2012). Sustainability transitions: An emerging field of research and its prospects. </w:t>
            </w:r>
            <w:r w:rsidRPr="00F712A5">
              <w:rPr>
                <w:rFonts w:eastAsia="Times New Roman" w:cstheme="minorHAnsi"/>
                <w:i/>
                <w:iCs/>
                <w:lang w:eastAsia="en-GB"/>
              </w:rPr>
              <w:t>Research policy</w:t>
            </w:r>
            <w:r w:rsidRPr="00F712A5">
              <w:rPr>
                <w:rFonts w:eastAsia="Times New Roman" w:cstheme="minorHAnsi"/>
                <w:lang w:eastAsia="en-GB"/>
              </w:rPr>
              <w:t xml:space="preserve">, </w:t>
            </w:r>
            <w:r w:rsidRPr="00F712A5">
              <w:rPr>
                <w:rFonts w:eastAsia="Times New Roman" w:cstheme="minorHAnsi"/>
                <w:i/>
                <w:iCs/>
                <w:lang w:eastAsia="en-GB"/>
              </w:rPr>
              <w:t>41</w:t>
            </w:r>
            <w:r w:rsidRPr="00F712A5">
              <w:rPr>
                <w:rFonts w:eastAsia="Times New Roman" w:cstheme="minorHAnsi"/>
                <w:lang w:eastAsia="en-GB"/>
              </w:rPr>
              <w:t>(6), 955-967.</w:t>
            </w:r>
          </w:p>
        </w:tc>
      </w:tr>
      <w:tr w:rsidR="003C2645" w:rsidRPr="00F712A5" w14:paraId="2EEE62FF" w14:textId="77777777" w:rsidTr="00F96F72">
        <w:trPr>
          <w:trHeight w:val="290"/>
        </w:trPr>
        <w:tc>
          <w:tcPr>
            <w:tcW w:w="9066" w:type="dxa"/>
            <w:tcBorders>
              <w:top w:val="nil"/>
              <w:left w:val="nil"/>
              <w:bottom w:val="nil"/>
              <w:right w:val="nil"/>
            </w:tcBorders>
            <w:shd w:val="clear" w:color="auto" w:fill="auto"/>
            <w:noWrap/>
            <w:vAlign w:val="center"/>
            <w:hideMark/>
          </w:tcPr>
          <w:p w14:paraId="3425F32A" w14:textId="77777777" w:rsidR="003C2645" w:rsidRPr="00F712A5" w:rsidRDefault="003C2645" w:rsidP="007B1254">
            <w:pPr>
              <w:spacing w:after="220" w:line="240" w:lineRule="auto"/>
              <w:ind w:left="720" w:hanging="720"/>
              <w:rPr>
                <w:rFonts w:eastAsia="Times New Roman" w:cstheme="minorHAnsi"/>
                <w:lang w:eastAsia="en-GB"/>
              </w:rPr>
            </w:pPr>
            <w:r w:rsidRPr="00F712A5">
              <w:rPr>
                <w:rFonts w:eastAsia="Times New Roman" w:cstheme="minorHAnsi"/>
                <w:lang w:val="de-CH" w:eastAsia="en-GB"/>
              </w:rPr>
              <w:t xml:space="preserve">Markkanen, S., &amp; Anger-Kraavi, A. (2019). </w:t>
            </w:r>
            <w:r w:rsidRPr="003C2645">
              <w:rPr>
                <w:rFonts w:eastAsia="Times New Roman" w:cstheme="minorHAnsi"/>
                <w:lang w:val="en-GB" w:eastAsia="en-GB"/>
              </w:rPr>
              <w:t xml:space="preserve">Social impacts of climate change mitigation policies and their implications for inequality. </w:t>
            </w:r>
            <w:r w:rsidRPr="00F712A5">
              <w:rPr>
                <w:rFonts w:eastAsia="Times New Roman" w:cstheme="minorHAnsi"/>
                <w:i/>
                <w:iCs/>
                <w:lang w:eastAsia="en-GB"/>
              </w:rPr>
              <w:t>Climate Policy</w:t>
            </w:r>
            <w:r w:rsidRPr="00F712A5">
              <w:rPr>
                <w:rFonts w:eastAsia="Times New Roman" w:cstheme="minorHAnsi"/>
                <w:lang w:eastAsia="en-GB"/>
              </w:rPr>
              <w:t xml:space="preserve">, </w:t>
            </w:r>
            <w:r w:rsidRPr="00F712A5">
              <w:rPr>
                <w:rFonts w:eastAsia="Times New Roman" w:cstheme="minorHAnsi"/>
                <w:i/>
                <w:iCs/>
                <w:lang w:eastAsia="en-GB"/>
              </w:rPr>
              <w:t>19</w:t>
            </w:r>
            <w:r w:rsidRPr="00F712A5">
              <w:rPr>
                <w:rFonts w:eastAsia="Times New Roman" w:cstheme="minorHAnsi"/>
                <w:lang w:eastAsia="en-GB"/>
              </w:rPr>
              <w:t>(7), 827-844.</w:t>
            </w:r>
          </w:p>
        </w:tc>
      </w:tr>
      <w:tr w:rsidR="003C2645" w:rsidRPr="00F712A5" w14:paraId="02119FCB" w14:textId="77777777" w:rsidTr="00F96F72">
        <w:trPr>
          <w:trHeight w:val="290"/>
        </w:trPr>
        <w:tc>
          <w:tcPr>
            <w:tcW w:w="9066" w:type="dxa"/>
            <w:tcBorders>
              <w:top w:val="nil"/>
              <w:left w:val="nil"/>
              <w:bottom w:val="nil"/>
              <w:right w:val="nil"/>
            </w:tcBorders>
            <w:shd w:val="clear" w:color="auto" w:fill="auto"/>
            <w:noWrap/>
            <w:vAlign w:val="center"/>
            <w:hideMark/>
          </w:tcPr>
          <w:p w14:paraId="0A588C78"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Mazzucato, M. (2016). From market fixing to market-creating: a new framework for innovation policy. </w:t>
            </w:r>
            <w:r w:rsidRPr="00F712A5">
              <w:rPr>
                <w:rFonts w:eastAsia="Times New Roman" w:cstheme="minorHAnsi"/>
                <w:i/>
                <w:iCs/>
                <w:lang w:eastAsia="en-GB"/>
              </w:rPr>
              <w:t>Industry and Innovation</w:t>
            </w:r>
            <w:r w:rsidRPr="00F712A5">
              <w:rPr>
                <w:rFonts w:eastAsia="Times New Roman" w:cstheme="minorHAnsi"/>
                <w:lang w:eastAsia="en-GB"/>
              </w:rPr>
              <w:t xml:space="preserve">, </w:t>
            </w:r>
            <w:r w:rsidRPr="00F712A5">
              <w:rPr>
                <w:rFonts w:eastAsia="Times New Roman" w:cstheme="minorHAnsi"/>
                <w:i/>
                <w:iCs/>
                <w:lang w:eastAsia="en-GB"/>
              </w:rPr>
              <w:t>23</w:t>
            </w:r>
            <w:r w:rsidRPr="00F712A5">
              <w:rPr>
                <w:rFonts w:eastAsia="Times New Roman" w:cstheme="minorHAnsi"/>
                <w:lang w:eastAsia="en-GB"/>
              </w:rPr>
              <w:t>(2), 140-156.</w:t>
            </w:r>
          </w:p>
        </w:tc>
      </w:tr>
      <w:tr w:rsidR="003C2645" w:rsidRPr="00F712A5" w14:paraId="20C266C8" w14:textId="77777777" w:rsidTr="00F96F72">
        <w:trPr>
          <w:trHeight w:val="290"/>
        </w:trPr>
        <w:tc>
          <w:tcPr>
            <w:tcW w:w="9066" w:type="dxa"/>
            <w:tcBorders>
              <w:top w:val="nil"/>
              <w:left w:val="nil"/>
              <w:bottom w:val="nil"/>
              <w:right w:val="nil"/>
            </w:tcBorders>
            <w:shd w:val="clear" w:color="auto" w:fill="auto"/>
            <w:noWrap/>
            <w:vAlign w:val="center"/>
            <w:hideMark/>
          </w:tcPr>
          <w:p w14:paraId="792BCF73" w14:textId="77777777" w:rsidR="003C2645" w:rsidRPr="00F712A5" w:rsidRDefault="003C2645" w:rsidP="007B1254">
            <w:pPr>
              <w:spacing w:after="220" w:line="240" w:lineRule="auto"/>
              <w:ind w:left="720" w:hanging="720"/>
              <w:rPr>
                <w:rFonts w:eastAsia="Times New Roman" w:cstheme="minorHAnsi"/>
                <w:lang w:eastAsia="en-GB"/>
              </w:rPr>
            </w:pPr>
            <w:r w:rsidRPr="00F712A5">
              <w:rPr>
                <w:rFonts w:eastAsia="Times New Roman" w:cstheme="minorHAnsi"/>
                <w:lang w:val="de-CH" w:eastAsia="en-GB"/>
              </w:rPr>
              <w:t xml:space="preserve">McKibbin, W. J., &amp; Stoeckel, A. (2018). </w:t>
            </w:r>
            <w:r w:rsidRPr="003C2645">
              <w:rPr>
                <w:rFonts w:eastAsia="Times New Roman" w:cstheme="minorHAnsi"/>
                <w:lang w:val="en-GB" w:eastAsia="en-GB"/>
              </w:rPr>
              <w:t xml:space="preserve">Modelling a complex world: improving macro-models. </w:t>
            </w:r>
            <w:r w:rsidRPr="00F712A5">
              <w:rPr>
                <w:rFonts w:eastAsia="Times New Roman" w:cstheme="minorHAnsi"/>
                <w:i/>
                <w:iCs/>
                <w:lang w:eastAsia="en-GB"/>
              </w:rPr>
              <w:t>Oxford Review of Economic Policy</w:t>
            </w:r>
            <w:r w:rsidRPr="00F712A5">
              <w:rPr>
                <w:rFonts w:eastAsia="Times New Roman" w:cstheme="minorHAnsi"/>
                <w:lang w:eastAsia="en-GB"/>
              </w:rPr>
              <w:t xml:space="preserve">, </w:t>
            </w:r>
            <w:r w:rsidRPr="00F712A5">
              <w:rPr>
                <w:rFonts w:eastAsia="Times New Roman" w:cstheme="minorHAnsi"/>
                <w:i/>
                <w:iCs/>
                <w:lang w:eastAsia="en-GB"/>
              </w:rPr>
              <w:t>34</w:t>
            </w:r>
            <w:r w:rsidRPr="00F712A5">
              <w:rPr>
                <w:rFonts w:eastAsia="Times New Roman" w:cstheme="minorHAnsi"/>
                <w:lang w:eastAsia="en-GB"/>
              </w:rPr>
              <w:t>(1-2), 329-347.</w:t>
            </w:r>
          </w:p>
        </w:tc>
      </w:tr>
      <w:tr w:rsidR="003C2645" w:rsidRPr="00F712A5" w14:paraId="270A7C06" w14:textId="77777777" w:rsidTr="00F96F72">
        <w:trPr>
          <w:trHeight w:val="290"/>
        </w:trPr>
        <w:tc>
          <w:tcPr>
            <w:tcW w:w="9066" w:type="dxa"/>
            <w:tcBorders>
              <w:top w:val="nil"/>
              <w:left w:val="nil"/>
              <w:bottom w:val="nil"/>
              <w:right w:val="nil"/>
            </w:tcBorders>
            <w:shd w:val="clear" w:color="auto" w:fill="auto"/>
            <w:noWrap/>
            <w:vAlign w:val="center"/>
            <w:hideMark/>
          </w:tcPr>
          <w:p w14:paraId="5CEDBA21"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Meadows, D. H., Meadows, D. L., Randers, J., &amp; Behrens, W. W. (1972). </w:t>
            </w:r>
            <w:r w:rsidRPr="00F712A5">
              <w:rPr>
                <w:rFonts w:eastAsia="Times New Roman" w:cstheme="minorHAnsi"/>
                <w:lang w:eastAsia="en-GB"/>
              </w:rPr>
              <w:t xml:space="preserve">The limits to growth. </w:t>
            </w:r>
            <w:r w:rsidRPr="00F712A5">
              <w:rPr>
                <w:rFonts w:eastAsia="Times New Roman" w:cstheme="minorHAnsi"/>
                <w:i/>
                <w:iCs/>
                <w:lang w:eastAsia="en-GB"/>
              </w:rPr>
              <w:t>New York</w:t>
            </w:r>
            <w:r w:rsidRPr="00F712A5">
              <w:rPr>
                <w:rFonts w:eastAsia="Times New Roman" w:cstheme="minorHAnsi"/>
                <w:lang w:eastAsia="en-GB"/>
              </w:rPr>
              <w:t xml:space="preserve">, </w:t>
            </w:r>
            <w:r w:rsidRPr="00F712A5">
              <w:rPr>
                <w:rFonts w:eastAsia="Times New Roman" w:cstheme="minorHAnsi"/>
                <w:i/>
                <w:iCs/>
                <w:lang w:eastAsia="en-GB"/>
              </w:rPr>
              <w:t>102</w:t>
            </w:r>
            <w:r w:rsidRPr="00F712A5">
              <w:rPr>
                <w:rFonts w:eastAsia="Times New Roman" w:cstheme="minorHAnsi"/>
                <w:lang w:eastAsia="en-GB"/>
              </w:rPr>
              <w:t>, 27.</w:t>
            </w:r>
          </w:p>
        </w:tc>
      </w:tr>
      <w:tr w:rsidR="003C2645" w:rsidRPr="00F712A5" w14:paraId="62426E43" w14:textId="77777777" w:rsidTr="00F96F72">
        <w:trPr>
          <w:trHeight w:val="290"/>
        </w:trPr>
        <w:tc>
          <w:tcPr>
            <w:tcW w:w="9066" w:type="dxa"/>
            <w:tcBorders>
              <w:top w:val="nil"/>
              <w:left w:val="nil"/>
              <w:bottom w:val="nil"/>
              <w:right w:val="nil"/>
            </w:tcBorders>
            <w:shd w:val="clear" w:color="auto" w:fill="auto"/>
            <w:noWrap/>
            <w:vAlign w:val="center"/>
            <w:hideMark/>
          </w:tcPr>
          <w:p w14:paraId="5844CB91"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lastRenderedPageBreak/>
              <w:t xml:space="preserve">Mercure, J. F. (2012). FTT: Power: A global model of the power sector with induced technological change and natural resource depletion. </w:t>
            </w:r>
            <w:r w:rsidRPr="00F712A5">
              <w:rPr>
                <w:rFonts w:eastAsia="Times New Roman" w:cstheme="minorHAnsi"/>
                <w:i/>
                <w:iCs/>
                <w:lang w:eastAsia="en-GB"/>
              </w:rPr>
              <w:t>Energy Policy, 48</w:t>
            </w:r>
            <w:r w:rsidRPr="00F712A5">
              <w:rPr>
                <w:rFonts w:eastAsia="Times New Roman" w:cstheme="minorHAnsi"/>
                <w:lang w:eastAsia="en-GB"/>
              </w:rPr>
              <w:t xml:space="preserve">, 799-811. </w:t>
            </w:r>
          </w:p>
        </w:tc>
      </w:tr>
      <w:tr w:rsidR="003C2645" w:rsidRPr="00F712A5" w14:paraId="1F3E3E7C" w14:textId="77777777" w:rsidTr="00F96F72">
        <w:trPr>
          <w:trHeight w:val="290"/>
        </w:trPr>
        <w:tc>
          <w:tcPr>
            <w:tcW w:w="9066" w:type="dxa"/>
            <w:tcBorders>
              <w:top w:val="nil"/>
              <w:left w:val="nil"/>
              <w:bottom w:val="nil"/>
              <w:right w:val="nil"/>
            </w:tcBorders>
            <w:shd w:val="clear" w:color="auto" w:fill="auto"/>
            <w:noWrap/>
            <w:vAlign w:val="center"/>
            <w:hideMark/>
          </w:tcPr>
          <w:p w14:paraId="298CF275"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Mercure, J. F., &amp; Salas, P. (2013). On the global economic potentials and marginal costs of non-renewable resources and the price of energy commodities. </w:t>
            </w:r>
            <w:r w:rsidRPr="00F712A5">
              <w:rPr>
                <w:rFonts w:eastAsia="Times New Roman" w:cstheme="minorHAnsi"/>
                <w:i/>
                <w:iCs/>
                <w:lang w:eastAsia="en-GB"/>
              </w:rPr>
              <w:t>Energy Policy</w:t>
            </w:r>
            <w:r w:rsidRPr="00F712A5">
              <w:rPr>
                <w:rFonts w:eastAsia="Times New Roman" w:cstheme="minorHAnsi"/>
                <w:lang w:eastAsia="en-GB"/>
              </w:rPr>
              <w:t>, </w:t>
            </w:r>
            <w:r w:rsidRPr="00F712A5">
              <w:rPr>
                <w:rFonts w:eastAsia="Times New Roman" w:cstheme="minorHAnsi"/>
                <w:i/>
                <w:iCs/>
                <w:lang w:eastAsia="en-GB"/>
              </w:rPr>
              <w:t>63</w:t>
            </w:r>
            <w:r w:rsidRPr="00F712A5">
              <w:rPr>
                <w:rFonts w:eastAsia="Times New Roman" w:cstheme="minorHAnsi"/>
                <w:lang w:eastAsia="en-GB"/>
              </w:rPr>
              <w:t>, 469-483.</w:t>
            </w:r>
          </w:p>
        </w:tc>
      </w:tr>
      <w:tr w:rsidR="003C2645" w:rsidRPr="00F712A5" w14:paraId="58E0F032" w14:textId="77777777" w:rsidTr="00F96F72">
        <w:trPr>
          <w:trHeight w:val="290"/>
        </w:trPr>
        <w:tc>
          <w:tcPr>
            <w:tcW w:w="9066" w:type="dxa"/>
            <w:tcBorders>
              <w:top w:val="nil"/>
              <w:left w:val="nil"/>
              <w:bottom w:val="nil"/>
              <w:right w:val="nil"/>
            </w:tcBorders>
            <w:shd w:val="clear" w:color="auto" w:fill="auto"/>
            <w:noWrap/>
            <w:vAlign w:val="center"/>
            <w:hideMark/>
          </w:tcPr>
          <w:p w14:paraId="31EFD591"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Mercure, J. F., Knobloch, F., Pollitt, H., Paroussos, L., Scrieciu, S. S., &amp; Lewney, R. (2019). Modelling innovation and the macroeconomics of low-carbon transitions: theory, perspectives and practical use. </w:t>
            </w:r>
            <w:r w:rsidRPr="00F712A5">
              <w:rPr>
                <w:rFonts w:eastAsia="Times New Roman" w:cstheme="minorHAnsi"/>
                <w:i/>
                <w:iCs/>
                <w:lang w:eastAsia="en-GB"/>
              </w:rPr>
              <w:t>Climate Policy</w:t>
            </w:r>
            <w:r w:rsidRPr="00F712A5">
              <w:rPr>
                <w:rFonts w:eastAsia="Times New Roman" w:cstheme="minorHAnsi"/>
                <w:lang w:eastAsia="en-GB"/>
              </w:rPr>
              <w:t xml:space="preserve">, </w:t>
            </w:r>
            <w:r w:rsidRPr="00F712A5">
              <w:rPr>
                <w:rFonts w:eastAsia="Times New Roman" w:cstheme="minorHAnsi"/>
                <w:i/>
                <w:iCs/>
                <w:lang w:eastAsia="en-GB"/>
              </w:rPr>
              <w:t>19</w:t>
            </w:r>
            <w:r w:rsidRPr="00F712A5">
              <w:rPr>
                <w:rFonts w:eastAsia="Times New Roman" w:cstheme="minorHAnsi"/>
                <w:lang w:eastAsia="en-GB"/>
              </w:rPr>
              <w:t>(8), 1019-1037.</w:t>
            </w:r>
          </w:p>
        </w:tc>
      </w:tr>
      <w:tr w:rsidR="003C2645" w:rsidRPr="00F712A5" w14:paraId="5FAC6747" w14:textId="77777777" w:rsidTr="00F96F72">
        <w:trPr>
          <w:trHeight w:val="290"/>
        </w:trPr>
        <w:tc>
          <w:tcPr>
            <w:tcW w:w="9066" w:type="dxa"/>
            <w:tcBorders>
              <w:top w:val="nil"/>
              <w:left w:val="nil"/>
              <w:bottom w:val="nil"/>
              <w:right w:val="nil"/>
            </w:tcBorders>
            <w:shd w:val="clear" w:color="auto" w:fill="auto"/>
            <w:noWrap/>
            <w:vAlign w:val="center"/>
            <w:hideMark/>
          </w:tcPr>
          <w:p w14:paraId="486B83CF"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Mercure, J. F., Pollitt, H., Bassi, A. M., Viñuales, J. E., &amp; Edwards, N. R. (2016). Modelling complex systems of heterogeneous agents to better design sustainability transitions policy. </w:t>
            </w:r>
            <w:r w:rsidRPr="00F712A5">
              <w:rPr>
                <w:rFonts w:eastAsia="Times New Roman" w:cstheme="minorHAnsi"/>
                <w:i/>
                <w:iCs/>
                <w:lang w:eastAsia="en-GB"/>
              </w:rPr>
              <w:t>Global environmental change</w:t>
            </w:r>
            <w:r w:rsidRPr="00F712A5">
              <w:rPr>
                <w:rFonts w:eastAsia="Times New Roman" w:cstheme="minorHAnsi"/>
                <w:lang w:eastAsia="en-GB"/>
              </w:rPr>
              <w:t>, </w:t>
            </w:r>
            <w:r w:rsidRPr="00F712A5">
              <w:rPr>
                <w:rFonts w:eastAsia="Times New Roman" w:cstheme="minorHAnsi"/>
                <w:i/>
                <w:iCs/>
                <w:lang w:eastAsia="en-GB"/>
              </w:rPr>
              <w:t>37</w:t>
            </w:r>
            <w:r w:rsidRPr="00F712A5">
              <w:rPr>
                <w:rFonts w:eastAsia="Times New Roman" w:cstheme="minorHAnsi"/>
                <w:lang w:eastAsia="en-GB"/>
              </w:rPr>
              <w:t>, 102-115.</w:t>
            </w:r>
          </w:p>
        </w:tc>
      </w:tr>
      <w:tr w:rsidR="003C2645" w:rsidRPr="00F712A5" w14:paraId="2EA92044" w14:textId="77777777" w:rsidTr="00F96F72">
        <w:trPr>
          <w:trHeight w:val="290"/>
        </w:trPr>
        <w:tc>
          <w:tcPr>
            <w:tcW w:w="9066" w:type="dxa"/>
            <w:tcBorders>
              <w:top w:val="nil"/>
              <w:left w:val="nil"/>
              <w:bottom w:val="nil"/>
              <w:right w:val="nil"/>
            </w:tcBorders>
            <w:shd w:val="clear" w:color="auto" w:fill="auto"/>
            <w:noWrap/>
            <w:vAlign w:val="center"/>
            <w:hideMark/>
          </w:tcPr>
          <w:p w14:paraId="7402E8C7"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Mercure, J. F., Pollitt, H., Chewpreecha, U., Salas, P., Foley, A. M., Holden, P. B., &amp; Edwards, N. R. (2014). The dynamics of technology diffusion and the impacts of climate policy instruments in the decarbonisation of the global electricity sector. </w:t>
            </w:r>
            <w:r w:rsidRPr="00F712A5">
              <w:rPr>
                <w:rFonts w:eastAsia="Times New Roman" w:cstheme="minorHAnsi"/>
                <w:i/>
                <w:iCs/>
                <w:lang w:eastAsia="en-GB"/>
              </w:rPr>
              <w:t>Energy Policy, 73</w:t>
            </w:r>
            <w:r w:rsidRPr="00F712A5">
              <w:rPr>
                <w:rFonts w:eastAsia="Times New Roman" w:cstheme="minorHAnsi"/>
                <w:lang w:eastAsia="en-GB"/>
              </w:rPr>
              <w:t xml:space="preserve">, 686-700. </w:t>
            </w:r>
          </w:p>
        </w:tc>
      </w:tr>
      <w:tr w:rsidR="003C2645" w:rsidRPr="00F712A5" w14:paraId="3C18F72C" w14:textId="77777777" w:rsidTr="00F96F72">
        <w:trPr>
          <w:trHeight w:val="290"/>
        </w:trPr>
        <w:tc>
          <w:tcPr>
            <w:tcW w:w="9066" w:type="dxa"/>
            <w:tcBorders>
              <w:top w:val="nil"/>
              <w:left w:val="nil"/>
              <w:bottom w:val="nil"/>
              <w:right w:val="nil"/>
            </w:tcBorders>
            <w:shd w:val="clear" w:color="auto" w:fill="auto"/>
            <w:noWrap/>
            <w:vAlign w:val="center"/>
            <w:hideMark/>
          </w:tcPr>
          <w:p w14:paraId="2947A1DA"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Mercure, J.-F., Pollitt, H., Edwards, N. R., Holden, P. B., Chewpreecha, U., Salas, P., . . . Vinuales, J. E. (2018). Environmental impact assessment for climate change policy with the simulation-based integrated assessment model E3ME-FTT-GENIE. </w:t>
            </w:r>
            <w:r w:rsidRPr="00F712A5">
              <w:rPr>
                <w:rFonts w:eastAsia="Times New Roman" w:cstheme="minorHAnsi"/>
                <w:lang w:eastAsia="en-GB"/>
              </w:rPr>
              <w:t xml:space="preserve">Energy strategy reviews, 20, 195-208. </w:t>
            </w:r>
          </w:p>
        </w:tc>
      </w:tr>
      <w:tr w:rsidR="003C2645" w:rsidRPr="00742E87" w14:paraId="37CCD0CB" w14:textId="77777777" w:rsidTr="00F96F72">
        <w:trPr>
          <w:trHeight w:val="290"/>
        </w:trPr>
        <w:tc>
          <w:tcPr>
            <w:tcW w:w="9066" w:type="dxa"/>
            <w:tcBorders>
              <w:top w:val="nil"/>
              <w:left w:val="nil"/>
              <w:bottom w:val="nil"/>
              <w:right w:val="nil"/>
            </w:tcBorders>
            <w:shd w:val="clear" w:color="auto" w:fill="auto"/>
            <w:noWrap/>
            <w:vAlign w:val="center"/>
            <w:hideMark/>
          </w:tcPr>
          <w:p w14:paraId="24CF17B2" w14:textId="77777777" w:rsidR="003C2645" w:rsidRPr="003C2645" w:rsidRDefault="00650294" w:rsidP="007B1254">
            <w:pPr>
              <w:spacing w:after="220" w:line="240" w:lineRule="auto"/>
              <w:ind w:left="720" w:hanging="720"/>
              <w:rPr>
                <w:rFonts w:eastAsia="Times New Roman" w:cstheme="minorHAnsi"/>
                <w:lang w:val="en-GB" w:eastAsia="en-GB"/>
              </w:rPr>
            </w:pPr>
            <w:hyperlink r:id="rId20" w:history="1">
              <w:r w:rsidR="003C2645" w:rsidRPr="003C2645">
                <w:rPr>
                  <w:rFonts w:eastAsia="Times New Roman" w:cstheme="minorHAnsi"/>
                  <w:lang w:val="en-GB" w:eastAsia="en-GB"/>
                </w:rPr>
                <w:t>Meyer, B. (2005). The Economic-Environmental model PANTA RHEI and it's Application (No. 2005/3). GWS Discussion Paper. Available at: https://core.ac.uk/download/pdf/6731842.pdf (01.04.2019).</w:t>
              </w:r>
            </w:hyperlink>
          </w:p>
        </w:tc>
      </w:tr>
      <w:tr w:rsidR="003C2645" w:rsidRPr="00742E87" w14:paraId="1D169A8B" w14:textId="77777777" w:rsidTr="00F96F72">
        <w:trPr>
          <w:trHeight w:val="290"/>
        </w:trPr>
        <w:tc>
          <w:tcPr>
            <w:tcW w:w="9066" w:type="dxa"/>
            <w:tcBorders>
              <w:top w:val="nil"/>
              <w:left w:val="nil"/>
              <w:bottom w:val="nil"/>
              <w:right w:val="nil"/>
            </w:tcBorders>
            <w:shd w:val="clear" w:color="auto" w:fill="auto"/>
            <w:noWrap/>
            <w:vAlign w:val="center"/>
            <w:hideMark/>
          </w:tcPr>
          <w:p w14:paraId="4772E060" w14:textId="77777777" w:rsidR="003C2645" w:rsidRPr="003C2645" w:rsidRDefault="00650294" w:rsidP="007B1254">
            <w:pPr>
              <w:spacing w:after="220" w:line="240" w:lineRule="auto"/>
              <w:ind w:left="720" w:hanging="720"/>
              <w:rPr>
                <w:rFonts w:eastAsia="Times New Roman" w:cstheme="minorHAnsi"/>
                <w:lang w:val="en-GB" w:eastAsia="en-GB"/>
              </w:rPr>
            </w:pPr>
            <w:hyperlink r:id="rId21" w:history="1">
              <w:r w:rsidR="003C2645" w:rsidRPr="003C2645">
                <w:rPr>
                  <w:rFonts w:eastAsia="Times New Roman" w:cstheme="minorHAnsi"/>
                  <w:lang w:val="en-GB" w:eastAsia="en-GB"/>
                </w:rPr>
                <w:t xml:space="preserve">Meyer, B., &amp; Lutz, C. (2007). The GINFORS model. Model overview and evaluation. Available at: http://www.petre.org.uk/pdf/sept08/petrE_WP3%202%20Ginfors.pdf (11.08.2018). </w:t>
              </w:r>
            </w:hyperlink>
          </w:p>
        </w:tc>
      </w:tr>
      <w:tr w:rsidR="003C2645" w:rsidRPr="00F712A5" w14:paraId="5FD7B4BA" w14:textId="77777777" w:rsidTr="00F96F72">
        <w:trPr>
          <w:trHeight w:val="290"/>
        </w:trPr>
        <w:tc>
          <w:tcPr>
            <w:tcW w:w="9066" w:type="dxa"/>
            <w:tcBorders>
              <w:top w:val="nil"/>
              <w:left w:val="nil"/>
              <w:bottom w:val="nil"/>
              <w:right w:val="nil"/>
            </w:tcBorders>
            <w:shd w:val="clear" w:color="auto" w:fill="auto"/>
            <w:noWrap/>
            <w:vAlign w:val="center"/>
            <w:hideMark/>
          </w:tcPr>
          <w:p w14:paraId="07338DE8"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Meyer, B., Meyer, M., &amp; Distelkamp, M. (2012). Modeling green growth and resource efficiency: new results. </w:t>
            </w:r>
            <w:r w:rsidRPr="00F712A5">
              <w:rPr>
                <w:rFonts w:eastAsia="Times New Roman" w:cstheme="minorHAnsi"/>
                <w:i/>
                <w:iCs/>
                <w:lang w:eastAsia="en-GB"/>
              </w:rPr>
              <w:t>Mineral Economics</w:t>
            </w:r>
            <w:r w:rsidRPr="00F712A5">
              <w:rPr>
                <w:rFonts w:eastAsia="Times New Roman" w:cstheme="minorHAnsi"/>
                <w:lang w:eastAsia="en-GB"/>
              </w:rPr>
              <w:t>, </w:t>
            </w:r>
            <w:r w:rsidRPr="00F712A5">
              <w:rPr>
                <w:rFonts w:eastAsia="Times New Roman" w:cstheme="minorHAnsi"/>
                <w:i/>
                <w:iCs/>
                <w:lang w:eastAsia="en-GB"/>
              </w:rPr>
              <w:t>24</w:t>
            </w:r>
            <w:r w:rsidRPr="00F712A5">
              <w:rPr>
                <w:rFonts w:eastAsia="Times New Roman" w:cstheme="minorHAnsi"/>
                <w:lang w:eastAsia="en-GB"/>
              </w:rPr>
              <w:t>(2-3), 145-154.</w:t>
            </w:r>
          </w:p>
        </w:tc>
      </w:tr>
      <w:tr w:rsidR="003C2645" w:rsidRPr="00F712A5" w14:paraId="52FF7B66" w14:textId="77777777" w:rsidTr="00F96F72">
        <w:trPr>
          <w:trHeight w:val="290"/>
        </w:trPr>
        <w:tc>
          <w:tcPr>
            <w:tcW w:w="9066" w:type="dxa"/>
            <w:tcBorders>
              <w:top w:val="nil"/>
              <w:left w:val="nil"/>
              <w:bottom w:val="nil"/>
              <w:right w:val="nil"/>
            </w:tcBorders>
            <w:shd w:val="clear" w:color="auto" w:fill="auto"/>
            <w:noWrap/>
            <w:vAlign w:val="center"/>
            <w:hideMark/>
          </w:tcPr>
          <w:p w14:paraId="713D2D4B"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Mignon, I., &amp; Bergek, A. (2016). System-and actor-level challenges for diffusion of renewable electricity technologies: an international comparison. </w:t>
            </w:r>
            <w:r w:rsidRPr="00F712A5">
              <w:rPr>
                <w:rFonts w:eastAsia="Times New Roman" w:cstheme="minorHAnsi"/>
                <w:i/>
                <w:iCs/>
                <w:lang w:eastAsia="en-GB"/>
              </w:rPr>
              <w:t>Journal of Cleaner Production</w:t>
            </w:r>
            <w:r w:rsidRPr="00F712A5">
              <w:rPr>
                <w:rFonts w:eastAsia="Times New Roman" w:cstheme="minorHAnsi"/>
                <w:lang w:eastAsia="en-GB"/>
              </w:rPr>
              <w:t xml:space="preserve">, </w:t>
            </w:r>
            <w:r w:rsidRPr="00F712A5">
              <w:rPr>
                <w:rFonts w:eastAsia="Times New Roman" w:cstheme="minorHAnsi"/>
                <w:i/>
                <w:iCs/>
                <w:lang w:eastAsia="en-GB"/>
              </w:rPr>
              <w:t>128</w:t>
            </w:r>
            <w:r w:rsidRPr="00F712A5">
              <w:rPr>
                <w:rFonts w:eastAsia="Times New Roman" w:cstheme="minorHAnsi"/>
                <w:lang w:eastAsia="en-GB"/>
              </w:rPr>
              <w:t>, 105-115.</w:t>
            </w:r>
          </w:p>
        </w:tc>
      </w:tr>
      <w:tr w:rsidR="003C2645" w:rsidRPr="00742E87" w14:paraId="301C0161" w14:textId="77777777" w:rsidTr="00F96F72">
        <w:trPr>
          <w:trHeight w:val="290"/>
        </w:trPr>
        <w:tc>
          <w:tcPr>
            <w:tcW w:w="9066" w:type="dxa"/>
            <w:tcBorders>
              <w:top w:val="nil"/>
              <w:left w:val="nil"/>
              <w:bottom w:val="nil"/>
              <w:right w:val="nil"/>
            </w:tcBorders>
            <w:shd w:val="clear" w:color="auto" w:fill="auto"/>
            <w:noWrap/>
            <w:vAlign w:val="center"/>
            <w:hideMark/>
          </w:tcPr>
          <w:p w14:paraId="2E2DDA49" w14:textId="77777777" w:rsidR="003C2645" w:rsidRPr="003C2645" w:rsidRDefault="003C2645" w:rsidP="007B1254">
            <w:pPr>
              <w:spacing w:after="220" w:line="240" w:lineRule="auto"/>
              <w:ind w:left="720" w:hanging="720"/>
              <w:rPr>
                <w:rFonts w:eastAsia="Times New Roman" w:cstheme="minorHAnsi"/>
                <w:lang w:val="en-GB" w:eastAsia="en-GB"/>
              </w:rPr>
            </w:pPr>
            <w:r w:rsidRPr="003C2645">
              <w:rPr>
                <w:rFonts w:eastAsia="Times New Roman" w:cstheme="minorHAnsi"/>
                <w:lang w:val="en-GB" w:eastAsia="en-GB"/>
              </w:rPr>
              <w:t xml:space="preserve">Millennium Institute (2007). </w:t>
            </w:r>
            <w:r w:rsidRPr="003C2645">
              <w:rPr>
                <w:rFonts w:eastAsia="Times New Roman" w:cstheme="minorHAnsi"/>
                <w:i/>
                <w:iCs/>
                <w:lang w:val="en-GB" w:eastAsia="en-GB"/>
              </w:rPr>
              <w:t>Model documentation</w:t>
            </w:r>
            <w:r w:rsidRPr="003C2645">
              <w:rPr>
                <w:rFonts w:eastAsia="Times New Roman" w:cstheme="minorHAnsi"/>
                <w:lang w:val="en-GB" w:eastAsia="en-GB"/>
              </w:rPr>
              <w:t>. Available at: https://www.millennium-institute.org (31.04.2018).</w:t>
            </w:r>
          </w:p>
        </w:tc>
      </w:tr>
      <w:tr w:rsidR="003C2645" w:rsidRPr="00742E87" w14:paraId="362F53C9" w14:textId="77777777" w:rsidTr="00F96F72">
        <w:trPr>
          <w:trHeight w:val="290"/>
        </w:trPr>
        <w:tc>
          <w:tcPr>
            <w:tcW w:w="9066" w:type="dxa"/>
            <w:tcBorders>
              <w:top w:val="nil"/>
              <w:left w:val="nil"/>
              <w:bottom w:val="nil"/>
              <w:right w:val="nil"/>
            </w:tcBorders>
            <w:shd w:val="clear" w:color="auto" w:fill="auto"/>
            <w:noWrap/>
            <w:vAlign w:val="center"/>
            <w:hideMark/>
          </w:tcPr>
          <w:p w14:paraId="3D6DBE6E" w14:textId="77777777" w:rsidR="003C2645" w:rsidRPr="003C2645" w:rsidRDefault="003C2645" w:rsidP="007B1254">
            <w:pPr>
              <w:spacing w:after="220" w:line="240" w:lineRule="auto"/>
              <w:ind w:left="720" w:hanging="720"/>
              <w:rPr>
                <w:rFonts w:eastAsia="Times New Roman" w:cstheme="minorHAnsi"/>
                <w:lang w:val="en-GB" w:eastAsia="en-GB"/>
              </w:rPr>
            </w:pPr>
            <w:r w:rsidRPr="003C2645">
              <w:rPr>
                <w:rFonts w:eastAsia="Times New Roman" w:cstheme="minorHAnsi"/>
                <w:lang w:val="en-GB" w:eastAsia="en-GB"/>
              </w:rPr>
              <w:t xml:space="preserve">Millennium Institute (2017). </w:t>
            </w:r>
            <w:r w:rsidRPr="003C2645">
              <w:rPr>
                <w:rFonts w:eastAsia="Times New Roman" w:cstheme="minorHAnsi"/>
                <w:i/>
                <w:iCs/>
                <w:lang w:val="en-GB" w:eastAsia="en-GB"/>
              </w:rPr>
              <w:t>Model documentation</w:t>
            </w:r>
            <w:r w:rsidRPr="003C2645">
              <w:rPr>
                <w:rFonts w:eastAsia="Times New Roman" w:cstheme="minorHAnsi"/>
                <w:lang w:val="en-GB" w:eastAsia="en-GB"/>
              </w:rPr>
              <w:t>. Available at: https://www.millennium-institute.org/documentation (15.12.2018).</w:t>
            </w:r>
          </w:p>
        </w:tc>
      </w:tr>
      <w:tr w:rsidR="003C2645" w:rsidRPr="00F712A5" w14:paraId="3F4EB788" w14:textId="77777777" w:rsidTr="00F96F72">
        <w:trPr>
          <w:trHeight w:val="290"/>
        </w:trPr>
        <w:tc>
          <w:tcPr>
            <w:tcW w:w="9066" w:type="dxa"/>
            <w:tcBorders>
              <w:top w:val="nil"/>
              <w:left w:val="nil"/>
              <w:bottom w:val="nil"/>
              <w:right w:val="nil"/>
            </w:tcBorders>
            <w:shd w:val="clear" w:color="auto" w:fill="auto"/>
            <w:noWrap/>
            <w:vAlign w:val="center"/>
            <w:hideMark/>
          </w:tcPr>
          <w:p w14:paraId="50AE06FB"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Monasterolo, I., &amp; Raberto, M. (2016). A hybrid system dynamics–agent based model to assess the role of green fiscal and monetary policies. </w:t>
            </w:r>
            <w:r w:rsidRPr="00F712A5">
              <w:rPr>
                <w:rFonts w:eastAsia="Times New Roman" w:cstheme="minorHAnsi"/>
                <w:i/>
                <w:iCs/>
                <w:lang w:eastAsia="en-GB"/>
              </w:rPr>
              <w:t>Available at id = 2748266.</w:t>
            </w:r>
          </w:p>
        </w:tc>
      </w:tr>
      <w:tr w:rsidR="003C2645" w:rsidRPr="00F712A5" w14:paraId="3DD3B794" w14:textId="77777777" w:rsidTr="00F96F72">
        <w:trPr>
          <w:trHeight w:val="290"/>
        </w:trPr>
        <w:tc>
          <w:tcPr>
            <w:tcW w:w="9066" w:type="dxa"/>
            <w:tcBorders>
              <w:top w:val="nil"/>
              <w:left w:val="nil"/>
              <w:bottom w:val="nil"/>
              <w:right w:val="nil"/>
            </w:tcBorders>
            <w:shd w:val="clear" w:color="auto" w:fill="auto"/>
            <w:noWrap/>
            <w:vAlign w:val="center"/>
            <w:hideMark/>
          </w:tcPr>
          <w:p w14:paraId="49E3A8E8"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Monasterolo, I., &amp; Raberto, M. (2018). The EIRIN flow-of-funds behavioural model of green fiscal policies and green sovereign bonds. </w:t>
            </w:r>
            <w:r w:rsidRPr="00F712A5">
              <w:rPr>
                <w:rFonts w:eastAsia="Times New Roman" w:cstheme="minorHAnsi"/>
                <w:i/>
                <w:iCs/>
                <w:lang w:eastAsia="en-GB"/>
              </w:rPr>
              <w:t>Ecological Economics</w:t>
            </w:r>
            <w:r w:rsidRPr="00F712A5">
              <w:rPr>
                <w:rFonts w:eastAsia="Times New Roman" w:cstheme="minorHAnsi"/>
                <w:lang w:eastAsia="en-GB"/>
              </w:rPr>
              <w:t>, </w:t>
            </w:r>
            <w:r w:rsidRPr="00F712A5">
              <w:rPr>
                <w:rFonts w:eastAsia="Times New Roman" w:cstheme="minorHAnsi"/>
                <w:i/>
                <w:iCs/>
                <w:lang w:eastAsia="en-GB"/>
              </w:rPr>
              <w:t>144</w:t>
            </w:r>
            <w:r w:rsidRPr="00F712A5">
              <w:rPr>
                <w:rFonts w:eastAsia="Times New Roman" w:cstheme="minorHAnsi"/>
                <w:lang w:eastAsia="en-GB"/>
              </w:rPr>
              <w:t xml:space="preserve">, 228-243. </w:t>
            </w:r>
          </w:p>
        </w:tc>
      </w:tr>
      <w:tr w:rsidR="003C2645" w:rsidRPr="00F712A5" w14:paraId="0CDE3EBE" w14:textId="77777777" w:rsidTr="00F96F72">
        <w:trPr>
          <w:trHeight w:val="290"/>
        </w:trPr>
        <w:tc>
          <w:tcPr>
            <w:tcW w:w="9066" w:type="dxa"/>
            <w:tcBorders>
              <w:top w:val="nil"/>
              <w:left w:val="nil"/>
              <w:bottom w:val="nil"/>
              <w:right w:val="nil"/>
            </w:tcBorders>
            <w:shd w:val="clear" w:color="auto" w:fill="auto"/>
            <w:noWrap/>
            <w:vAlign w:val="center"/>
            <w:hideMark/>
          </w:tcPr>
          <w:p w14:paraId="7E3686CC"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Monasterolo, I., &amp; Raberto, M. (2019). The impact of phasing out fossil fuel subsidies on the low-carbon transition. </w:t>
            </w:r>
            <w:r w:rsidRPr="00F712A5">
              <w:rPr>
                <w:rFonts w:eastAsia="Times New Roman" w:cstheme="minorHAnsi"/>
                <w:i/>
                <w:iCs/>
                <w:lang w:eastAsia="en-GB"/>
              </w:rPr>
              <w:t>Energy Policy</w:t>
            </w:r>
            <w:r w:rsidRPr="00F712A5">
              <w:rPr>
                <w:rFonts w:eastAsia="Times New Roman" w:cstheme="minorHAnsi"/>
                <w:lang w:eastAsia="en-GB"/>
              </w:rPr>
              <w:t xml:space="preserve">, </w:t>
            </w:r>
            <w:r w:rsidRPr="00F712A5">
              <w:rPr>
                <w:rFonts w:eastAsia="Times New Roman" w:cstheme="minorHAnsi"/>
                <w:i/>
                <w:iCs/>
                <w:lang w:eastAsia="en-GB"/>
              </w:rPr>
              <w:t>124</w:t>
            </w:r>
            <w:r w:rsidRPr="00F712A5">
              <w:rPr>
                <w:rFonts w:eastAsia="Times New Roman" w:cstheme="minorHAnsi"/>
                <w:lang w:eastAsia="en-GB"/>
              </w:rPr>
              <w:t xml:space="preserve">, 355-370. </w:t>
            </w:r>
          </w:p>
        </w:tc>
      </w:tr>
      <w:tr w:rsidR="003C2645" w:rsidRPr="00F712A5" w14:paraId="11FD3CB0" w14:textId="77777777" w:rsidTr="00F96F72">
        <w:trPr>
          <w:trHeight w:val="290"/>
        </w:trPr>
        <w:tc>
          <w:tcPr>
            <w:tcW w:w="9066" w:type="dxa"/>
            <w:tcBorders>
              <w:top w:val="nil"/>
              <w:left w:val="nil"/>
              <w:bottom w:val="nil"/>
              <w:right w:val="nil"/>
            </w:tcBorders>
            <w:shd w:val="clear" w:color="auto" w:fill="auto"/>
            <w:noWrap/>
            <w:vAlign w:val="center"/>
            <w:hideMark/>
          </w:tcPr>
          <w:p w14:paraId="4519B19A" w14:textId="77777777" w:rsidR="003C2645" w:rsidRPr="003C2645" w:rsidRDefault="003C2645" w:rsidP="007B1254">
            <w:pPr>
              <w:spacing w:after="220" w:line="240" w:lineRule="auto"/>
              <w:ind w:left="720" w:hanging="720"/>
              <w:rPr>
                <w:rFonts w:eastAsia="Times New Roman" w:cstheme="minorHAnsi"/>
                <w:lang w:val="en-GB" w:eastAsia="en-GB"/>
              </w:rPr>
            </w:pPr>
            <w:r w:rsidRPr="003C2645">
              <w:rPr>
                <w:rFonts w:eastAsia="Times New Roman" w:cstheme="minorHAnsi"/>
                <w:lang w:val="en-GB" w:eastAsia="en-GB"/>
              </w:rPr>
              <w:t xml:space="preserve">Naqvi, S., A., A. (2015). Modeling growth, distribution, and the environment in a stock-flow consistent framework. </w:t>
            </w:r>
            <w:r w:rsidRPr="003C2645">
              <w:rPr>
                <w:rFonts w:eastAsia="Times New Roman" w:cstheme="minorHAnsi"/>
                <w:i/>
                <w:iCs/>
                <w:lang w:val="en-GB" w:eastAsia="en-GB"/>
              </w:rPr>
              <w:t>Ecological Economic Papers</w:t>
            </w:r>
            <w:r w:rsidRPr="003C2645">
              <w:rPr>
                <w:rFonts w:eastAsia="Times New Roman" w:cstheme="minorHAnsi"/>
                <w:lang w:val="en-GB" w:eastAsia="en-GB"/>
              </w:rPr>
              <w:t>, 2. WU Vienna University of Economics and Business, Vienna.</w:t>
            </w:r>
          </w:p>
          <w:p w14:paraId="05BF2BBA"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lastRenderedPageBreak/>
              <w:t xml:space="preserve">Nikiforos, M., &amp; Zezza, G. (2017). Stock‐Flow Consistent Macroeconomic Models: A Survey. </w:t>
            </w:r>
            <w:r w:rsidRPr="00F712A5">
              <w:rPr>
                <w:rFonts w:eastAsia="Times New Roman" w:cstheme="minorHAnsi"/>
                <w:i/>
                <w:iCs/>
                <w:lang w:eastAsia="en-GB"/>
              </w:rPr>
              <w:t>Journal of Economic Surveys</w:t>
            </w:r>
            <w:r w:rsidRPr="00F712A5">
              <w:rPr>
                <w:rFonts w:eastAsia="Times New Roman" w:cstheme="minorHAnsi"/>
                <w:lang w:eastAsia="en-GB"/>
              </w:rPr>
              <w:t xml:space="preserve">, </w:t>
            </w:r>
            <w:r w:rsidRPr="00F712A5">
              <w:rPr>
                <w:rFonts w:eastAsia="Times New Roman" w:cstheme="minorHAnsi"/>
                <w:i/>
                <w:iCs/>
                <w:lang w:eastAsia="en-GB"/>
              </w:rPr>
              <w:t>31</w:t>
            </w:r>
            <w:r w:rsidRPr="00F712A5">
              <w:rPr>
                <w:rFonts w:eastAsia="Times New Roman" w:cstheme="minorHAnsi"/>
                <w:lang w:eastAsia="en-GB"/>
              </w:rPr>
              <w:t>(5), 1204-1239</w:t>
            </w:r>
          </w:p>
        </w:tc>
      </w:tr>
      <w:tr w:rsidR="003C2645" w:rsidRPr="00742E87" w14:paraId="219670C6" w14:textId="77777777" w:rsidTr="00F96F72">
        <w:trPr>
          <w:trHeight w:val="290"/>
        </w:trPr>
        <w:tc>
          <w:tcPr>
            <w:tcW w:w="9066" w:type="dxa"/>
            <w:tcBorders>
              <w:top w:val="nil"/>
              <w:left w:val="nil"/>
              <w:bottom w:val="nil"/>
              <w:right w:val="nil"/>
            </w:tcBorders>
            <w:shd w:val="clear" w:color="auto" w:fill="auto"/>
            <w:noWrap/>
            <w:vAlign w:val="center"/>
            <w:hideMark/>
          </w:tcPr>
          <w:p w14:paraId="3B0DF5AB" w14:textId="77777777" w:rsidR="003C2645" w:rsidRPr="003C2645" w:rsidRDefault="003C2645" w:rsidP="007B1254">
            <w:pPr>
              <w:spacing w:after="220" w:line="240" w:lineRule="auto"/>
              <w:ind w:left="720" w:hanging="720"/>
              <w:rPr>
                <w:rFonts w:eastAsia="Times New Roman" w:cstheme="minorHAnsi"/>
                <w:lang w:val="en-GB" w:eastAsia="en-GB"/>
              </w:rPr>
            </w:pPr>
            <w:r w:rsidRPr="003C2645">
              <w:rPr>
                <w:rFonts w:eastAsia="Times New Roman" w:cstheme="minorHAnsi"/>
                <w:lang w:val="en-GB" w:eastAsia="en-GB"/>
              </w:rPr>
              <w:lastRenderedPageBreak/>
              <w:t xml:space="preserve">OECD (2015). </w:t>
            </w:r>
            <w:r w:rsidRPr="003C2645">
              <w:rPr>
                <w:rFonts w:eastAsia="Times New Roman" w:cstheme="minorHAnsi"/>
                <w:i/>
                <w:iCs/>
                <w:lang w:val="en-GB" w:eastAsia="en-GB"/>
              </w:rPr>
              <w:t>Final NAEC Synthesis. New Approaches to Economic Challenges</w:t>
            </w:r>
            <w:r w:rsidRPr="003C2645">
              <w:rPr>
                <w:rFonts w:eastAsia="Times New Roman" w:cstheme="minorHAnsi"/>
                <w:lang w:val="en-GB" w:eastAsia="en-GB"/>
              </w:rPr>
              <w:t xml:space="preserve">. Available at: http://www.oecd.org/mcm/documents/Final-NAEC-Synthesis-Report-CMIN2015-2.pdf (05.04.2019). </w:t>
            </w:r>
          </w:p>
        </w:tc>
      </w:tr>
      <w:tr w:rsidR="003C2645" w:rsidRPr="00742E87" w14:paraId="43E474E4" w14:textId="77777777" w:rsidTr="00F96F72">
        <w:trPr>
          <w:trHeight w:val="290"/>
        </w:trPr>
        <w:tc>
          <w:tcPr>
            <w:tcW w:w="9066" w:type="dxa"/>
            <w:tcBorders>
              <w:top w:val="nil"/>
              <w:left w:val="nil"/>
              <w:bottom w:val="nil"/>
              <w:right w:val="nil"/>
            </w:tcBorders>
            <w:shd w:val="clear" w:color="auto" w:fill="auto"/>
            <w:noWrap/>
            <w:vAlign w:val="center"/>
            <w:hideMark/>
          </w:tcPr>
          <w:p w14:paraId="237112A1" w14:textId="77777777" w:rsidR="003C2645" w:rsidRPr="003C2645" w:rsidRDefault="003C2645" w:rsidP="007B1254">
            <w:pPr>
              <w:spacing w:after="220" w:line="240" w:lineRule="auto"/>
              <w:ind w:left="720" w:hanging="720"/>
              <w:rPr>
                <w:rFonts w:eastAsia="Times New Roman" w:cstheme="minorHAnsi"/>
                <w:lang w:val="en-GB" w:eastAsia="en-GB"/>
              </w:rPr>
            </w:pPr>
            <w:r w:rsidRPr="003C2645">
              <w:rPr>
                <w:rFonts w:eastAsia="Times New Roman" w:cstheme="minorHAnsi"/>
                <w:lang w:val="en-GB" w:eastAsia="en-GB"/>
              </w:rPr>
              <w:t xml:space="preserve">OECD (2017). </w:t>
            </w:r>
            <w:r w:rsidRPr="003C2645">
              <w:rPr>
                <w:rFonts w:eastAsia="Times New Roman" w:cstheme="minorHAnsi"/>
                <w:i/>
                <w:iCs/>
                <w:lang w:val="en-GB" w:eastAsia="en-GB"/>
              </w:rPr>
              <w:t>New Approaches to Economic Challenges. Towards a new narrative</w:t>
            </w:r>
            <w:r w:rsidRPr="003C2645">
              <w:rPr>
                <w:rFonts w:eastAsia="Times New Roman" w:cstheme="minorHAnsi"/>
                <w:lang w:val="en-GB" w:eastAsia="en-GB"/>
              </w:rPr>
              <w:t>. Available at: http://www.oecd.org/naec/OSG%20NAEC%20Forum%20report.pdf (20.04.2019).</w:t>
            </w:r>
          </w:p>
        </w:tc>
      </w:tr>
      <w:tr w:rsidR="003C2645" w:rsidRPr="00742E87" w14:paraId="7BF54159" w14:textId="77777777" w:rsidTr="00F96F72">
        <w:trPr>
          <w:trHeight w:val="290"/>
        </w:trPr>
        <w:tc>
          <w:tcPr>
            <w:tcW w:w="9066" w:type="dxa"/>
            <w:tcBorders>
              <w:top w:val="nil"/>
              <w:left w:val="nil"/>
              <w:bottom w:val="nil"/>
              <w:right w:val="nil"/>
            </w:tcBorders>
            <w:shd w:val="clear" w:color="auto" w:fill="auto"/>
            <w:noWrap/>
            <w:vAlign w:val="center"/>
            <w:hideMark/>
          </w:tcPr>
          <w:p w14:paraId="2E6536D4" w14:textId="77777777" w:rsidR="003C2645" w:rsidRPr="003C2645" w:rsidRDefault="00650294" w:rsidP="007B1254">
            <w:pPr>
              <w:spacing w:after="220" w:line="240" w:lineRule="auto"/>
              <w:ind w:left="720" w:hanging="720"/>
              <w:rPr>
                <w:rFonts w:eastAsia="Times New Roman" w:cstheme="minorHAnsi"/>
                <w:lang w:val="en-GB" w:eastAsia="en-GB"/>
              </w:rPr>
            </w:pPr>
            <w:hyperlink r:id="rId22" w:history="1">
              <w:r w:rsidR="003C2645" w:rsidRPr="003C2645">
                <w:rPr>
                  <w:rFonts w:eastAsia="Times New Roman" w:cstheme="minorHAnsi"/>
                  <w:lang w:val="en-GB" w:eastAsia="en-GB"/>
                </w:rPr>
                <w:t>Oxford Economics (2017). The Oxford Global Economic Model August 2017. Available online (accessed May 2018): https://www.oxfordeconomics.com/global-economic-model</w:t>
              </w:r>
            </w:hyperlink>
          </w:p>
        </w:tc>
      </w:tr>
      <w:tr w:rsidR="003C2645" w:rsidRPr="00F712A5" w14:paraId="3E34D56A" w14:textId="77777777" w:rsidTr="00F96F72">
        <w:trPr>
          <w:trHeight w:val="290"/>
        </w:trPr>
        <w:tc>
          <w:tcPr>
            <w:tcW w:w="9066" w:type="dxa"/>
            <w:tcBorders>
              <w:top w:val="nil"/>
              <w:left w:val="nil"/>
              <w:bottom w:val="nil"/>
              <w:right w:val="nil"/>
            </w:tcBorders>
            <w:shd w:val="clear" w:color="auto" w:fill="auto"/>
            <w:noWrap/>
            <w:vAlign w:val="center"/>
            <w:hideMark/>
          </w:tcPr>
          <w:p w14:paraId="0AD8E779"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Papachristos, G. (2019). System dynamics modelling and simulation for sociotechnical transitions research. </w:t>
            </w:r>
            <w:r w:rsidRPr="00F712A5">
              <w:rPr>
                <w:rFonts w:eastAsia="Times New Roman" w:cstheme="minorHAnsi"/>
                <w:i/>
                <w:iCs/>
                <w:lang w:eastAsia="en-GB"/>
              </w:rPr>
              <w:t>Environmental Innovation and Societal Transitions</w:t>
            </w:r>
            <w:r w:rsidRPr="00F712A5">
              <w:rPr>
                <w:rFonts w:eastAsia="Times New Roman" w:cstheme="minorHAnsi"/>
                <w:lang w:eastAsia="en-GB"/>
              </w:rPr>
              <w:t xml:space="preserve">, </w:t>
            </w:r>
            <w:r w:rsidRPr="00F712A5">
              <w:rPr>
                <w:rFonts w:eastAsia="Times New Roman" w:cstheme="minorHAnsi"/>
                <w:i/>
                <w:iCs/>
                <w:lang w:eastAsia="en-GB"/>
              </w:rPr>
              <w:t>31</w:t>
            </w:r>
            <w:r w:rsidRPr="00F712A5">
              <w:rPr>
                <w:rFonts w:eastAsia="Times New Roman" w:cstheme="minorHAnsi"/>
                <w:lang w:eastAsia="en-GB"/>
              </w:rPr>
              <w:t>, 248-261.</w:t>
            </w:r>
          </w:p>
        </w:tc>
      </w:tr>
      <w:tr w:rsidR="003C2645" w:rsidRPr="00742E87" w14:paraId="7A266869" w14:textId="77777777" w:rsidTr="00F96F72">
        <w:trPr>
          <w:trHeight w:val="290"/>
        </w:trPr>
        <w:tc>
          <w:tcPr>
            <w:tcW w:w="9066" w:type="dxa"/>
            <w:tcBorders>
              <w:top w:val="nil"/>
              <w:left w:val="nil"/>
              <w:bottom w:val="nil"/>
              <w:right w:val="nil"/>
            </w:tcBorders>
            <w:shd w:val="clear" w:color="auto" w:fill="auto"/>
            <w:noWrap/>
            <w:vAlign w:val="center"/>
            <w:hideMark/>
          </w:tcPr>
          <w:p w14:paraId="0BEC0FCA" w14:textId="77777777" w:rsidR="003C2645" w:rsidRPr="003C2645" w:rsidRDefault="00650294" w:rsidP="007B1254">
            <w:pPr>
              <w:spacing w:after="220" w:line="240" w:lineRule="auto"/>
              <w:ind w:left="720" w:hanging="720"/>
              <w:rPr>
                <w:rFonts w:eastAsia="Times New Roman" w:cstheme="minorHAnsi"/>
                <w:lang w:val="en-GB" w:eastAsia="en-GB"/>
              </w:rPr>
            </w:pPr>
            <w:hyperlink r:id="rId23" w:history="1">
              <w:r w:rsidR="003C2645" w:rsidRPr="003C2645">
                <w:rPr>
                  <w:rFonts w:eastAsia="Times New Roman" w:cstheme="minorHAnsi"/>
                  <w:lang w:val="en-GB" w:eastAsia="en-GB"/>
                </w:rPr>
                <w:t>Pollitt, H (2019). The contribution of post-Keynesian economics to climate policy and meeting global decarbonisation targets. Available at: http://www.postkeynesian.net/downloads/events/Pollitt_2019.pdf (20.01.2020).</w:t>
              </w:r>
            </w:hyperlink>
          </w:p>
        </w:tc>
      </w:tr>
      <w:tr w:rsidR="003C2645" w:rsidRPr="00F712A5" w14:paraId="101DA1A4" w14:textId="77777777" w:rsidTr="00F96F72">
        <w:trPr>
          <w:trHeight w:val="290"/>
        </w:trPr>
        <w:tc>
          <w:tcPr>
            <w:tcW w:w="9066" w:type="dxa"/>
            <w:tcBorders>
              <w:top w:val="nil"/>
              <w:left w:val="nil"/>
              <w:bottom w:val="nil"/>
              <w:right w:val="nil"/>
            </w:tcBorders>
            <w:shd w:val="clear" w:color="auto" w:fill="auto"/>
            <w:noWrap/>
            <w:vAlign w:val="center"/>
            <w:hideMark/>
          </w:tcPr>
          <w:p w14:paraId="2E806E8B"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Pollitt, H., &amp; Mercure, J. F. (2018). The role of money and the financial sector in energy-economy models used for assessing climate and energy policy. </w:t>
            </w:r>
            <w:r w:rsidRPr="00F712A5">
              <w:rPr>
                <w:rFonts w:eastAsia="Times New Roman" w:cstheme="minorHAnsi"/>
                <w:i/>
                <w:iCs/>
                <w:lang w:eastAsia="en-GB"/>
              </w:rPr>
              <w:t>Climate Policy</w:t>
            </w:r>
            <w:r w:rsidRPr="00F712A5">
              <w:rPr>
                <w:rFonts w:eastAsia="Times New Roman" w:cstheme="minorHAnsi"/>
                <w:lang w:eastAsia="en-GB"/>
              </w:rPr>
              <w:t xml:space="preserve">, </w:t>
            </w:r>
            <w:r w:rsidRPr="00F712A5">
              <w:rPr>
                <w:rFonts w:eastAsia="Times New Roman" w:cstheme="minorHAnsi"/>
                <w:i/>
                <w:iCs/>
                <w:lang w:eastAsia="en-GB"/>
              </w:rPr>
              <w:t>18</w:t>
            </w:r>
            <w:r w:rsidRPr="00F712A5">
              <w:rPr>
                <w:rFonts w:eastAsia="Times New Roman" w:cstheme="minorHAnsi"/>
                <w:lang w:eastAsia="en-GB"/>
              </w:rPr>
              <w:t xml:space="preserve">(2), 184-197. </w:t>
            </w:r>
          </w:p>
        </w:tc>
      </w:tr>
      <w:tr w:rsidR="003C2645" w:rsidRPr="00F712A5" w14:paraId="27B12E56" w14:textId="77777777" w:rsidTr="00F96F72">
        <w:trPr>
          <w:trHeight w:val="290"/>
        </w:trPr>
        <w:tc>
          <w:tcPr>
            <w:tcW w:w="9066" w:type="dxa"/>
            <w:tcBorders>
              <w:top w:val="nil"/>
              <w:left w:val="nil"/>
              <w:bottom w:val="nil"/>
              <w:right w:val="nil"/>
            </w:tcBorders>
            <w:shd w:val="clear" w:color="auto" w:fill="auto"/>
            <w:noWrap/>
            <w:vAlign w:val="center"/>
            <w:hideMark/>
          </w:tcPr>
          <w:p w14:paraId="5BCECD92"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Ponta, L., Raberto, M., Teglio, A., &amp; Cincotti, S. (2018). An agent-based stock-flow consistent model of the sustainable transition in the energy sector. </w:t>
            </w:r>
            <w:r w:rsidRPr="00F712A5">
              <w:rPr>
                <w:rFonts w:eastAsia="Times New Roman" w:cstheme="minorHAnsi"/>
                <w:i/>
                <w:iCs/>
                <w:lang w:eastAsia="en-GB"/>
              </w:rPr>
              <w:t>Ecological Economics, 145</w:t>
            </w:r>
            <w:r w:rsidRPr="00F712A5">
              <w:rPr>
                <w:rFonts w:eastAsia="Times New Roman" w:cstheme="minorHAnsi"/>
                <w:lang w:eastAsia="en-GB"/>
              </w:rPr>
              <w:t>, 274-300.</w:t>
            </w:r>
          </w:p>
        </w:tc>
      </w:tr>
      <w:tr w:rsidR="003C2645" w:rsidRPr="00F712A5" w14:paraId="0CC7C9A1" w14:textId="77777777" w:rsidTr="00F96F72">
        <w:trPr>
          <w:trHeight w:val="290"/>
        </w:trPr>
        <w:tc>
          <w:tcPr>
            <w:tcW w:w="9066" w:type="dxa"/>
            <w:tcBorders>
              <w:top w:val="nil"/>
              <w:left w:val="nil"/>
              <w:bottom w:val="nil"/>
              <w:right w:val="nil"/>
            </w:tcBorders>
            <w:shd w:val="clear" w:color="auto" w:fill="auto"/>
            <w:noWrap/>
            <w:vAlign w:val="center"/>
            <w:hideMark/>
          </w:tcPr>
          <w:p w14:paraId="534B59FB"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Posner, R. A. (2009). </w:t>
            </w:r>
            <w:r w:rsidRPr="003C2645">
              <w:rPr>
                <w:rFonts w:eastAsia="Times New Roman" w:cstheme="minorHAnsi"/>
                <w:i/>
                <w:iCs/>
                <w:lang w:val="en-GB" w:eastAsia="en-GB"/>
              </w:rPr>
              <w:t>A failure of capitalism: The crisis of’08 and the descent into depression</w:t>
            </w:r>
            <w:r w:rsidRPr="003C2645">
              <w:rPr>
                <w:rFonts w:eastAsia="Times New Roman" w:cstheme="minorHAnsi"/>
                <w:lang w:val="en-GB" w:eastAsia="en-GB"/>
              </w:rPr>
              <w:t xml:space="preserve">. </w:t>
            </w:r>
            <w:r w:rsidRPr="00F712A5">
              <w:rPr>
                <w:rFonts w:eastAsia="Times New Roman" w:cstheme="minorHAnsi"/>
                <w:lang w:eastAsia="en-GB"/>
              </w:rPr>
              <w:t>Harvard University Press.</w:t>
            </w:r>
          </w:p>
        </w:tc>
      </w:tr>
      <w:tr w:rsidR="003C2645" w:rsidRPr="00F712A5" w14:paraId="6E00EF15" w14:textId="77777777" w:rsidTr="00F96F72">
        <w:trPr>
          <w:trHeight w:val="290"/>
        </w:trPr>
        <w:tc>
          <w:tcPr>
            <w:tcW w:w="9066" w:type="dxa"/>
            <w:tcBorders>
              <w:top w:val="nil"/>
              <w:left w:val="nil"/>
              <w:bottom w:val="nil"/>
              <w:right w:val="nil"/>
            </w:tcBorders>
            <w:shd w:val="clear" w:color="auto" w:fill="auto"/>
            <w:noWrap/>
            <w:vAlign w:val="center"/>
            <w:hideMark/>
          </w:tcPr>
          <w:p w14:paraId="678ED7FD"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Raberto, M., Ozel, B., Ponta, L., Teglio, A., &amp; Cincotti, S. (2018). From financial instability to green finance: the role of banking and credit market regulation in the Eurace model. </w:t>
            </w:r>
            <w:r w:rsidRPr="00F712A5">
              <w:rPr>
                <w:rFonts w:eastAsia="Times New Roman" w:cstheme="minorHAnsi"/>
                <w:i/>
                <w:iCs/>
                <w:lang w:eastAsia="en-GB"/>
              </w:rPr>
              <w:t>Journal of Evolutionary Economics</w:t>
            </w:r>
            <w:r w:rsidRPr="00F712A5">
              <w:rPr>
                <w:rFonts w:eastAsia="Times New Roman" w:cstheme="minorHAnsi"/>
                <w:lang w:eastAsia="en-GB"/>
              </w:rPr>
              <w:t>, 1-37.</w:t>
            </w:r>
          </w:p>
        </w:tc>
      </w:tr>
      <w:tr w:rsidR="003C2645" w:rsidRPr="00F712A5" w14:paraId="322D5DCA" w14:textId="77777777" w:rsidTr="00F96F72">
        <w:trPr>
          <w:trHeight w:val="290"/>
        </w:trPr>
        <w:tc>
          <w:tcPr>
            <w:tcW w:w="9066" w:type="dxa"/>
            <w:tcBorders>
              <w:top w:val="nil"/>
              <w:left w:val="nil"/>
              <w:bottom w:val="nil"/>
              <w:right w:val="nil"/>
            </w:tcBorders>
            <w:shd w:val="clear" w:color="auto" w:fill="auto"/>
            <w:noWrap/>
            <w:vAlign w:val="center"/>
            <w:hideMark/>
          </w:tcPr>
          <w:p w14:paraId="34E0E13B"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Raberto, M., Teglio, A., &amp; Cincotti, S. (2011). Debt deleveraging and business cycles: An agent-based perspective. </w:t>
            </w:r>
            <w:r w:rsidRPr="00F712A5">
              <w:rPr>
                <w:rFonts w:eastAsia="Times New Roman" w:cstheme="minorHAnsi"/>
                <w:i/>
                <w:iCs/>
                <w:lang w:eastAsia="en-GB"/>
              </w:rPr>
              <w:t>Economics Discussion Paper</w:t>
            </w:r>
            <w:r w:rsidRPr="00F712A5">
              <w:rPr>
                <w:rFonts w:eastAsia="Times New Roman" w:cstheme="minorHAnsi"/>
                <w:lang w:eastAsia="en-GB"/>
              </w:rPr>
              <w:t>, (2011-31).</w:t>
            </w:r>
          </w:p>
        </w:tc>
      </w:tr>
      <w:tr w:rsidR="003C2645" w:rsidRPr="00F712A5" w14:paraId="25A0CFE4" w14:textId="77777777" w:rsidTr="00F96F72">
        <w:trPr>
          <w:trHeight w:val="290"/>
        </w:trPr>
        <w:tc>
          <w:tcPr>
            <w:tcW w:w="9066" w:type="dxa"/>
            <w:tcBorders>
              <w:top w:val="nil"/>
              <w:left w:val="nil"/>
              <w:bottom w:val="nil"/>
              <w:right w:val="nil"/>
            </w:tcBorders>
            <w:shd w:val="clear" w:color="auto" w:fill="auto"/>
            <w:noWrap/>
            <w:vAlign w:val="center"/>
            <w:hideMark/>
          </w:tcPr>
          <w:p w14:paraId="1173E18E" w14:textId="77777777" w:rsidR="003C2645" w:rsidRPr="00F712A5" w:rsidRDefault="003C2645" w:rsidP="007B1254">
            <w:pPr>
              <w:spacing w:after="220" w:line="240" w:lineRule="auto"/>
              <w:ind w:left="720" w:hanging="720"/>
              <w:rPr>
                <w:rFonts w:eastAsia="Times New Roman" w:cstheme="minorHAnsi"/>
                <w:lang w:eastAsia="en-GB"/>
              </w:rPr>
            </w:pPr>
            <w:r w:rsidRPr="00F712A5">
              <w:rPr>
                <w:rFonts w:eastAsia="Times New Roman" w:cstheme="minorHAnsi"/>
                <w:bCs/>
                <w:lang w:val="de-CH" w:eastAsia="en-GB"/>
              </w:rPr>
              <w:t xml:space="preserve">Safarzynska, K., &amp; van den Bergh, J. C. (2011). </w:t>
            </w:r>
            <w:r w:rsidRPr="003C2645">
              <w:rPr>
                <w:rFonts w:eastAsia="Times New Roman" w:cstheme="minorHAnsi"/>
                <w:bCs/>
                <w:lang w:val="en-GB" w:eastAsia="en-GB"/>
              </w:rPr>
              <w:t xml:space="preserve">Industry evolution, rational agents and the transition to sustainable electricity production. </w:t>
            </w:r>
            <w:r w:rsidRPr="00F712A5">
              <w:rPr>
                <w:rFonts w:eastAsia="Times New Roman" w:cstheme="minorHAnsi"/>
                <w:i/>
                <w:iCs/>
                <w:lang w:eastAsia="en-GB"/>
              </w:rPr>
              <w:t>Energy Policy, 39</w:t>
            </w:r>
            <w:r w:rsidRPr="00F712A5">
              <w:rPr>
                <w:rFonts w:eastAsia="Times New Roman" w:cstheme="minorHAnsi"/>
                <w:lang w:eastAsia="en-GB"/>
              </w:rPr>
              <w:t>(10), 6440-6452.</w:t>
            </w:r>
          </w:p>
        </w:tc>
      </w:tr>
      <w:tr w:rsidR="003C2645" w:rsidRPr="00F712A5" w14:paraId="28506AAB" w14:textId="77777777" w:rsidTr="00F96F72">
        <w:trPr>
          <w:trHeight w:val="290"/>
        </w:trPr>
        <w:tc>
          <w:tcPr>
            <w:tcW w:w="9066" w:type="dxa"/>
            <w:tcBorders>
              <w:top w:val="nil"/>
              <w:left w:val="nil"/>
              <w:bottom w:val="nil"/>
              <w:right w:val="nil"/>
            </w:tcBorders>
            <w:shd w:val="clear" w:color="auto" w:fill="auto"/>
            <w:noWrap/>
            <w:vAlign w:val="center"/>
            <w:hideMark/>
          </w:tcPr>
          <w:p w14:paraId="2554265C" w14:textId="77777777" w:rsidR="003C2645" w:rsidRPr="00F712A5" w:rsidRDefault="003C2645" w:rsidP="007B1254">
            <w:pPr>
              <w:spacing w:after="220" w:line="240" w:lineRule="auto"/>
              <w:ind w:left="720" w:hanging="720"/>
              <w:rPr>
                <w:rFonts w:eastAsia="Times New Roman" w:cstheme="minorHAnsi"/>
                <w:lang w:eastAsia="en-GB"/>
              </w:rPr>
            </w:pPr>
            <w:r w:rsidRPr="00F712A5">
              <w:rPr>
                <w:rFonts w:eastAsia="Times New Roman" w:cstheme="minorHAnsi"/>
                <w:lang w:val="de-CH" w:eastAsia="en-GB"/>
              </w:rPr>
              <w:t xml:space="preserve">Safarzyńska, K., &amp; van den Bergh, J. C. (2017). </w:t>
            </w:r>
            <w:r w:rsidRPr="003C2645">
              <w:rPr>
                <w:rFonts w:eastAsia="Times New Roman" w:cstheme="minorHAnsi"/>
                <w:lang w:val="en-GB" w:eastAsia="en-GB"/>
              </w:rPr>
              <w:t xml:space="preserve">Integrated crisis-energy policy: Macro-evolutionary modelling of technology, finance and energy interactions. </w:t>
            </w:r>
            <w:r w:rsidRPr="00F712A5">
              <w:rPr>
                <w:rFonts w:eastAsia="Times New Roman" w:cstheme="minorHAnsi"/>
                <w:i/>
                <w:iCs/>
                <w:lang w:val="de-CH" w:eastAsia="en-GB"/>
              </w:rPr>
              <w:t>Technological Forecasting and Social Change, 114</w:t>
            </w:r>
            <w:r w:rsidRPr="00F712A5">
              <w:rPr>
                <w:rFonts w:eastAsia="Times New Roman" w:cstheme="minorHAnsi"/>
                <w:lang w:val="de-CH" w:eastAsia="en-GB"/>
              </w:rPr>
              <w:t xml:space="preserve">, 119-137. </w:t>
            </w:r>
          </w:p>
        </w:tc>
      </w:tr>
      <w:tr w:rsidR="003C2645" w:rsidRPr="00F712A5" w14:paraId="48648B1A" w14:textId="77777777" w:rsidTr="00F96F72">
        <w:trPr>
          <w:trHeight w:val="290"/>
        </w:trPr>
        <w:tc>
          <w:tcPr>
            <w:tcW w:w="9066" w:type="dxa"/>
            <w:tcBorders>
              <w:top w:val="nil"/>
              <w:left w:val="nil"/>
              <w:bottom w:val="nil"/>
              <w:right w:val="nil"/>
            </w:tcBorders>
            <w:shd w:val="clear" w:color="auto" w:fill="auto"/>
            <w:noWrap/>
            <w:vAlign w:val="center"/>
            <w:hideMark/>
          </w:tcPr>
          <w:p w14:paraId="3018F465" w14:textId="77777777" w:rsidR="003C2645" w:rsidRPr="00F712A5" w:rsidRDefault="003C2645" w:rsidP="007B1254">
            <w:pPr>
              <w:spacing w:after="220" w:line="240" w:lineRule="auto"/>
              <w:ind w:left="720" w:hanging="720"/>
              <w:rPr>
                <w:rFonts w:eastAsia="Times New Roman" w:cstheme="minorHAnsi"/>
                <w:lang w:eastAsia="en-GB"/>
              </w:rPr>
            </w:pPr>
            <w:r w:rsidRPr="00F712A5">
              <w:rPr>
                <w:rFonts w:eastAsia="Times New Roman" w:cstheme="minorHAnsi"/>
                <w:lang w:val="de-CH" w:eastAsia="en-GB"/>
              </w:rPr>
              <w:t xml:space="preserve">Safarzyńska, K., Frenken, K., &amp; Van Den Bergh, J. C. (2012). </w:t>
            </w:r>
            <w:r w:rsidRPr="003C2645">
              <w:rPr>
                <w:rFonts w:eastAsia="Times New Roman" w:cstheme="minorHAnsi"/>
                <w:lang w:val="en-GB" w:eastAsia="en-GB"/>
              </w:rPr>
              <w:t xml:space="preserve">Evolutionary theorizing and modeling of sustainability transitions. </w:t>
            </w:r>
            <w:r w:rsidRPr="00F712A5">
              <w:rPr>
                <w:rFonts w:eastAsia="Times New Roman" w:cstheme="minorHAnsi"/>
                <w:i/>
                <w:iCs/>
                <w:lang w:val="de-CH" w:eastAsia="en-GB"/>
              </w:rPr>
              <w:t>Research Policy</w:t>
            </w:r>
            <w:r w:rsidRPr="00F712A5">
              <w:rPr>
                <w:rFonts w:eastAsia="Times New Roman" w:cstheme="minorHAnsi"/>
                <w:lang w:val="de-CH" w:eastAsia="en-GB"/>
              </w:rPr>
              <w:t xml:space="preserve">, </w:t>
            </w:r>
            <w:r w:rsidRPr="00F712A5">
              <w:rPr>
                <w:rFonts w:eastAsia="Times New Roman" w:cstheme="minorHAnsi"/>
                <w:i/>
                <w:iCs/>
                <w:lang w:val="de-CH" w:eastAsia="en-GB"/>
              </w:rPr>
              <w:t>41</w:t>
            </w:r>
            <w:r w:rsidRPr="00F712A5">
              <w:rPr>
                <w:rFonts w:eastAsia="Times New Roman" w:cstheme="minorHAnsi"/>
                <w:lang w:val="de-CH" w:eastAsia="en-GB"/>
              </w:rPr>
              <w:t>(6), 1011-1024.</w:t>
            </w:r>
          </w:p>
        </w:tc>
      </w:tr>
      <w:tr w:rsidR="003C2645" w:rsidRPr="00F712A5" w14:paraId="3228B2ED" w14:textId="77777777" w:rsidTr="00F96F72">
        <w:trPr>
          <w:trHeight w:val="290"/>
        </w:trPr>
        <w:tc>
          <w:tcPr>
            <w:tcW w:w="9066" w:type="dxa"/>
            <w:tcBorders>
              <w:top w:val="nil"/>
              <w:left w:val="nil"/>
              <w:bottom w:val="nil"/>
              <w:right w:val="nil"/>
            </w:tcBorders>
            <w:shd w:val="clear" w:color="auto" w:fill="auto"/>
            <w:noWrap/>
            <w:vAlign w:val="center"/>
            <w:hideMark/>
          </w:tcPr>
          <w:p w14:paraId="54393810"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Scrieciu, Ş. (2011). Towards new thinking in economics. </w:t>
            </w:r>
            <w:r w:rsidRPr="00F712A5">
              <w:rPr>
                <w:rFonts w:eastAsia="Times New Roman" w:cstheme="minorHAnsi"/>
                <w:i/>
                <w:iCs/>
                <w:lang w:eastAsia="en-GB"/>
              </w:rPr>
              <w:t>World Economics</w:t>
            </w:r>
            <w:r w:rsidRPr="00F712A5">
              <w:rPr>
                <w:rFonts w:eastAsia="Times New Roman" w:cstheme="minorHAnsi"/>
                <w:lang w:eastAsia="en-GB"/>
              </w:rPr>
              <w:t>, </w:t>
            </w:r>
            <w:r w:rsidRPr="00F712A5">
              <w:rPr>
                <w:rFonts w:eastAsia="Times New Roman" w:cstheme="minorHAnsi"/>
                <w:i/>
                <w:iCs/>
                <w:lang w:eastAsia="en-GB"/>
              </w:rPr>
              <w:t>12</w:t>
            </w:r>
            <w:r w:rsidRPr="00F712A5">
              <w:rPr>
                <w:rFonts w:eastAsia="Times New Roman" w:cstheme="minorHAnsi"/>
                <w:lang w:eastAsia="en-GB"/>
              </w:rPr>
              <w:t>(1), 115-144.</w:t>
            </w:r>
          </w:p>
        </w:tc>
      </w:tr>
      <w:tr w:rsidR="003C2645" w:rsidRPr="00F712A5" w14:paraId="64617A32" w14:textId="77777777" w:rsidTr="00F96F72">
        <w:trPr>
          <w:trHeight w:val="290"/>
        </w:trPr>
        <w:tc>
          <w:tcPr>
            <w:tcW w:w="9066" w:type="dxa"/>
            <w:tcBorders>
              <w:top w:val="nil"/>
              <w:left w:val="nil"/>
              <w:bottom w:val="nil"/>
              <w:right w:val="nil"/>
            </w:tcBorders>
            <w:shd w:val="clear" w:color="auto" w:fill="auto"/>
            <w:noWrap/>
            <w:vAlign w:val="center"/>
            <w:hideMark/>
          </w:tcPr>
          <w:p w14:paraId="5E650443"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Scrieciu, Ş. (2007). The inherent dangers of using computable general equilibrium models as a single integrated modelling framework for sustainability impact assessment. </w:t>
            </w:r>
            <w:r w:rsidRPr="00F712A5">
              <w:rPr>
                <w:rFonts w:eastAsia="Times New Roman" w:cstheme="minorHAnsi"/>
                <w:lang w:eastAsia="en-GB"/>
              </w:rPr>
              <w:t>A critical note on Böhringer and Löschel (2006). </w:t>
            </w:r>
            <w:r w:rsidRPr="00F712A5">
              <w:rPr>
                <w:rFonts w:eastAsia="Times New Roman" w:cstheme="minorHAnsi"/>
                <w:i/>
                <w:iCs/>
                <w:lang w:eastAsia="en-GB"/>
              </w:rPr>
              <w:t>Ecological Economics</w:t>
            </w:r>
            <w:r w:rsidRPr="00F712A5">
              <w:rPr>
                <w:rFonts w:eastAsia="Times New Roman" w:cstheme="minorHAnsi"/>
                <w:lang w:eastAsia="en-GB"/>
              </w:rPr>
              <w:t>, </w:t>
            </w:r>
            <w:r w:rsidRPr="00F712A5">
              <w:rPr>
                <w:rFonts w:eastAsia="Times New Roman" w:cstheme="minorHAnsi"/>
                <w:i/>
                <w:iCs/>
                <w:lang w:eastAsia="en-GB"/>
              </w:rPr>
              <w:t>60</w:t>
            </w:r>
            <w:r w:rsidRPr="00F712A5">
              <w:rPr>
                <w:rFonts w:eastAsia="Times New Roman" w:cstheme="minorHAnsi"/>
                <w:lang w:eastAsia="en-GB"/>
              </w:rPr>
              <w:t>(4), 678-684.</w:t>
            </w:r>
          </w:p>
        </w:tc>
      </w:tr>
      <w:tr w:rsidR="003C2645" w:rsidRPr="00F712A5" w14:paraId="458E895A" w14:textId="77777777" w:rsidTr="00F96F72">
        <w:trPr>
          <w:trHeight w:val="290"/>
        </w:trPr>
        <w:tc>
          <w:tcPr>
            <w:tcW w:w="9066" w:type="dxa"/>
            <w:tcBorders>
              <w:top w:val="nil"/>
              <w:left w:val="nil"/>
              <w:bottom w:val="nil"/>
              <w:right w:val="nil"/>
            </w:tcBorders>
            <w:shd w:val="clear" w:color="auto" w:fill="auto"/>
            <w:noWrap/>
            <w:vAlign w:val="center"/>
            <w:hideMark/>
          </w:tcPr>
          <w:p w14:paraId="0A99B3AC" w14:textId="77777777" w:rsidR="003C2645" w:rsidRPr="00AB3A20" w:rsidRDefault="003C2645" w:rsidP="007B1254">
            <w:pPr>
              <w:spacing w:after="220" w:line="240" w:lineRule="auto"/>
              <w:ind w:left="720" w:hanging="720"/>
              <w:rPr>
                <w:rFonts w:eastAsia="Times New Roman" w:cstheme="minorHAnsi"/>
                <w:szCs w:val="22"/>
                <w:lang w:eastAsia="en-GB"/>
              </w:rPr>
            </w:pPr>
            <w:r w:rsidRPr="00AB3A20">
              <w:rPr>
                <w:rFonts w:cstheme="minorHAnsi"/>
                <w:color w:val="222222"/>
                <w:szCs w:val="22"/>
                <w:lang w:val="de-CH"/>
              </w:rPr>
              <w:t xml:space="preserve">Scrieciu, S., Rezai, A., &amp; Mechler, R. (2013). </w:t>
            </w:r>
            <w:r w:rsidRPr="003C2645">
              <w:rPr>
                <w:rFonts w:cstheme="minorHAnsi"/>
                <w:color w:val="222222"/>
                <w:szCs w:val="22"/>
                <w:lang w:val="en-GB"/>
              </w:rPr>
              <w:t xml:space="preserve">On the economic foundations of green growth discourses: the case of climate change mitigation and macroeconomic dynamics in </w:t>
            </w:r>
            <w:r w:rsidRPr="003C2645">
              <w:rPr>
                <w:rFonts w:cstheme="minorHAnsi"/>
                <w:color w:val="222222"/>
                <w:szCs w:val="22"/>
                <w:lang w:val="en-GB"/>
              </w:rPr>
              <w:lastRenderedPageBreak/>
              <w:t xml:space="preserve">economic modeling. </w:t>
            </w:r>
            <w:r w:rsidRPr="00AB3A20">
              <w:rPr>
                <w:rFonts w:cstheme="minorHAnsi"/>
                <w:i/>
                <w:iCs/>
                <w:color w:val="222222"/>
                <w:szCs w:val="22"/>
              </w:rPr>
              <w:t>Wiley Interdisciplinary Reviews: Energy and Environment</w:t>
            </w:r>
            <w:r w:rsidRPr="00AB3A20">
              <w:rPr>
                <w:rFonts w:cstheme="minorHAnsi"/>
                <w:color w:val="222222"/>
                <w:szCs w:val="22"/>
              </w:rPr>
              <w:t xml:space="preserve">, </w:t>
            </w:r>
            <w:r w:rsidRPr="00AB3A20">
              <w:rPr>
                <w:rFonts w:cstheme="minorHAnsi"/>
                <w:i/>
                <w:iCs/>
                <w:color w:val="222222"/>
                <w:szCs w:val="22"/>
              </w:rPr>
              <w:t>2</w:t>
            </w:r>
            <w:r w:rsidRPr="00AB3A20">
              <w:rPr>
                <w:rFonts w:cstheme="minorHAnsi"/>
                <w:color w:val="222222"/>
                <w:szCs w:val="22"/>
              </w:rPr>
              <w:t>(3), 251-268</w:t>
            </w:r>
            <w:r w:rsidRPr="00AB3A20">
              <w:rPr>
                <w:rFonts w:eastAsia="Times New Roman" w:cstheme="minorHAnsi"/>
                <w:szCs w:val="22"/>
                <w:lang w:val="de-CH" w:eastAsia="en-GB"/>
              </w:rPr>
              <w:t xml:space="preserve">. </w:t>
            </w:r>
          </w:p>
        </w:tc>
      </w:tr>
      <w:tr w:rsidR="003C2645" w:rsidRPr="00F712A5" w14:paraId="6C45BFC6" w14:textId="77777777" w:rsidTr="00F96F72">
        <w:trPr>
          <w:trHeight w:val="290"/>
        </w:trPr>
        <w:tc>
          <w:tcPr>
            <w:tcW w:w="9066" w:type="dxa"/>
            <w:tcBorders>
              <w:top w:val="nil"/>
              <w:left w:val="nil"/>
              <w:bottom w:val="nil"/>
              <w:right w:val="nil"/>
            </w:tcBorders>
            <w:shd w:val="clear" w:color="auto" w:fill="auto"/>
            <w:noWrap/>
            <w:vAlign w:val="center"/>
            <w:hideMark/>
          </w:tcPr>
          <w:p w14:paraId="0838208F"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lastRenderedPageBreak/>
              <w:t>Spash, C. L. (2012). New foundations for ecological economics. </w:t>
            </w:r>
            <w:r w:rsidRPr="00F712A5">
              <w:rPr>
                <w:rFonts w:eastAsia="Times New Roman" w:cstheme="minorHAnsi"/>
                <w:i/>
                <w:iCs/>
                <w:lang w:eastAsia="en-GB"/>
              </w:rPr>
              <w:t>Ecological Economics</w:t>
            </w:r>
            <w:r w:rsidRPr="00F712A5">
              <w:rPr>
                <w:rFonts w:eastAsia="Times New Roman" w:cstheme="minorHAnsi"/>
                <w:lang w:eastAsia="en-GB"/>
              </w:rPr>
              <w:t>, </w:t>
            </w:r>
            <w:r w:rsidRPr="00F712A5">
              <w:rPr>
                <w:rFonts w:eastAsia="Times New Roman" w:cstheme="minorHAnsi"/>
                <w:i/>
                <w:iCs/>
                <w:lang w:eastAsia="en-GB"/>
              </w:rPr>
              <w:t>77</w:t>
            </w:r>
            <w:r w:rsidRPr="00F712A5">
              <w:rPr>
                <w:rFonts w:eastAsia="Times New Roman" w:cstheme="minorHAnsi"/>
                <w:lang w:eastAsia="en-GB"/>
              </w:rPr>
              <w:t>, 36-47.</w:t>
            </w:r>
          </w:p>
        </w:tc>
      </w:tr>
      <w:tr w:rsidR="003C2645" w:rsidRPr="00F712A5" w14:paraId="4FACCADC" w14:textId="77777777" w:rsidTr="00F96F72">
        <w:trPr>
          <w:trHeight w:val="290"/>
        </w:trPr>
        <w:tc>
          <w:tcPr>
            <w:tcW w:w="9066" w:type="dxa"/>
            <w:tcBorders>
              <w:top w:val="nil"/>
              <w:left w:val="nil"/>
              <w:bottom w:val="nil"/>
              <w:right w:val="nil"/>
            </w:tcBorders>
            <w:shd w:val="clear" w:color="auto" w:fill="auto"/>
            <w:noWrap/>
            <w:vAlign w:val="center"/>
            <w:hideMark/>
          </w:tcPr>
          <w:p w14:paraId="4ADB071D"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Sterman J. (2000). </w:t>
            </w:r>
            <w:r w:rsidRPr="003C2645">
              <w:rPr>
                <w:rFonts w:eastAsia="Times New Roman" w:cstheme="minorHAnsi"/>
                <w:i/>
                <w:iCs/>
                <w:lang w:val="en-GB" w:eastAsia="en-GB"/>
              </w:rPr>
              <w:t>Business Dynamics: Systems Thinking and Modeling for a Complex World</w:t>
            </w:r>
            <w:r w:rsidRPr="003C2645">
              <w:rPr>
                <w:rFonts w:eastAsia="Times New Roman" w:cstheme="minorHAnsi"/>
                <w:lang w:val="en-GB" w:eastAsia="en-GB"/>
              </w:rPr>
              <w:t xml:space="preserve">. </w:t>
            </w:r>
            <w:r w:rsidRPr="00F712A5">
              <w:rPr>
                <w:rFonts w:eastAsia="Times New Roman" w:cstheme="minorHAnsi"/>
                <w:lang w:eastAsia="en-GB"/>
              </w:rPr>
              <w:t xml:space="preserve">Irwin/McGraw-Hill, Boston. </w:t>
            </w:r>
          </w:p>
        </w:tc>
      </w:tr>
      <w:tr w:rsidR="003C2645" w:rsidRPr="00F712A5" w14:paraId="20679192" w14:textId="77777777" w:rsidTr="00F96F72">
        <w:trPr>
          <w:trHeight w:val="290"/>
        </w:trPr>
        <w:tc>
          <w:tcPr>
            <w:tcW w:w="9066" w:type="dxa"/>
            <w:tcBorders>
              <w:top w:val="nil"/>
              <w:left w:val="nil"/>
              <w:bottom w:val="nil"/>
              <w:right w:val="nil"/>
            </w:tcBorders>
            <w:shd w:val="clear" w:color="auto" w:fill="auto"/>
            <w:noWrap/>
            <w:vAlign w:val="center"/>
            <w:hideMark/>
          </w:tcPr>
          <w:p w14:paraId="32EF4645"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Sterman, J. D. (1982). </w:t>
            </w:r>
            <w:r w:rsidRPr="003C2645">
              <w:rPr>
                <w:rFonts w:eastAsia="Times New Roman" w:cstheme="minorHAnsi"/>
                <w:i/>
                <w:iCs/>
                <w:lang w:val="en-GB" w:eastAsia="en-GB"/>
              </w:rPr>
              <w:t>The energy transition and the economy: A system dynamics approach</w:t>
            </w:r>
            <w:r w:rsidRPr="003C2645">
              <w:rPr>
                <w:rFonts w:eastAsia="Times New Roman" w:cstheme="minorHAnsi"/>
                <w:lang w:val="en-GB" w:eastAsia="en-GB"/>
              </w:rPr>
              <w:t xml:space="preserve">. </w:t>
            </w:r>
            <w:r w:rsidRPr="00F712A5">
              <w:rPr>
                <w:rFonts w:eastAsia="Times New Roman" w:cstheme="minorHAnsi"/>
                <w:lang w:eastAsia="en-GB"/>
              </w:rPr>
              <w:t>Doctoral dissertation, Massachusetts Institute of Technology.</w:t>
            </w:r>
          </w:p>
        </w:tc>
      </w:tr>
      <w:tr w:rsidR="003C2645" w:rsidRPr="00F712A5" w14:paraId="31A3F87E" w14:textId="77777777" w:rsidTr="00F96F72">
        <w:trPr>
          <w:trHeight w:val="290"/>
        </w:trPr>
        <w:tc>
          <w:tcPr>
            <w:tcW w:w="9066" w:type="dxa"/>
            <w:tcBorders>
              <w:top w:val="nil"/>
              <w:left w:val="nil"/>
              <w:bottom w:val="nil"/>
              <w:right w:val="nil"/>
            </w:tcBorders>
            <w:shd w:val="clear" w:color="auto" w:fill="auto"/>
            <w:noWrap/>
            <w:vAlign w:val="center"/>
            <w:hideMark/>
          </w:tcPr>
          <w:p w14:paraId="404852F9"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Sterman, J. D. (2000). Business dynamics: systems thinking and modeling for a complex world (No. </w:t>
            </w:r>
            <w:r w:rsidRPr="00F712A5">
              <w:rPr>
                <w:rFonts w:eastAsia="Times New Roman" w:cstheme="minorHAnsi"/>
                <w:lang w:eastAsia="en-GB"/>
              </w:rPr>
              <w:t xml:space="preserve">HD30. 2 S7835 2000). </w:t>
            </w:r>
          </w:p>
        </w:tc>
      </w:tr>
      <w:tr w:rsidR="003C2645" w:rsidRPr="00742E87" w14:paraId="3B06A26C" w14:textId="77777777" w:rsidTr="00F96F72">
        <w:trPr>
          <w:trHeight w:val="290"/>
        </w:trPr>
        <w:tc>
          <w:tcPr>
            <w:tcW w:w="9066" w:type="dxa"/>
            <w:tcBorders>
              <w:top w:val="nil"/>
              <w:left w:val="nil"/>
              <w:bottom w:val="nil"/>
              <w:right w:val="nil"/>
            </w:tcBorders>
            <w:shd w:val="clear" w:color="auto" w:fill="auto"/>
            <w:noWrap/>
            <w:vAlign w:val="center"/>
            <w:hideMark/>
          </w:tcPr>
          <w:p w14:paraId="7A80D209" w14:textId="77777777" w:rsidR="003C2645" w:rsidRPr="003C2645" w:rsidRDefault="003C2645" w:rsidP="007B1254">
            <w:pPr>
              <w:spacing w:after="220" w:line="240" w:lineRule="auto"/>
              <w:ind w:left="720" w:hanging="720"/>
              <w:rPr>
                <w:rFonts w:eastAsia="Times New Roman" w:cstheme="minorHAnsi"/>
                <w:lang w:val="en-GB" w:eastAsia="en-GB"/>
              </w:rPr>
            </w:pPr>
            <w:r w:rsidRPr="003C2645">
              <w:rPr>
                <w:rFonts w:eastAsia="Times New Roman" w:cstheme="minorHAnsi"/>
                <w:lang w:val="en-GB" w:eastAsia="en-GB"/>
              </w:rPr>
              <w:t xml:space="preserve">Stiglitz, J. E. (2018). Where modern macroeconomics went wrong. </w:t>
            </w:r>
            <w:r w:rsidRPr="003C2645">
              <w:rPr>
                <w:rFonts w:eastAsia="Times New Roman" w:cstheme="minorHAnsi"/>
                <w:i/>
                <w:iCs/>
                <w:lang w:val="en-GB" w:eastAsia="en-GB"/>
              </w:rPr>
              <w:t>Oxford Review of Economic Policy</w:t>
            </w:r>
            <w:r w:rsidRPr="003C2645">
              <w:rPr>
                <w:rFonts w:eastAsia="Times New Roman" w:cstheme="minorHAnsi"/>
                <w:lang w:val="en-GB" w:eastAsia="en-GB"/>
              </w:rPr>
              <w:t xml:space="preserve">, </w:t>
            </w:r>
            <w:r w:rsidRPr="003C2645">
              <w:rPr>
                <w:rFonts w:eastAsia="Times New Roman" w:cstheme="minorHAnsi"/>
                <w:i/>
                <w:iCs/>
                <w:lang w:val="en-GB" w:eastAsia="en-GB"/>
              </w:rPr>
              <w:t>34</w:t>
            </w:r>
            <w:r w:rsidRPr="003C2645">
              <w:rPr>
                <w:rFonts w:eastAsia="Times New Roman" w:cstheme="minorHAnsi"/>
                <w:lang w:val="en-GB" w:eastAsia="en-GB"/>
              </w:rPr>
              <w:t xml:space="preserve">(1-2), 70-106. </w:t>
            </w:r>
          </w:p>
        </w:tc>
      </w:tr>
      <w:tr w:rsidR="003C2645" w:rsidRPr="00742E87" w14:paraId="612B5147" w14:textId="77777777" w:rsidTr="00F96F72">
        <w:trPr>
          <w:trHeight w:val="290"/>
        </w:trPr>
        <w:tc>
          <w:tcPr>
            <w:tcW w:w="9066" w:type="dxa"/>
            <w:tcBorders>
              <w:top w:val="nil"/>
              <w:left w:val="nil"/>
              <w:bottom w:val="nil"/>
              <w:right w:val="nil"/>
            </w:tcBorders>
            <w:shd w:val="clear" w:color="auto" w:fill="auto"/>
            <w:noWrap/>
            <w:vAlign w:val="center"/>
            <w:hideMark/>
          </w:tcPr>
          <w:p w14:paraId="0891EC85" w14:textId="77777777" w:rsidR="003C2645" w:rsidRPr="003C2645" w:rsidRDefault="00650294" w:rsidP="007B1254">
            <w:pPr>
              <w:spacing w:after="220" w:line="240" w:lineRule="auto"/>
              <w:ind w:left="720" w:hanging="720"/>
              <w:rPr>
                <w:rFonts w:eastAsia="Times New Roman" w:cstheme="minorHAnsi"/>
                <w:lang w:val="en-GB" w:eastAsia="en-GB"/>
              </w:rPr>
            </w:pPr>
            <w:hyperlink r:id="rId24" w:history="1">
              <w:r w:rsidR="003C2645" w:rsidRPr="003C2645">
                <w:rPr>
                  <w:rFonts w:eastAsia="Times New Roman" w:cstheme="minorHAnsi"/>
                  <w:lang w:val="en-GB" w:eastAsia="en-GB"/>
                </w:rPr>
                <w:t xml:space="preserve">Sun, L., Hubacek, K.; Natalini, D., Green, M. &amp; Jones, A. (2016). Guiding European Policy toward a low-carbon economy. Modelling sustainable Energy System Development under Environmental and Socioeconomic constraints. Deliverable 3.1 (D9) Transition Scenarios 1. Available at: http://medeas.eu/deliverables (31.07.2018). </w:t>
              </w:r>
            </w:hyperlink>
          </w:p>
        </w:tc>
      </w:tr>
      <w:tr w:rsidR="003C2645" w:rsidRPr="00F712A5" w14:paraId="26A5FC86" w14:textId="77777777" w:rsidTr="00F96F72">
        <w:trPr>
          <w:trHeight w:val="290"/>
        </w:trPr>
        <w:tc>
          <w:tcPr>
            <w:tcW w:w="9066" w:type="dxa"/>
            <w:tcBorders>
              <w:top w:val="nil"/>
              <w:left w:val="nil"/>
              <w:bottom w:val="nil"/>
              <w:right w:val="nil"/>
            </w:tcBorders>
            <w:shd w:val="clear" w:color="auto" w:fill="auto"/>
            <w:noWrap/>
            <w:vAlign w:val="center"/>
            <w:hideMark/>
          </w:tcPr>
          <w:p w14:paraId="55D9FC04"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Tesfatsion, L. (2003). Agent-based computational economics: modeling economies as complex adaptive systems. </w:t>
            </w:r>
            <w:r w:rsidRPr="00F712A5">
              <w:rPr>
                <w:rFonts w:eastAsia="Times New Roman" w:cstheme="minorHAnsi"/>
                <w:i/>
                <w:iCs/>
                <w:lang w:eastAsia="en-GB"/>
              </w:rPr>
              <w:t>Information sciences</w:t>
            </w:r>
            <w:r w:rsidRPr="00F712A5">
              <w:rPr>
                <w:rFonts w:eastAsia="Times New Roman" w:cstheme="minorHAnsi"/>
                <w:lang w:eastAsia="en-GB"/>
              </w:rPr>
              <w:t xml:space="preserve">, </w:t>
            </w:r>
            <w:r w:rsidRPr="00F712A5">
              <w:rPr>
                <w:rFonts w:eastAsia="Times New Roman" w:cstheme="minorHAnsi"/>
                <w:i/>
                <w:iCs/>
                <w:lang w:eastAsia="en-GB"/>
              </w:rPr>
              <w:t>149</w:t>
            </w:r>
            <w:r w:rsidRPr="00F712A5">
              <w:rPr>
                <w:rFonts w:eastAsia="Times New Roman" w:cstheme="minorHAnsi"/>
                <w:lang w:eastAsia="en-GB"/>
              </w:rPr>
              <w:t>(4), 262-268.</w:t>
            </w:r>
          </w:p>
        </w:tc>
      </w:tr>
      <w:tr w:rsidR="003C2645" w:rsidRPr="00F712A5" w14:paraId="3B6C0FCE" w14:textId="77777777" w:rsidTr="00F96F72">
        <w:trPr>
          <w:trHeight w:val="290"/>
        </w:trPr>
        <w:tc>
          <w:tcPr>
            <w:tcW w:w="9066" w:type="dxa"/>
            <w:tcBorders>
              <w:top w:val="nil"/>
              <w:left w:val="nil"/>
              <w:bottom w:val="nil"/>
              <w:right w:val="nil"/>
            </w:tcBorders>
            <w:shd w:val="clear" w:color="auto" w:fill="auto"/>
            <w:noWrap/>
            <w:vAlign w:val="center"/>
            <w:hideMark/>
          </w:tcPr>
          <w:p w14:paraId="48D556B4"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Tesfatsion, L. (2006). Agent-based computational economics: A constructive approach to economic theory. </w:t>
            </w:r>
            <w:r w:rsidRPr="00F712A5">
              <w:rPr>
                <w:rFonts w:eastAsia="Times New Roman" w:cstheme="minorHAnsi"/>
                <w:i/>
                <w:iCs/>
                <w:lang w:eastAsia="en-GB"/>
              </w:rPr>
              <w:t>Handbook of computational economics</w:t>
            </w:r>
            <w:r w:rsidRPr="00F712A5">
              <w:rPr>
                <w:rFonts w:eastAsia="Times New Roman" w:cstheme="minorHAnsi"/>
                <w:lang w:eastAsia="en-GB"/>
              </w:rPr>
              <w:t xml:space="preserve">, </w:t>
            </w:r>
            <w:r w:rsidRPr="00F712A5">
              <w:rPr>
                <w:rFonts w:eastAsia="Times New Roman" w:cstheme="minorHAnsi"/>
                <w:i/>
                <w:iCs/>
                <w:lang w:eastAsia="en-GB"/>
              </w:rPr>
              <w:t>2</w:t>
            </w:r>
            <w:r w:rsidRPr="00F712A5">
              <w:rPr>
                <w:rFonts w:eastAsia="Times New Roman" w:cstheme="minorHAnsi"/>
                <w:lang w:eastAsia="en-GB"/>
              </w:rPr>
              <w:t>, 831-880.</w:t>
            </w:r>
          </w:p>
        </w:tc>
      </w:tr>
      <w:tr w:rsidR="003C2645" w:rsidRPr="00742E87" w14:paraId="1931C747" w14:textId="77777777" w:rsidTr="00F96F72">
        <w:trPr>
          <w:trHeight w:val="290"/>
        </w:trPr>
        <w:tc>
          <w:tcPr>
            <w:tcW w:w="9066" w:type="dxa"/>
            <w:tcBorders>
              <w:top w:val="nil"/>
              <w:left w:val="nil"/>
              <w:bottom w:val="nil"/>
              <w:right w:val="nil"/>
            </w:tcBorders>
            <w:shd w:val="clear" w:color="auto" w:fill="auto"/>
            <w:noWrap/>
            <w:vAlign w:val="center"/>
            <w:hideMark/>
          </w:tcPr>
          <w:p w14:paraId="3BA73890" w14:textId="77777777" w:rsidR="003C2645" w:rsidRPr="003C2645" w:rsidRDefault="003C2645" w:rsidP="007B1254">
            <w:pPr>
              <w:spacing w:after="220" w:line="240" w:lineRule="auto"/>
              <w:ind w:left="720" w:hanging="720"/>
              <w:rPr>
                <w:rFonts w:eastAsia="Times New Roman" w:cstheme="minorHAnsi"/>
                <w:lang w:val="en-GB" w:eastAsia="en-GB"/>
              </w:rPr>
            </w:pPr>
            <w:r w:rsidRPr="003C2645">
              <w:rPr>
                <w:rFonts w:eastAsia="Times New Roman" w:cstheme="minorHAnsi"/>
                <w:lang w:val="en-GB" w:eastAsia="en-GB"/>
              </w:rPr>
              <w:t xml:space="preserve">UN (2018). The sustainable development goals report 2018. </w:t>
            </w:r>
            <w:r w:rsidRPr="003C2645">
              <w:rPr>
                <w:rFonts w:eastAsia="Times New Roman" w:cstheme="minorHAnsi"/>
                <w:i/>
                <w:iCs/>
                <w:lang w:val="en-GB" w:eastAsia="en-GB"/>
              </w:rPr>
              <w:t>United Nations Publications</w:t>
            </w:r>
            <w:r w:rsidRPr="003C2645">
              <w:rPr>
                <w:rFonts w:eastAsia="Times New Roman" w:cstheme="minorHAnsi"/>
                <w:lang w:val="en-GB" w:eastAsia="en-GB"/>
              </w:rPr>
              <w:t xml:space="preserve">, </w:t>
            </w:r>
            <w:r w:rsidRPr="003C2645">
              <w:rPr>
                <w:rFonts w:eastAsia="Times New Roman" w:cstheme="minorHAnsi"/>
                <w:i/>
                <w:iCs/>
                <w:lang w:val="en-GB" w:eastAsia="en-GB"/>
              </w:rPr>
              <w:t>2011</w:t>
            </w:r>
            <w:r w:rsidRPr="003C2645">
              <w:rPr>
                <w:rFonts w:eastAsia="Times New Roman" w:cstheme="minorHAnsi"/>
                <w:lang w:val="en-GB" w:eastAsia="en-GB"/>
              </w:rPr>
              <w:t>, 1–56. https://doi.org/10.18356/3405d09f-en.</w:t>
            </w:r>
          </w:p>
        </w:tc>
      </w:tr>
      <w:tr w:rsidR="003C2645" w:rsidRPr="00742E87" w14:paraId="6D6D20DA" w14:textId="77777777" w:rsidTr="00F96F72">
        <w:trPr>
          <w:trHeight w:val="290"/>
        </w:trPr>
        <w:tc>
          <w:tcPr>
            <w:tcW w:w="9066" w:type="dxa"/>
            <w:tcBorders>
              <w:top w:val="nil"/>
              <w:left w:val="nil"/>
              <w:bottom w:val="nil"/>
              <w:right w:val="nil"/>
            </w:tcBorders>
            <w:shd w:val="clear" w:color="auto" w:fill="auto"/>
            <w:noWrap/>
            <w:vAlign w:val="center"/>
            <w:hideMark/>
          </w:tcPr>
          <w:p w14:paraId="25B6B5E7" w14:textId="77777777" w:rsidR="003C2645" w:rsidRPr="003C2645" w:rsidRDefault="00650294" w:rsidP="007B1254">
            <w:pPr>
              <w:spacing w:after="220" w:line="240" w:lineRule="auto"/>
              <w:ind w:left="720" w:hanging="720"/>
              <w:rPr>
                <w:rFonts w:eastAsia="Times New Roman" w:cstheme="minorHAnsi"/>
                <w:lang w:val="en-GB" w:eastAsia="en-GB"/>
              </w:rPr>
            </w:pPr>
            <w:hyperlink r:id="rId25" w:history="1">
              <w:r w:rsidR="003C2645" w:rsidRPr="003C2645">
                <w:rPr>
                  <w:rFonts w:eastAsia="Times New Roman" w:cstheme="minorHAnsi"/>
                  <w:lang w:val="en-GB" w:eastAsia="en-GB"/>
                </w:rPr>
                <w:t>UNEP (2011). Modelling global green investment scenarios. Supporting the transition to a global green economy. Available at: https://www.environment.gov.za/sites/default/files/docs/green_economy_modelling.pdf (31.01.2019).</w:t>
              </w:r>
            </w:hyperlink>
          </w:p>
        </w:tc>
      </w:tr>
      <w:tr w:rsidR="003C2645" w:rsidRPr="00F712A5" w14:paraId="1C7D6426" w14:textId="77777777" w:rsidTr="00F96F72">
        <w:trPr>
          <w:trHeight w:val="290"/>
        </w:trPr>
        <w:tc>
          <w:tcPr>
            <w:tcW w:w="9066" w:type="dxa"/>
            <w:tcBorders>
              <w:top w:val="nil"/>
              <w:left w:val="nil"/>
              <w:bottom w:val="nil"/>
              <w:right w:val="nil"/>
            </w:tcBorders>
            <w:shd w:val="clear" w:color="auto" w:fill="auto"/>
            <w:noWrap/>
            <w:vAlign w:val="center"/>
            <w:hideMark/>
          </w:tcPr>
          <w:p w14:paraId="0E924568"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Van den Bergh, J. C., Ferrer-i-Carbonell, A., &amp; Munda, G. (2000). Alternative models of individual behaviour and implications for environmental policy. </w:t>
            </w:r>
            <w:r w:rsidRPr="00F712A5">
              <w:rPr>
                <w:rFonts w:eastAsia="Times New Roman" w:cstheme="minorHAnsi"/>
                <w:i/>
                <w:iCs/>
                <w:lang w:eastAsia="en-GB"/>
              </w:rPr>
              <w:t>Ecological Economics</w:t>
            </w:r>
            <w:r w:rsidRPr="00F712A5">
              <w:rPr>
                <w:rFonts w:eastAsia="Times New Roman" w:cstheme="minorHAnsi"/>
                <w:lang w:eastAsia="en-GB"/>
              </w:rPr>
              <w:t>, </w:t>
            </w:r>
            <w:r w:rsidRPr="00F712A5">
              <w:rPr>
                <w:rFonts w:eastAsia="Times New Roman" w:cstheme="minorHAnsi"/>
                <w:i/>
                <w:iCs/>
                <w:lang w:eastAsia="en-GB"/>
              </w:rPr>
              <w:t>32</w:t>
            </w:r>
            <w:r w:rsidRPr="00F712A5">
              <w:rPr>
                <w:rFonts w:eastAsia="Times New Roman" w:cstheme="minorHAnsi"/>
                <w:lang w:eastAsia="en-GB"/>
              </w:rPr>
              <w:t>(1), 43-61.</w:t>
            </w:r>
          </w:p>
        </w:tc>
      </w:tr>
      <w:tr w:rsidR="003C2645" w:rsidRPr="00F712A5" w14:paraId="3D6FBE43" w14:textId="77777777" w:rsidTr="00F96F72">
        <w:trPr>
          <w:trHeight w:val="290"/>
        </w:trPr>
        <w:tc>
          <w:tcPr>
            <w:tcW w:w="9066" w:type="dxa"/>
            <w:tcBorders>
              <w:top w:val="nil"/>
              <w:left w:val="nil"/>
              <w:bottom w:val="nil"/>
              <w:right w:val="nil"/>
            </w:tcBorders>
            <w:shd w:val="clear" w:color="auto" w:fill="auto"/>
            <w:noWrap/>
            <w:vAlign w:val="center"/>
            <w:hideMark/>
          </w:tcPr>
          <w:p w14:paraId="1177D695" w14:textId="77777777" w:rsidR="003C2645" w:rsidRPr="00F712A5" w:rsidRDefault="003C2645" w:rsidP="007B1254">
            <w:pPr>
              <w:spacing w:after="220" w:line="240" w:lineRule="auto"/>
              <w:ind w:left="720" w:hanging="720"/>
              <w:rPr>
                <w:rFonts w:eastAsia="Times New Roman" w:cstheme="minorHAnsi"/>
                <w:lang w:eastAsia="en-GB"/>
              </w:rPr>
            </w:pPr>
            <w:r w:rsidRPr="00F712A5">
              <w:rPr>
                <w:rFonts w:eastAsia="Times New Roman" w:cstheme="minorHAnsi"/>
                <w:lang w:val="de-CH" w:eastAsia="en-GB"/>
              </w:rPr>
              <w:t xml:space="preserve">Van den Bergh, J. C., Truffer, B., &amp; Kallis, G. (2011). </w:t>
            </w:r>
            <w:r w:rsidRPr="003C2645">
              <w:rPr>
                <w:rFonts w:eastAsia="Times New Roman" w:cstheme="minorHAnsi"/>
                <w:lang w:val="en-GB" w:eastAsia="en-GB"/>
              </w:rPr>
              <w:t xml:space="preserve">Environmental innovation and societal transitions: Introduction and overview. </w:t>
            </w:r>
            <w:r w:rsidRPr="00F712A5">
              <w:rPr>
                <w:rFonts w:eastAsia="Times New Roman" w:cstheme="minorHAnsi"/>
                <w:i/>
                <w:iCs/>
                <w:lang w:val="de-CH" w:eastAsia="en-GB"/>
              </w:rPr>
              <w:t>Environmental innovation and societal transitions</w:t>
            </w:r>
            <w:r w:rsidRPr="00F712A5">
              <w:rPr>
                <w:rFonts w:eastAsia="Times New Roman" w:cstheme="minorHAnsi"/>
                <w:lang w:val="de-CH" w:eastAsia="en-GB"/>
              </w:rPr>
              <w:t xml:space="preserve">, </w:t>
            </w:r>
            <w:r w:rsidRPr="00F712A5">
              <w:rPr>
                <w:rFonts w:eastAsia="Times New Roman" w:cstheme="minorHAnsi"/>
                <w:i/>
                <w:iCs/>
                <w:lang w:val="de-CH" w:eastAsia="en-GB"/>
              </w:rPr>
              <w:t>1</w:t>
            </w:r>
            <w:r w:rsidRPr="00F712A5">
              <w:rPr>
                <w:rFonts w:eastAsia="Times New Roman" w:cstheme="minorHAnsi"/>
                <w:lang w:val="de-CH" w:eastAsia="en-GB"/>
              </w:rPr>
              <w:t>(1), 1-23.</w:t>
            </w:r>
          </w:p>
        </w:tc>
      </w:tr>
      <w:tr w:rsidR="003C2645" w:rsidRPr="00F712A5" w14:paraId="562A9949" w14:textId="77777777" w:rsidTr="00F96F72">
        <w:trPr>
          <w:trHeight w:val="290"/>
        </w:trPr>
        <w:tc>
          <w:tcPr>
            <w:tcW w:w="9066" w:type="dxa"/>
            <w:tcBorders>
              <w:top w:val="nil"/>
              <w:left w:val="nil"/>
              <w:bottom w:val="nil"/>
              <w:right w:val="nil"/>
            </w:tcBorders>
            <w:shd w:val="clear" w:color="auto" w:fill="auto"/>
            <w:noWrap/>
            <w:vAlign w:val="center"/>
            <w:hideMark/>
          </w:tcPr>
          <w:p w14:paraId="02E2E9A9"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 xml:space="preserve">Veblen, T. (1934). The theory of the leisure class: an economic study of institutions. </w:t>
            </w:r>
            <w:r w:rsidRPr="00F712A5">
              <w:rPr>
                <w:rFonts w:eastAsia="Times New Roman" w:cstheme="minorHAnsi"/>
                <w:lang w:eastAsia="en-GB"/>
              </w:rPr>
              <w:t xml:space="preserve">1899. </w:t>
            </w:r>
            <w:r w:rsidRPr="00F712A5">
              <w:rPr>
                <w:rFonts w:eastAsia="Times New Roman" w:cstheme="minorHAnsi"/>
                <w:i/>
                <w:iCs/>
                <w:lang w:eastAsia="en-GB"/>
              </w:rPr>
              <w:t>New York: The Modern Library</w:t>
            </w:r>
            <w:r w:rsidRPr="00F712A5">
              <w:rPr>
                <w:rFonts w:eastAsia="Times New Roman" w:cstheme="minorHAnsi"/>
                <w:lang w:eastAsia="en-GB"/>
              </w:rPr>
              <w:t>.</w:t>
            </w:r>
          </w:p>
        </w:tc>
      </w:tr>
      <w:tr w:rsidR="003C2645" w:rsidRPr="00F712A5" w14:paraId="4063A415" w14:textId="77777777" w:rsidTr="00F96F72">
        <w:trPr>
          <w:trHeight w:val="290"/>
        </w:trPr>
        <w:tc>
          <w:tcPr>
            <w:tcW w:w="9066" w:type="dxa"/>
            <w:tcBorders>
              <w:top w:val="nil"/>
              <w:left w:val="nil"/>
              <w:bottom w:val="nil"/>
              <w:right w:val="nil"/>
            </w:tcBorders>
            <w:shd w:val="clear" w:color="auto" w:fill="auto"/>
            <w:noWrap/>
            <w:vAlign w:val="center"/>
            <w:hideMark/>
          </w:tcPr>
          <w:p w14:paraId="3B477BC2"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Victor, P. A. (2012). Growth, degrowth and climate change: A scenario analysis. </w:t>
            </w:r>
            <w:r w:rsidRPr="00F712A5">
              <w:rPr>
                <w:rFonts w:eastAsia="Times New Roman" w:cstheme="minorHAnsi"/>
                <w:i/>
                <w:iCs/>
                <w:lang w:eastAsia="en-GB"/>
              </w:rPr>
              <w:t>Ecological Economics</w:t>
            </w:r>
            <w:r w:rsidRPr="00F712A5">
              <w:rPr>
                <w:rFonts w:eastAsia="Times New Roman" w:cstheme="minorHAnsi"/>
                <w:lang w:eastAsia="en-GB"/>
              </w:rPr>
              <w:t>, </w:t>
            </w:r>
            <w:r w:rsidRPr="00F712A5">
              <w:rPr>
                <w:rFonts w:eastAsia="Times New Roman" w:cstheme="minorHAnsi"/>
                <w:i/>
                <w:iCs/>
                <w:lang w:eastAsia="en-GB"/>
              </w:rPr>
              <w:t>84</w:t>
            </w:r>
            <w:r w:rsidRPr="00F712A5">
              <w:rPr>
                <w:rFonts w:eastAsia="Times New Roman" w:cstheme="minorHAnsi"/>
                <w:lang w:eastAsia="en-GB"/>
              </w:rPr>
              <w:t>, 206-212.</w:t>
            </w:r>
          </w:p>
        </w:tc>
      </w:tr>
      <w:tr w:rsidR="003C2645" w:rsidRPr="00742E87" w14:paraId="4A51B1AE" w14:textId="77777777" w:rsidTr="00F96F72">
        <w:trPr>
          <w:trHeight w:val="290"/>
        </w:trPr>
        <w:tc>
          <w:tcPr>
            <w:tcW w:w="9066" w:type="dxa"/>
            <w:tcBorders>
              <w:top w:val="nil"/>
              <w:left w:val="nil"/>
              <w:bottom w:val="nil"/>
              <w:right w:val="nil"/>
            </w:tcBorders>
            <w:shd w:val="clear" w:color="auto" w:fill="auto"/>
            <w:noWrap/>
            <w:vAlign w:val="center"/>
            <w:hideMark/>
          </w:tcPr>
          <w:p w14:paraId="499A94F7" w14:textId="77777777" w:rsidR="003C2645" w:rsidRPr="003C2645" w:rsidRDefault="003C2645" w:rsidP="007B1254">
            <w:pPr>
              <w:spacing w:after="220" w:line="240" w:lineRule="auto"/>
              <w:ind w:left="720" w:hanging="720"/>
              <w:rPr>
                <w:rFonts w:eastAsia="Times New Roman" w:cstheme="minorHAnsi"/>
                <w:lang w:val="en-GB" w:eastAsia="en-GB"/>
              </w:rPr>
            </w:pPr>
            <w:r w:rsidRPr="003C2645">
              <w:rPr>
                <w:rFonts w:eastAsia="Times New Roman" w:cstheme="minorHAnsi"/>
                <w:lang w:val="en-GB" w:eastAsia="en-GB"/>
              </w:rPr>
              <w:t xml:space="preserve">Victor, P.A, and Jackson, T. (2019), “Managing without Growth: Exploring Possibilities”, chapter 11 in </w:t>
            </w:r>
            <w:r w:rsidRPr="003C2645">
              <w:rPr>
                <w:rFonts w:eastAsia="Times New Roman" w:cstheme="minorHAnsi"/>
                <w:i/>
                <w:iCs/>
                <w:lang w:val="en-GB" w:eastAsia="en-GB"/>
              </w:rPr>
              <w:t xml:space="preserve">Managing without Growth. Slower by Design, not Disaster, </w:t>
            </w:r>
            <w:r w:rsidRPr="003C2645">
              <w:rPr>
                <w:rFonts w:eastAsia="Times New Roman" w:cstheme="minorHAnsi"/>
                <w:lang w:val="en-GB" w:eastAsia="en-GB"/>
              </w:rPr>
              <w:t xml:space="preserve">Victor, P.A., Edward Elgar Publishing, 2019. </w:t>
            </w:r>
          </w:p>
        </w:tc>
      </w:tr>
      <w:tr w:rsidR="003C2645" w:rsidRPr="00742E87" w14:paraId="774620FF" w14:textId="77777777" w:rsidTr="00F96F72">
        <w:trPr>
          <w:trHeight w:val="290"/>
        </w:trPr>
        <w:tc>
          <w:tcPr>
            <w:tcW w:w="9066" w:type="dxa"/>
            <w:tcBorders>
              <w:top w:val="nil"/>
              <w:left w:val="nil"/>
              <w:bottom w:val="nil"/>
              <w:right w:val="nil"/>
            </w:tcBorders>
            <w:shd w:val="clear" w:color="auto" w:fill="auto"/>
            <w:noWrap/>
            <w:vAlign w:val="center"/>
            <w:hideMark/>
          </w:tcPr>
          <w:p w14:paraId="3B1A33E8" w14:textId="77777777" w:rsidR="003C2645" w:rsidRPr="003C2645" w:rsidRDefault="003C2645" w:rsidP="007B1254">
            <w:pPr>
              <w:spacing w:after="220" w:line="240" w:lineRule="auto"/>
              <w:ind w:left="720" w:hanging="720"/>
              <w:rPr>
                <w:rFonts w:eastAsia="Times New Roman" w:cstheme="minorHAnsi"/>
                <w:lang w:val="en-GB" w:eastAsia="en-GB"/>
              </w:rPr>
            </w:pPr>
            <w:r w:rsidRPr="003C2645">
              <w:rPr>
                <w:rFonts w:eastAsia="Times New Roman" w:cstheme="minorHAnsi"/>
                <w:lang w:val="en-GB" w:eastAsia="en-GB"/>
              </w:rPr>
              <w:t>Walras, L. (1854). Elements of pure economics. Translated by W. Jaffk. London: Allen &amp; Unwin.</w:t>
            </w:r>
          </w:p>
        </w:tc>
      </w:tr>
      <w:tr w:rsidR="003C2645" w:rsidRPr="00F712A5" w14:paraId="614FD54D" w14:textId="77777777" w:rsidTr="00F96F72">
        <w:trPr>
          <w:trHeight w:val="290"/>
        </w:trPr>
        <w:tc>
          <w:tcPr>
            <w:tcW w:w="9066" w:type="dxa"/>
            <w:tcBorders>
              <w:top w:val="nil"/>
              <w:left w:val="nil"/>
              <w:bottom w:val="nil"/>
              <w:right w:val="nil"/>
            </w:tcBorders>
            <w:shd w:val="clear" w:color="auto" w:fill="auto"/>
            <w:noWrap/>
            <w:vAlign w:val="center"/>
            <w:hideMark/>
          </w:tcPr>
          <w:p w14:paraId="586CCF0C" w14:textId="77777777" w:rsidR="003C2645" w:rsidRPr="00F712A5" w:rsidRDefault="003C2645" w:rsidP="007B1254">
            <w:pPr>
              <w:spacing w:after="220" w:line="240" w:lineRule="auto"/>
              <w:ind w:left="720" w:hanging="720"/>
              <w:rPr>
                <w:rFonts w:eastAsia="Times New Roman" w:cstheme="minorHAnsi"/>
                <w:lang w:eastAsia="en-GB"/>
              </w:rPr>
            </w:pPr>
            <w:r w:rsidRPr="00F712A5">
              <w:rPr>
                <w:rFonts w:eastAsia="Times New Roman" w:cstheme="minorHAnsi"/>
                <w:lang w:val="de-CH" w:eastAsia="en-GB"/>
              </w:rPr>
              <w:lastRenderedPageBreak/>
              <w:t xml:space="preserve">Wiebe, K. S., &amp; Lutz, C. (2016). </w:t>
            </w:r>
            <w:r w:rsidRPr="003C2645">
              <w:rPr>
                <w:rFonts w:eastAsia="Times New Roman" w:cstheme="minorHAnsi"/>
                <w:lang w:val="en-GB" w:eastAsia="en-GB"/>
              </w:rPr>
              <w:t xml:space="preserve">Endogenous technological change and the policy mix in renewable power generation. </w:t>
            </w:r>
            <w:r w:rsidRPr="00F712A5">
              <w:rPr>
                <w:rFonts w:eastAsia="Times New Roman" w:cstheme="minorHAnsi"/>
                <w:i/>
                <w:iCs/>
                <w:lang w:val="de-CH" w:eastAsia="en-GB"/>
              </w:rPr>
              <w:t>Renewable and Sustainable Energy Reviews</w:t>
            </w:r>
            <w:r w:rsidRPr="00F712A5">
              <w:rPr>
                <w:rFonts w:eastAsia="Times New Roman" w:cstheme="minorHAnsi"/>
                <w:lang w:val="de-CH" w:eastAsia="en-GB"/>
              </w:rPr>
              <w:t xml:space="preserve">, </w:t>
            </w:r>
            <w:r w:rsidRPr="00F712A5">
              <w:rPr>
                <w:rFonts w:eastAsia="Times New Roman" w:cstheme="minorHAnsi"/>
                <w:i/>
                <w:iCs/>
                <w:lang w:val="de-CH" w:eastAsia="en-GB"/>
              </w:rPr>
              <w:t>60</w:t>
            </w:r>
            <w:r w:rsidRPr="00F712A5">
              <w:rPr>
                <w:rFonts w:eastAsia="Times New Roman" w:cstheme="minorHAnsi"/>
                <w:lang w:val="de-CH" w:eastAsia="en-GB"/>
              </w:rPr>
              <w:t>, 739-751.</w:t>
            </w:r>
          </w:p>
        </w:tc>
      </w:tr>
      <w:tr w:rsidR="003C2645" w:rsidRPr="00F712A5" w14:paraId="56A03A9A" w14:textId="77777777" w:rsidTr="00F96F72">
        <w:trPr>
          <w:trHeight w:val="290"/>
        </w:trPr>
        <w:tc>
          <w:tcPr>
            <w:tcW w:w="9066" w:type="dxa"/>
            <w:tcBorders>
              <w:top w:val="nil"/>
              <w:left w:val="nil"/>
              <w:bottom w:val="nil"/>
              <w:right w:val="nil"/>
            </w:tcBorders>
            <w:shd w:val="clear" w:color="auto" w:fill="auto"/>
            <w:noWrap/>
            <w:vAlign w:val="center"/>
            <w:hideMark/>
          </w:tcPr>
          <w:p w14:paraId="4EB6D1EC" w14:textId="77777777" w:rsidR="003C2645" w:rsidRPr="00F712A5" w:rsidRDefault="003C2645" w:rsidP="007B1254">
            <w:pPr>
              <w:spacing w:after="220" w:line="240" w:lineRule="auto"/>
              <w:ind w:left="720" w:hanging="720"/>
              <w:rPr>
                <w:rFonts w:eastAsia="Times New Roman" w:cstheme="minorHAnsi"/>
                <w:lang w:eastAsia="en-GB"/>
              </w:rPr>
            </w:pPr>
            <w:r w:rsidRPr="003C2645">
              <w:rPr>
                <w:rFonts w:eastAsia="Times New Roman" w:cstheme="minorHAnsi"/>
                <w:lang w:val="en-GB" w:eastAsia="en-GB"/>
              </w:rPr>
              <w:t>Wing, I. S. (2007). Computable general equilibrium models for the analysis of energy and climate policies. </w:t>
            </w:r>
            <w:r w:rsidRPr="00F712A5">
              <w:rPr>
                <w:rFonts w:eastAsia="Times New Roman" w:cstheme="minorHAnsi"/>
                <w:i/>
                <w:iCs/>
                <w:lang w:eastAsia="en-GB"/>
              </w:rPr>
              <w:t>Prepared for the International Handbook of Energy Economics</w:t>
            </w:r>
            <w:r w:rsidRPr="00F712A5">
              <w:rPr>
                <w:rFonts w:eastAsia="Times New Roman" w:cstheme="minorHAnsi"/>
                <w:lang w:eastAsia="en-GB"/>
              </w:rPr>
              <w:t>.</w:t>
            </w:r>
          </w:p>
        </w:tc>
      </w:tr>
      <w:tr w:rsidR="003C2645" w:rsidRPr="00742E87" w14:paraId="621C6725" w14:textId="77777777" w:rsidTr="00F96F72">
        <w:trPr>
          <w:trHeight w:val="290"/>
        </w:trPr>
        <w:tc>
          <w:tcPr>
            <w:tcW w:w="9066" w:type="dxa"/>
            <w:tcBorders>
              <w:top w:val="nil"/>
              <w:left w:val="nil"/>
              <w:bottom w:val="nil"/>
              <w:right w:val="nil"/>
            </w:tcBorders>
            <w:shd w:val="clear" w:color="auto" w:fill="auto"/>
            <w:noWrap/>
            <w:vAlign w:val="center"/>
            <w:hideMark/>
          </w:tcPr>
          <w:p w14:paraId="5BF5070D" w14:textId="77777777" w:rsidR="003C2645" w:rsidRPr="003C2645" w:rsidRDefault="003C2645" w:rsidP="007B1254">
            <w:pPr>
              <w:spacing w:after="220" w:line="240" w:lineRule="auto"/>
              <w:ind w:left="720" w:hanging="720"/>
              <w:rPr>
                <w:rFonts w:eastAsia="Times New Roman" w:cstheme="minorHAnsi"/>
                <w:lang w:val="en-GB" w:eastAsia="en-GB"/>
              </w:rPr>
            </w:pPr>
            <w:r w:rsidRPr="003C2645">
              <w:rPr>
                <w:rFonts w:eastAsia="Times New Roman" w:cstheme="minorHAnsi"/>
                <w:lang w:val="en-GB" w:eastAsia="en-GB"/>
              </w:rPr>
              <w:t>Wing, S. I. (2011). Computable General Equilibrium Models for the Analysis of Economy–Environment Interactions. In </w:t>
            </w:r>
            <w:r w:rsidRPr="003C2645">
              <w:rPr>
                <w:rFonts w:eastAsia="Times New Roman" w:cstheme="minorHAnsi"/>
                <w:i/>
                <w:iCs/>
                <w:lang w:val="en-GB" w:eastAsia="en-GB"/>
              </w:rPr>
              <w:t>Research tools in natural resource and environmental economics</w:t>
            </w:r>
            <w:r w:rsidRPr="003C2645">
              <w:rPr>
                <w:rFonts w:eastAsia="Times New Roman" w:cstheme="minorHAnsi"/>
                <w:lang w:val="en-GB" w:eastAsia="en-GB"/>
              </w:rPr>
              <w:t xml:space="preserve"> (pp. 255-305). </w:t>
            </w:r>
          </w:p>
        </w:tc>
      </w:tr>
      <w:tr w:rsidR="003C2645" w:rsidRPr="00F712A5" w14:paraId="0860A633" w14:textId="77777777" w:rsidTr="00F96F72">
        <w:trPr>
          <w:trHeight w:val="290"/>
        </w:trPr>
        <w:tc>
          <w:tcPr>
            <w:tcW w:w="9066" w:type="dxa"/>
            <w:tcBorders>
              <w:top w:val="nil"/>
              <w:left w:val="nil"/>
              <w:bottom w:val="nil"/>
              <w:right w:val="nil"/>
            </w:tcBorders>
            <w:shd w:val="clear" w:color="auto" w:fill="auto"/>
            <w:noWrap/>
            <w:vAlign w:val="center"/>
            <w:hideMark/>
          </w:tcPr>
          <w:p w14:paraId="76ADE615" w14:textId="77777777" w:rsidR="003C2645" w:rsidRPr="00F712A5" w:rsidRDefault="003C2645" w:rsidP="007B1254">
            <w:pPr>
              <w:spacing w:after="220" w:line="240" w:lineRule="auto"/>
              <w:ind w:left="720" w:hanging="720"/>
              <w:rPr>
                <w:rFonts w:eastAsia="Times New Roman" w:cstheme="minorHAnsi"/>
                <w:lang w:eastAsia="en-GB"/>
              </w:rPr>
            </w:pPr>
            <w:r w:rsidRPr="00F712A5">
              <w:rPr>
                <w:rFonts w:eastAsia="Times New Roman" w:cstheme="minorHAnsi"/>
                <w:lang w:val="de-CH" w:eastAsia="en-GB"/>
              </w:rPr>
              <w:t xml:space="preserve">Wolf, S., Schütze, F., &amp; Jaeger, C. C. (2016). </w:t>
            </w:r>
            <w:r w:rsidRPr="003C2645">
              <w:rPr>
                <w:rFonts w:eastAsia="Times New Roman" w:cstheme="minorHAnsi"/>
                <w:lang w:val="en-GB" w:eastAsia="en-GB"/>
              </w:rPr>
              <w:t>Balance or synergies between environment and economy—A note on model structures. </w:t>
            </w:r>
            <w:r w:rsidRPr="00F712A5">
              <w:rPr>
                <w:rFonts w:eastAsia="Times New Roman" w:cstheme="minorHAnsi"/>
                <w:i/>
                <w:iCs/>
                <w:lang w:val="de-CH" w:eastAsia="en-GB"/>
              </w:rPr>
              <w:t>Sustainability</w:t>
            </w:r>
            <w:r w:rsidRPr="00F712A5">
              <w:rPr>
                <w:rFonts w:eastAsia="Times New Roman" w:cstheme="minorHAnsi"/>
                <w:lang w:val="de-CH" w:eastAsia="en-GB"/>
              </w:rPr>
              <w:t>, </w:t>
            </w:r>
            <w:r w:rsidRPr="00F712A5">
              <w:rPr>
                <w:rFonts w:eastAsia="Times New Roman" w:cstheme="minorHAnsi"/>
                <w:i/>
                <w:iCs/>
                <w:lang w:val="de-CH" w:eastAsia="en-GB"/>
              </w:rPr>
              <w:t>8</w:t>
            </w:r>
            <w:r w:rsidRPr="00F712A5">
              <w:rPr>
                <w:rFonts w:eastAsia="Times New Roman" w:cstheme="minorHAnsi"/>
                <w:lang w:val="de-CH" w:eastAsia="en-GB"/>
              </w:rPr>
              <w:t>(8), 761.</w:t>
            </w:r>
          </w:p>
        </w:tc>
      </w:tr>
      <w:tr w:rsidR="003C2645" w:rsidRPr="00742E87" w14:paraId="3D6497E2" w14:textId="77777777" w:rsidTr="00F96F72">
        <w:trPr>
          <w:trHeight w:val="290"/>
        </w:trPr>
        <w:tc>
          <w:tcPr>
            <w:tcW w:w="9066" w:type="dxa"/>
            <w:tcBorders>
              <w:top w:val="nil"/>
              <w:left w:val="nil"/>
              <w:bottom w:val="nil"/>
              <w:right w:val="nil"/>
            </w:tcBorders>
            <w:shd w:val="clear" w:color="auto" w:fill="auto"/>
            <w:noWrap/>
            <w:vAlign w:val="center"/>
            <w:hideMark/>
          </w:tcPr>
          <w:p w14:paraId="7ED49BA9" w14:textId="77777777" w:rsidR="003C2645" w:rsidRPr="003C2645" w:rsidRDefault="003C2645" w:rsidP="007B1254">
            <w:pPr>
              <w:spacing w:after="220" w:line="240" w:lineRule="auto"/>
              <w:ind w:left="720" w:hanging="720"/>
              <w:rPr>
                <w:rFonts w:eastAsia="Times New Roman" w:cstheme="minorHAnsi"/>
                <w:lang w:val="en-GB" w:eastAsia="en-GB"/>
              </w:rPr>
            </w:pPr>
            <w:r w:rsidRPr="003C2645">
              <w:rPr>
                <w:rFonts w:eastAsia="Times New Roman" w:cstheme="minorHAnsi"/>
                <w:lang w:val="en-GB" w:eastAsia="en-GB"/>
              </w:rPr>
              <w:t xml:space="preserve">Wooldridge, J. M. (2006). Econometrics: A modern approach. South-Western College Publishing, Mason. </w:t>
            </w:r>
          </w:p>
        </w:tc>
      </w:tr>
      <w:tr w:rsidR="003C2645" w:rsidRPr="00F712A5" w14:paraId="09B505A4" w14:textId="77777777" w:rsidTr="00F96F72">
        <w:trPr>
          <w:trHeight w:val="290"/>
        </w:trPr>
        <w:tc>
          <w:tcPr>
            <w:tcW w:w="9066" w:type="dxa"/>
            <w:tcBorders>
              <w:top w:val="nil"/>
              <w:left w:val="nil"/>
              <w:bottom w:val="nil"/>
              <w:right w:val="nil"/>
            </w:tcBorders>
            <w:shd w:val="clear" w:color="auto" w:fill="auto"/>
            <w:noWrap/>
            <w:vAlign w:val="center"/>
            <w:hideMark/>
          </w:tcPr>
          <w:p w14:paraId="57238BBF" w14:textId="77777777" w:rsidR="003C2645" w:rsidRPr="00F712A5" w:rsidRDefault="00650294" w:rsidP="007B1254">
            <w:pPr>
              <w:spacing w:after="220" w:line="240" w:lineRule="auto"/>
              <w:ind w:left="720" w:hanging="720"/>
              <w:rPr>
                <w:rFonts w:eastAsia="Times New Roman" w:cstheme="minorHAnsi"/>
                <w:lang w:eastAsia="en-GB"/>
              </w:rPr>
            </w:pPr>
            <w:hyperlink r:id="rId26" w:history="1">
              <w:r w:rsidR="003C2645" w:rsidRPr="003C2645">
                <w:rPr>
                  <w:rFonts w:eastAsia="Times New Roman" w:cstheme="minorHAnsi"/>
                  <w:lang w:val="en-GB" w:eastAsia="en-GB"/>
                </w:rPr>
                <w:t xml:space="preserve">Yamaguchi, K. (2013). Money and macroeconomic dynamics-Accounting system dynamics approach. </w:t>
              </w:r>
              <w:r w:rsidR="003C2645" w:rsidRPr="00F712A5">
                <w:rPr>
                  <w:rFonts w:eastAsia="Times New Roman" w:cstheme="minorHAnsi"/>
                  <w:lang w:eastAsia="en-GB"/>
                </w:rPr>
                <w:t>Available at: http://www.muratopia.org (19.12.2019).</w:t>
              </w:r>
            </w:hyperlink>
          </w:p>
        </w:tc>
      </w:tr>
      <w:tr w:rsidR="003C2645" w:rsidRPr="00F712A5" w14:paraId="00B04ED9" w14:textId="77777777" w:rsidTr="00F96F72">
        <w:trPr>
          <w:trHeight w:val="290"/>
        </w:trPr>
        <w:tc>
          <w:tcPr>
            <w:tcW w:w="9066" w:type="dxa"/>
            <w:tcBorders>
              <w:top w:val="nil"/>
              <w:left w:val="nil"/>
              <w:bottom w:val="nil"/>
              <w:right w:val="nil"/>
            </w:tcBorders>
            <w:shd w:val="clear" w:color="auto" w:fill="auto"/>
            <w:noWrap/>
            <w:vAlign w:val="center"/>
            <w:hideMark/>
          </w:tcPr>
          <w:p w14:paraId="00A62399" w14:textId="77777777" w:rsidR="003C2645" w:rsidRPr="00F712A5" w:rsidRDefault="003C2645" w:rsidP="007B1254">
            <w:pPr>
              <w:spacing w:line="240" w:lineRule="auto"/>
              <w:rPr>
                <w:rFonts w:ascii="Calibri" w:eastAsia="Times New Roman" w:hAnsi="Calibri" w:cs="Calibri"/>
                <w:color w:val="0563C1"/>
                <w:u w:val="single"/>
                <w:lang w:eastAsia="en-GB"/>
              </w:rPr>
            </w:pPr>
          </w:p>
        </w:tc>
      </w:tr>
    </w:tbl>
    <w:p w14:paraId="2512BD5E" w14:textId="4146AE47" w:rsidR="0025664D" w:rsidRPr="00AE6D77" w:rsidRDefault="0025664D" w:rsidP="00160576">
      <w:pPr>
        <w:rPr>
          <w:lang w:val="en-GB"/>
        </w:rPr>
      </w:pPr>
    </w:p>
    <w:sectPr w:rsidR="0025664D" w:rsidRPr="00AE6D77" w:rsidSect="00160576">
      <w:footerReference w:type="default" r:id="rId27"/>
      <w:pgSz w:w="11900" w:h="16840"/>
      <w:pgMar w:top="1417" w:right="1417" w:bottom="1134" w:left="1417"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5370E7" w14:textId="77777777" w:rsidR="00EA214A" w:rsidRDefault="00EA214A" w:rsidP="00701D2B">
      <w:r>
        <w:separator/>
      </w:r>
    </w:p>
  </w:endnote>
  <w:endnote w:type="continuationSeparator" w:id="0">
    <w:p w14:paraId="1C592E3F" w14:textId="77777777" w:rsidR="00EA214A" w:rsidRDefault="00EA214A" w:rsidP="00701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TimesNewRomanPSMT">
    <w:panose1 w:val="00000000000000000000"/>
    <w:charset w:val="00"/>
    <w:family w:val="roman"/>
    <w:notTrueType/>
    <w:pitch w:val="default"/>
  </w:font>
  <w:font w:name="TimesNewRomanPS-Italic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63337168"/>
      <w:docPartObj>
        <w:docPartGallery w:val="Page Numbers (Bottom of Page)"/>
        <w:docPartUnique/>
      </w:docPartObj>
    </w:sdtPr>
    <w:sdtEndPr>
      <w:rPr>
        <w:noProof/>
      </w:rPr>
    </w:sdtEndPr>
    <w:sdtContent>
      <w:p w14:paraId="71EA3166" w14:textId="64334121" w:rsidR="00742E87" w:rsidRDefault="00742E87">
        <w:pPr>
          <w:pStyle w:val="Footer"/>
          <w:jc w:val="right"/>
        </w:pPr>
        <w:r>
          <w:fldChar w:fldCharType="begin"/>
        </w:r>
        <w:r>
          <w:instrText xml:space="preserve"> PAGE   \* MERGEFORMAT </w:instrText>
        </w:r>
        <w:r>
          <w:fldChar w:fldCharType="separate"/>
        </w:r>
        <w:r w:rsidR="006F6A1D">
          <w:rPr>
            <w:noProof/>
          </w:rPr>
          <w:t>18</w:t>
        </w:r>
        <w:r>
          <w:rPr>
            <w:noProof/>
          </w:rPr>
          <w:fldChar w:fldCharType="end"/>
        </w:r>
      </w:p>
    </w:sdtContent>
  </w:sdt>
  <w:p w14:paraId="1A045169" w14:textId="77777777" w:rsidR="00742E87" w:rsidRDefault="00742E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B71D84" w14:textId="77777777" w:rsidR="00EA214A" w:rsidRDefault="00EA214A" w:rsidP="00701D2B">
      <w:r>
        <w:separator/>
      </w:r>
    </w:p>
  </w:footnote>
  <w:footnote w:type="continuationSeparator" w:id="0">
    <w:p w14:paraId="7FBBCF31" w14:textId="77777777" w:rsidR="00EA214A" w:rsidRDefault="00EA214A" w:rsidP="00701D2B">
      <w:r>
        <w:continuationSeparator/>
      </w:r>
    </w:p>
  </w:footnote>
  <w:footnote w:id="1">
    <w:p w14:paraId="4558C599" w14:textId="2DD8CC78" w:rsidR="00742E87" w:rsidRPr="003D0D56" w:rsidRDefault="00742E87" w:rsidP="0003133B">
      <w:pPr>
        <w:pStyle w:val="FootnoteText"/>
        <w:rPr>
          <w:rFonts w:asciiTheme="minorHAnsi" w:hAnsiTheme="minorHAnsi" w:cstheme="minorHAnsi"/>
          <w:sz w:val="16"/>
          <w:szCs w:val="16"/>
        </w:rPr>
      </w:pPr>
      <w:r w:rsidRPr="00686FDA">
        <w:rPr>
          <w:rStyle w:val="FootnoteReference"/>
          <w:rFonts w:ascii="Times New Roman" w:hAnsi="Times New Roman" w:cs="Times New Roman"/>
          <w:sz w:val="16"/>
          <w:szCs w:val="16"/>
        </w:rPr>
        <w:footnoteRef/>
      </w:r>
      <w:r w:rsidRPr="00686FDA">
        <w:rPr>
          <w:rFonts w:ascii="Times New Roman" w:hAnsi="Times New Roman" w:cs="Times New Roman"/>
          <w:sz w:val="16"/>
          <w:szCs w:val="16"/>
        </w:rPr>
        <w:t xml:space="preserve"> </w:t>
      </w:r>
      <w:r w:rsidRPr="003D0D56">
        <w:rPr>
          <w:rFonts w:asciiTheme="minorHAnsi" w:hAnsiTheme="minorHAnsi" w:cstheme="minorHAnsi"/>
          <w:sz w:val="16"/>
          <w:szCs w:val="16"/>
          <w:u w:color="000000"/>
          <w:lang w:val="en-GB"/>
        </w:rPr>
        <w:t xml:space="preserve">Another example here is the recent research call of the UK Economic and Social Research Council on Rebuilding Macroeconomics with the objective </w:t>
      </w:r>
      <w:r w:rsidRPr="003D0D56">
        <w:rPr>
          <w:rFonts w:asciiTheme="minorHAnsi" w:eastAsia="Times New Roman" w:hAnsiTheme="minorHAnsi" w:cstheme="minorHAnsi"/>
          <w:sz w:val="16"/>
          <w:szCs w:val="16"/>
          <w:shd w:val="clear" w:color="auto" w:fill="FFFFFF"/>
        </w:rPr>
        <w:t xml:space="preserve">to create inter-disciplinary and rigorous research that will start to change the economics research agenda (see </w:t>
      </w:r>
      <w:hyperlink r:id="rId1" w:history="1">
        <w:r w:rsidRPr="003D0D56">
          <w:rPr>
            <w:rStyle w:val="Hyperlink"/>
            <w:rFonts w:asciiTheme="minorHAnsi" w:eastAsia="Times New Roman" w:hAnsiTheme="minorHAnsi" w:cstheme="minorHAnsi"/>
            <w:sz w:val="16"/>
            <w:szCs w:val="16"/>
            <w:u w:val="none"/>
            <w:shd w:val="clear" w:color="auto" w:fill="FFFFFF"/>
          </w:rPr>
          <w:t>https://www.rebuildingmacroeconomics.ac.uk)</w:t>
        </w:r>
      </w:hyperlink>
      <w:r w:rsidRPr="003D0D56">
        <w:rPr>
          <w:rFonts w:asciiTheme="minorHAnsi" w:hAnsiTheme="minorHAnsi" w:cstheme="minorHAnsi"/>
          <w:sz w:val="16"/>
          <w:szCs w:val="16"/>
          <w:u w:color="000000"/>
          <w:lang w:val="en-GB"/>
        </w:rPr>
        <w:t xml:space="preserve">. </w:t>
      </w:r>
    </w:p>
  </w:footnote>
  <w:footnote w:id="2">
    <w:p w14:paraId="591EF5C2" w14:textId="5115245D" w:rsidR="00742E87" w:rsidRPr="00602847" w:rsidRDefault="00742E87" w:rsidP="0003133B">
      <w:pPr>
        <w:rPr>
          <w:sz w:val="16"/>
          <w:szCs w:val="16"/>
          <w:lang w:val="en-GB"/>
        </w:rPr>
      </w:pPr>
      <w:r w:rsidRPr="003D0D56">
        <w:rPr>
          <w:rFonts w:eastAsia="Calibri" w:cstheme="minorHAnsi"/>
          <w:sz w:val="16"/>
          <w:szCs w:val="16"/>
          <w:vertAlign w:val="superscript"/>
          <w:lang w:val="en-US"/>
        </w:rPr>
        <w:footnoteRef/>
      </w:r>
      <w:r w:rsidRPr="003D0D56">
        <w:rPr>
          <w:rFonts w:eastAsia="Calibri" w:cstheme="minorHAnsi"/>
          <w:sz w:val="16"/>
          <w:szCs w:val="16"/>
          <w:lang w:val="en-US"/>
        </w:rPr>
        <w:t xml:space="preserve"> INET has been founded in 2009 and is dedicated to the rigorous pursuit of innovative economic theories and methods that address society’s most pressing concerns (INET, 2018a; </w:t>
      </w:r>
      <w:r w:rsidRPr="003D0D56">
        <w:rPr>
          <w:rFonts w:eastAsia="Calibri" w:cstheme="minorHAnsi"/>
          <w:color w:val="000000" w:themeColor="text1"/>
          <w:sz w:val="16"/>
          <w:szCs w:val="16"/>
          <w:u w:color="000000"/>
          <w:lang w:val="en-US"/>
        </w:rPr>
        <w:t>INET, 2018b).</w:t>
      </w:r>
      <w:r w:rsidRPr="00602847">
        <w:rPr>
          <w:rFonts w:eastAsia="Calibri"/>
          <w:color w:val="000000" w:themeColor="text1"/>
          <w:sz w:val="16"/>
          <w:szCs w:val="16"/>
          <w:u w:color="000000"/>
          <w:lang w:val="en-US"/>
        </w:rPr>
        <w:t xml:space="preserve"> </w:t>
      </w:r>
    </w:p>
  </w:footnote>
  <w:footnote w:id="3">
    <w:p w14:paraId="716B45D0" w14:textId="6B94D405" w:rsidR="00742E87" w:rsidRPr="00014748" w:rsidRDefault="00742E87" w:rsidP="00014748">
      <w:pPr>
        <w:pStyle w:val="FootnoteText"/>
        <w:spacing w:line="240" w:lineRule="auto"/>
        <w:rPr>
          <w:rFonts w:asciiTheme="minorHAnsi" w:hAnsiTheme="minorHAnsi" w:cstheme="minorHAnsi"/>
          <w:sz w:val="16"/>
          <w:szCs w:val="16"/>
        </w:rPr>
      </w:pPr>
      <w:r w:rsidRPr="00014748">
        <w:rPr>
          <w:rStyle w:val="FootnoteReference"/>
          <w:rFonts w:asciiTheme="minorHAnsi" w:hAnsiTheme="minorHAnsi" w:cstheme="minorHAnsi"/>
          <w:sz w:val="16"/>
          <w:szCs w:val="16"/>
        </w:rPr>
        <w:footnoteRef/>
      </w:r>
      <w:r w:rsidRPr="00014748">
        <w:rPr>
          <w:rFonts w:asciiTheme="minorHAnsi" w:hAnsiTheme="minorHAnsi" w:cstheme="minorHAnsi"/>
          <w:sz w:val="16"/>
          <w:szCs w:val="16"/>
        </w:rPr>
        <w:t xml:space="preserve"> We note that this does not mean that we claim that model based on a neoclassical framework cannot account for the features desired by a ‘approach in economics’, however, in order to focus this study and for the reasons explained in section 2, we limit our investigation on simulation models. </w:t>
      </w:r>
    </w:p>
  </w:footnote>
  <w:footnote w:id="4">
    <w:p w14:paraId="0943FFED" w14:textId="24059DDC" w:rsidR="00742E87" w:rsidRPr="00014748" w:rsidRDefault="00742E87" w:rsidP="00014748">
      <w:pPr>
        <w:pStyle w:val="FootnoteText"/>
        <w:spacing w:line="240" w:lineRule="auto"/>
        <w:rPr>
          <w:sz w:val="16"/>
          <w:szCs w:val="16"/>
        </w:rPr>
      </w:pPr>
      <w:r w:rsidRPr="00014748">
        <w:rPr>
          <w:rStyle w:val="FootnoteReference"/>
          <w:sz w:val="16"/>
          <w:szCs w:val="16"/>
        </w:rPr>
        <w:footnoteRef/>
      </w:r>
      <w:r w:rsidRPr="00014748">
        <w:rPr>
          <w:rFonts w:ascii="Calibri" w:hAnsi="Calibri"/>
          <w:sz w:val="16"/>
          <w:szCs w:val="16"/>
        </w:rPr>
        <w:t xml:space="preserve"> See https://www.oecd.org/naec/ and </w:t>
      </w:r>
      <w:hyperlink r:id="rId2" w:history="1">
        <w:r w:rsidRPr="00014748">
          <w:rPr>
            <w:rStyle w:val="Hyperlink"/>
            <w:rFonts w:ascii="Calibri" w:hAnsi="Calibri"/>
            <w:sz w:val="16"/>
            <w:szCs w:val="16"/>
            <w:u w:val="none"/>
          </w:rPr>
          <w:t>https://www.rebuildingmacroeconomics.ac.uk/</w:t>
        </w:r>
      </w:hyperlink>
      <w:r w:rsidRPr="00014748">
        <w:rPr>
          <w:rFonts w:ascii="Calibri" w:hAnsi="Calibri"/>
          <w:sz w:val="16"/>
          <w:szCs w:val="16"/>
        </w:rPr>
        <w:t xml:space="preserve"> for latest updates on the ongoing discussion on new approaches for economic challenges. </w:t>
      </w:r>
    </w:p>
  </w:footnote>
  <w:footnote w:id="5">
    <w:p w14:paraId="21719DB6" w14:textId="225E455C" w:rsidR="00742E87" w:rsidRPr="00014748" w:rsidRDefault="00742E87" w:rsidP="00014748">
      <w:pPr>
        <w:widowControl w:val="0"/>
        <w:autoSpaceDE w:val="0"/>
        <w:autoSpaceDN w:val="0"/>
        <w:adjustRightInd w:val="0"/>
        <w:spacing w:after="240" w:line="240" w:lineRule="auto"/>
        <w:rPr>
          <w:sz w:val="16"/>
          <w:szCs w:val="16"/>
          <w:lang w:val="en-GB"/>
        </w:rPr>
      </w:pPr>
      <w:r w:rsidRPr="00014748">
        <w:rPr>
          <w:rStyle w:val="FootnoteReference"/>
          <w:sz w:val="16"/>
          <w:szCs w:val="16"/>
        </w:rPr>
        <w:footnoteRef/>
      </w:r>
      <w:r w:rsidRPr="00014748">
        <w:rPr>
          <w:sz w:val="16"/>
          <w:szCs w:val="16"/>
          <w:lang w:val="en-GB"/>
        </w:rPr>
        <w:t xml:space="preserve"> </w:t>
      </w:r>
      <w:r w:rsidRPr="00F96F72">
        <w:rPr>
          <w:sz w:val="16"/>
          <w:szCs w:val="16"/>
          <w:lang w:val="en-GB"/>
        </w:rPr>
        <w:t xml:space="preserve">The main difference between our </w:t>
      </w:r>
      <w:r w:rsidRPr="00014748">
        <w:rPr>
          <w:sz w:val="16"/>
          <w:szCs w:val="16"/>
          <w:lang w:val="en-GB"/>
        </w:rPr>
        <w:t>review</w:t>
      </w:r>
      <w:r w:rsidRPr="00F96F72">
        <w:rPr>
          <w:sz w:val="16"/>
          <w:szCs w:val="16"/>
          <w:lang w:val="en-GB"/>
        </w:rPr>
        <w:t xml:space="preserve"> and the review of Hardt &amp; O’Neill (2017) is that </w:t>
      </w:r>
      <w:r w:rsidRPr="00014748">
        <w:rPr>
          <w:sz w:val="16"/>
          <w:szCs w:val="16"/>
          <w:lang w:val="en-GB"/>
        </w:rPr>
        <w:t>we focus</w:t>
      </w:r>
      <w:r w:rsidRPr="00F96F72">
        <w:rPr>
          <w:sz w:val="16"/>
          <w:szCs w:val="16"/>
          <w:lang w:val="en-GB"/>
        </w:rPr>
        <w:t xml:space="preserve"> on a systematic review of ecological macroeconomics energy transition models and assesses how they </w:t>
      </w:r>
      <w:r w:rsidRPr="00014748">
        <w:rPr>
          <w:sz w:val="16"/>
          <w:szCs w:val="16"/>
          <w:lang w:val="en-GB"/>
        </w:rPr>
        <w:t>represent the</w:t>
      </w:r>
      <w:r w:rsidRPr="00F96F72">
        <w:rPr>
          <w:sz w:val="16"/>
          <w:szCs w:val="16"/>
          <w:lang w:val="en-GB"/>
        </w:rPr>
        <w:t xml:space="preserve"> desired features of a new approach in economics. In contrast, Hardt &amp; O’Neill (2017) analyse how different ecological macroeconomic models allow the investigation of post-growth policies. </w:t>
      </w:r>
    </w:p>
    <w:p w14:paraId="455E5AFE" w14:textId="4F1DE9DD" w:rsidR="00742E87" w:rsidRPr="00163E4B" w:rsidRDefault="00742E87">
      <w:pPr>
        <w:pStyle w:val="FootnoteText"/>
        <w:rPr>
          <w:lang w:val="en-GB"/>
        </w:rPr>
      </w:pPr>
    </w:p>
  </w:footnote>
  <w:footnote w:id="6">
    <w:p w14:paraId="0700D3F1" w14:textId="351B58A9" w:rsidR="00742E87" w:rsidRPr="00602847" w:rsidRDefault="00742E87" w:rsidP="00C64097">
      <w:pPr>
        <w:widowControl w:val="0"/>
        <w:autoSpaceDE w:val="0"/>
        <w:autoSpaceDN w:val="0"/>
        <w:adjustRightInd w:val="0"/>
        <w:rPr>
          <w:sz w:val="16"/>
          <w:szCs w:val="16"/>
          <w:lang w:val="en-US"/>
        </w:rPr>
      </w:pPr>
      <w:r w:rsidRPr="00790B96">
        <w:rPr>
          <w:rStyle w:val="FootnoteReference"/>
          <w:rFonts w:cstheme="minorHAnsi"/>
          <w:sz w:val="16"/>
          <w:szCs w:val="16"/>
        </w:rPr>
        <w:footnoteRef/>
      </w:r>
      <w:r w:rsidRPr="00790B96">
        <w:rPr>
          <w:rFonts w:cstheme="minorHAnsi"/>
          <w:sz w:val="16"/>
          <w:szCs w:val="16"/>
          <w:lang w:val="en-US"/>
        </w:rPr>
        <w:t xml:space="preserve"> We understand ‘ontology’ as the structure of reality and ‘as e</w:t>
      </w:r>
      <w:r w:rsidRPr="00790B96">
        <w:rPr>
          <w:rFonts w:cstheme="minorHAnsi"/>
          <w:color w:val="000000"/>
          <w:sz w:val="16"/>
          <w:szCs w:val="16"/>
          <w:bdr w:val="nil"/>
          <w:lang w:val="en-US"/>
        </w:rPr>
        <w:t xml:space="preserve">pistemology’ the theoretical basis on which </w:t>
      </w:r>
      <w:r w:rsidRPr="00790B96">
        <w:rPr>
          <w:rFonts w:cstheme="minorHAnsi"/>
          <w:sz w:val="16"/>
          <w:szCs w:val="16"/>
          <w:bdr w:val="nil"/>
          <w:lang w:val="en-US"/>
        </w:rPr>
        <w:t>we</w:t>
      </w:r>
      <w:r w:rsidRPr="00790B96">
        <w:rPr>
          <w:rFonts w:cstheme="minorHAnsi"/>
          <w:color w:val="000000"/>
          <w:sz w:val="16"/>
          <w:szCs w:val="16"/>
          <w:bdr w:val="nil"/>
          <w:lang w:val="en-US"/>
        </w:rPr>
        <w:t xml:space="preserve"> understand the world, which involves theories on the origin and limits of knowledge (Spash, 2012).</w:t>
      </w:r>
      <w:r w:rsidRPr="00602847">
        <w:rPr>
          <w:color w:val="000000"/>
          <w:sz w:val="16"/>
          <w:szCs w:val="16"/>
          <w:bdr w:val="nil"/>
          <w:lang w:val="en-US"/>
        </w:rPr>
        <w:t xml:space="preserve"> </w:t>
      </w:r>
    </w:p>
  </w:footnote>
  <w:footnote w:id="7">
    <w:p w14:paraId="7A156548" w14:textId="3584A2E1" w:rsidR="00742E87" w:rsidRPr="009551EC" w:rsidRDefault="00742E87" w:rsidP="00DE6A9E">
      <w:pPr>
        <w:pStyle w:val="FootnoteText"/>
        <w:rPr>
          <w:rFonts w:asciiTheme="minorHAnsi" w:hAnsiTheme="minorHAnsi" w:cstheme="minorHAnsi"/>
          <w:sz w:val="16"/>
          <w:szCs w:val="16"/>
        </w:rPr>
      </w:pPr>
      <w:r w:rsidRPr="00602847">
        <w:rPr>
          <w:rStyle w:val="FootnoteReference"/>
          <w:rFonts w:ascii="Times New Roman" w:hAnsi="Times New Roman" w:cs="Times New Roman"/>
          <w:sz w:val="16"/>
          <w:szCs w:val="16"/>
        </w:rPr>
        <w:footnoteRef/>
      </w:r>
      <w:r w:rsidRPr="00602847">
        <w:rPr>
          <w:rFonts w:ascii="Times New Roman" w:hAnsi="Times New Roman" w:cs="Times New Roman"/>
          <w:sz w:val="16"/>
          <w:szCs w:val="16"/>
        </w:rPr>
        <w:t xml:space="preserve"> </w:t>
      </w:r>
      <w:r w:rsidRPr="009551EC">
        <w:rPr>
          <w:rFonts w:asciiTheme="minorHAnsi" w:hAnsiTheme="minorHAnsi" w:cstheme="minorHAnsi"/>
          <w:sz w:val="16"/>
          <w:szCs w:val="16"/>
        </w:rPr>
        <w:t>For more information on CGE modelling see Dixon &amp; Jorgenson (2013) or Grassini (2009) and see Wing (2007; 2011) or B</w:t>
      </w:r>
      <w:r w:rsidRPr="009551EC">
        <w:rPr>
          <w:rFonts w:asciiTheme="minorHAnsi" w:eastAsia="Times New Roman" w:hAnsiTheme="minorHAnsi" w:cstheme="minorHAnsi"/>
          <w:color w:val="000000" w:themeColor="text1"/>
          <w:sz w:val="16"/>
          <w:szCs w:val="16"/>
          <w:shd w:val="clear" w:color="auto" w:fill="FFFFFF"/>
          <w:lang w:val="en-GB"/>
        </w:rPr>
        <w:t>ö</w:t>
      </w:r>
      <w:r w:rsidRPr="009551EC">
        <w:rPr>
          <w:rFonts w:asciiTheme="minorHAnsi" w:hAnsiTheme="minorHAnsi" w:cstheme="minorHAnsi"/>
          <w:sz w:val="16"/>
          <w:szCs w:val="16"/>
        </w:rPr>
        <w:t>hringer &amp; L</w:t>
      </w:r>
      <w:r w:rsidRPr="009551EC">
        <w:rPr>
          <w:rFonts w:asciiTheme="minorHAnsi" w:eastAsia="Times New Roman" w:hAnsiTheme="minorHAnsi" w:cstheme="minorHAnsi"/>
          <w:color w:val="000000" w:themeColor="text1"/>
          <w:sz w:val="16"/>
          <w:szCs w:val="16"/>
          <w:shd w:val="clear" w:color="auto" w:fill="FFFFFF"/>
          <w:lang w:val="en-GB"/>
        </w:rPr>
        <w:t>ö</w:t>
      </w:r>
      <w:r w:rsidRPr="009551EC">
        <w:rPr>
          <w:rFonts w:asciiTheme="minorHAnsi" w:hAnsiTheme="minorHAnsi" w:cstheme="minorHAnsi"/>
          <w:sz w:val="16"/>
          <w:szCs w:val="16"/>
        </w:rPr>
        <w:t xml:space="preserve">schel (2006) for an overview on the CGE models applied for the analysis of Economy-Environment interactions.  </w:t>
      </w:r>
    </w:p>
  </w:footnote>
  <w:footnote w:id="8">
    <w:p w14:paraId="727C3751" w14:textId="2BE36708" w:rsidR="00742E87" w:rsidRPr="00602847" w:rsidRDefault="00742E87">
      <w:pPr>
        <w:pStyle w:val="FootnoteText"/>
        <w:rPr>
          <w:rFonts w:ascii="Times New Roman" w:hAnsi="Times New Roman" w:cs="Times New Roman"/>
          <w:sz w:val="16"/>
          <w:szCs w:val="16"/>
        </w:rPr>
      </w:pPr>
      <w:r w:rsidRPr="009551EC">
        <w:rPr>
          <w:rStyle w:val="FootnoteReference"/>
          <w:rFonts w:asciiTheme="minorHAnsi" w:hAnsiTheme="minorHAnsi" w:cstheme="minorHAnsi"/>
          <w:sz w:val="16"/>
          <w:szCs w:val="16"/>
        </w:rPr>
        <w:footnoteRef/>
      </w:r>
      <w:r w:rsidRPr="009551EC">
        <w:rPr>
          <w:rFonts w:asciiTheme="minorHAnsi" w:hAnsiTheme="minorHAnsi" w:cstheme="minorHAnsi"/>
          <w:sz w:val="16"/>
          <w:szCs w:val="16"/>
        </w:rPr>
        <w:t xml:space="preserve"> Non-ergodicity means that one cannot rely on current or past average data or behavior to explain or understand what might happen in the future (e.g. </w:t>
      </w:r>
      <w:r w:rsidRPr="009551EC">
        <w:rPr>
          <w:rFonts w:asciiTheme="minorHAnsi" w:hAnsiTheme="minorHAnsi" w:cstheme="minorHAnsi"/>
          <w:sz w:val="16"/>
          <w:szCs w:val="16"/>
          <w:lang w:val="en-GB" w:eastAsia="en-US"/>
        </w:rPr>
        <w:t>Davidson, 1982). This concept has attracted attention with the GFG in 2008 as this crisis was associated with the occurrence of fait tails risks and large changes in expectations and confidence (see Lavoie, 2014).</w:t>
      </w:r>
      <w:r w:rsidRPr="00602847">
        <w:rPr>
          <w:rFonts w:ascii="Times New Roman" w:hAnsi="Times New Roman" w:cs="Times New Roman"/>
          <w:sz w:val="16"/>
          <w:szCs w:val="16"/>
          <w:lang w:val="en-GB" w:eastAsia="en-US"/>
        </w:rPr>
        <w:t xml:space="preserve"> </w:t>
      </w:r>
    </w:p>
  </w:footnote>
  <w:footnote w:id="9">
    <w:p w14:paraId="77804D8A" w14:textId="25A70F1E" w:rsidR="00742E87" w:rsidRPr="00602847" w:rsidRDefault="00742E87" w:rsidP="0025664D">
      <w:pPr>
        <w:widowControl w:val="0"/>
        <w:autoSpaceDE w:val="0"/>
        <w:autoSpaceDN w:val="0"/>
        <w:adjustRightInd w:val="0"/>
        <w:rPr>
          <w:color w:val="000000" w:themeColor="text1"/>
          <w:sz w:val="16"/>
          <w:szCs w:val="16"/>
          <w:bdr w:val="nil"/>
          <w:lang w:val="en-GB"/>
        </w:rPr>
      </w:pPr>
      <w:r w:rsidRPr="00602847">
        <w:rPr>
          <w:rStyle w:val="FootnoteReference"/>
          <w:color w:val="000000" w:themeColor="text1"/>
          <w:sz w:val="16"/>
          <w:szCs w:val="16"/>
          <w:lang w:val="en-GB"/>
        </w:rPr>
        <w:footnoteRef/>
      </w:r>
      <w:r w:rsidRPr="00602847">
        <w:rPr>
          <w:color w:val="000000" w:themeColor="text1"/>
          <w:sz w:val="16"/>
          <w:szCs w:val="16"/>
          <w:lang w:val="en-GB"/>
        </w:rPr>
        <w:t xml:space="preserve"> </w:t>
      </w:r>
      <w:r>
        <w:rPr>
          <w:color w:val="000000" w:themeColor="text1"/>
          <w:sz w:val="16"/>
          <w:szCs w:val="16"/>
          <w:bdr w:val="nil"/>
          <w:lang w:val="en-GB"/>
        </w:rPr>
        <w:t xml:space="preserve">These sectors </w:t>
      </w:r>
      <w:r w:rsidRPr="00602847">
        <w:rPr>
          <w:color w:val="000000" w:themeColor="text1"/>
          <w:sz w:val="16"/>
          <w:szCs w:val="16"/>
          <w:bdr w:val="nil"/>
          <w:lang w:val="en-GB"/>
        </w:rPr>
        <w:t>refer to consumption, production</w:t>
      </w:r>
      <w:r>
        <w:rPr>
          <w:color w:val="000000" w:themeColor="text1"/>
          <w:sz w:val="16"/>
          <w:szCs w:val="16"/>
          <w:bdr w:val="nil"/>
          <w:lang w:val="en-GB"/>
        </w:rPr>
        <w:t>, financial</w:t>
      </w:r>
      <w:r w:rsidRPr="00602847">
        <w:rPr>
          <w:color w:val="000000" w:themeColor="text1"/>
          <w:sz w:val="16"/>
          <w:szCs w:val="16"/>
          <w:bdr w:val="nil"/>
          <w:lang w:val="en-GB"/>
        </w:rPr>
        <w:t xml:space="preserve"> </w:t>
      </w:r>
      <w:r>
        <w:rPr>
          <w:color w:val="000000" w:themeColor="text1"/>
          <w:sz w:val="16"/>
          <w:szCs w:val="16"/>
          <w:bdr w:val="nil"/>
          <w:lang w:val="en-GB"/>
        </w:rPr>
        <w:t xml:space="preserve">or the labour market sectors. </w:t>
      </w:r>
    </w:p>
  </w:footnote>
  <w:footnote w:id="10">
    <w:p w14:paraId="7269A679" w14:textId="77777777" w:rsidR="00742E87" w:rsidRPr="00C80C0B" w:rsidRDefault="00742E87" w:rsidP="0025664D">
      <w:pPr>
        <w:pStyle w:val="FootnoteText"/>
        <w:rPr>
          <w:rFonts w:asciiTheme="minorHAnsi" w:hAnsiTheme="minorHAnsi" w:cstheme="minorHAnsi"/>
          <w:sz w:val="16"/>
          <w:szCs w:val="16"/>
        </w:rPr>
      </w:pPr>
      <w:r w:rsidRPr="00C80C0B">
        <w:rPr>
          <w:rStyle w:val="FootnoteReference"/>
          <w:rFonts w:asciiTheme="minorHAnsi" w:hAnsiTheme="minorHAnsi" w:cstheme="minorHAnsi"/>
          <w:sz w:val="16"/>
          <w:szCs w:val="16"/>
          <w:lang w:val="en-GB"/>
        </w:rPr>
        <w:footnoteRef/>
      </w:r>
      <w:r w:rsidRPr="00C80C0B">
        <w:rPr>
          <w:rFonts w:asciiTheme="minorHAnsi" w:hAnsiTheme="minorHAnsi" w:cstheme="minorHAnsi"/>
          <w:sz w:val="16"/>
          <w:szCs w:val="16"/>
          <w:lang w:val="en-GB"/>
        </w:rPr>
        <w:t xml:space="preserve"> Thereby, we refer to ‘</w:t>
      </w:r>
      <w:r w:rsidRPr="00C80C0B">
        <w:rPr>
          <w:rFonts w:asciiTheme="minorHAnsi" w:hAnsiTheme="minorHAnsi" w:cstheme="minorHAnsi"/>
          <w:sz w:val="16"/>
          <w:szCs w:val="16"/>
          <w:lang w:val="en-GB" w:eastAsia="en-US"/>
        </w:rPr>
        <w:t>ecological macroeconomics’ as a relatively new research field that is emerging in the “post-growth” community. Thereby, the main motivation is to investigate the macroeconomic/socio-economic consequences of a low-carbon transition and alternative to economic growth (e.g. de-growth, sustainable prosperity) (see Jackson and Victor, 2016 or Dafermos et al. 2017).</w:t>
      </w:r>
      <w:r w:rsidRPr="00C80C0B">
        <w:rPr>
          <w:rFonts w:asciiTheme="minorHAnsi" w:hAnsiTheme="minorHAnsi" w:cstheme="minorHAnsi"/>
          <w:sz w:val="16"/>
          <w:szCs w:val="16"/>
          <w:lang w:eastAsia="en-US"/>
        </w:rPr>
        <w:t xml:space="preserve"> </w:t>
      </w:r>
    </w:p>
  </w:footnote>
  <w:footnote w:id="11">
    <w:p w14:paraId="5089E6EE" w14:textId="77777777" w:rsidR="00742E87" w:rsidRPr="00F12523" w:rsidRDefault="00742E87" w:rsidP="00D70747">
      <w:pPr>
        <w:pStyle w:val="FootnoteText"/>
        <w:rPr>
          <w:rFonts w:ascii="Calibri" w:hAnsi="Calibri" w:cs="Calibri"/>
          <w:color w:val="auto"/>
          <w:sz w:val="16"/>
          <w:szCs w:val="16"/>
        </w:rPr>
      </w:pPr>
      <w:r w:rsidRPr="00C80C0B">
        <w:rPr>
          <w:rStyle w:val="FootnoteReference"/>
          <w:rFonts w:asciiTheme="minorHAnsi" w:hAnsiTheme="minorHAnsi" w:cstheme="minorHAnsi"/>
          <w:color w:val="auto"/>
          <w:sz w:val="16"/>
          <w:szCs w:val="16"/>
        </w:rPr>
        <w:footnoteRef/>
      </w:r>
      <w:r w:rsidRPr="00C80C0B">
        <w:rPr>
          <w:rFonts w:asciiTheme="minorHAnsi" w:hAnsiTheme="minorHAnsi" w:cstheme="minorHAnsi"/>
          <w:color w:val="auto"/>
          <w:sz w:val="16"/>
          <w:szCs w:val="16"/>
        </w:rPr>
        <w:t xml:space="preserve"> </w:t>
      </w:r>
      <w:r w:rsidRPr="00C80C0B">
        <w:rPr>
          <w:rFonts w:asciiTheme="minorHAnsi" w:hAnsiTheme="minorHAnsi" w:cstheme="minorHAnsi"/>
          <w:color w:val="auto"/>
          <w:sz w:val="16"/>
          <w:szCs w:val="16"/>
          <w:lang w:val="en-GB"/>
        </w:rPr>
        <w:t>Large-scale models involve a large amount of variables and equations. These models cannot generally be solved analytical, but are solved numerical.</w:t>
      </w:r>
      <w:r w:rsidRPr="00F12523">
        <w:rPr>
          <w:rFonts w:ascii="Calibri" w:hAnsi="Calibri" w:cs="Calibri"/>
          <w:color w:val="auto"/>
          <w:sz w:val="16"/>
          <w:szCs w:val="16"/>
          <w:lang w:val="en-GB"/>
        </w:rPr>
        <w:t xml:space="preserve"> </w:t>
      </w:r>
    </w:p>
  </w:footnote>
  <w:footnote w:id="12">
    <w:p w14:paraId="3A029A72" w14:textId="7485BBB5" w:rsidR="00742E87" w:rsidRPr="00F12523" w:rsidRDefault="00742E87" w:rsidP="0084431D">
      <w:pPr>
        <w:autoSpaceDE w:val="0"/>
        <w:autoSpaceDN w:val="0"/>
        <w:adjustRightInd w:val="0"/>
        <w:rPr>
          <w:rFonts w:ascii="Calibri" w:eastAsia="Times New Roman" w:hAnsi="Calibri" w:cs="Calibri"/>
          <w:sz w:val="16"/>
          <w:szCs w:val="16"/>
          <w:lang w:val="en-GB" w:eastAsia="en-GB"/>
        </w:rPr>
      </w:pPr>
      <w:r w:rsidRPr="00F12523">
        <w:rPr>
          <w:rStyle w:val="FootnoteReference"/>
          <w:rFonts w:ascii="Calibri" w:hAnsi="Calibri" w:cs="Calibri"/>
          <w:sz w:val="16"/>
          <w:szCs w:val="16"/>
        </w:rPr>
        <w:footnoteRef/>
      </w:r>
      <w:r w:rsidRPr="00F12523">
        <w:rPr>
          <w:rFonts w:ascii="Calibri" w:hAnsi="Calibri" w:cs="Calibri"/>
          <w:sz w:val="16"/>
          <w:szCs w:val="16"/>
          <w:lang w:val="en-GB"/>
        </w:rPr>
        <w:t xml:space="preserve"> Models are considered as stylized mathematical models are </w:t>
      </w:r>
      <w:r w:rsidRPr="00F12523">
        <w:rPr>
          <w:rFonts w:ascii="Calibri" w:eastAsia="Times New Roman" w:hAnsi="Calibri" w:cs="Calibri"/>
          <w:sz w:val="16"/>
          <w:szCs w:val="16"/>
          <w:lang w:val="en-GB" w:eastAsia="en-GB"/>
        </w:rPr>
        <w:t xml:space="preserve">if they contain relatively few equations. This type of model is more abstract than large-scale models and does not represent details; instead these models represent main mechanisms relevant for a certain issue. </w:t>
      </w:r>
    </w:p>
  </w:footnote>
  <w:footnote w:id="13">
    <w:p w14:paraId="73D54B05" w14:textId="77777777" w:rsidR="00742E87" w:rsidRPr="00626952" w:rsidRDefault="00742E87" w:rsidP="001A77AE">
      <w:pPr>
        <w:pStyle w:val="FootnoteText"/>
        <w:rPr>
          <w:rFonts w:ascii="Calibri" w:hAnsi="Calibri" w:cs="Calibri"/>
          <w:sz w:val="16"/>
          <w:szCs w:val="16"/>
          <w:lang w:val="en-GB"/>
        </w:rPr>
      </w:pPr>
      <w:r w:rsidRPr="000B170A">
        <w:rPr>
          <w:rStyle w:val="FootnoteReference"/>
          <w:rFonts w:ascii="Calibri" w:hAnsi="Calibri" w:cs="Calibri"/>
          <w:color w:val="auto"/>
          <w:sz w:val="16"/>
          <w:szCs w:val="16"/>
        </w:rPr>
        <w:footnoteRef/>
      </w:r>
      <w:r w:rsidRPr="000B170A">
        <w:rPr>
          <w:rFonts w:ascii="Calibri" w:hAnsi="Calibri" w:cs="Calibri"/>
          <w:color w:val="auto"/>
          <w:sz w:val="16"/>
          <w:szCs w:val="16"/>
        </w:rPr>
        <w:t xml:space="preserve"> A </w:t>
      </w:r>
      <w:r w:rsidRPr="000B170A">
        <w:rPr>
          <w:rStyle w:val="Emphasis"/>
          <w:rFonts w:ascii="Calibri" w:hAnsi="Calibri" w:cs="Calibri"/>
          <w:bCs/>
          <w:i w:val="0"/>
          <w:iCs w:val="0"/>
          <w:color w:val="auto"/>
          <w:sz w:val="16"/>
          <w:szCs w:val="16"/>
        </w:rPr>
        <w:t>proxy</w:t>
      </w:r>
      <w:r w:rsidRPr="000B170A">
        <w:rPr>
          <w:rFonts w:ascii="Calibri" w:hAnsi="Calibri" w:cs="Calibri"/>
          <w:color w:val="auto"/>
          <w:sz w:val="16"/>
          <w:szCs w:val="16"/>
        </w:rPr>
        <w:t xml:space="preserve"> or </w:t>
      </w:r>
      <w:r w:rsidRPr="000B170A">
        <w:rPr>
          <w:rStyle w:val="Emphasis"/>
          <w:rFonts w:ascii="Calibri" w:hAnsi="Calibri" w:cs="Calibri"/>
          <w:bCs/>
          <w:i w:val="0"/>
          <w:iCs w:val="0"/>
          <w:color w:val="auto"/>
          <w:sz w:val="16"/>
          <w:szCs w:val="16"/>
        </w:rPr>
        <w:t>proxy variable</w:t>
      </w:r>
      <w:r w:rsidRPr="000B170A">
        <w:rPr>
          <w:rFonts w:ascii="Calibri" w:hAnsi="Calibri" w:cs="Calibri"/>
          <w:color w:val="auto"/>
          <w:sz w:val="16"/>
          <w:szCs w:val="16"/>
        </w:rPr>
        <w:t xml:space="preserve"> is a </w:t>
      </w:r>
      <w:r w:rsidRPr="000B170A">
        <w:rPr>
          <w:rStyle w:val="Emphasis"/>
          <w:rFonts w:ascii="Calibri" w:hAnsi="Calibri" w:cs="Calibri"/>
          <w:bCs/>
          <w:i w:val="0"/>
          <w:iCs w:val="0"/>
          <w:color w:val="auto"/>
          <w:sz w:val="16"/>
          <w:szCs w:val="16"/>
        </w:rPr>
        <w:t>variable</w:t>
      </w:r>
      <w:r w:rsidRPr="000B170A">
        <w:rPr>
          <w:rFonts w:ascii="Calibri" w:hAnsi="Calibri" w:cs="Calibri"/>
          <w:color w:val="auto"/>
          <w:sz w:val="16"/>
          <w:szCs w:val="16"/>
        </w:rPr>
        <w:t xml:space="preserve"> that is not in itself directly relevant for the estimated relationship, but that is used in place of an unobservable or immeasurable </w:t>
      </w:r>
      <w:r w:rsidRPr="000B170A">
        <w:rPr>
          <w:rStyle w:val="Emphasis"/>
          <w:rFonts w:ascii="Calibri" w:hAnsi="Calibri" w:cs="Calibri"/>
          <w:bCs/>
          <w:i w:val="0"/>
          <w:iCs w:val="0"/>
          <w:color w:val="auto"/>
          <w:sz w:val="16"/>
          <w:szCs w:val="16"/>
        </w:rPr>
        <w:t>variable</w:t>
      </w:r>
      <w:r w:rsidRPr="000B170A">
        <w:rPr>
          <w:rFonts w:ascii="Calibri" w:hAnsi="Calibri" w:cs="Calibri"/>
          <w:color w:val="auto"/>
          <w:sz w:val="16"/>
          <w:szCs w:val="16"/>
        </w:rPr>
        <w:t xml:space="preserve">. In order for a </w:t>
      </w:r>
      <w:r w:rsidRPr="000B170A">
        <w:rPr>
          <w:rStyle w:val="Emphasis"/>
          <w:rFonts w:ascii="Calibri" w:hAnsi="Calibri" w:cs="Calibri"/>
          <w:bCs/>
          <w:i w:val="0"/>
          <w:iCs w:val="0"/>
          <w:color w:val="auto"/>
          <w:sz w:val="16"/>
          <w:szCs w:val="16"/>
        </w:rPr>
        <w:t>variable</w:t>
      </w:r>
      <w:r w:rsidRPr="000B170A">
        <w:rPr>
          <w:rFonts w:ascii="Calibri" w:hAnsi="Calibri" w:cs="Calibri"/>
          <w:color w:val="auto"/>
          <w:sz w:val="16"/>
          <w:szCs w:val="16"/>
        </w:rPr>
        <w:t xml:space="preserve"> to be a good </w:t>
      </w:r>
      <w:r w:rsidRPr="000B170A">
        <w:rPr>
          <w:rStyle w:val="Emphasis"/>
          <w:rFonts w:ascii="Calibri" w:hAnsi="Calibri" w:cs="Calibri"/>
          <w:bCs/>
          <w:i w:val="0"/>
          <w:iCs w:val="0"/>
          <w:color w:val="auto"/>
          <w:sz w:val="16"/>
          <w:szCs w:val="16"/>
        </w:rPr>
        <w:t>proxy</w:t>
      </w:r>
      <w:r w:rsidRPr="000B170A">
        <w:rPr>
          <w:rFonts w:ascii="Calibri" w:hAnsi="Calibri" w:cs="Calibri"/>
          <w:color w:val="auto"/>
          <w:sz w:val="16"/>
          <w:szCs w:val="16"/>
        </w:rPr>
        <w:t xml:space="preserve">, it must be correlated, not necessarily linear, with the </w:t>
      </w:r>
      <w:r w:rsidRPr="000B170A">
        <w:rPr>
          <w:rStyle w:val="Emphasis"/>
          <w:rFonts w:ascii="Calibri" w:hAnsi="Calibri" w:cs="Calibri"/>
          <w:bCs/>
          <w:i w:val="0"/>
          <w:iCs w:val="0"/>
          <w:color w:val="auto"/>
          <w:sz w:val="16"/>
          <w:szCs w:val="16"/>
        </w:rPr>
        <w:t>variable</w:t>
      </w:r>
      <w:r w:rsidRPr="000B170A">
        <w:rPr>
          <w:rFonts w:ascii="Calibri" w:hAnsi="Calibri" w:cs="Calibri"/>
          <w:color w:val="auto"/>
          <w:sz w:val="16"/>
          <w:szCs w:val="16"/>
        </w:rPr>
        <w:t xml:space="preserve"> that it replaces. </w:t>
      </w:r>
    </w:p>
  </w:footnote>
  <w:footnote w:id="14">
    <w:p w14:paraId="58ABE731" w14:textId="7D27F7BA" w:rsidR="00742E87" w:rsidRPr="00715242" w:rsidRDefault="00742E87" w:rsidP="001A77AE">
      <w:pPr>
        <w:pStyle w:val="FootnoteText"/>
      </w:pPr>
      <w:r>
        <w:rPr>
          <w:rStyle w:val="FootnoteReference"/>
        </w:rPr>
        <w:footnoteRef/>
      </w:r>
      <w:r>
        <w:t xml:space="preserve"> </w:t>
      </w:r>
      <w:r w:rsidRPr="00715242">
        <w:rPr>
          <w:rFonts w:asciiTheme="minorHAnsi" w:hAnsiTheme="minorHAnsi"/>
          <w:sz w:val="16"/>
          <w:szCs w:val="16"/>
        </w:rPr>
        <w:t xml:space="preserve">See also </w:t>
      </w:r>
      <w:r w:rsidRPr="00715242">
        <w:rPr>
          <w:rFonts w:asciiTheme="minorHAnsi" w:hAnsiTheme="minorHAnsi" w:cstheme="minorHAnsi"/>
          <w:color w:val="222222"/>
          <w:sz w:val="16"/>
          <w:szCs w:val="16"/>
        </w:rPr>
        <w:t>Papachristos (2019)</w:t>
      </w:r>
      <w:r>
        <w:rPr>
          <w:rFonts w:asciiTheme="minorHAnsi" w:hAnsiTheme="minorHAnsi" w:cstheme="minorHAnsi"/>
          <w:color w:val="222222"/>
          <w:sz w:val="16"/>
          <w:szCs w:val="16"/>
        </w:rPr>
        <w:t xml:space="preserve"> who</w:t>
      </w:r>
      <w:r w:rsidRPr="00715242">
        <w:rPr>
          <w:rFonts w:asciiTheme="minorHAnsi" w:hAnsiTheme="minorHAnsi" w:cstheme="minorHAnsi"/>
          <w:color w:val="222222"/>
          <w:sz w:val="16"/>
          <w:szCs w:val="16"/>
        </w:rPr>
        <w:t xml:space="preserve"> describes how SD can be applied for the simulati</w:t>
      </w:r>
      <w:r>
        <w:rPr>
          <w:rFonts w:asciiTheme="minorHAnsi" w:hAnsiTheme="minorHAnsi" w:cstheme="minorHAnsi"/>
          <w:color w:val="222222"/>
          <w:sz w:val="16"/>
          <w:szCs w:val="16"/>
        </w:rPr>
        <w:t xml:space="preserve">on of sustainability transitions and Köhler et al. (2018).  </w:t>
      </w:r>
    </w:p>
  </w:footnote>
  <w:footnote w:id="15">
    <w:p w14:paraId="55D11DB0" w14:textId="77777777" w:rsidR="00742E87" w:rsidRPr="00CC43A9" w:rsidRDefault="00742E87" w:rsidP="001A77AE">
      <w:pPr>
        <w:rPr>
          <w:sz w:val="16"/>
          <w:szCs w:val="16"/>
          <w:lang w:val="en-GB" w:eastAsia="en-US"/>
        </w:rPr>
      </w:pPr>
      <w:r>
        <w:rPr>
          <w:rStyle w:val="FootnoteReference"/>
        </w:rPr>
        <w:footnoteRef/>
      </w:r>
      <w:r w:rsidRPr="00CC43A9">
        <w:rPr>
          <w:lang w:val="en-GB"/>
        </w:rPr>
        <w:t xml:space="preserve"> </w:t>
      </w:r>
      <w:r w:rsidRPr="00CC43A9">
        <w:rPr>
          <w:sz w:val="16"/>
          <w:szCs w:val="16"/>
          <w:lang w:val="en-GB" w:eastAsia="en-US"/>
        </w:rPr>
        <w:t xml:space="preserve">LeBaron </w:t>
      </w:r>
      <w:r>
        <w:rPr>
          <w:sz w:val="16"/>
          <w:szCs w:val="16"/>
          <w:lang w:val="en-GB" w:eastAsia="en-US"/>
        </w:rPr>
        <w:t>&amp;</w:t>
      </w:r>
      <w:r w:rsidRPr="00CC43A9">
        <w:rPr>
          <w:sz w:val="16"/>
          <w:szCs w:val="16"/>
          <w:lang w:val="en-GB" w:eastAsia="en-US"/>
        </w:rPr>
        <w:t xml:space="preserve"> Tesfatsion (2008) provide </w:t>
      </w:r>
      <w:r>
        <w:rPr>
          <w:sz w:val="16"/>
          <w:szCs w:val="16"/>
          <w:lang w:val="en-GB" w:eastAsia="en-US"/>
        </w:rPr>
        <w:t xml:space="preserve">an extensive overview of the use of ABM in economics </w:t>
      </w:r>
      <w:r w:rsidRPr="00CC43A9">
        <w:rPr>
          <w:sz w:val="16"/>
          <w:szCs w:val="16"/>
          <w:lang w:val="en-GB" w:eastAsia="en-US"/>
        </w:rPr>
        <w:t>and the social sciences</w:t>
      </w:r>
      <w:r>
        <w:rPr>
          <w:sz w:val="16"/>
          <w:szCs w:val="16"/>
          <w:lang w:val="en-GB" w:eastAsia="en-US"/>
        </w:rPr>
        <w:t xml:space="preserve">. </w:t>
      </w:r>
      <w:r w:rsidRPr="00CC43A9">
        <w:rPr>
          <w:sz w:val="16"/>
          <w:szCs w:val="16"/>
          <w:lang w:val="en-GB" w:eastAsia="en-US"/>
        </w:rPr>
        <w:t xml:space="preserve"> </w:t>
      </w:r>
    </w:p>
  </w:footnote>
  <w:footnote w:id="16">
    <w:p w14:paraId="526CCF70" w14:textId="2FA84B62" w:rsidR="00742E87" w:rsidRPr="00CC43A9" w:rsidRDefault="00742E87" w:rsidP="001A77AE">
      <w:pPr>
        <w:pStyle w:val="FootnoteText"/>
      </w:pPr>
      <w:r>
        <w:rPr>
          <w:rStyle w:val="FootnoteReference"/>
        </w:rPr>
        <w:footnoteRef/>
      </w:r>
      <w:r>
        <w:t xml:space="preserve"> </w:t>
      </w:r>
      <w:r w:rsidRPr="00CC43A9">
        <w:rPr>
          <w:rFonts w:ascii="Calibri" w:hAnsi="Calibri"/>
          <w:sz w:val="16"/>
          <w:szCs w:val="16"/>
        </w:rPr>
        <w:t>Safarzyska</w:t>
      </w:r>
      <w:r>
        <w:rPr>
          <w:rFonts w:ascii="Calibri" w:hAnsi="Calibri"/>
          <w:sz w:val="16"/>
          <w:szCs w:val="16"/>
        </w:rPr>
        <w:t xml:space="preserve"> et al. (2012) shows how evolutionary models, including ABM, can be applied for the simulations of transitions. </w:t>
      </w:r>
    </w:p>
  </w:footnote>
  <w:footnote w:id="17">
    <w:p w14:paraId="5AFB4DA4" w14:textId="5E013DEB" w:rsidR="00742E87" w:rsidRPr="000C33A1" w:rsidRDefault="00742E87" w:rsidP="000C33A1">
      <w:pPr>
        <w:rPr>
          <w:rFonts w:cs="TimesNewRomanPSMT"/>
          <w:szCs w:val="22"/>
          <w:u w:val="single"/>
          <w:lang w:val="en-GB" w:eastAsia="en-US"/>
        </w:rPr>
      </w:pPr>
      <w:r>
        <w:rPr>
          <w:rStyle w:val="FootnoteReference"/>
        </w:rPr>
        <w:footnoteRef/>
      </w:r>
      <w:r w:rsidRPr="00735F8B">
        <w:rPr>
          <w:lang w:val="en-GB"/>
        </w:rPr>
        <w:t xml:space="preserve"> </w:t>
      </w:r>
      <w:r w:rsidRPr="00543C41">
        <w:rPr>
          <w:sz w:val="16"/>
          <w:szCs w:val="16"/>
          <w:lang w:val="en-GB"/>
        </w:rPr>
        <w:t xml:space="preserve">Surveys on the SFC literature can be found in </w:t>
      </w:r>
      <w:r w:rsidRPr="00543C41">
        <w:rPr>
          <w:rFonts w:cs="TimesNewRomanPSMT"/>
          <w:sz w:val="16"/>
          <w:szCs w:val="16"/>
          <w:lang w:val="en-GB" w:eastAsia="en-US"/>
        </w:rPr>
        <w:t>Dos Santos (2006) and Caverzasi &amp; Godin (2014).</w:t>
      </w:r>
      <w:r>
        <w:rPr>
          <w:rFonts w:cs="TimesNewRomanPSMT"/>
          <w:szCs w:val="22"/>
          <w:u w:val="single"/>
          <w:lang w:val="en-GB" w:eastAsia="en-US"/>
        </w:rPr>
        <w:t xml:space="preserve"> </w:t>
      </w:r>
    </w:p>
  </w:footnote>
  <w:footnote w:id="18">
    <w:p w14:paraId="42BEFEBA" w14:textId="04ABD49E" w:rsidR="00742E87" w:rsidRPr="000C33A1" w:rsidRDefault="00742E87">
      <w:pPr>
        <w:pStyle w:val="FootnoteText"/>
        <w:rPr>
          <w:rFonts w:ascii="Calibri" w:hAnsi="Calibri" w:cs="Calibri"/>
          <w:sz w:val="16"/>
          <w:szCs w:val="16"/>
          <w:lang w:val="en-GB"/>
        </w:rPr>
      </w:pPr>
      <w:r w:rsidRPr="000C33A1">
        <w:rPr>
          <w:rStyle w:val="FootnoteReference"/>
          <w:rFonts w:ascii="Calibri" w:hAnsi="Calibri" w:cs="Calibri"/>
          <w:sz w:val="16"/>
          <w:szCs w:val="16"/>
        </w:rPr>
        <w:footnoteRef/>
      </w:r>
      <w:r w:rsidRPr="000C33A1">
        <w:rPr>
          <w:rFonts w:ascii="Calibri" w:hAnsi="Calibri" w:cs="Calibri"/>
          <w:sz w:val="16"/>
          <w:szCs w:val="16"/>
        </w:rPr>
        <w:t xml:space="preserve"> </w:t>
      </w:r>
      <w:r w:rsidRPr="000C33A1">
        <w:rPr>
          <w:rFonts w:ascii="Calibri" w:hAnsi="Calibri" w:cs="Calibri"/>
          <w:sz w:val="16"/>
          <w:szCs w:val="16"/>
          <w:lang w:val="en-GB"/>
        </w:rPr>
        <w:t>In principle the above mentioned approaches could also be combined with equi</w:t>
      </w:r>
      <w:r>
        <w:rPr>
          <w:rFonts w:ascii="Calibri" w:hAnsi="Calibri" w:cs="Calibri"/>
          <w:sz w:val="16"/>
          <w:szCs w:val="16"/>
          <w:lang w:val="en-GB"/>
        </w:rPr>
        <w:t xml:space="preserve">librium theory. For example, SD or </w:t>
      </w:r>
      <w:r w:rsidRPr="000C33A1">
        <w:rPr>
          <w:rFonts w:ascii="Calibri" w:hAnsi="Calibri" w:cs="Calibri"/>
          <w:sz w:val="16"/>
          <w:szCs w:val="16"/>
          <w:lang w:val="en-GB"/>
        </w:rPr>
        <w:t xml:space="preserve">ABM could include rational agents. However, this would contradict the SD/ABM methodology that is based on a world-view of complexity (ontology), which implies that model agents cannot possess perfect information (epistemology).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B7EB41D9"/>
    <w:multiLevelType w:val="hybridMultilevel"/>
    <w:tmpl w:val="AE254711"/>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395D"/>
    <w:multiLevelType w:val="hybridMultilevel"/>
    <w:tmpl w:val="EE68ADC8"/>
    <w:lvl w:ilvl="0" w:tplc="7232563E">
      <w:start w:val="8"/>
      <w:numFmt w:val="low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465A62"/>
    <w:multiLevelType w:val="hybridMultilevel"/>
    <w:tmpl w:val="5CFC8FCA"/>
    <w:lvl w:ilvl="0" w:tplc="08090017">
      <w:start w:val="1"/>
      <w:numFmt w:val="lowerLetter"/>
      <w:lvlText w:val="%1)"/>
      <w:lvlJc w:val="left"/>
      <w:pPr>
        <w:ind w:left="360" w:hanging="360"/>
      </w:pPr>
      <w:rPr>
        <w:rFonts w:hint="default"/>
        <w:color w:val="000000" w:themeColor="text1"/>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93E4E1B"/>
    <w:multiLevelType w:val="hybridMultilevel"/>
    <w:tmpl w:val="19065A02"/>
    <w:lvl w:ilvl="0" w:tplc="C36694D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0F679E"/>
    <w:multiLevelType w:val="hybridMultilevel"/>
    <w:tmpl w:val="0EF661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AE4256"/>
    <w:multiLevelType w:val="hybridMultilevel"/>
    <w:tmpl w:val="A7F030B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BF663F0"/>
    <w:multiLevelType w:val="hybridMultilevel"/>
    <w:tmpl w:val="FC1EAAFA"/>
    <w:lvl w:ilvl="0" w:tplc="67767AE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A9F6340"/>
    <w:multiLevelType w:val="hybridMultilevel"/>
    <w:tmpl w:val="46B8581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EB9245B"/>
    <w:multiLevelType w:val="hybridMultilevel"/>
    <w:tmpl w:val="A7B43EAC"/>
    <w:lvl w:ilvl="0" w:tplc="9C9C78E0">
      <w:start w:val="1"/>
      <w:numFmt w:val="low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F144FDC"/>
    <w:multiLevelType w:val="hybridMultilevel"/>
    <w:tmpl w:val="D44A9E60"/>
    <w:styleLink w:val="Strich"/>
    <w:lvl w:ilvl="0" w:tplc="3AD6715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4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1" w:tplc="9CF4A22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2" w:tplc="D0F01834">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3" w:tplc="E924964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96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4" w:tplc="30EAFCC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20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5" w:tplc="1F685E90">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6" w:tplc="0FC0BA2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6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7" w:tplc="193A069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8" w:tplc="C71C305C">
      <w:start w:val="1"/>
      <w:numFmt w:val="bullet"/>
      <w:lvlText w:val="-"/>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s>
        <w:ind w:left="216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abstractNum>
  <w:abstractNum w:abstractNumId="10" w15:restartNumberingAfterBreak="0">
    <w:nsid w:val="3010174B"/>
    <w:multiLevelType w:val="hybridMultilevel"/>
    <w:tmpl w:val="9CC84838"/>
    <w:lvl w:ilvl="0" w:tplc="67767AE2">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72D6ADB"/>
    <w:multiLevelType w:val="hybridMultilevel"/>
    <w:tmpl w:val="1C9C0F0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D896E83"/>
    <w:multiLevelType w:val="hybridMultilevel"/>
    <w:tmpl w:val="8D789F4A"/>
    <w:lvl w:ilvl="0" w:tplc="9C9C78E0">
      <w:start w:val="8"/>
      <w:numFmt w:val="low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F2D29D1"/>
    <w:multiLevelType w:val="hybridMultilevel"/>
    <w:tmpl w:val="8D789F4A"/>
    <w:lvl w:ilvl="0" w:tplc="9C9C78E0">
      <w:start w:val="8"/>
      <w:numFmt w:val="low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068736F"/>
    <w:multiLevelType w:val="hybridMultilevel"/>
    <w:tmpl w:val="9E1C3462"/>
    <w:lvl w:ilvl="0" w:tplc="79D6A03C">
      <w:start w:val="1"/>
      <w:numFmt w:val="lowerRoman"/>
      <w:lvlText w:val="%1)"/>
      <w:lvlJc w:val="left"/>
      <w:pPr>
        <w:ind w:left="1080" w:hanging="720"/>
      </w:pPr>
      <w:rPr>
        <w:rFonts w:eastAsiaTheme="minorHAnsi"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08124D"/>
    <w:multiLevelType w:val="hybridMultilevel"/>
    <w:tmpl w:val="73F4DFAE"/>
    <w:lvl w:ilvl="0" w:tplc="EA7666FE">
      <w:start w:val="8"/>
      <w:numFmt w:val="low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DEC79A4"/>
    <w:multiLevelType w:val="hybridMultilevel"/>
    <w:tmpl w:val="B02654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EF93C89"/>
    <w:multiLevelType w:val="hybridMultilevel"/>
    <w:tmpl w:val="92D6B8C0"/>
    <w:lvl w:ilvl="0" w:tplc="67767AE2">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5F0B67D0"/>
    <w:multiLevelType w:val="hybridMultilevel"/>
    <w:tmpl w:val="A7B43EAC"/>
    <w:lvl w:ilvl="0" w:tplc="9C9C78E0">
      <w:start w:val="1"/>
      <w:numFmt w:val="low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3057651"/>
    <w:multiLevelType w:val="hybridMultilevel"/>
    <w:tmpl w:val="C4268C9E"/>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F362A0E"/>
    <w:multiLevelType w:val="hybridMultilevel"/>
    <w:tmpl w:val="DD627D2A"/>
    <w:numStyleLink w:val="Alphabetisch"/>
  </w:abstractNum>
  <w:abstractNum w:abstractNumId="21" w15:restartNumberingAfterBreak="0">
    <w:nsid w:val="74FD6317"/>
    <w:multiLevelType w:val="hybridMultilevel"/>
    <w:tmpl w:val="5DA646F0"/>
    <w:lvl w:ilvl="0" w:tplc="BEC86F32">
      <w:start w:val="1"/>
      <w:numFmt w:val="lowerRoman"/>
      <w:lvlText w:val="%1)"/>
      <w:lvlJc w:val="left"/>
      <w:pPr>
        <w:ind w:left="1080" w:hanging="720"/>
      </w:pPr>
      <w:rPr>
        <w:rFonts w:asciiTheme="minorHAnsi" w:hAnsiTheme="minorHAnsi"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55C1B78"/>
    <w:multiLevelType w:val="hybridMultilevel"/>
    <w:tmpl w:val="DD627D2A"/>
    <w:styleLink w:val="Alphabetisch"/>
    <w:lvl w:ilvl="0" w:tplc="45DA2C80">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42E24D0">
      <w:start w:val="1"/>
      <w:numFmt w:val="decimal"/>
      <w:lvlText w:val="(%2)"/>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A265EFA">
      <w:start w:val="1"/>
      <w:numFmt w:val="decimal"/>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2A545452">
      <w:start w:val="1"/>
      <w:numFmt w:val="decimal"/>
      <w:lvlText w:val="(%4)"/>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F72DE1E">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0387340">
      <w:start w:val="1"/>
      <w:numFmt w:val="decimal"/>
      <w:lvlText w:val="(%6)"/>
      <w:lvlJc w:val="left"/>
      <w:pPr>
        <w:tabs>
          <w:tab w:val="left" w:pos="708"/>
          <w:tab w:val="left" w:pos="1416"/>
          <w:tab w:val="left" w:pos="2832"/>
          <w:tab w:val="left" w:pos="3540"/>
          <w:tab w:val="left" w:pos="4248"/>
          <w:tab w:val="left" w:pos="4956"/>
          <w:tab w:val="left" w:pos="5664"/>
          <w:tab w:val="left" w:pos="6372"/>
          <w:tab w:val="left" w:pos="7080"/>
          <w:tab w:val="left" w:pos="7788"/>
          <w:tab w:val="left" w:pos="8496"/>
          <w:tab w:val="left" w:pos="9204"/>
        </w:tabs>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B8AAF970">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422F9BE">
      <w:start w:val="1"/>
      <w:numFmt w:val="decimal"/>
      <w:lvlText w:val="(%8)"/>
      <w:lvlJc w:val="left"/>
      <w:pPr>
        <w:tabs>
          <w:tab w:val="left" w:pos="708"/>
          <w:tab w:val="left" w:pos="1416"/>
          <w:tab w:val="left" w:pos="2124"/>
          <w:tab w:val="left" w:pos="3540"/>
          <w:tab w:val="left" w:pos="4248"/>
          <w:tab w:val="left" w:pos="4956"/>
          <w:tab w:val="left" w:pos="5664"/>
          <w:tab w:val="left" w:pos="6372"/>
          <w:tab w:val="left" w:pos="7080"/>
          <w:tab w:val="left" w:pos="7788"/>
          <w:tab w:val="left" w:pos="8496"/>
          <w:tab w:val="left" w:pos="9204"/>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456CA0C">
      <w:start w:val="1"/>
      <w:numFmt w:val="decimal"/>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788F5BC5"/>
    <w:multiLevelType w:val="hybridMultilevel"/>
    <w:tmpl w:val="A7B43B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2"/>
  </w:num>
  <w:num w:numId="2">
    <w:abstractNumId w:val="20"/>
  </w:num>
  <w:num w:numId="3">
    <w:abstractNumId w:val="9"/>
  </w:num>
  <w:num w:numId="4">
    <w:abstractNumId w:val="17"/>
  </w:num>
  <w:num w:numId="5">
    <w:abstractNumId w:val="10"/>
  </w:num>
  <w:num w:numId="6">
    <w:abstractNumId w:val="2"/>
  </w:num>
  <w:num w:numId="7">
    <w:abstractNumId w:val="3"/>
  </w:num>
  <w:num w:numId="8">
    <w:abstractNumId w:val="7"/>
  </w:num>
  <w:num w:numId="9">
    <w:abstractNumId w:val="0"/>
  </w:num>
  <w:num w:numId="10">
    <w:abstractNumId w:val="14"/>
  </w:num>
  <w:num w:numId="11">
    <w:abstractNumId w:val="12"/>
  </w:num>
  <w:num w:numId="12">
    <w:abstractNumId w:val="21"/>
  </w:num>
  <w:num w:numId="13">
    <w:abstractNumId w:val="1"/>
  </w:num>
  <w:num w:numId="14">
    <w:abstractNumId w:val="13"/>
  </w:num>
  <w:num w:numId="15">
    <w:abstractNumId w:val="8"/>
  </w:num>
  <w:num w:numId="16">
    <w:abstractNumId w:val="15"/>
  </w:num>
  <w:num w:numId="17">
    <w:abstractNumId w:val="16"/>
  </w:num>
  <w:num w:numId="18">
    <w:abstractNumId w:val="5"/>
  </w:num>
  <w:num w:numId="19">
    <w:abstractNumId w:val="11"/>
  </w:num>
  <w:num w:numId="20">
    <w:abstractNumId w:val="4"/>
  </w:num>
  <w:num w:numId="21">
    <w:abstractNumId w:val="18"/>
  </w:num>
  <w:num w:numId="22">
    <w:abstractNumId w:val="23"/>
  </w:num>
  <w:num w:numId="23">
    <w:abstractNumId w:val="6"/>
  </w:num>
  <w:num w:numId="24">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1D2B"/>
    <w:rsid w:val="0000032F"/>
    <w:rsid w:val="00000E28"/>
    <w:rsid w:val="000010E3"/>
    <w:rsid w:val="000020A6"/>
    <w:rsid w:val="00002654"/>
    <w:rsid w:val="00003602"/>
    <w:rsid w:val="00003FC4"/>
    <w:rsid w:val="0000691F"/>
    <w:rsid w:val="00010C27"/>
    <w:rsid w:val="00011485"/>
    <w:rsid w:val="00012A7D"/>
    <w:rsid w:val="00012AE4"/>
    <w:rsid w:val="00013B78"/>
    <w:rsid w:val="00013D1E"/>
    <w:rsid w:val="00014748"/>
    <w:rsid w:val="000150DD"/>
    <w:rsid w:val="00020FAA"/>
    <w:rsid w:val="00025AB4"/>
    <w:rsid w:val="00027293"/>
    <w:rsid w:val="00027DB2"/>
    <w:rsid w:val="000309D5"/>
    <w:rsid w:val="0003133B"/>
    <w:rsid w:val="00032DCD"/>
    <w:rsid w:val="00034800"/>
    <w:rsid w:val="00040546"/>
    <w:rsid w:val="0004245B"/>
    <w:rsid w:val="00043D11"/>
    <w:rsid w:val="000443B1"/>
    <w:rsid w:val="00046994"/>
    <w:rsid w:val="00046E5E"/>
    <w:rsid w:val="00046E7B"/>
    <w:rsid w:val="00051593"/>
    <w:rsid w:val="000549F7"/>
    <w:rsid w:val="0005637C"/>
    <w:rsid w:val="000621BA"/>
    <w:rsid w:val="00062698"/>
    <w:rsid w:val="000656A3"/>
    <w:rsid w:val="00070476"/>
    <w:rsid w:val="00071A9A"/>
    <w:rsid w:val="000740D4"/>
    <w:rsid w:val="0007692E"/>
    <w:rsid w:val="00076B45"/>
    <w:rsid w:val="00077EC5"/>
    <w:rsid w:val="00082AA4"/>
    <w:rsid w:val="00084470"/>
    <w:rsid w:val="00084510"/>
    <w:rsid w:val="00085682"/>
    <w:rsid w:val="00085C40"/>
    <w:rsid w:val="0008626C"/>
    <w:rsid w:val="00086AA7"/>
    <w:rsid w:val="0008702A"/>
    <w:rsid w:val="000871BF"/>
    <w:rsid w:val="00091559"/>
    <w:rsid w:val="00092F34"/>
    <w:rsid w:val="00094BE4"/>
    <w:rsid w:val="000976A3"/>
    <w:rsid w:val="0009770E"/>
    <w:rsid w:val="000A1EA1"/>
    <w:rsid w:val="000A39C1"/>
    <w:rsid w:val="000A608B"/>
    <w:rsid w:val="000A7AFC"/>
    <w:rsid w:val="000B0D98"/>
    <w:rsid w:val="000B0FE3"/>
    <w:rsid w:val="000B170A"/>
    <w:rsid w:val="000B37FE"/>
    <w:rsid w:val="000B6594"/>
    <w:rsid w:val="000B7401"/>
    <w:rsid w:val="000C1ADD"/>
    <w:rsid w:val="000C33A1"/>
    <w:rsid w:val="000C56F4"/>
    <w:rsid w:val="000C65D6"/>
    <w:rsid w:val="000D0B3C"/>
    <w:rsid w:val="000D2142"/>
    <w:rsid w:val="000D21DE"/>
    <w:rsid w:val="000D2263"/>
    <w:rsid w:val="000D29A6"/>
    <w:rsid w:val="000D3085"/>
    <w:rsid w:val="000D4738"/>
    <w:rsid w:val="000D66C5"/>
    <w:rsid w:val="000E0B60"/>
    <w:rsid w:val="000E3F80"/>
    <w:rsid w:val="000E56B9"/>
    <w:rsid w:val="000E5981"/>
    <w:rsid w:val="000F0E86"/>
    <w:rsid w:val="000F2BE9"/>
    <w:rsid w:val="000F4929"/>
    <w:rsid w:val="000F49AA"/>
    <w:rsid w:val="000F625D"/>
    <w:rsid w:val="000F722C"/>
    <w:rsid w:val="000F7C95"/>
    <w:rsid w:val="00100465"/>
    <w:rsid w:val="00100A9E"/>
    <w:rsid w:val="00101E13"/>
    <w:rsid w:val="001030C7"/>
    <w:rsid w:val="00103AC3"/>
    <w:rsid w:val="00107021"/>
    <w:rsid w:val="00110372"/>
    <w:rsid w:val="00111453"/>
    <w:rsid w:val="00113455"/>
    <w:rsid w:val="001137FD"/>
    <w:rsid w:val="0011394A"/>
    <w:rsid w:val="00113C11"/>
    <w:rsid w:val="00113D56"/>
    <w:rsid w:val="00114111"/>
    <w:rsid w:val="001156A5"/>
    <w:rsid w:val="00115AD0"/>
    <w:rsid w:val="00115D19"/>
    <w:rsid w:val="001175D8"/>
    <w:rsid w:val="001203F4"/>
    <w:rsid w:val="00120A90"/>
    <w:rsid w:val="00120E33"/>
    <w:rsid w:val="00124C70"/>
    <w:rsid w:val="001254E8"/>
    <w:rsid w:val="001255A9"/>
    <w:rsid w:val="00125B8A"/>
    <w:rsid w:val="00130273"/>
    <w:rsid w:val="00131CA9"/>
    <w:rsid w:val="001330A1"/>
    <w:rsid w:val="00135437"/>
    <w:rsid w:val="00137523"/>
    <w:rsid w:val="001400DA"/>
    <w:rsid w:val="00140C08"/>
    <w:rsid w:val="00143AD9"/>
    <w:rsid w:val="00143E91"/>
    <w:rsid w:val="001449D1"/>
    <w:rsid w:val="00144FEA"/>
    <w:rsid w:val="00147130"/>
    <w:rsid w:val="001477E7"/>
    <w:rsid w:val="00150B41"/>
    <w:rsid w:val="001510F5"/>
    <w:rsid w:val="0015411A"/>
    <w:rsid w:val="00156EE3"/>
    <w:rsid w:val="001570D7"/>
    <w:rsid w:val="00160576"/>
    <w:rsid w:val="00160C85"/>
    <w:rsid w:val="001626BB"/>
    <w:rsid w:val="00163E4B"/>
    <w:rsid w:val="00164A19"/>
    <w:rsid w:val="0016554D"/>
    <w:rsid w:val="00165B71"/>
    <w:rsid w:val="00166392"/>
    <w:rsid w:val="0016686A"/>
    <w:rsid w:val="00171FE5"/>
    <w:rsid w:val="00173CDB"/>
    <w:rsid w:val="00173F10"/>
    <w:rsid w:val="00176700"/>
    <w:rsid w:val="0017755E"/>
    <w:rsid w:val="001805AF"/>
    <w:rsid w:val="00180B8B"/>
    <w:rsid w:val="001868EC"/>
    <w:rsid w:val="0019035F"/>
    <w:rsid w:val="00190E99"/>
    <w:rsid w:val="001933D3"/>
    <w:rsid w:val="0019445F"/>
    <w:rsid w:val="00194C8E"/>
    <w:rsid w:val="00194E1B"/>
    <w:rsid w:val="001A01DB"/>
    <w:rsid w:val="001A14DA"/>
    <w:rsid w:val="001A2678"/>
    <w:rsid w:val="001A467B"/>
    <w:rsid w:val="001A5DA1"/>
    <w:rsid w:val="001A6A37"/>
    <w:rsid w:val="001A73E5"/>
    <w:rsid w:val="001A77AE"/>
    <w:rsid w:val="001B02BB"/>
    <w:rsid w:val="001B0AE7"/>
    <w:rsid w:val="001B318C"/>
    <w:rsid w:val="001B4595"/>
    <w:rsid w:val="001B4E49"/>
    <w:rsid w:val="001B63CA"/>
    <w:rsid w:val="001B6AF3"/>
    <w:rsid w:val="001C13E6"/>
    <w:rsid w:val="001C1AC7"/>
    <w:rsid w:val="001C1D4B"/>
    <w:rsid w:val="001C342C"/>
    <w:rsid w:val="001C3B52"/>
    <w:rsid w:val="001C5402"/>
    <w:rsid w:val="001C5E0D"/>
    <w:rsid w:val="001C6E72"/>
    <w:rsid w:val="001C7D35"/>
    <w:rsid w:val="001D1D70"/>
    <w:rsid w:val="001D486C"/>
    <w:rsid w:val="001D6E69"/>
    <w:rsid w:val="001D7353"/>
    <w:rsid w:val="001D7636"/>
    <w:rsid w:val="001E1A2A"/>
    <w:rsid w:val="001E262F"/>
    <w:rsid w:val="001E2A87"/>
    <w:rsid w:val="001E2DF0"/>
    <w:rsid w:val="001E4072"/>
    <w:rsid w:val="001E504B"/>
    <w:rsid w:val="001E557C"/>
    <w:rsid w:val="001F1482"/>
    <w:rsid w:val="001F1D46"/>
    <w:rsid w:val="001F30A0"/>
    <w:rsid w:val="001F4F2F"/>
    <w:rsid w:val="001F5337"/>
    <w:rsid w:val="001F6DAE"/>
    <w:rsid w:val="001F7EED"/>
    <w:rsid w:val="00203C6C"/>
    <w:rsid w:val="00204389"/>
    <w:rsid w:val="002067E1"/>
    <w:rsid w:val="00206C70"/>
    <w:rsid w:val="00206DB3"/>
    <w:rsid w:val="00207F48"/>
    <w:rsid w:val="00210276"/>
    <w:rsid w:val="00211161"/>
    <w:rsid w:val="0021138E"/>
    <w:rsid w:val="00211874"/>
    <w:rsid w:val="00212570"/>
    <w:rsid w:val="002150D0"/>
    <w:rsid w:val="00215F7A"/>
    <w:rsid w:val="00215FD0"/>
    <w:rsid w:val="0021609C"/>
    <w:rsid w:val="00216669"/>
    <w:rsid w:val="002209E7"/>
    <w:rsid w:val="0022231C"/>
    <w:rsid w:val="002259EE"/>
    <w:rsid w:val="00226B3E"/>
    <w:rsid w:val="00230A6F"/>
    <w:rsid w:val="00232938"/>
    <w:rsid w:val="0023359B"/>
    <w:rsid w:val="00233A66"/>
    <w:rsid w:val="00234043"/>
    <w:rsid w:val="002346B2"/>
    <w:rsid w:val="002405E0"/>
    <w:rsid w:val="00240CF0"/>
    <w:rsid w:val="002410BD"/>
    <w:rsid w:val="00241C27"/>
    <w:rsid w:val="0024258F"/>
    <w:rsid w:val="0024260A"/>
    <w:rsid w:val="00242C59"/>
    <w:rsid w:val="00243193"/>
    <w:rsid w:val="0024364A"/>
    <w:rsid w:val="00244EC3"/>
    <w:rsid w:val="002462DE"/>
    <w:rsid w:val="002516C2"/>
    <w:rsid w:val="0025369B"/>
    <w:rsid w:val="002544CD"/>
    <w:rsid w:val="00254BBA"/>
    <w:rsid w:val="00254E5D"/>
    <w:rsid w:val="0025664D"/>
    <w:rsid w:val="00260009"/>
    <w:rsid w:val="00260491"/>
    <w:rsid w:val="002635D5"/>
    <w:rsid w:val="00263861"/>
    <w:rsid w:val="0026458E"/>
    <w:rsid w:val="0026588B"/>
    <w:rsid w:val="00265E76"/>
    <w:rsid w:val="00265FA1"/>
    <w:rsid w:val="0027138F"/>
    <w:rsid w:val="0027245C"/>
    <w:rsid w:val="00272502"/>
    <w:rsid w:val="002726F8"/>
    <w:rsid w:val="00273485"/>
    <w:rsid w:val="00273558"/>
    <w:rsid w:val="00275D33"/>
    <w:rsid w:val="0027659A"/>
    <w:rsid w:val="00280139"/>
    <w:rsid w:val="00281506"/>
    <w:rsid w:val="00282156"/>
    <w:rsid w:val="00282285"/>
    <w:rsid w:val="002834F0"/>
    <w:rsid w:val="002845D6"/>
    <w:rsid w:val="002846BE"/>
    <w:rsid w:val="002853DB"/>
    <w:rsid w:val="0029034D"/>
    <w:rsid w:val="00292BE9"/>
    <w:rsid w:val="00293440"/>
    <w:rsid w:val="00296E94"/>
    <w:rsid w:val="00296FCC"/>
    <w:rsid w:val="0029725A"/>
    <w:rsid w:val="002A3C5B"/>
    <w:rsid w:val="002A419E"/>
    <w:rsid w:val="002A4222"/>
    <w:rsid w:val="002A5F6E"/>
    <w:rsid w:val="002A66B2"/>
    <w:rsid w:val="002A692F"/>
    <w:rsid w:val="002B03A7"/>
    <w:rsid w:val="002B0744"/>
    <w:rsid w:val="002B20D2"/>
    <w:rsid w:val="002B266A"/>
    <w:rsid w:val="002B3219"/>
    <w:rsid w:val="002B39EE"/>
    <w:rsid w:val="002B495D"/>
    <w:rsid w:val="002B534F"/>
    <w:rsid w:val="002B56B6"/>
    <w:rsid w:val="002B6F23"/>
    <w:rsid w:val="002C1C14"/>
    <w:rsid w:val="002C32F0"/>
    <w:rsid w:val="002C3B6D"/>
    <w:rsid w:val="002C4571"/>
    <w:rsid w:val="002C4AEF"/>
    <w:rsid w:val="002C72F2"/>
    <w:rsid w:val="002D0FBD"/>
    <w:rsid w:val="002D187C"/>
    <w:rsid w:val="002D1A97"/>
    <w:rsid w:val="002D2BFE"/>
    <w:rsid w:val="002D3543"/>
    <w:rsid w:val="002D39C5"/>
    <w:rsid w:val="002D3C66"/>
    <w:rsid w:val="002D40F7"/>
    <w:rsid w:val="002D4683"/>
    <w:rsid w:val="002D67C1"/>
    <w:rsid w:val="002E16F7"/>
    <w:rsid w:val="002E4505"/>
    <w:rsid w:val="002E4790"/>
    <w:rsid w:val="002E4F96"/>
    <w:rsid w:val="002E54D2"/>
    <w:rsid w:val="002E6361"/>
    <w:rsid w:val="002E7001"/>
    <w:rsid w:val="002F03E6"/>
    <w:rsid w:val="002F07BC"/>
    <w:rsid w:val="002F39CB"/>
    <w:rsid w:val="002F4084"/>
    <w:rsid w:val="002F5E19"/>
    <w:rsid w:val="002F7128"/>
    <w:rsid w:val="00302978"/>
    <w:rsid w:val="00303103"/>
    <w:rsid w:val="003032AB"/>
    <w:rsid w:val="00304044"/>
    <w:rsid w:val="003045EC"/>
    <w:rsid w:val="00304B99"/>
    <w:rsid w:val="00305E96"/>
    <w:rsid w:val="003068F7"/>
    <w:rsid w:val="00306A20"/>
    <w:rsid w:val="003076B9"/>
    <w:rsid w:val="00310298"/>
    <w:rsid w:val="003103F6"/>
    <w:rsid w:val="0031060B"/>
    <w:rsid w:val="0031378E"/>
    <w:rsid w:val="00317666"/>
    <w:rsid w:val="00320A26"/>
    <w:rsid w:val="00321338"/>
    <w:rsid w:val="00322423"/>
    <w:rsid w:val="00324A05"/>
    <w:rsid w:val="00327326"/>
    <w:rsid w:val="00327FEB"/>
    <w:rsid w:val="00330730"/>
    <w:rsid w:val="00330A86"/>
    <w:rsid w:val="00333F1C"/>
    <w:rsid w:val="00336867"/>
    <w:rsid w:val="00343A5C"/>
    <w:rsid w:val="00346D53"/>
    <w:rsid w:val="00347E5C"/>
    <w:rsid w:val="0035053A"/>
    <w:rsid w:val="0035403B"/>
    <w:rsid w:val="00356F46"/>
    <w:rsid w:val="00357D42"/>
    <w:rsid w:val="00357E0B"/>
    <w:rsid w:val="003625E7"/>
    <w:rsid w:val="00362A08"/>
    <w:rsid w:val="00364A9E"/>
    <w:rsid w:val="00370FB0"/>
    <w:rsid w:val="00372168"/>
    <w:rsid w:val="0037269D"/>
    <w:rsid w:val="0037291C"/>
    <w:rsid w:val="00373B6C"/>
    <w:rsid w:val="00373C15"/>
    <w:rsid w:val="00374ECD"/>
    <w:rsid w:val="003753BA"/>
    <w:rsid w:val="003760DB"/>
    <w:rsid w:val="00376705"/>
    <w:rsid w:val="00376EDD"/>
    <w:rsid w:val="00380144"/>
    <w:rsid w:val="00381302"/>
    <w:rsid w:val="003823F0"/>
    <w:rsid w:val="0038484E"/>
    <w:rsid w:val="003849F8"/>
    <w:rsid w:val="00385E48"/>
    <w:rsid w:val="00387088"/>
    <w:rsid w:val="00390B28"/>
    <w:rsid w:val="003910BD"/>
    <w:rsid w:val="0039137C"/>
    <w:rsid w:val="00392BBD"/>
    <w:rsid w:val="00393253"/>
    <w:rsid w:val="00394A16"/>
    <w:rsid w:val="00397BB6"/>
    <w:rsid w:val="003A00FF"/>
    <w:rsid w:val="003A2F64"/>
    <w:rsid w:val="003A3E30"/>
    <w:rsid w:val="003A5AA3"/>
    <w:rsid w:val="003A73EE"/>
    <w:rsid w:val="003A7D71"/>
    <w:rsid w:val="003B1B6F"/>
    <w:rsid w:val="003B29FE"/>
    <w:rsid w:val="003B3B5D"/>
    <w:rsid w:val="003B3C14"/>
    <w:rsid w:val="003B65B0"/>
    <w:rsid w:val="003B6E55"/>
    <w:rsid w:val="003B7906"/>
    <w:rsid w:val="003C097D"/>
    <w:rsid w:val="003C2645"/>
    <w:rsid w:val="003C3BE9"/>
    <w:rsid w:val="003C3F22"/>
    <w:rsid w:val="003C4C5B"/>
    <w:rsid w:val="003C72D7"/>
    <w:rsid w:val="003C7C09"/>
    <w:rsid w:val="003D0D56"/>
    <w:rsid w:val="003D3F12"/>
    <w:rsid w:val="003D4018"/>
    <w:rsid w:val="003D4CE0"/>
    <w:rsid w:val="003D6D2D"/>
    <w:rsid w:val="003D6FE0"/>
    <w:rsid w:val="003D70A0"/>
    <w:rsid w:val="003E117D"/>
    <w:rsid w:val="003E11DD"/>
    <w:rsid w:val="003E3BD2"/>
    <w:rsid w:val="003E5C5A"/>
    <w:rsid w:val="003E7967"/>
    <w:rsid w:val="003F2EC2"/>
    <w:rsid w:val="003F461A"/>
    <w:rsid w:val="004020E8"/>
    <w:rsid w:val="0041144B"/>
    <w:rsid w:val="00411CFA"/>
    <w:rsid w:val="00411ED0"/>
    <w:rsid w:val="0041268E"/>
    <w:rsid w:val="00412E66"/>
    <w:rsid w:val="0041387F"/>
    <w:rsid w:val="00413D61"/>
    <w:rsid w:val="00414063"/>
    <w:rsid w:val="00417E56"/>
    <w:rsid w:val="004227BF"/>
    <w:rsid w:val="0042390F"/>
    <w:rsid w:val="004244E7"/>
    <w:rsid w:val="00424B5C"/>
    <w:rsid w:val="00426663"/>
    <w:rsid w:val="00426C46"/>
    <w:rsid w:val="0043129B"/>
    <w:rsid w:val="004317F0"/>
    <w:rsid w:val="004372C1"/>
    <w:rsid w:val="00443FA9"/>
    <w:rsid w:val="00444EE7"/>
    <w:rsid w:val="00445CB5"/>
    <w:rsid w:val="00445D6F"/>
    <w:rsid w:val="00446B16"/>
    <w:rsid w:val="00446E85"/>
    <w:rsid w:val="00450530"/>
    <w:rsid w:val="0045186E"/>
    <w:rsid w:val="00452F66"/>
    <w:rsid w:val="004559EA"/>
    <w:rsid w:val="00455E68"/>
    <w:rsid w:val="00460F98"/>
    <w:rsid w:val="00462C50"/>
    <w:rsid w:val="00462F9F"/>
    <w:rsid w:val="00463863"/>
    <w:rsid w:val="004642CE"/>
    <w:rsid w:val="00465DED"/>
    <w:rsid w:val="0046643A"/>
    <w:rsid w:val="00467848"/>
    <w:rsid w:val="00471A10"/>
    <w:rsid w:val="00471CBD"/>
    <w:rsid w:val="004722C2"/>
    <w:rsid w:val="004736BF"/>
    <w:rsid w:val="00473F1C"/>
    <w:rsid w:val="00474D9A"/>
    <w:rsid w:val="00475477"/>
    <w:rsid w:val="0047591E"/>
    <w:rsid w:val="00480084"/>
    <w:rsid w:val="004849EA"/>
    <w:rsid w:val="00486166"/>
    <w:rsid w:val="00490652"/>
    <w:rsid w:val="00491741"/>
    <w:rsid w:val="004920AF"/>
    <w:rsid w:val="004924E5"/>
    <w:rsid w:val="00496A78"/>
    <w:rsid w:val="004976B3"/>
    <w:rsid w:val="004A1BEA"/>
    <w:rsid w:val="004A2F80"/>
    <w:rsid w:val="004A4582"/>
    <w:rsid w:val="004A47C1"/>
    <w:rsid w:val="004A48EB"/>
    <w:rsid w:val="004A53CE"/>
    <w:rsid w:val="004A6DDB"/>
    <w:rsid w:val="004B30FA"/>
    <w:rsid w:val="004B4EA4"/>
    <w:rsid w:val="004B628C"/>
    <w:rsid w:val="004B7052"/>
    <w:rsid w:val="004C3C85"/>
    <w:rsid w:val="004C4EEA"/>
    <w:rsid w:val="004D0770"/>
    <w:rsid w:val="004D0BD8"/>
    <w:rsid w:val="004D14C1"/>
    <w:rsid w:val="004D1B80"/>
    <w:rsid w:val="004D1DB1"/>
    <w:rsid w:val="004D1FCD"/>
    <w:rsid w:val="004D21FD"/>
    <w:rsid w:val="004D2A2E"/>
    <w:rsid w:val="004D397E"/>
    <w:rsid w:val="004D3DCD"/>
    <w:rsid w:val="004D4C0B"/>
    <w:rsid w:val="004D57CB"/>
    <w:rsid w:val="004D680A"/>
    <w:rsid w:val="004D7AF3"/>
    <w:rsid w:val="004E1C5B"/>
    <w:rsid w:val="004E2999"/>
    <w:rsid w:val="004E4256"/>
    <w:rsid w:val="004E4F5F"/>
    <w:rsid w:val="004E5E17"/>
    <w:rsid w:val="004E60A6"/>
    <w:rsid w:val="004E69B6"/>
    <w:rsid w:val="004E7FE1"/>
    <w:rsid w:val="004F1838"/>
    <w:rsid w:val="004F2090"/>
    <w:rsid w:val="004F292E"/>
    <w:rsid w:val="005000A9"/>
    <w:rsid w:val="00500BD3"/>
    <w:rsid w:val="005017DF"/>
    <w:rsid w:val="00504686"/>
    <w:rsid w:val="00505D05"/>
    <w:rsid w:val="0050627A"/>
    <w:rsid w:val="0051123B"/>
    <w:rsid w:val="0051155B"/>
    <w:rsid w:val="00511CAA"/>
    <w:rsid w:val="00513B30"/>
    <w:rsid w:val="005147AB"/>
    <w:rsid w:val="00514DB2"/>
    <w:rsid w:val="005169E7"/>
    <w:rsid w:val="005215A8"/>
    <w:rsid w:val="00524C38"/>
    <w:rsid w:val="00525476"/>
    <w:rsid w:val="00525E82"/>
    <w:rsid w:val="00532942"/>
    <w:rsid w:val="00534C95"/>
    <w:rsid w:val="00535739"/>
    <w:rsid w:val="00537871"/>
    <w:rsid w:val="00540127"/>
    <w:rsid w:val="00540679"/>
    <w:rsid w:val="00543C41"/>
    <w:rsid w:val="0054506E"/>
    <w:rsid w:val="00545D60"/>
    <w:rsid w:val="00546B71"/>
    <w:rsid w:val="005525F1"/>
    <w:rsid w:val="005543F0"/>
    <w:rsid w:val="00554865"/>
    <w:rsid w:val="00554C27"/>
    <w:rsid w:val="00557A71"/>
    <w:rsid w:val="005618F5"/>
    <w:rsid w:val="00562C82"/>
    <w:rsid w:val="00563FF7"/>
    <w:rsid w:val="00565A53"/>
    <w:rsid w:val="00565B56"/>
    <w:rsid w:val="00565BD3"/>
    <w:rsid w:val="00566909"/>
    <w:rsid w:val="00567B00"/>
    <w:rsid w:val="0057155E"/>
    <w:rsid w:val="00573625"/>
    <w:rsid w:val="00575816"/>
    <w:rsid w:val="00575F00"/>
    <w:rsid w:val="005762BF"/>
    <w:rsid w:val="00576947"/>
    <w:rsid w:val="00576AFD"/>
    <w:rsid w:val="00576DE8"/>
    <w:rsid w:val="005778F4"/>
    <w:rsid w:val="005803C7"/>
    <w:rsid w:val="00582FD9"/>
    <w:rsid w:val="00584A85"/>
    <w:rsid w:val="00586574"/>
    <w:rsid w:val="00587503"/>
    <w:rsid w:val="005879CD"/>
    <w:rsid w:val="00587CEB"/>
    <w:rsid w:val="00590CE6"/>
    <w:rsid w:val="005912EC"/>
    <w:rsid w:val="0059156B"/>
    <w:rsid w:val="00591989"/>
    <w:rsid w:val="0059205D"/>
    <w:rsid w:val="00592412"/>
    <w:rsid w:val="005948D6"/>
    <w:rsid w:val="00594EFB"/>
    <w:rsid w:val="005A1A3B"/>
    <w:rsid w:val="005A249B"/>
    <w:rsid w:val="005A2858"/>
    <w:rsid w:val="005A3E84"/>
    <w:rsid w:val="005A5620"/>
    <w:rsid w:val="005B3FA4"/>
    <w:rsid w:val="005B46F4"/>
    <w:rsid w:val="005B4762"/>
    <w:rsid w:val="005B4E9F"/>
    <w:rsid w:val="005B5BAB"/>
    <w:rsid w:val="005C03D7"/>
    <w:rsid w:val="005C0A4C"/>
    <w:rsid w:val="005C13E2"/>
    <w:rsid w:val="005C1E85"/>
    <w:rsid w:val="005C2A96"/>
    <w:rsid w:val="005C2AFC"/>
    <w:rsid w:val="005C3D21"/>
    <w:rsid w:val="005C503F"/>
    <w:rsid w:val="005C5580"/>
    <w:rsid w:val="005C64C4"/>
    <w:rsid w:val="005D07A7"/>
    <w:rsid w:val="005D0BC7"/>
    <w:rsid w:val="005D1A01"/>
    <w:rsid w:val="005D3458"/>
    <w:rsid w:val="005D5853"/>
    <w:rsid w:val="005D65B2"/>
    <w:rsid w:val="005D67A3"/>
    <w:rsid w:val="005D7329"/>
    <w:rsid w:val="005D795A"/>
    <w:rsid w:val="005E4C72"/>
    <w:rsid w:val="005E7063"/>
    <w:rsid w:val="005F1C0E"/>
    <w:rsid w:val="005F59FA"/>
    <w:rsid w:val="005F5C52"/>
    <w:rsid w:val="005F63EE"/>
    <w:rsid w:val="005F6A5F"/>
    <w:rsid w:val="00602847"/>
    <w:rsid w:val="00603B6B"/>
    <w:rsid w:val="006056F3"/>
    <w:rsid w:val="00606194"/>
    <w:rsid w:val="006118B7"/>
    <w:rsid w:val="00612D05"/>
    <w:rsid w:val="006166D3"/>
    <w:rsid w:val="0062160F"/>
    <w:rsid w:val="006225EE"/>
    <w:rsid w:val="006254DE"/>
    <w:rsid w:val="00626952"/>
    <w:rsid w:val="00627392"/>
    <w:rsid w:val="00630AC3"/>
    <w:rsid w:val="0063180B"/>
    <w:rsid w:val="00631E60"/>
    <w:rsid w:val="006328F2"/>
    <w:rsid w:val="006353BD"/>
    <w:rsid w:val="00636B81"/>
    <w:rsid w:val="00636BF0"/>
    <w:rsid w:val="00640C17"/>
    <w:rsid w:val="00641FCE"/>
    <w:rsid w:val="006447A3"/>
    <w:rsid w:val="0064553C"/>
    <w:rsid w:val="006455E1"/>
    <w:rsid w:val="00650294"/>
    <w:rsid w:val="006529A4"/>
    <w:rsid w:val="006555B8"/>
    <w:rsid w:val="00656218"/>
    <w:rsid w:val="00656CAF"/>
    <w:rsid w:val="00657F08"/>
    <w:rsid w:val="00663159"/>
    <w:rsid w:val="00664CEF"/>
    <w:rsid w:val="00667B4A"/>
    <w:rsid w:val="0067186D"/>
    <w:rsid w:val="006724B8"/>
    <w:rsid w:val="00672CC4"/>
    <w:rsid w:val="00673A6F"/>
    <w:rsid w:val="00673B05"/>
    <w:rsid w:val="006761E1"/>
    <w:rsid w:val="00682CBF"/>
    <w:rsid w:val="00684958"/>
    <w:rsid w:val="00686FDA"/>
    <w:rsid w:val="00687205"/>
    <w:rsid w:val="0068732F"/>
    <w:rsid w:val="00691C3B"/>
    <w:rsid w:val="0069205D"/>
    <w:rsid w:val="00694602"/>
    <w:rsid w:val="0069623A"/>
    <w:rsid w:val="006972E5"/>
    <w:rsid w:val="0069782C"/>
    <w:rsid w:val="006A0A09"/>
    <w:rsid w:val="006A2CB6"/>
    <w:rsid w:val="006A3046"/>
    <w:rsid w:val="006A392B"/>
    <w:rsid w:val="006A3F86"/>
    <w:rsid w:val="006A5D0F"/>
    <w:rsid w:val="006A77AE"/>
    <w:rsid w:val="006B05BB"/>
    <w:rsid w:val="006B102B"/>
    <w:rsid w:val="006B1929"/>
    <w:rsid w:val="006B1BE1"/>
    <w:rsid w:val="006B21F8"/>
    <w:rsid w:val="006B2654"/>
    <w:rsid w:val="006B29EC"/>
    <w:rsid w:val="006B3B9B"/>
    <w:rsid w:val="006B4432"/>
    <w:rsid w:val="006B5BEB"/>
    <w:rsid w:val="006B6627"/>
    <w:rsid w:val="006B6645"/>
    <w:rsid w:val="006C0543"/>
    <w:rsid w:val="006C23A3"/>
    <w:rsid w:val="006C40C4"/>
    <w:rsid w:val="006C51FD"/>
    <w:rsid w:val="006C5EEF"/>
    <w:rsid w:val="006C64BA"/>
    <w:rsid w:val="006C6920"/>
    <w:rsid w:val="006C6D2D"/>
    <w:rsid w:val="006C7397"/>
    <w:rsid w:val="006D278C"/>
    <w:rsid w:val="006D331D"/>
    <w:rsid w:val="006D3DF2"/>
    <w:rsid w:val="006D43B7"/>
    <w:rsid w:val="006D6242"/>
    <w:rsid w:val="006D687B"/>
    <w:rsid w:val="006E00F2"/>
    <w:rsid w:val="006E06B9"/>
    <w:rsid w:val="006E0F42"/>
    <w:rsid w:val="006E225C"/>
    <w:rsid w:val="006E2541"/>
    <w:rsid w:val="006E2CB1"/>
    <w:rsid w:val="006E4934"/>
    <w:rsid w:val="006E6A73"/>
    <w:rsid w:val="006E6D51"/>
    <w:rsid w:val="006E77EF"/>
    <w:rsid w:val="006F052B"/>
    <w:rsid w:val="006F08C9"/>
    <w:rsid w:val="006F3B70"/>
    <w:rsid w:val="006F4844"/>
    <w:rsid w:val="006F5E02"/>
    <w:rsid w:val="006F6A1D"/>
    <w:rsid w:val="006F6B3E"/>
    <w:rsid w:val="00700247"/>
    <w:rsid w:val="00701D2B"/>
    <w:rsid w:val="00704888"/>
    <w:rsid w:val="0070597C"/>
    <w:rsid w:val="00711BDB"/>
    <w:rsid w:val="00712529"/>
    <w:rsid w:val="00712BDE"/>
    <w:rsid w:val="00715242"/>
    <w:rsid w:val="0071546C"/>
    <w:rsid w:val="00715B8C"/>
    <w:rsid w:val="007168AD"/>
    <w:rsid w:val="007173FB"/>
    <w:rsid w:val="00720288"/>
    <w:rsid w:val="00726621"/>
    <w:rsid w:val="00726855"/>
    <w:rsid w:val="00727B70"/>
    <w:rsid w:val="0073206E"/>
    <w:rsid w:val="0073217D"/>
    <w:rsid w:val="00732EBA"/>
    <w:rsid w:val="007339E9"/>
    <w:rsid w:val="00733C91"/>
    <w:rsid w:val="00735F8B"/>
    <w:rsid w:val="00736730"/>
    <w:rsid w:val="00737435"/>
    <w:rsid w:val="00737767"/>
    <w:rsid w:val="007379ED"/>
    <w:rsid w:val="00742E87"/>
    <w:rsid w:val="0074336E"/>
    <w:rsid w:val="0074497F"/>
    <w:rsid w:val="00746993"/>
    <w:rsid w:val="007475E9"/>
    <w:rsid w:val="00747698"/>
    <w:rsid w:val="00752BD5"/>
    <w:rsid w:val="00752CFF"/>
    <w:rsid w:val="0075345E"/>
    <w:rsid w:val="00762ED4"/>
    <w:rsid w:val="0076437A"/>
    <w:rsid w:val="007647C8"/>
    <w:rsid w:val="00765DAD"/>
    <w:rsid w:val="00766A4F"/>
    <w:rsid w:val="00766AD9"/>
    <w:rsid w:val="007670F9"/>
    <w:rsid w:val="00771825"/>
    <w:rsid w:val="0077531E"/>
    <w:rsid w:val="0077784A"/>
    <w:rsid w:val="0078063A"/>
    <w:rsid w:val="00781678"/>
    <w:rsid w:val="00781AC5"/>
    <w:rsid w:val="0078557E"/>
    <w:rsid w:val="00785AEE"/>
    <w:rsid w:val="00790B96"/>
    <w:rsid w:val="007911C5"/>
    <w:rsid w:val="00793EDE"/>
    <w:rsid w:val="007977AF"/>
    <w:rsid w:val="007A15F5"/>
    <w:rsid w:val="007A442A"/>
    <w:rsid w:val="007A4594"/>
    <w:rsid w:val="007B0644"/>
    <w:rsid w:val="007B1254"/>
    <w:rsid w:val="007B1264"/>
    <w:rsid w:val="007B4EC2"/>
    <w:rsid w:val="007B510A"/>
    <w:rsid w:val="007B54B8"/>
    <w:rsid w:val="007B62C6"/>
    <w:rsid w:val="007B7445"/>
    <w:rsid w:val="007B749E"/>
    <w:rsid w:val="007B7710"/>
    <w:rsid w:val="007B7C28"/>
    <w:rsid w:val="007C15CC"/>
    <w:rsid w:val="007C1BCE"/>
    <w:rsid w:val="007C238C"/>
    <w:rsid w:val="007C3FB5"/>
    <w:rsid w:val="007C47A0"/>
    <w:rsid w:val="007C48F6"/>
    <w:rsid w:val="007C4F4B"/>
    <w:rsid w:val="007C5967"/>
    <w:rsid w:val="007C6096"/>
    <w:rsid w:val="007C6232"/>
    <w:rsid w:val="007D08EB"/>
    <w:rsid w:val="007D0A1A"/>
    <w:rsid w:val="007D14C8"/>
    <w:rsid w:val="007D2DE3"/>
    <w:rsid w:val="007D3593"/>
    <w:rsid w:val="007D4AE2"/>
    <w:rsid w:val="007D4BF0"/>
    <w:rsid w:val="007D7628"/>
    <w:rsid w:val="007E0469"/>
    <w:rsid w:val="007E073C"/>
    <w:rsid w:val="007E2644"/>
    <w:rsid w:val="007E2D41"/>
    <w:rsid w:val="007E4E23"/>
    <w:rsid w:val="007E5106"/>
    <w:rsid w:val="007E6277"/>
    <w:rsid w:val="007E6C0B"/>
    <w:rsid w:val="007F0228"/>
    <w:rsid w:val="007F1621"/>
    <w:rsid w:val="007F20BF"/>
    <w:rsid w:val="007F6B56"/>
    <w:rsid w:val="007F6BEB"/>
    <w:rsid w:val="0080256B"/>
    <w:rsid w:val="008038EA"/>
    <w:rsid w:val="00804FC4"/>
    <w:rsid w:val="00805F45"/>
    <w:rsid w:val="00807B33"/>
    <w:rsid w:val="00810FE0"/>
    <w:rsid w:val="00811400"/>
    <w:rsid w:val="0081428A"/>
    <w:rsid w:val="00816AB4"/>
    <w:rsid w:val="008201B7"/>
    <w:rsid w:val="00822161"/>
    <w:rsid w:val="00822948"/>
    <w:rsid w:val="00824BE8"/>
    <w:rsid w:val="00825ECE"/>
    <w:rsid w:val="00830E4B"/>
    <w:rsid w:val="00831EA9"/>
    <w:rsid w:val="00835553"/>
    <w:rsid w:val="0083724F"/>
    <w:rsid w:val="00840586"/>
    <w:rsid w:val="00840FA1"/>
    <w:rsid w:val="00842627"/>
    <w:rsid w:val="00842928"/>
    <w:rsid w:val="00842F36"/>
    <w:rsid w:val="0084354E"/>
    <w:rsid w:val="00843C05"/>
    <w:rsid w:val="0084431D"/>
    <w:rsid w:val="008447DC"/>
    <w:rsid w:val="00847F7D"/>
    <w:rsid w:val="00851245"/>
    <w:rsid w:val="0085322E"/>
    <w:rsid w:val="00853BFA"/>
    <w:rsid w:val="008553B6"/>
    <w:rsid w:val="0085626E"/>
    <w:rsid w:val="008571E9"/>
    <w:rsid w:val="00860CB7"/>
    <w:rsid w:val="00860CDB"/>
    <w:rsid w:val="008620C3"/>
    <w:rsid w:val="0086466F"/>
    <w:rsid w:val="00871391"/>
    <w:rsid w:val="00872C4A"/>
    <w:rsid w:val="00875131"/>
    <w:rsid w:val="00875760"/>
    <w:rsid w:val="008760E6"/>
    <w:rsid w:val="00876138"/>
    <w:rsid w:val="008803E7"/>
    <w:rsid w:val="00884519"/>
    <w:rsid w:val="00887A1B"/>
    <w:rsid w:val="008900B5"/>
    <w:rsid w:val="00891A71"/>
    <w:rsid w:val="00891D65"/>
    <w:rsid w:val="00892570"/>
    <w:rsid w:val="0089314B"/>
    <w:rsid w:val="00893959"/>
    <w:rsid w:val="00893A72"/>
    <w:rsid w:val="00894755"/>
    <w:rsid w:val="008964C7"/>
    <w:rsid w:val="0089751B"/>
    <w:rsid w:val="00897691"/>
    <w:rsid w:val="008A1DA5"/>
    <w:rsid w:val="008A366C"/>
    <w:rsid w:val="008A769E"/>
    <w:rsid w:val="008A77B2"/>
    <w:rsid w:val="008A794B"/>
    <w:rsid w:val="008B0D12"/>
    <w:rsid w:val="008B10FB"/>
    <w:rsid w:val="008B61A2"/>
    <w:rsid w:val="008B6D15"/>
    <w:rsid w:val="008C1A69"/>
    <w:rsid w:val="008C1EF8"/>
    <w:rsid w:val="008C392A"/>
    <w:rsid w:val="008C5A82"/>
    <w:rsid w:val="008C6221"/>
    <w:rsid w:val="008C771A"/>
    <w:rsid w:val="008C7D33"/>
    <w:rsid w:val="008D1C0B"/>
    <w:rsid w:val="008D2DE0"/>
    <w:rsid w:val="008D40BA"/>
    <w:rsid w:val="008D5E1F"/>
    <w:rsid w:val="008D6852"/>
    <w:rsid w:val="008E03F6"/>
    <w:rsid w:val="008E0D4A"/>
    <w:rsid w:val="008E16BD"/>
    <w:rsid w:val="008E1B9E"/>
    <w:rsid w:val="008E2AD9"/>
    <w:rsid w:val="008E42A4"/>
    <w:rsid w:val="008E4E74"/>
    <w:rsid w:val="008E5ADC"/>
    <w:rsid w:val="008E6AA2"/>
    <w:rsid w:val="008E7792"/>
    <w:rsid w:val="008F1C8E"/>
    <w:rsid w:val="008F2DEE"/>
    <w:rsid w:val="008F2F99"/>
    <w:rsid w:val="00901999"/>
    <w:rsid w:val="00901A73"/>
    <w:rsid w:val="00902E1E"/>
    <w:rsid w:val="00904BB3"/>
    <w:rsid w:val="009116CC"/>
    <w:rsid w:val="0092195C"/>
    <w:rsid w:val="00924512"/>
    <w:rsid w:val="009248BB"/>
    <w:rsid w:val="00925694"/>
    <w:rsid w:val="009268B2"/>
    <w:rsid w:val="00926A7C"/>
    <w:rsid w:val="00930438"/>
    <w:rsid w:val="0093484B"/>
    <w:rsid w:val="00934B9C"/>
    <w:rsid w:val="009351B9"/>
    <w:rsid w:val="00936054"/>
    <w:rsid w:val="00940BFD"/>
    <w:rsid w:val="009410B7"/>
    <w:rsid w:val="009439EC"/>
    <w:rsid w:val="00943A6C"/>
    <w:rsid w:val="00944CE8"/>
    <w:rsid w:val="00945470"/>
    <w:rsid w:val="00947157"/>
    <w:rsid w:val="00947214"/>
    <w:rsid w:val="00955122"/>
    <w:rsid w:val="009551EC"/>
    <w:rsid w:val="0095695D"/>
    <w:rsid w:val="00960199"/>
    <w:rsid w:val="009602D6"/>
    <w:rsid w:val="00960C80"/>
    <w:rsid w:val="0096173E"/>
    <w:rsid w:val="009642B9"/>
    <w:rsid w:val="00965BFC"/>
    <w:rsid w:val="00965E4A"/>
    <w:rsid w:val="009662D9"/>
    <w:rsid w:val="009717CE"/>
    <w:rsid w:val="009723B4"/>
    <w:rsid w:val="00972A4C"/>
    <w:rsid w:val="0097388E"/>
    <w:rsid w:val="00973F77"/>
    <w:rsid w:val="0097427D"/>
    <w:rsid w:val="00974533"/>
    <w:rsid w:val="00974778"/>
    <w:rsid w:val="00974C68"/>
    <w:rsid w:val="00975A8C"/>
    <w:rsid w:val="00975BEB"/>
    <w:rsid w:val="0098029E"/>
    <w:rsid w:val="0098074E"/>
    <w:rsid w:val="00980A91"/>
    <w:rsid w:val="009819EB"/>
    <w:rsid w:val="00983808"/>
    <w:rsid w:val="00983C98"/>
    <w:rsid w:val="009869A6"/>
    <w:rsid w:val="009876E7"/>
    <w:rsid w:val="00987724"/>
    <w:rsid w:val="00991AC6"/>
    <w:rsid w:val="0099336B"/>
    <w:rsid w:val="00994B3C"/>
    <w:rsid w:val="00994C6E"/>
    <w:rsid w:val="00995D0D"/>
    <w:rsid w:val="009963CC"/>
    <w:rsid w:val="00997983"/>
    <w:rsid w:val="009A2A74"/>
    <w:rsid w:val="009A3A5B"/>
    <w:rsid w:val="009A56C7"/>
    <w:rsid w:val="009A62C1"/>
    <w:rsid w:val="009A6AFF"/>
    <w:rsid w:val="009A73CE"/>
    <w:rsid w:val="009B30EE"/>
    <w:rsid w:val="009B3941"/>
    <w:rsid w:val="009B3C78"/>
    <w:rsid w:val="009B5743"/>
    <w:rsid w:val="009B610A"/>
    <w:rsid w:val="009C0085"/>
    <w:rsid w:val="009C02E4"/>
    <w:rsid w:val="009C0EDF"/>
    <w:rsid w:val="009C1A5B"/>
    <w:rsid w:val="009C271C"/>
    <w:rsid w:val="009C2CB1"/>
    <w:rsid w:val="009C5CC7"/>
    <w:rsid w:val="009D0453"/>
    <w:rsid w:val="009D0A46"/>
    <w:rsid w:val="009D2307"/>
    <w:rsid w:val="009D3777"/>
    <w:rsid w:val="009D3B09"/>
    <w:rsid w:val="009D4E3B"/>
    <w:rsid w:val="009D564B"/>
    <w:rsid w:val="009D59C1"/>
    <w:rsid w:val="009D5CC4"/>
    <w:rsid w:val="009D6D7E"/>
    <w:rsid w:val="009D7A93"/>
    <w:rsid w:val="009E0E24"/>
    <w:rsid w:val="009E13B4"/>
    <w:rsid w:val="009E201C"/>
    <w:rsid w:val="009E3DBB"/>
    <w:rsid w:val="009E7A79"/>
    <w:rsid w:val="009F1689"/>
    <w:rsid w:val="009F1F18"/>
    <w:rsid w:val="009F481B"/>
    <w:rsid w:val="009F538D"/>
    <w:rsid w:val="009F5A76"/>
    <w:rsid w:val="009F76A5"/>
    <w:rsid w:val="00A017B8"/>
    <w:rsid w:val="00A07EC9"/>
    <w:rsid w:val="00A14895"/>
    <w:rsid w:val="00A15D26"/>
    <w:rsid w:val="00A201D1"/>
    <w:rsid w:val="00A20958"/>
    <w:rsid w:val="00A2432F"/>
    <w:rsid w:val="00A24A97"/>
    <w:rsid w:val="00A255F1"/>
    <w:rsid w:val="00A2667B"/>
    <w:rsid w:val="00A267AB"/>
    <w:rsid w:val="00A31D65"/>
    <w:rsid w:val="00A36144"/>
    <w:rsid w:val="00A36907"/>
    <w:rsid w:val="00A36D21"/>
    <w:rsid w:val="00A37BC9"/>
    <w:rsid w:val="00A37CF0"/>
    <w:rsid w:val="00A37E6C"/>
    <w:rsid w:val="00A37F31"/>
    <w:rsid w:val="00A4130F"/>
    <w:rsid w:val="00A41D92"/>
    <w:rsid w:val="00A41F5D"/>
    <w:rsid w:val="00A4263F"/>
    <w:rsid w:val="00A43DAC"/>
    <w:rsid w:val="00A44017"/>
    <w:rsid w:val="00A4500C"/>
    <w:rsid w:val="00A45926"/>
    <w:rsid w:val="00A505D8"/>
    <w:rsid w:val="00A51BEB"/>
    <w:rsid w:val="00A51EF6"/>
    <w:rsid w:val="00A52CDB"/>
    <w:rsid w:val="00A5553B"/>
    <w:rsid w:val="00A56FB9"/>
    <w:rsid w:val="00A5729D"/>
    <w:rsid w:val="00A57A31"/>
    <w:rsid w:val="00A604C7"/>
    <w:rsid w:val="00A60BA7"/>
    <w:rsid w:val="00A612C2"/>
    <w:rsid w:val="00A64A9B"/>
    <w:rsid w:val="00A64B18"/>
    <w:rsid w:val="00A65AD4"/>
    <w:rsid w:val="00A675B3"/>
    <w:rsid w:val="00A678B6"/>
    <w:rsid w:val="00A70CC6"/>
    <w:rsid w:val="00A715C5"/>
    <w:rsid w:val="00A717CB"/>
    <w:rsid w:val="00A72601"/>
    <w:rsid w:val="00A732E3"/>
    <w:rsid w:val="00A736BB"/>
    <w:rsid w:val="00A77C2A"/>
    <w:rsid w:val="00A80F94"/>
    <w:rsid w:val="00A81A46"/>
    <w:rsid w:val="00A83B15"/>
    <w:rsid w:val="00A848E8"/>
    <w:rsid w:val="00A85903"/>
    <w:rsid w:val="00A8597E"/>
    <w:rsid w:val="00A864CC"/>
    <w:rsid w:val="00A93444"/>
    <w:rsid w:val="00A94A91"/>
    <w:rsid w:val="00A979A0"/>
    <w:rsid w:val="00AA04B3"/>
    <w:rsid w:val="00AA181F"/>
    <w:rsid w:val="00AA4104"/>
    <w:rsid w:val="00AA7DD1"/>
    <w:rsid w:val="00AB05B0"/>
    <w:rsid w:val="00AB0D95"/>
    <w:rsid w:val="00AB1AF5"/>
    <w:rsid w:val="00AB3067"/>
    <w:rsid w:val="00AB377E"/>
    <w:rsid w:val="00AB791B"/>
    <w:rsid w:val="00AC3D9B"/>
    <w:rsid w:val="00AC43C5"/>
    <w:rsid w:val="00AC49D5"/>
    <w:rsid w:val="00AC4C33"/>
    <w:rsid w:val="00AD03C5"/>
    <w:rsid w:val="00AD07B1"/>
    <w:rsid w:val="00AD1049"/>
    <w:rsid w:val="00AD1EE2"/>
    <w:rsid w:val="00AD60B3"/>
    <w:rsid w:val="00AD6ADD"/>
    <w:rsid w:val="00AD7A8C"/>
    <w:rsid w:val="00AE0696"/>
    <w:rsid w:val="00AE0B94"/>
    <w:rsid w:val="00AE1176"/>
    <w:rsid w:val="00AE15B9"/>
    <w:rsid w:val="00AE3D8F"/>
    <w:rsid w:val="00AE47E6"/>
    <w:rsid w:val="00AE6598"/>
    <w:rsid w:val="00AE6881"/>
    <w:rsid w:val="00AE6D77"/>
    <w:rsid w:val="00AE7C09"/>
    <w:rsid w:val="00AE7D61"/>
    <w:rsid w:val="00AF1472"/>
    <w:rsid w:val="00AF2D11"/>
    <w:rsid w:val="00AF3305"/>
    <w:rsid w:val="00AF404D"/>
    <w:rsid w:val="00AF4E73"/>
    <w:rsid w:val="00AF646A"/>
    <w:rsid w:val="00B01692"/>
    <w:rsid w:val="00B023D9"/>
    <w:rsid w:val="00B02448"/>
    <w:rsid w:val="00B02F40"/>
    <w:rsid w:val="00B04C2A"/>
    <w:rsid w:val="00B05584"/>
    <w:rsid w:val="00B10B39"/>
    <w:rsid w:val="00B129AE"/>
    <w:rsid w:val="00B12D4A"/>
    <w:rsid w:val="00B12E1A"/>
    <w:rsid w:val="00B12FF8"/>
    <w:rsid w:val="00B1365B"/>
    <w:rsid w:val="00B14F14"/>
    <w:rsid w:val="00B17248"/>
    <w:rsid w:val="00B176BF"/>
    <w:rsid w:val="00B179EE"/>
    <w:rsid w:val="00B2121F"/>
    <w:rsid w:val="00B224BD"/>
    <w:rsid w:val="00B23146"/>
    <w:rsid w:val="00B24A3E"/>
    <w:rsid w:val="00B2514F"/>
    <w:rsid w:val="00B27CD8"/>
    <w:rsid w:val="00B31D54"/>
    <w:rsid w:val="00B31D87"/>
    <w:rsid w:val="00B33240"/>
    <w:rsid w:val="00B346D3"/>
    <w:rsid w:val="00B3499B"/>
    <w:rsid w:val="00B3526B"/>
    <w:rsid w:val="00B40EB4"/>
    <w:rsid w:val="00B4144C"/>
    <w:rsid w:val="00B429D2"/>
    <w:rsid w:val="00B441D4"/>
    <w:rsid w:val="00B46FA5"/>
    <w:rsid w:val="00B47B9B"/>
    <w:rsid w:val="00B51837"/>
    <w:rsid w:val="00B51A17"/>
    <w:rsid w:val="00B55396"/>
    <w:rsid w:val="00B57EFB"/>
    <w:rsid w:val="00B60697"/>
    <w:rsid w:val="00B6242B"/>
    <w:rsid w:val="00B63267"/>
    <w:rsid w:val="00B65C32"/>
    <w:rsid w:val="00B65F67"/>
    <w:rsid w:val="00B66907"/>
    <w:rsid w:val="00B66DD3"/>
    <w:rsid w:val="00B71E5A"/>
    <w:rsid w:val="00B724B3"/>
    <w:rsid w:val="00B74A3E"/>
    <w:rsid w:val="00B81ADA"/>
    <w:rsid w:val="00B8406C"/>
    <w:rsid w:val="00B84151"/>
    <w:rsid w:val="00B86C2A"/>
    <w:rsid w:val="00B8754A"/>
    <w:rsid w:val="00B87C29"/>
    <w:rsid w:val="00B9019D"/>
    <w:rsid w:val="00B90FB4"/>
    <w:rsid w:val="00B91C8D"/>
    <w:rsid w:val="00B93BFC"/>
    <w:rsid w:val="00B9481C"/>
    <w:rsid w:val="00B96F2E"/>
    <w:rsid w:val="00B96FB4"/>
    <w:rsid w:val="00BA26EE"/>
    <w:rsid w:val="00BA3257"/>
    <w:rsid w:val="00BA3817"/>
    <w:rsid w:val="00BA43C6"/>
    <w:rsid w:val="00BA4AF3"/>
    <w:rsid w:val="00BB09E7"/>
    <w:rsid w:val="00BB6732"/>
    <w:rsid w:val="00BC1059"/>
    <w:rsid w:val="00BC14E1"/>
    <w:rsid w:val="00BC2F48"/>
    <w:rsid w:val="00BC5DE3"/>
    <w:rsid w:val="00BC626F"/>
    <w:rsid w:val="00BC6915"/>
    <w:rsid w:val="00BC6B3C"/>
    <w:rsid w:val="00BD0CC7"/>
    <w:rsid w:val="00BD2563"/>
    <w:rsid w:val="00BD6587"/>
    <w:rsid w:val="00BD6BCF"/>
    <w:rsid w:val="00BD7362"/>
    <w:rsid w:val="00BD7D86"/>
    <w:rsid w:val="00BD7EF4"/>
    <w:rsid w:val="00BE1DFB"/>
    <w:rsid w:val="00BE3AAE"/>
    <w:rsid w:val="00BE49A2"/>
    <w:rsid w:val="00BE601F"/>
    <w:rsid w:val="00BF04CC"/>
    <w:rsid w:val="00BF240E"/>
    <w:rsid w:val="00BF3E37"/>
    <w:rsid w:val="00BF4D57"/>
    <w:rsid w:val="00BF52C6"/>
    <w:rsid w:val="00BF60CE"/>
    <w:rsid w:val="00C00DCE"/>
    <w:rsid w:val="00C01D35"/>
    <w:rsid w:val="00C024BB"/>
    <w:rsid w:val="00C036D6"/>
    <w:rsid w:val="00C04A96"/>
    <w:rsid w:val="00C04F20"/>
    <w:rsid w:val="00C106BD"/>
    <w:rsid w:val="00C10DD5"/>
    <w:rsid w:val="00C11D64"/>
    <w:rsid w:val="00C12A04"/>
    <w:rsid w:val="00C12BCB"/>
    <w:rsid w:val="00C13548"/>
    <w:rsid w:val="00C152EB"/>
    <w:rsid w:val="00C158D4"/>
    <w:rsid w:val="00C15C11"/>
    <w:rsid w:val="00C17639"/>
    <w:rsid w:val="00C1791B"/>
    <w:rsid w:val="00C2136A"/>
    <w:rsid w:val="00C23B45"/>
    <w:rsid w:val="00C25584"/>
    <w:rsid w:val="00C31007"/>
    <w:rsid w:val="00C31673"/>
    <w:rsid w:val="00C317C2"/>
    <w:rsid w:val="00C34F5E"/>
    <w:rsid w:val="00C36617"/>
    <w:rsid w:val="00C37159"/>
    <w:rsid w:val="00C41B2B"/>
    <w:rsid w:val="00C42449"/>
    <w:rsid w:val="00C45DB5"/>
    <w:rsid w:val="00C45F6A"/>
    <w:rsid w:val="00C46485"/>
    <w:rsid w:val="00C4657E"/>
    <w:rsid w:val="00C4708D"/>
    <w:rsid w:val="00C501D9"/>
    <w:rsid w:val="00C53480"/>
    <w:rsid w:val="00C54A24"/>
    <w:rsid w:val="00C563A5"/>
    <w:rsid w:val="00C5665B"/>
    <w:rsid w:val="00C57808"/>
    <w:rsid w:val="00C61006"/>
    <w:rsid w:val="00C616E4"/>
    <w:rsid w:val="00C63234"/>
    <w:rsid w:val="00C63BC0"/>
    <w:rsid w:val="00C64097"/>
    <w:rsid w:val="00C66BE1"/>
    <w:rsid w:val="00C67442"/>
    <w:rsid w:val="00C7018F"/>
    <w:rsid w:val="00C70BFC"/>
    <w:rsid w:val="00C7224E"/>
    <w:rsid w:val="00C7246E"/>
    <w:rsid w:val="00C728AB"/>
    <w:rsid w:val="00C75478"/>
    <w:rsid w:val="00C762E4"/>
    <w:rsid w:val="00C77F7A"/>
    <w:rsid w:val="00C8078A"/>
    <w:rsid w:val="00C80C0B"/>
    <w:rsid w:val="00C82ADE"/>
    <w:rsid w:val="00C83848"/>
    <w:rsid w:val="00C8566C"/>
    <w:rsid w:val="00C85FD1"/>
    <w:rsid w:val="00C86966"/>
    <w:rsid w:val="00C869A2"/>
    <w:rsid w:val="00C86BFB"/>
    <w:rsid w:val="00C877BF"/>
    <w:rsid w:val="00C91610"/>
    <w:rsid w:val="00C922CC"/>
    <w:rsid w:val="00C92430"/>
    <w:rsid w:val="00C924B9"/>
    <w:rsid w:val="00C927EA"/>
    <w:rsid w:val="00C9366D"/>
    <w:rsid w:val="00C93C4A"/>
    <w:rsid w:val="00C94AC2"/>
    <w:rsid w:val="00C951EC"/>
    <w:rsid w:val="00C952C8"/>
    <w:rsid w:val="00C95F7F"/>
    <w:rsid w:val="00C96D5C"/>
    <w:rsid w:val="00C9756E"/>
    <w:rsid w:val="00CA16A4"/>
    <w:rsid w:val="00CA1F39"/>
    <w:rsid w:val="00CA206A"/>
    <w:rsid w:val="00CA2ACE"/>
    <w:rsid w:val="00CA2FF2"/>
    <w:rsid w:val="00CA364A"/>
    <w:rsid w:val="00CA444F"/>
    <w:rsid w:val="00CA5BF5"/>
    <w:rsid w:val="00CA72AD"/>
    <w:rsid w:val="00CB5995"/>
    <w:rsid w:val="00CB6E86"/>
    <w:rsid w:val="00CB7AB9"/>
    <w:rsid w:val="00CB7E81"/>
    <w:rsid w:val="00CC0230"/>
    <w:rsid w:val="00CC3085"/>
    <w:rsid w:val="00CC43A9"/>
    <w:rsid w:val="00CC631A"/>
    <w:rsid w:val="00CD38F1"/>
    <w:rsid w:val="00CD4B16"/>
    <w:rsid w:val="00CD7CDE"/>
    <w:rsid w:val="00CE2E40"/>
    <w:rsid w:val="00CE32BF"/>
    <w:rsid w:val="00CE400D"/>
    <w:rsid w:val="00CE54A3"/>
    <w:rsid w:val="00CE5E1D"/>
    <w:rsid w:val="00CE67FA"/>
    <w:rsid w:val="00CF2269"/>
    <w:rsid w:val="00D00E75"/>
    <w:rsid w:val="00D00EA1"/>
    <w:rsid w:val="00D00F6E"/>
    <w:rsid w:val="00D0201B"/>
    <w:rsid w:val="00D02865"/>
    <w:rsid w:val="00D03323"/>
    <w:rsid w:val="00D04286"/>
    <w:rsid w:val="00D05AFD"/>
    <w:rsid w:val="00D06EFE"/>
    <w:rsid w:val="00D07255"/>
    <w:rsid w:val="00D11314"/>
    <w:rsid w:val="00D12C49"/>
    <w:rsid w:val="00D138E7"/>
    <w:rsid w:val="00D155F9"/>
    <w:rsid w:val="00D17A85"/>
    <w:rsid w:val="00D2206A"/>
    <w:rsid w:val="00D225E3"/>
    <w:rsid w:val="00D253FD"/>
    <w:rsid w:val="00D27DC6"/>
    <w:rsid w:val="00D31022"/>
    <w:rsid w:val="00D316A6"/>
    <w:rsid w:val="00D31B6D"/>
    <w:rsid w:val="00D33CA8"/>
    <w:rsid w:val="00D34384"/>
    <w:rsid w:val="00D349EC"/>
    <w:rsid w:val="00D35612"/>
    <w:rsid w:val="00D3648F"/>
    <w:rsid w:val="00D412D8"/>
    <w:rsid w:val="00D42AB9"/>
    <w:rsid w:val="00D43A41"/>
    <w:rsid w:val="00D4554F"/>
    <w:rsid w:val="00D4578C"/>
    <w:rsid w:val="00D471FC"/>
    <w:rsid w:val="00D4766F"/>
    <w:rsid w:val="00D51CB5"/>
    <w:rsid w:val="00D52FCC"/>
    <w:rsid w:val="00D53C01"/>
    <w:rsid w:val="00D564C8"/>
    <w:rsid w:val="00D565D0"/>
    <w:rsid w:val="00D56F0E"/>
    <w:rsid w:val="00D57720"/>
    <w:rsid w:val="00D60B0D"/>
    <w:rsid w:val="00D62D8C"/>
    <w:rsid w:val="00D63DF6"/>
    <w:rsid w:val="00D64158"/>
    <w:rsid w:val="00D6558F"/>
    <w:rsid w:val="00D67442"/>
    <w:rsid w:val="00D67FDF"/>
    <w:rsid w:val="00D70099"/>
    <w:rsid w:val="00D704E9"/>
    <w:rsid w:val="00D70747"/>
    <w:rsid w:val="00D708CF"/>
    <w:rsid w:val="00D7103E"/>
    <w:rsid w:val="00D758D2"/>
    <w:rsid w:val="00D75FF5"/>
    <w:rsid w:val="00D763CA"/>
    <w:rsid w:val="00D768E6"/>
    <w:rsid w:val="00D776BB"/>
    <w:rsid w:val="00D7777F"/>
    <w:rsid w:val="00D804C6"/>
    <w:rsid w:val="00D80677"/>
    <w:rsid w:val="00D8084B"/>
    <w:rsid w:val="00D822FD"/>
    <w:rsid w:val="00D83200"/>
    <w:rsid w:val="00D855BE"/>
    <w:rsid w:val="00D92C3C"/>
    <w:rsid w:val="00D93C41"/>
    <w:rsid w:val="00D943EC"/>
    <w:rsid w:val="00D94ABB"/>
    <w:rsid w:val="00D959B9"/>
    <w:rsid w:val="00DA0C97"/>
    <w:rsid w:val="00DA0CBE"/>
    <w:rsid w:val="00DA1893"/>
    <w:rsid w:val="00DA1D41"/>
    <w:rsid w:val="00DA36E0"/>
    <w:rsid w:val="00DA3870"/>
    <w:rsid w:val="00DA510A"/>
    <w:rsid w:val="00DA5E10"/>
    <w:rsid w:val="00DA7E62"/>
    <w:rsid w:val="00DB2226"/>
    <w:rsid w:val="00DB300A"/>
    <w:rsid w:val="00DB37F5"/>
    <w:rsid w:val="00DB3A2E"/>
    <w:rsid w:val="00DB68CC"/>
    <w:rsid w:val="00DC0BDA"/>
    <w:rsid w:val="00DC1EA5"/>
    <w:rsid w:val="00DC3042"/>
    <w:rsid w:val="00DC3B92"/>
    <w:rsid w:val="00DC4B59"/>
    <w:rsid w:val="00DC4CB8"/>
    <w:rsid w:val="00DC5554"/>
    <w:rsid w:val="00DC5589"/>
    <w:rsid w:val="00DC64BD"/>
    <w:rsid w:val="00DC65A5"/>
    <w:rsid w:val="00DC6AB9"/>
    <w:rsid w:val="00DC7F07"/>
    <w:rsid w:val="00DD0AE1"/>
    <w:rsid w:val="00DD1015"/>
    <w:rsid w:val="00DD4073"/>
    <w:rsid w:val="00DD4119"/>
    <w:rsid w:val="00DD4D0B"/>
    <w:rsid w:val="00DD59F0"/>
    <w:rsid w:val="00DD66C0"/>
    <w:rsid w:val="00DE002E"/>
    <w:rsid w:val="00DE02C6"/>
    <w:rsid w:val="00DE1A94"/>
    <w:rsid w:val="00DE2069"/>
    <w:rsid w:val="00DE22FD"/>
    <w:rsid w:val="00DE2779"/>
    <w:rsid w:val="00DE3AD9"/>
    <w:rsid w:val="00DE5167"/>
    <w:rsid w:val="00DE618F"/>
    <w:rsid w:val="00DE6A9E"/>
    <w:rsid w:val="00DE7EB5"/>
    <w:rsid w:val="00DF269D"/>
    <w:rsid w:val="00DF2BDA"/>
    <w:rsid w:val="00DF5E95"/>
    <w:rsid w:val="00DF7DDD"/>
    <w:rsid w:val="00E00500"/>
    <w:rsid w:val="00E00F9B"/>
    <w:rsid w:val="00E0379F"/>
    <w:rsid w:val="00E1003D"/>
    <w:rsid w:val="00E1157F"/>
    <w:rsid w:val="00E11DCC"/>
    <w:rsid w:val="00E11F19"/>
    <w:rsid w:val="00E12817"/>
    <w:rsid w:val="00E13BDC"/>
    <w:rsid w:val="00E13D6A"/>
    <w:rsid w:val="00E15626"/>
    <w:rsid w:val="00E16B79"/>
    <w:rsid w:val="00E223F3"/>
    <w:rsid w:val="00E2248D"/>
    <w:rsid w:val="00E22F9D"/>
    <w:rsid w:val="00E2536D"/>
    <w:rsid w:val="00E27D59"/>
    <w:rsid w:val="00E27F63"/>
    <w:rsid w:val="00E32094"/>
    <w:rsid w:val="00E322B9"/>
    <w:rsid w:val="00E32B8B"/>
    <w:rsid w:val="00E33A55"/>
    <w:rsid w:val="00E33FA2"/>
    <w:rsid w:val="00E34332"/>
    <w:rsid w:val="00E34EF6"/>
    <w:rsid w:val="00E3765B"/>
    <w:rsid w:val="00E42FFF"/>
    <w:rsid w:val="00E4626A"/>
    <w:rsid w:val="00E502F2"/>
    <w:rsid w:val="00E50C70"/>
    <w:rsid w:val="00E521DC"/>
    <w:rsid w:val="00E52B46"/>
    <w:rsid w:val="00E533D5"/>
    <w:rsid w:val="00E54E91"/>
    <w:rsid w:val="00E55D75"/>
    <w:rsid w:val="00E57E1E"/>
    <w:rsid w:val="00E617B2"/>
    <w:rsid w:val="00E620B1"/>
    <w:rsid w:val="00E637CE"/>
    <w:rsid w:val="00E64032"/>
    <w:rsid w:val="00E649FF"/>
    <w:rsid w:val="00E65A74"/>
    <w:rsid w:val="00E66A26"/>
    <w:rsid w:val="00E67B72"/>
    <w:rsid w:val="00E714A5"/>
    <w:rsid w:val="00E7274B"/>
    <w:rsid w:val="00E730F3"/>
    <w:rsid w:val="00E75006"/>
    <w:rsid w:val="00E76940"/>
    <w:rsid w:val="00E76ADF"/>
    <w:rsid w:val="00E772B6"/>
    <w:rsid w:val="00E77743"/>
    <w:rsid w:val="00E817D3"/>
    <w:rsid w:val="00E81A3D"/>
    <w:rsid w:val="00E820C4"/>
    <w:rsid w:val="00E84031"/>
    <w:rsid w:val="00E87094"/>
    <w:rsid w:val="00E873C1"/>
    <w:rsid w:val="00E87A8F"/>
    <w:rsid w:val="00E91056"/>
    <w:rsid w:val="00E96E32"/>
    <w:rsid w:val="00E96ED8"/>
    <w:rsid w:val="00E96F33"/>
    <w:rsid w:val="00E97A2B"/>
    <w:rsid w:val="00EA0160"/>
    <w:rsid w:val="00EA12A1"/>
    <w:rsid w:val="00EA1E9C"/>
    <w:rsid w:val="00EA214A"/>
    <w:rsid w:val="00EA50E8"/>
    <w:rsid w:val="00EA5701"/>
    <w:rsid w:val="00EA771F"/>
    <w:rsid w:val="00EB36DD"/>
    <w:rsid w:val="00EB42E7"/>
    <w:rsid w:val="00EB4744"/>
    <w:rsid w:val="00EB4B29"/>
    <w:rsid w:val="00EB5D55"/>
    <w:rsid w:val="00EB6B1C"/>
    <w:rsid w:val="00EB7780"/>
    <w:rsid w:val="00EC078A"/>
    <w:rsid w:val="00EC4A22"/>
    <w:rsid w:val="00EC4FCB"/>
    <w:rsid w:val="00EC6C6E"/>
    <w:rsid w:val="00EC7772"/>
    <w:rsid w:val="00ED0411"/>
    <w:rsid w:val="00ED0B4C"/>
    <w:rsid w:val="00ED2377"/>
    <w:rsid w:val="00ED3FA7"/>
    <w:rsid w:val="00ED427A"/>
    <w:rsid w:val="00ED550C"/>
    <w:rsid w:val="00ED5ADD"/>
    <w:rsid w:val="00ED7C56"/>
    <w:rsid w:val="00EE16B5"/>
    <w:rsid w:val="00EE2B7B"/>
    <w:rsid w:val="00EE346E"/>
    <w:rsid w:val="00EE4DD4"/>
    <w:rsid w:val="00EE5AA8"/>
    <w:rsid w:val="00EE67C4"/>
    <w:rsid w:val="00EF099D"/>
    <w:rsid w:val="00EF11DA"/>
    <w:rsid w:val="00EF1522"/>
    <w:rsid w:val="00EF2FEE"/>
    <w:rsid w:val="00EF6ADE"/>
    <w:rsid w:val="00EF6E2D"/>
    <w:rsid w:val="00F02C90"/>
    <w:rsid w:val="00F03D1E"/>
    <w:rsid w:val="00F12523"/>
    <w:rsid w:val="00F12604"/>
    <w:rsid w:val="00F14496"/>
    <w:rsid w:val="00F1617A"/>
    <w:rsid w:val="00F2506D"/>
    <w:rsid w:val="00F315BF"/>
    <w:rsid w:val="00F33619"/>
    <w:rsid w:val="00F33D61"/>
    <w:rsid w:val="00F40532"/>
    <w:rsid w:val="00F4065D"/>
    <w:rsid w:val="00F41A9A"/>
    <w:rsid w:val="00F42376"/>
    <w:rsid w:val="00F42510"/>
    <w:rsid w:val="00F42E28"/>
    <w:rsid w:val="00F44151"/>
    <w:rsid w:val="00F471D1"/>
    <w:rsid w:val="00F47A52"/>
    <w:rsid w:val="00F5186C"/>
    <w:rsid w:val="00F554DC"/>
    <w:rsid w:val="00F55636"/>
    <w:rsid w:val="00F5753D"/>
    <w:rsid w:val="00F57B28"/>
    <w:rsid w:val="00F606AC"/>
    <w:rsid w:val="00F62FCA"/>
    <w:rsid w:val="00F632C1"/>
    <w:rsid w:val="00F650A6"/>
    <w:rsid w:val="00F65823"/>
    <w:rsid w:val="00F659BE"/>
    <w:rsid w:val="00F65ADD"/>
    <w:rsid w:val="00F67034"/>
    <w:rsid w:val="00F70509"/>
    <w:rsid w:val="00F7091A"/>
    <w:rsid w:val="00F719B8"/>
    <w:rsid w:val="00F71A29"/>
    <w:rsid w:val="00F7254A"/>
    <w:rsid w:val="00F7373F"/>
    <w:rsid w:val="00F7509F"/>
    <w:rsid w:val="00F77B9F"/>
    <w:rsid w:val="00F82ADE"/>
    <w:rsid w:val="00F8441F"/>
    <w:rsid w:val="00F85AC7"/>
    <w:rsid w:val="00F90F2F"/>
    <w:rsid w:val="00F922D3"/>
    <w:rsid w:val="00F9340F"/>
    <w:rsid w:val="00F95EF7"/>
    <w:rsid w:val="00F96089"/>
    <w:rsid w:val="00F9644A"/>
    <w:rsid w:val="00F96C9E"/>
    <w:rsid w:val="00F96F72"/>
    <w:rsid w:val="00FA079C"/>
    <w:rsid w:val="00FA18C8"/>
    <w:rsid w:val="00FA25F8"/>
    <w:rsid w:val="00FA36DB"/>
    <w:rsid w:val="00FA636D"/>
    <w:rsid w:val="00FB1E9D"/>
    <w:rsid w:val="00FB2108"/>
    <w:rsid w:val="00FB463D"/>
    <w:rsid w:val="00FB53C9"/>
    <w:rsid w:val="00FC06EF"/>
    <w:rsid w:val="00FC1887"/>
    <w:rsid w:val="00FC1BD2"/>
    <w:rsid w:val="00FC2A80"/>
    <w:rsid w:val="00FC33A5"/>
    <w:rsid w:val="00FC3E56"/>
    <w:rsid w:val="00FC600E"/>
    <w:rsid w:val="00FD3D38"/>
    <w:rsid w:val="00FD58CB"/>
    <w:rsid w:val="00FD6624"/>
    <w:rsid w:val="00FD6A28"/>
    <w:rsid w:val="00FD73CA"/>
    <w:rsid w:val="00FD7C20"/>
    <w:rsid w:val="00FD7DA5"/>
    <w:rsid w:val="00FE0198"/>
    <w:rsid w:val="00FE45CC"/>
    <w:rsid w:val="00FE65A7"/>
    <w:rsid w:val="00FF03CF"/>
    <w:rsid w:val="00FF2A93"/>
    <w:rsid w:val="00FF3F44"/>
    <w:rsid w:val="00FF52E4"/>
    <w:rsid w:val="00FF66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67CFA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B96"/>
    <w:pPr>
      <w:spacing w:line="276" w:lineRule="auto"/>
      <w:jc w:val="both"/>
    </w:pPr>
    <w:rPr>
      <w:rFonts w:cs="Times New Roman"/>
      <w:sz w:val="22"/>
      <w:lang w:eastAsia="de-DE"/>
    </w:rPr>
  </w:style>
  <w:style w:type="paragraph" w:styleId="Heading1">
    <w:name w:val="heading 1"/>
    <w:basedOn w:val="Normal"/>
    <w:next w:val="Normal"/>
    <w:link w:val="Heading1Char"/>
    <w:uiPriority w:val="9"/>
    <w:qFormat/>
    <w:rsid w:val="00701D2B"/>
    <w:pPr>
      <w:keepNext/>
      <w:keepLines/>
      <w:spacing w:before="240"/>
      <w:outlineLvl w:val="0"/>
    </w:pPr>
    <w:rPr>
      <w:rFonts w:eastAsia="Calibri Light" w:cstheme="majorBidi"/>
      <w:b/>
      <w:color w:val="000000" w:themeColor="text1"/>
      <w:szCs w:val="32"/>
      <w:u w:color="000000"/>
      <w:lang w:val="en-GB"/>
    </w:rPr>
  </w:style>
  <w:style w:type="paragraph" w:styleId="Heading2">
    <w:name w:val="heading 2"/>
    <w:basedOn w:val="Normal"/>
    <w:next w:val="Normal"/>
    <w:link w:val="Heading2Char"/>
    <w:uiPriority w:val="9"/>
    <w:unhideWhenUsed/>
    <w:qFormat/>
    <w:rsid w:val="00701D2B"/>
    <w:pPr>
      <w:keepNext/>
      <w:keepLines/>
      <w:spacing w:before="40" w:line="360" w:lineRule="auto"/>
      <w:outlineLvl w:val="1"/>
    </w:pPr>
    <w:rPr>
      <w:rFonts w:asciiTheme="majorHAnsi" w:eastAsiaTheme="majorEastAsia" w:hAnsiTheme="majorHAnsi" w:cstheme="majorBidi"/>
      <w:b/>
      <w:color w:val="000000" w:themeColor="text1"/>
      <w:szCs w:val="26"/>
    </w:rPr>
  </w:style>
  <w:style w:type="paragraph" w:styleId="Heading3">
    <w:name w:val="heading 3"/>
    <w:basedOn w:val="Normal"/>
    <w:next w:val="Normal"/>
    <w:link w:val="Heading3Char"/>
    <w:uiPriority w:val="9"/>
    <w:unhideWhenUsed/>
    <w:qFormat/>
    <w:rsid w:val="00701D2B"/>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701D2B"/>
    <w:pPr>
      <w:spacing w:after="200"/>
    </w:pPr>
    <w:rPr>
      <w:rFonts w:eastAsia="Arial Unicode MS"/>
      <w:i/>
      <w:iCs/>
      <w:color w:val="44546A" w:themeColor="text2"/>
      <w:sz w:val="18"/>
      <w:szCs w:val="18"/>
    </w:rPr>
  </w:style>
  <w:style w:type="character" w:customStyle="1" w:styleId="Heading1Char">
    <w:name w:val="Heading 1 Char"/>
    <w:basedOn w:val="DefaultParagraphFont"/>
    <w:link w:val="Heading1"/>
    <w:uiPriority w:val="9"/>
    <w:rsid w:val="00701D2B"/>
    <w:rPr>
      <w:rFonts w:ascii="Times New Roman" w:eastAsia="Calibri Light" w:hAnsi="Times New Roman" w:cstheme="majorBidi"/>
      <w:b/>
      <w:color w:val="000000" w:themeColor="text1"/>
      <w:sz w:val="22"/>
      <w:szCs w:val="32"/>
      <w:u w:color="000000"/>
      <w:lang w:val="en-GB" w:eastAsia="de-DE"/>
    </w:rPr>
  </w:style>
  <w:style w:type="character" w:customStyle="1" w:styleId="Heading2Char">
    <w:name w:val="Heading 2 Char"/>
    <w:basedOn w:val="DefaultParagraphFont"/>
    <w:link w:val="Heading2"/>
    <w:uiPriority w:val="9"/>
    <w:rsid w:val="00701D2B"/>
    <w:rPr>
      <w:rFonts w:asciiTheme="majorHAnsi" w:eastAsiaTheme="majorEastAsia" w:hAnsiTheme="majorHAnsi" w:cstheme="majorBidi"/>
      <w:b/>
      <w:color w:val="000000" w:themeColor="text1"/>
      <w:sz w:val="22"/>
      <w:szCs w:val="26"/>
      <w:lang w:eastAsia="de-DE"/>
    </w:rPr>
  </w:style>
  <w:style w:type="character" w:customStyle="1" w:styleId="Heading3Char">
    <w:name w:val="Heading 3 Char"/>
    <w:basedOn w:val="DefaultParagraphFont"/>
    <w:link w:val="Heading3"/>
    <w:uiPriority w:val="9"/>
    <w:rsid w:val="00701D2B"/>
    <w:rPr>
      <w:rFonts w:asciiTheme="majorHAnsi" w:eastAsiaTheme="majorEastAsia" w:hAnsiTheme="majorHAnsi" w:cstheme="majorBidi"/>
      <w:color w:val="1F3763" w:themeColor="accent1" w:themeShade="7F"/>
      <w:lang w:eastAsia="de-DE"/>
    </w:rPr>
  </w:style>
  <w:style w:type="character" w:styleId="Hyperlink">
    <w:name w:val="Hyperlink"/>
    <w:rsid w:val="00701D2B"/>
    <w:rPr>
      <w:u w:val="single"/>
    </w:rPr>
  </w:style>
  <w:style w:type="table" w:customStyle="1" w:styleId="TableNormal1">
    <w:name w:val="Table Normal1"/>
    <w:rsid w:val="00701D2B"/>
    <w:pPr>
      <w:pBdr>
        <w:top w:val="nil"/>
        <w:left w:val="nil"/>
        <w:bottom w:val="nil"/>
        <w:right w:val="nil"/>
        <w:between w:val="nil"/>
        <w:bar w:val="nil"/>
      </w:pBdr>
    </w:pPr>
    <w:rPr>
      <w:rFonts w:ascii="Times New Roman" w:eastAsia="Arial Unicode MS" w:hAnsi="Times New Roman" w:cs="Times New Roman"/>
      <w:sz w:val="20"/>
      <w:szCs w:val="20"/>
      <w:bdr w:val="nil"/>
      <w:lang w:eastAsia="de-DE"/>
    </w:rPr>
    <w:tblPr>
      <w:tblInd w:w="0" w:type="dxa"/>
      <w:tblCellMar>
        <w:top w:w="0" w:type="dxa"/>
        <w:left w:w="0" w:type="dxa"/>
        <w:bottom w:w="0" w:type="dxa"/>
        <w:right w:w="0" w:type="dxa"/>
      </w:tblCellMar>
    </w:tblPr>
  </w:style>
  <w:style w:type="character" w:customStyle="1" w:styleId="Ohne">
    <w:name w:val="Ohne"/>
    <w:rsid w:val="00701D2B"/>
  </w:style>
  <w:style w:type="character" w:customStyle="1" w:styleId="Hyperlink0">
    <w:name w:val="Hyperlink.0"/>
    <w:basedOn w:val="Ohne"/>
    <w:rsid w:val="00701D2B"/>
    <w:rPr>
      <w:color w:val="842B45"/>
      <w:u w:val="single" w:color="842B45"/>
    </w:rPr>
  </w:style>
  <w:style w:type="character" w:customStyle="1" w:styleId="Hyperlink1">
    <w:name w:val="Hyperlink.1"/>
    <w:basedOn w:val="Ohne"/>
    <w:rsid w:val="00701D2B"/>
    <w:rPr>
      <w:color w:val="842B45"/>
    </w:rPr>
  </w:style>
  <w:style w:type="numbering" w:customStyle="1" w:styleId="Alphabetisch">
    <w:name w:val="Alphabetisch"/>
    <w:rsid w:val="00701D2B"/>
    <w:pPr>
      <w:numPr>
        <w:numId w:val="1"/>
      </w:numPr>
    </w:pPr>
  </w:style>
  <w:style w:type="numbering" w:customStyle="1" w:styleId="Strich">
    <w:name w:val="Strich"/>
    <w:rsid w:val="00701D2B"/>
    <w:pPr>
      <w:numPr>
        <w:numId w:val="3"/>
      </w:numPr>
    </w:pPr>
  </w:style>
  <w:style w:type="character" w:customStyle="1" w:styleId="Hyperlink2">
    <w:name w:val="Hyperlink.2"/>
    <w:basedOn w:val="Hyperlink"/>
    <w:rsid w:val="00701D2B"/>
    <w:rPr>
      <w:u w:val="single"/>
    </w:rPr>
  </w:style>
  <w:style w:type="character" w:customStyle="1" w:styleId="Hyperlink3">
    <w:name w:val="Hyperlink.3"/>
    <w:basedOn w:val="Ohne"/>
    <w:rsid w:val="00701D2B"/>
    <w:rPr>
      <w:color w:val="0855AC"/>
    </w:rPr>
  </w:style>
  <w:style w:type="paragraph" w:customStyle="1" w:styleId="Tabellenstil1">
    <w:name w:val="Tabellenstil 1"/>
    <w:rsid w:val="00701D2B"/>
    <w:pPr>
      <w:pBdr>
        <w:top w:val="nil"/>
        <w:left w:val="nil"/>
        <w:bottom w:val="nil"/>
        <w:right w:val="nil"/>
        <w:between w:val="nil"/>
        <w:bar w:val="nil"/>
      </w:pBdr>
    </w:pPr>
    <w:rPr>
      <w:rFonts w:ascii="Helvetica" w:eastAsia="Helvetica" w:hAnsi="Helvetica" w:cs="Helvetica"/>
      <w:b/>
      <w:bCs/>
      <w:color w:val="000000"/>
      <w:sz w:val="20"/>
      <w:szCs w:val="20"/>
      <w:bdr w:val="nil"/>
      <w:lang w:eastAsia="de-DE"/>
    </w:rPr>
  </w:style>
  <w:style w:type="paragraph" w:customStyle="1" w:styleId="Tabellenstil2">
    <w:name w:val="Tabellenstil 2"/>
    <w:rsid w:val="00701D2B"/>
    <w:pPr>
      <w:pBdr>
        <w:top w:val="nil"/>
        <w:left w:val="nil"/>
        <w:bottom w:val="nil"/>
        <w:right w:val="nil"/>
        <w:between w:val="nil"/>
        <w:bar w:val="nil"/>
      </w:pBdr>
    </w:pPr>
    <w:rPr>
      <w:rFonts w:ascii="Helvetica" w:eastAsia="Helvetica" w:hAnsi="Helvetica" w:cs="Helvetica"/>
      <w:color w:val="000000"/>
      <w:sz w:val="20"/>
      <w:szCs w:val="20"/>
      <w:bdr w:val="nil"/>
      <w:lang w:eastAsia="de-DE"/>
    </w:rPr>
  </w:style>
  <w:style w:type="paragraph" w:styleId="CommentText">
    <w:name w:val="annotation text"/>
    <w:basedOn w:val="Normal"/>
    <w:link w:val="CommentTextChar"/>
    <w:uiPriority w:val="99"/>
    <w:unhideWhenUsed/>
    <w:rsid w:val="00701D2B"/>
    <w:pPr>
      <w:pBdr>
        <w:top w:val="nil"/>
        <w:left w:val="nil"/>
        <w:bottom w:val="nil"/>
        <w:right w:val="nil"/>
        <w:between w:val="nil"/>
        <w:bar w:val="nil"/>
      </w:pBdr>
    </w:pPr>
    <w:rPr>
      <w:rFonts w:ascii="Helvetica" w:eastAsia="Arial Unicode MS" w:hAnsi="Helvetica" w:cs="Arial Unicode MS"/>
      <w:color w:val="000000"/>
      <w:bdr w:val="nil"/>
      <w:lang w:val="en-US"/>
    </w:rPr>
  </w:style>
  <w:style w:type="character" w:customStyle="1" w:styleId="CommentTextChar">
    <w:name w:val="Comment Text Char"/>
    <w:basedOn w:val="DefaultParagraphFont"/>
    <w:link w:val="CommentText"/>
    <w:uiPriority w:val="99"/>
    <w:rsid w:val="00701D2B"/>
    <w:rPr>
      <w:rFonts w:ascii="Helvetica" w:eastAsia="Arial Unicode MS" w:hAnsi="Helvetica" w:cs="Arial Unicode MS"/>
      <w:color w:val="000000"/>
      <w:bdr w:val="nil"/>
      <w:lang w:val="en-US" w:eastAsia="de-DE"/>
    </w:rPr>
  </w:style>
  <w:style w:type="character" w:styleId="CommentReference">
    <w:name w:val="annotation reference"/>
    <w:basedOn w:val="DefaultParagraphFont"/>
    <w:uiPriority w:val="99"/>
    <w:semiHidden/>
    <w:unhideWhenUsed/>
    <w:rsid w:val="00701D2B"/>
    <w:rPr>
      <w:sz w:val="18"/>
      <w:szCs w:val="18"/>
    </w:rPr>
  </w:style>
  <w:style w:type="paragraph" w:styleId="BalloonText">
    <w:name w:val="Balloon Text"/>
    <w:basedOn w:val="Normal"/>
    <w:link w:val="BalloonTextChar"/>
    <w:uiPriority w:val="99"/>
    <w:semiHidden/>
    <w:unhideWhenUsed/>
    <w:rsid w:val="00701D2B"/>
    <w:pPr>
      <w:pBdr>
        <w:top w:val="nil"/>
        <w:left w:val="nil"/>
        <w:bottom w:val="nil"/>
        <w:right w:val="nil"/>
        <w:between w:val="nil"/>
        <w:bar w:val="nil"/>
      </w:pBdr>
    </w:pPr>
    <w:rPr>
      <w:rFonts w:eastAsia="Arial Unicode MS"/>
      <w:color w:val="000000"/>
      <w:sz w:val="18"/>
      <w:szCs w:val="18"/>
      <w:bdr w:val="nil"/>
      <w:lang w:val="en-US"/>
    </w:rPr>
  </w:style>
  <w:style w:type="character" w:customStyle="1" w:styleId="BalloonTextChar">
    <w:name w:val="Balloon Text Char"/>
    <w:basedOn w:val="DefaultParagraphFont"/>
    <w:link w:val="BalloonText"/>
    <w:uiPriority w:val="99"/>
    <w:semiHidden/>
    <w:rsid w:val="00701D2B"/>
    <w:rPr>
      <w:rFonts w:ascii="Times New Roman" w:eastAsia="Arial Unicode MS" w:hAnsi="Times New Roman" w:cs="Times New Roman"/>
      <w:color w:val="000000"/>
      <w:sz w:val="18"/>
      <w:szCs w:val="18"/>
      <w:bdr w:val="nil"/>
      <w:lang w:val="en-US" w:eastAsia="de-DE"/>
    </w:rPr>
  </w:style>
  <w:style w:type="paragraph" w:styleId="FootnoteText">
    <w:name w:val="footnote text"/>
    <w:basedOn w:val="Normal"/>
    <w:link w:val="FootnoteTextChar"/>
    <w:unhideWhenUsed/>
    <w:rsid w:val="00701D2B"/>
    <w:pPr>
      <w:pBdr>
        <w:top w:val="nil"/>
        <w:left w:val="nil"/>
        <w:bottom w:val="nil"/>
        <w:right w:val="nil"/>
        <w:between w:val="nil"/>
        <w:bar w:val="nil"/>
      </w:pBdr>
    </w:pPr>
    <w:rPr>
      <w:rFonts w:ascii="Helvetica" w:eastAsia="Arial Unicode MS" w:hAnsi="Helvetica" w:cs="Arial Unicode MS"/>
      <w:color w:val="000000"/>
      <w:bdr w:val="nil"/>
      <w:lang w:val="en-US"/>
    </w:rPr>
  </w:style>
  <w:style w:type="character" w:customStyle="1" w:styleId="FootnoteTextChar">
    <w:name w:val="Footnote Text Char"/>
    <w:basedOn w:val="DefaultParagraphFont"/>
    <w:link w:val="FootnoteText"/>
    <w:rsid w:val="00701D2B"/>
    <w:rPr>
      <w:rFonts w:ascii="Helvetica" w:eastAsia="Arial Unicode MS" w:hAnsi="Helvetica" w:cs="Arial Unicode MS"/>
      <w:color w:val="000000"/>
      <w:bdr w:val="nil"/>
      <w:lang w:val="en-US" w:eastAsia="de-DE"/>
    </w:rPr>
  </w:style>
  <w:style w:type="character" w:styleId="FootnoteReference">
    <w:name w:val="footnote reference"/>
    <w:basedOn w:val="DefaultParagraphFont"/>
    <w:unhideWhenUsed/>
    <w:rsid w:val="00701D2B"/>
    <w:rPr>
      <w:vertAlign w:val="superscript"/>
    </w:rPr>
  </w:style>
  <w:style w:type="character" w:customStyle="1" w:styleId="apple-converted-space">
    <w:name w:val="apple-converted-space"/>
    <w:basedOn w:val="DefaultParagraphFont"/>
    <w:rsid w:val="00701D2B"/>
  </w:style>
  <w:style w:type="paragraph" w:styleId="CommentSubject">
    <w:name w:val="annotation subject"/>
    <w:basedOn w:val="CommentText"/>
    <w:next w:val="CommentText"/>
    <w:link w:val="CommentSubjectChar"/>
    <w:uiPriority w:val="99"/>
    <w:semiHidden/>
    <w:unhideWhenUsed/>
    <w:rsid w:val="00701D2B"/>
    <w:pPr>
      <w:pBdr>
        <w:top w:val="none" w:sz="0" w:space="0" w:color="auto"/>
        <w:left w:val="none" w:sz="0" w:space="0" w:color="auto"/>
        <w:bottom w:val="none" w:sz="0" w:space="0" w:color="auto"/>
        <w:right w:val="none" w:sz="0" w:space="0" w:color="auto"/>
        <w:between w:val="none" w:sz="0" w:space="0" w:color="auto"/>
        <w:bar w:val="none" w:sz="0" w:color="auto"/>
      </w:pBdr>
    </w:pPr>
    <w:rPr>
      <w:rFonts w:ascii="Times New Roman" w:hAnsi="Times New Roman" w:cs="Times New Roman"/>
      <w:b/>
      <w:bCs/>
      <w:color w:val="auto"/>
      <w:sz w:val="20"/>
      <w:szCs w:val="20"/>
      <w:bdr w:val="none" w:sz="0" w:space="0" w:color="auto"/>
      <w:lang w:val="de-DE"/>
    </w:rPr>
  </w:style>
  <w:style w:type="character" w:customStyle="1" w:styleId="CommentSubjectChar">
    <w:name w:val="Comment Subject Char"/>
    <w:basedOn w:val="CommentTextChar"/>
    <w:link w:val="CommentSubject"/>
    <w:uiPriority w:val="99"/>
    <w:semiHidden/>
    <w:rsid w:val="00701D2B"/>
    <w:rPr>
      <w:rFonts w:ascii="Times New Roman" w:eastAsia="Arial Unicode MS" w:hAnsi="Times New Roman" w:cs="Times New Roman"/>
      <w:b/>
      <w:bCs/>
      <w:color w:val="000000"/>
      <w:sz w:val="20"/>
      <w:szCs w:val="20"/>
      <w:bdr w:val="nil"/>
      <w:lang w:val="en-US" w:eastAsia="de-DE"/>
    </w:rPr>
  </w:style>
  <w:style w:type="paragraph" w:styleId="NormalWeb">
    <w:name w:val="Normal (Web)"/>
    <w:basedOn w:val="Normal"/>
    <w:uiPriority w:val="99"/>
    <w:unhideWhenUsed/>
    <w:rsid w:val="00701D2B"/>
    <w:pPr>
      <w:spacing w:before="100" w:beforeAutospacing="1" w:after="100" w:afterAutospacing="1"/>
    </w:pPr>
    <w:rPr>
      <w:rFonts w:eastAsia="Arial Unicode MS"/>
    </w:rPr>
  </w:style>
  <w:style w:type="paragraph" w:customStyle="1" w:styleId="Text">
    <w:name w:val="Text"/>
    <w:rsid w:val="00701D2B"/>
    <w:pPr>
      <w:pBdr>
        <w:top w:val="nil"/>
        <w:left w:val="nil"/>
        <w:bottom w:val="nil"/>
        <w:right w:val="nil"/>
        <w:between w:val="nil"/>
        <w:bar w:val="nil"/>
      </w:pBdr>
    </w:pPr>
    <w:rPr>
      <w:rFonts w:ascii="Helvetica" w:eastAsia="Arial Unicode MS" w:hAnsi="Helvetica" w:cs="Arial Unicode MS"/>
      <w:color w:val="000000"/>
      <w:sz w:val="22"/>
      <w:szCs w:val="22"/>
      <w:bdr w:val="nil"/>
      <w:lang w:val="en-US" w:eastAsia="de-DE"/>
    </w:rPr>
  </w:style>
  <w:style w:type="paragraph" w:styleId="ListParagraph">
    <w:name w:val="List Paragraph"/>
    <w:basedOn w:val="Normal"/>
    <w:uiPriority w:val="34"/>
    <w:qFormat/>
    <w:rsid w:val="00701D2B"/>
    <w:pPr>
      <w:ind w:left="720"/>
      <w:contextualSpacing/>
    </w:pPr>
    <w:rPr>
      <w:rFonts w:eastAsia="Arial Unicode MS"/>
    </w:rPr>
  </w:style>
  <w:style w:type="table" w:styleId="TableGrid">
    <w:name w:val="Table Grid"/>
    <w:basedOn w:val="TableNormal"/>
    <w:uiPriority w:val="39"/>
    <w:rsid w:val="00701D2B"/>
    <w:pPr>
      <w:pBdr>
        <w:top w:val="nil"/>
        <w:left w:val="nil"/>
        <w:bottom w:val="nil"/>
        <w:right w:val="nil"/>
        <w:between w:val="nil"/>
        <w:bar w:val="nil"/>
      </w:pBdr>
    </w:pPr>
    <w:rPr>
      <w:rFonts w:ascii="Times New Roman" w:eastAsia="Arial Unicode MS" w:hAnsi="Times New Roman" w:cs="Times New Roman"/>
      <w:sz w:val="20"/>
      <w:szCs w:val="20"/>
      <w:bdr w:val="nil"/>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701D2B"/>
    <w:rPr>
      <w:i/>
      <w:iCs/>
    </w:rPr>
  </w:style>
  <w:style w:type="paragraph" w:styleId="Revision">
    <w:name w:val="Revision"/>
    <w:hidden/>
    <w:uiPriority w:val="99"/>
    <w:semiHidden/>
    <w:rsid w:val="00701D2B"/>
    <w:rPr>
      <w:rFonts w:ascii="Times New Roman" w:eastAsia="Arial Unicode MS" w:hAnsi="Times New Roman" w:cs="Times New Roman"/>
      <w:lang w:eastAsia="de-DE"/>
    </w:rPr>
  </w:style>
  <w:style w:type="paragraph" w:styleId="Header">
    <w:name w:val="header"/>
    <w:basedOn w:val="Normal"/>
    <w:link w:val="HeaderChar"/>
    <w:uiPriority w:val="99"/>
    <w:unhideWhenUsed/>
    <w:rsid w:val="00701D2B"/>
    <w:pPr>
      <w:tabs>
        <w:tab w:val="center" w:pos="4536"/>
        <w:tab w:val="right" w:pos="9072"/>
      </w:tabs>
    </w:pPr>
    <w:rPr>
      <w:rFonts w:eastAsia="Arial Unicode MS"/>
    </w:rPr>
  </w:style>
  <w:style w:type="character" w:customStyle="1" w:styleId="HeaderChar">
    <w:name w:val="Header Char"/>
    <w:basedOn w:val="DefaultParagraphFont"/>
    <w:link w:val="Header"/>
    <w:uiPriority w:val="99"/>
    <w:rsid w:val="00701D2B"/>
    <w:rPr>
      <w:rFonts w:ascii="Times New Roman" w:eastAsia="Arial Unicode MS" w:hAnsi="Times New Roman" w:cs="Times New Roman"/>
      <w:lang w:eastAsia="de-DE"/>
    </w:rPr>
  </w:style>
  <w:style w:type="paragraph" w:styleId="Footer">
    <w:name w:val="footer"/>
    <w:basedOn w:val="Normal"/>
    <w:link w:val="FooterChar"/>
    <w:uiPriority w:val="99"/>
    <w:unhideWhenUsed/>
    <w:rsid w:val="00701D2B"/>
    <w:pPr>
      <w:tabs>
        <w:tab w:val="center" w:pos="4536"/>
        <w:tab w:val="right" w:pos="9072"/>
      </w:tabs>
    </w:pPr>
    <w:rPr>
      <w:rFonts w:eastAsia="Arial Unicode MS"/>
    </w:rPr>
  </w:style>
  <w:style w:type="character" w:customStyle="1" w:styleId="FooterChar">
    <w:name w:val="Footer Char"/>
    <w:basedOn w:val="DefaultParagraphFont"/>
    <w:link w:val="Footer"/>
    <w:uiPriority w:val="99"/>
    <w:rsid w:val="00701D2B"/>
    <w:rPr>
      <w:rFonts w:ascii="Times New Roman" w:eastAsia="Arial Unicode MS" w:hAnsi="Times New Roman" w:cs="Times New Roman"/>
      <w:lang w:eastAsia="de-DE"/>
    </w:rPr>
  </w:style>
  <w:style w:type="character" w:styleId="PageNumber">
    <w:name w:val="page number"/>
    <w:basedOn w:val="DefaultParagraphFont"/>
    <w:uiPriority w:val="99"/>
    <w:semiHidden/>
    <w:unhideWhenUsed/>
    <w:rsid w:val="00701D2B"/>
  </w:style>
  <w:style w:type="paragraph" w:customStyle="1" w:styleId="textbox">
    <w:name w:val="textbox"/>
    <w:basedOn w:val="Normal"/>
    <w:rsid w:val="00701D2B"/>
    <w:pPr>
      <w:spacing w:before="100" w:beforeAutospacing="1" w:after="100" w:afterAutospacing="1"/>
    </w:pPr>
    <w:rPr>
      <w:rFonts w:eastAsia="Arial Unicode MS"/>
    </w:rPr>
  </w:style>
  <w:style w:type="character" w:customStyle="1" w:styleId="current-selection">
    <w:name w:val="current-selection"/>
    <w:basedOn w:val="DefaultParagraphFont"/>
    <w:rsid w:val="00701D2B"/>
  </w:style>
  <w:style w:type="character" w:customStyle="1" w:styleId="a">
    <w:name w:val="_"/>
    <w:basedOn w:val="DefaultParagraphFont"/>
    <w:rsid w:val="00701D2B"/>
  </w:style>
  <w:style w:type="paragraph" w:styleId="DocumentMap">
    <w:name w:val="Document Map"/>
    <w:basedOn w:val="Normal"/>
    <w:link w:val="DocumentMapChar"/>
    <w:uiPriority w:val="99"/>
    <w:semiHidden/>
    <w:unhideWhenUsed/>
    <w:rsid w:val="00701D2B"/>
  </w:style>
  <w:style w:type="character" w:customStyle="1" w:styleId="DocumentMapChar">
    <w:name w:val="Document Map Char"/>
    <w:basedOn w:val="DefaultParagraphFont"/>
    <w:link w:val="DocumentMap"/>
    <w:uiPriority w:val="99"/>
    <w:semiHidden/>
    <w:rsid w:val="00701D2B"/>
    <w:rPr>
      <w:rFonts w:ascii="Times New Roman" w:eastAsia="Arial Unicode MS" w:hAnsi="Times New Roman" w:cs="Times New Roman"/>
      <w:lang w:eastAsia="de-DE"/>
    </w:rPr>
  </w:style>
  <w:style w:type="character" w:styleId="FollowedHyperlink">
    <w:name w:val="FollowedHyperlink"/>
    <w:basedOn w:val="DefaultParagraphFont"/>
    <w:uiPriority w:val="99"/>
    <w:semiHidden/>
    <w:unhideWhenUsed/>
    <w:rsid w:val="00701D2B"/>
    <w:rPr>
      <w:color w:val="954F72" w:themeColor="followedHyperlink"/>
      <w:u w:val="single"/>
    </w:rPr>
  </w:style>
  <w:style w:type="character" w:customStyle="1" w:styleId="UnresolvedMention1">
    <w:name w:val="Unresolved Mention1"/>
    <w:basedOn w:val="DefaultParagraphFont"/>
    <w:uiPriority w:val="99"/>
    <w:rsid w:val="009B30EE"/>
    <w:rPr>
      <w:color w:val="808080"/>
      <w:shd w:val="clear" w:color="auto" w:fill="E6E6E6"/>
    </w:rPr>
  </w:style>
  <w:style w:type="character" w:customStyle="1" w:styleId="UnresolvedMention2">
    <w:name w:val="Unresolved Mention2"/>
    <w:basedOn w:val="DefaultParagraphFont"/>
    <w:uiPriority w:val="99"/>
    <w:semiHidden/>
    <w:unhideWhenUsed/>
    <w:rsid w:val="00394A16"/>
    <w:rPr>
      <w:color w:val="605E5C"/>
      <w:shd w:val="clear" w:color="auto" w:fill="E1DFDD"/>
    </w:rPr>
  </w:style>
  <w:style w:type="character" w:styleId="LineNumber">
    <w:name w:val="line number"/>
    <w:basedOn w:val="DefaultParagraphFont"/>
    <w:uiPriority w:val="99"/>
    <w:semiHidden/>
    <w:unhideWhenUsed/>
    <w:rsid w:val="00160576"/>
  </w:style>
  <w:style w:type="paragraph" w:customStyle="1" w:styleId="p1">
    <w:name w:val="p1"/>
    <w:basedOn w:val="Normal"/>
    <w:rsid w:val="00C01D35"/>
    <w:pPr>
      <w:spacing w:after="180" w:line="255" w:lineRule="atLeast"/>
    </w:pPr>
    <w:rPr>
      <w:rFonts w:ascii="Arial" w:eastAsia="Calibri" w:hAnsi="Arial"/>
      <w:sz w:val="23"/>
      <w:szCs w:val="23"/>
    </w:rPr>
  </w:style>
  <w:style w:type="table" w:styleId="GridTable5Dark-Accent3">
    <w:name w:val="Grid Table 5 Dark Accent 3"/>
    <w:basedOn w:val="TableNormal"/>
    <w:uiPriority w:val="50"/>
    <w:rsid w:val="009A56C7"/>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customStyle="1" w:styleId="Default">
    <w:name w:val="Default"/>
    <w:rsid w:val="006555B8"/>
    <w:pPr>
      <w:autoSpaceDE w:val="0"/>
      <w:autoSpaceDN w:val="0"/>
      <w:adjustRightInd w:val="0"/>
    </w:pPr>
    <w:rPr>
      <w:rFonts w:ascii="Corbel" w:hAnsi="Corbel" w:cs="Corbel"/>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317889">
      <w:bodyDiv w:val="1"/>
      <w:marLeft w:val="0"/>
      <w:marRight w:val="0"/>
      <w:marTop w:val="0"/>
      <w:marBottom w:val="0"/>
      <w:divBdr>
        <w:top w:val="none" w:sz="0" w:space="0" w:color="auto"/>
        <w:left w:val="none" w:sz="0" w:space="0" w:color="auto"/>
        <w:bottom w:val="none" w:sz="0" w:space="0" w:color="auto"/>
        <w:right w:val="none" w:sz="0" w:space="0" w:color="auto"/>
      </w:divBdr>
    </w:div>
    <w:div w:id="39476185">
      <w:bodyDiv w:val="1"/>
      <w:marLeft w:val="0"/>
      <w:marRight w:val="0"/>
      <w:marTop w:val="0"/>
      <w:marBottom w:val="0"/>
      <w:divBdr>
        <w:top w:val="none" w:sz="0" w:space="0" w:color="auto"/>
        <w:left w:val="none" w:sz="0" w:space="0" w:color="auto"/>
        <w:bottom w:val="none" w:sz="0" w:space="0" w:color="auto"/>
        <w:right w:val="none" w:sz="0" w:space="0" w:color="auto"/>
      </w:divBdr>
    </w:div>
    <w:div w:id="93869365">
      <w:bodyDiv w:val="1"/>
      <w:marLeft w:val="0"/>
      <w:marRight w:val="0"/>
      <w:marTop w:val="0"/>
      <w:marBottom w:val="0"/>
      <w:divBdr>
        <w:top w:val="none" w:sz="0" w:space="0" w:color="auto"/>
        <w:left w:val="none" w:sz="0" w:space="0" w:color="auto"/>
        <w:bottom w:val="none" w:sz="0" w:space="0" w:color="auto"/>
        <w:right w:val="none" w:sz="0" w:space="0" w:color="auto"/>
      </w:divBdr>
    </w:div>
    <w:div w:id="215509807">
      <w:bodyDiv w:val="1"/>
      <w:marLeft w:val="0"/>
      <w:marRight w:val="0"/>
      <w:marTop w:val="0"/>
      <w:marBottom w:val="0"/>
      <w:divBdr>
        <w:top w:val="none" w:sz="0" w:space="0" w:color="auto"/>
        <w:left w:val="none" w:sz="0" w:space="0" w:color="auto"/>
        <w:bottom w:val="none" w:sz="0" w:space="0" w:color="auto"/>
        <w:right w:val="none" w:sz="0" w:space="0" w:color="auto"/>
      </w:divBdr>
    </w:div>
    <w:div w:id="327560904">
      <w:bodyDiv w:val="1"/>
      <w:marLeft w:val="0"/>
      <w:marRight w:val="0"/>
      <w:marTop w:val="0"/>
      <w:marBottom w:val="0"/>
      <w:divBdr>
        <w:top w:val="none" w:sz="0" w:space="0" w:color="auto"/>
        <w:left w:val="none" w:sz="0" w:space="0" w:color="auto"/>
        <w:bottom w:val="none" w:sz="0" w:space="0" w:color="auto"/>
        <w:right w:val="none" w:sz="0" w:space="0" w:color="auto"/>
      </w:divBdr>
    </w:div>
    <w:div w:id="330066314">
      <w:bodyDiv w:val="1"/>
      <w:marLeft w:val="0"/>
      <w:marRight w:val="0"/>
      <w:marTop w:val="0"/>
      <w:marBottom w:val="0"/>
      <w:divBdr>
        <w:top w:val="none" w:sz="0" w:space="0" w:color="auto"/>
        <w:left w:val="none" w:sz="0" w:space="0" w:color="auto"/>
        <w:bottom w:val="none" w:sz="0" w:space="0" w:color="auto"/>
        <w:right w:val="none" w:sz="0" w:space="0" w:color="auto"/>
      </w:divBdr>
    </w:div>
    <w:div w:id="390231351">
      <w:bodyDiv w:val="1"/>
      <w:marLeft w:val="0"/>
      <w:marRight w:val="0"/>
      <w:marTop w:val="0"/>
      <w:marBottom w:val="0"/>
      <w:divBdr>
        <w:top w:val="none" w:sz="0" w:space="0" w:color="auto"/>
        <w:left w:val="none" w:sz="0" w:space="0" w:color="auto"/>
        <w:bottom w:val="none" w:sz="0" w:space="0" w:color="auto"/>
        <w:right w:val="none" w:sz="0" w:space="0" w:color="auto"/>
      </w:divBdr>
    </w:div>
    <w:div w:id="431121993">
      <w:bodyDiv w:val="1"/>
      <w:marLeft w:val="0"/>
      <w:marRight w:val="0"/>
      <w:marTop w:val="0"/>
      <w:marBottom w:val="0"/>
      <w:divBdr>
        <w:top w:val="none" w:sz="0" w:space="0" w:color="auto"/>
        <w:left w:val="none" w:sz="0" w:space="0" w:color="auto"/>
        <w:bottom w:val="none" w:sz="0" w:space="0" w:color="auto"/>
        <w:right w:val="none" w:sz="0" w:space="0" w:color="auto"/>
      </w:divBdr>
    </w:div>
    <w:div w:id="467363978">
      <w:bodyDiv w:val="1"/>
      <w:marLeft w:val="0"/>
      <w:marRight w:val="0"/>
      <w:marTop w:val="0"/>
      <w:marBottom w:val="0"/>
      <w:divBdr>
        <w:top w:val="none" w:sz="0" w:space="0" w:color="auto"/>
        <w:left w:val="none" w:sz="0" w:space="0" w:color="auto"/>
        <w:bottom w:val="none" w:sz="0" w:space="0" w:color="auto"/>
        <w:right w:val="none" w:sz="0" w:space="0" w:color="auto"/>
      </w:divBdr>
    </w:div>
    <w:div w:id="514728353">
      <w:bodyDiv w:val="1"/>
      <w:marLeft w:val="0"/>
      <w:marRight w:val="0"/>
      <w:marTop w:val="0"/>
      <w:marBottom w:val="0"/>
      <w:divBdr>
        <w:top w:val="none" w:sz="0" w:space="0" w:color="auto"/>
        <w:left w:val="none" w:sz="0" w:space="0" w:color="auto"/>
        <w:bottom w:val="none" w:sz="0" w:space="0" w:color="auto"/>
        <w:right w:val="none" w:sz="0" w:space="0" w:color="auto"/>
      </w:divBdr>
    </w:div>
    <w:div w:id="570237648">
      <w:bodyDiv w:val="1"/>
      <w:marLeft w:val="0"/>
      <w:marRight w:val="0"/>
      <w:marTop w:val="0"/>
      <w:marBottom w:val="0"/>
      <w:divBdr>
        <w:top w:val="none" w:sz="0" w:space="0" w:color="auto"/>
        <w:left w:val="none" w:sz="0" w:space="0" w:color="auto"/>
        <w:bottom w:val="none" w:sz="0" w:space="0" w:color="auto"/>
        <w:right w:val="none" w:sz="0" w:space="0" w:color="auto"/>
      </w:divBdr>
    </w:div>
    <w:div w:id="586571597">
      <w:bodyDiv w:val="1"/>
      <w:marLeft w:val="0"/>
      <w:marRight w:val="0"/>
      <w:marTop w:val="0"/>
      <w:marBottom w:val="0"/>
      <w:divBdr>
        <w:top w:val="none" w:sz="0" w:space="0" w:color="auto"/>
        <w:left w:val="none" w:sz="0" w:space="0" w:color="auto"/>
        <w:bottom w:val="none" w:sz="0" w:space="0" w:color="auto"/>
        <w:right w:val="none" w:sz="0" w:space="0" w:color="auto"/>
      </w:divBdr>
    </w:div>
    <w:div w:id="617101088">
      <w:bodyDiv w:val="1"/>
      <w:marLeft w:val="0"/>
      <w:marRight w:val="0"/>
      <w:marTop w:val="0"/>
      <w:marBottom w:val="0"/>
      <w:divBdr>
        <w:top w:val="none" w:sz="0" w:space="0" w:color="auto"/>
        <w:left w:val="none" w:sz="0" w:space="0" w:color="auto"/>
        <w:bottom w:val="none" w:sz="0" w:space="0" w:color="auto"/>
        <w:right w:val="none" w:sz="0" w:space="0" w:color="auto"/>
      </w:divBdr>
    </w:div>
    <w:div w:id="790784858">
      <w:bodyDiv w:val="1"/>
      <w:marLeft w:val="0"/>
      <w:marRight w:val="0"/>
      <w:marTop w:val="0"/>
      <w:marBottom w:val="0"/>
      <w:divBdr>
        <w:top w:val="none" w:sz="0" w:space="0" w:color="auto"/>
        <w:left w:val="none" w:sz="0" w:space="0" w:color="auto"/>
        <w:bottom w:val="none" w:sz="0" w:space="0" w:color="auto"/>
        <w:right w:val="none" w:sz="0" w:space="0" w:color="auto"/>
      </w:divBdr>
    </w:div>
    <w:div w:id="816991238">
      <w:bodyDiv w:val="1"/>
      <w:marLeft w:val="0"/>
      <w:marRight w:val="0"/>
      <w:marTop w:val="0"/>
      <w:marBottom w:val="0"/>
      <w:divBdr>
        <w:top w:val="none" w:sz="0" w:space="0" w:color="auto"/>
        <w:left w:val="none" w:sz="0" w:space="0" w:color="auto"/>
        <w:bottom w:val="none" w:sz="0" w:space="0" w:color="auto"/>
        <w:right w:val="none" w:sz="0" w:space="0" w:color="auto"/>
      </w:divBdr>
    </w:div>
    <w:div w:id="861548588">
      <w:bodyDiv w:val="1"/>
      <w:marLeft w:val="0"/>
      <w:marRight w:val="0"/>
      <w:marTop w:val="0"/>
      <w:marBottom w:val="0"/>
      <w:divBdr>
        <w:top w:val="none" w:sz="0" w:space="0" w:color="auto"/>
        <w:left w:val="none" w:sz="0" w:space="0" w:color="auto"/>
        <w:bottom w:val="none" w:sz="0" w:space="0" w:color="auto"/>
        <w:right w:val="none" w:sz="0" w:space="0" w:color="auto"/>
      </w:divBdr>
      <w:divsChild>
        <w:div w:id="2094273876">
          <w:marLeft w:val="0"/>
          <w:marRight w:val="0"/>
          <w:marTop w:val="0"/>
          <w:marBottom w:val="0"/>
          <w:divBdr>
            <w:top w:val="none" w:sz="0" w:space="0" w:color="auto"/>
            <w:left w:val="none" w:sz="0" w:space="0" w:color="auto"/>
            <w:bottom w:val="none" w:sz="0" w:space="0" w:color="auto"/>
            <w:right w:val="none" w:sz="0" w:space="0" w:color="auto"/>
          </w:divBdr>
          <w:divsChild>
            <w:div w:id="2053000014">
              <w:marLeft w:val="0"/>
              <w:marRight w:val="0"/>
              <w:marTop w:val="0"/>
              <w:marBottom w:val="0"/>
              <w:divBdr>
                <w:top w:val="none" w:sz="0" w:space="0" w:color="auto"/>
                <w:left w:val="none" w:sz="0" w:space="0" w:color="auto"/>
                <w:bottom w:val="none" w:sz="0" w:space="0" w:color="auto"/>
                <w:right w:val="none" w:sz="0" w:space="0" w:color="auto"/>
              </w:divBdr>
              <w:divsChild>
                <w:div w:id="1717270242">
                  <w:marLeft w:val="0"/>
                  <w:marRight w:val="0"/>
                  <w:marTop w:val="0"/>
                  <w:marBottom w:val="0"/>
                  <w:divBdr>
                    <w:top w:val="none" w:sz="0" w:space="0" w:color="auto"/>
                    <w:left w:val="none" w:sz="0" w:space="0" w:color="auto"/>
                    <w:bottom w:val="none" w:sz="0" w:space="0" w:color="auto"/>
                    <w:right w:val="none" w:sz="0" w:space="0" w:color="auto"/>
                  </w:divBdr>
                  <w:divsChild>
                    <w:div w:id="1923641635">
                      <w:marLeft w:val="0"/>
                      <w:marRight w:val="0"/>
                      <w:marTop w:val="0"/>
                      <w:marBottom w:val="0"/>
                      <w:divBdr>
                        <w:top w:val="none" w:sz="0" w:space="0" w:color="auto"/>
                        <w:left w:val="none" w:sz="0" w:space="0" w:color="auto"/>
                        <w:bottom w:val="none" w:sz="0" w:space="0" w:color="auto"/>
                        <w:right w:val="none" w:sz="0" w:space="0" w:color="auto"/>
                      </w:divBdr>
                      <w:divsChild>
                        <w:div w:id="1520194535">
                          <w:marLeft w:val="0"/>
                          <w:marRight w:val="0"/>
                          <w:marTop w:val="0"/>
                          <w:marBottom w:val="0"/>
                          <w:divBdr>
                            <w:top w:val="none" w:sz="0" w:space="0" w:color="auto"/>
                            <w:left w:val="none" w:sz="0" w:space="0" w:color="auto"/>
                            <w:bottom w:val="none" w:sz="0" w:space="0" w:color="auto"/>
                            <w:right w:val="none" w:sz="0" w:space="0" w:color="auto"/>
                          </w:divBdr>
                          <w:divsChild>
                            <w:div w:id="837231033">
                              <w:marLeft w:val="0"/>
                              <w:marRight w:val="0"/>
                              <w:marTop w:val="0"/>
                              <w:marBottom w:val="0"/>
                              <w:divBdr>
                                <w:top w:val="none" w:sz="0" w:space="0" w:color="auto"/>
                                <w:left w:val="none" w:sz="0" w:space="0" w:color="auto"/>
                                <w:bottom w:val="none" w:sz="0" w:space="0" w:color="auto"/>
                                <w:right w:val="none" w:sz="0" w:space="0" w:color="auto"/>
                              </w:divBdr>
                              <w:divsChild>
                                <w:div w:id="1298292500">
                                  <w:marLeft w:val="0"/>
                                  <w:marRight w:val="0"/>
                                  <w:marTop w:val="0"/>
                                  <w:marBottom w:val="0"/>
                                  <w:divBdr>
                                    <w:top w:val="none" w:sz="0" w:space="0" w:color="auto"/>
                                    <w:left w:val="none" w:sz="0" w:space="0" w:color="auto"/>
                                    <w:bottom w:val="none" w:sz="0" w:space="0" w:color="auto"/>
                                    <w:right w:val="none" w:sz="0" w:space="0" w:color="auto"/>
                                  </w:divBdr>
                                  <w:divsChild>
                                    <w:div w:id="898593405">
                                      <w:marLeft w:val="0"/>
                                      <w:marRight w:val="0"/>
                                      <w:marTop w:val="0"/>
                                      <w:marBottom w:val="0"/>
                                      <w:divBdr>
                                        <w:top w:val="none" w:sz="0" w:space="0" w:color="auto"/>
                                        <w:left w:val="none" w:sz="0" w:space="0" w:color="auto"/>
                                        <w:bottom w:val="none" w:sz="0" w:space="0" w:color="auto"/>
                                        <w:right w:val="none" w:sz="0" w:space="0" w:color="auto"/>
                                      </w:divBdr>
                                      <w:divsChild>
                                        <w:div w:id="204215979">
                                          <w:marLeft w:val="0"/>
                                          <w:marRight w:val="0"/>
                                          <w:marTop w:val="0"/>
                                          <w:marBottom w:val="0"/>
                                          <w:divBdr>
                                            <w:top w:val="none" w:sz="0" w:space="0" w:color="auto"/>
                                            <w:left w:val="none" w:sz="0" w:space="0" w:color="auto"/>
                                            <w:bottom w:val="none" w:sz="0" w:space="0" w:color="auto"/>
                                            <w:right w:val="none" w:sz="0" w:space="0" w:color="auto"/>
                                          </w:divBdr>
                                          <w:divsChild>
                                            <w:div w:id="1128279801">
                                              <w:marLeft w:val="0"/>
                                              <w:marRight w:val="0"/>
                                              <w:marTop w:val="0"/>
                                              <w:marBottom w:val="0"/>
                                              <w:divBdr>
                                                <w:top w:val="none" w:sz="0" w:space="0" w:color="auto"/>
                                                <w:left w:val="none" w:sz="0" w:space="0" w:color="auto"/>
                                                <w:bottom w:val="none" w:sz="0" w:space="0" w:color="auto"/>
                                                <w:right w:val="none" w:sz="0" w:space="0" w:color="auto"/>
                                              </w:divBdr>
                                              <w:divsChild>
                                                <w:div w:id="840774157">
                                                  <w:marLeft w:val="0"/>
                                                  <w:marRight w:val="0"/>
                                                  <w:marTop w:val="0"/>
                                                  <w:marBottom w:val="0"/>
                                                  <w:divBdr>
                                                    <w:top w:val="none" w:sz="0" w:space="0" w:color="auto"/>
                                                    <w:left w:val="none" w:sz="0" w:space="0" w:color="auto"/>
                                                    <w:bottom w:val="none" w:sz="0" w:space="0" w:color="auto"/>
                                                    <w:right w:val="none" w:sz="0" w:space="0" w:color="auto"/>
                                                  </w:divBdr>
                                                  <w:divsChild>
                                                    <w:div w:id="696002631">
                                                      <w:marLeft w:val="0"/>
                                                      <w:marRight w:val="0"/>
                                                      <w:marTop w:val="0"/>
                                                      <w:marBottom w:val="0"/>
                                                      <w:divBdr>
                                                        <w:top w:val="none" w:sz="0" w:space="0" w:color="auto"/>
                                                        <w:left w:val="none" w:sz="0" w:space="0" w:color="auto"/>
                                                        <w:bottom w:val="none" w:sz="0" w:space="0" w:color="auto"/>
                                                        <w:right w:val="none" w:sz="0" w:space="0" w:color="auto"/>
                                                      </w:divBdr>
                                                      <w:divsChild>
                                                        <w:div w:id="468205393">
                                                          <w:marLeft w:val="0"/>
                                                          <w:marRight w:val="0"/>
                                                          <w:marTop w:val="0"/>
                                                          <w:marBottom w:val="0"/>
                                                          <w:divBdr>
                                                            <w:top w:val="none" w:sz="0" w:space="0" w:color="auto"/>
                                                            <w:left w:val="none" w:sz="0" w:space="0" w:color="auto"/>
                                                            <w:bottom w:val="none" w:sz="0" w:space="0" w:color="auto"/>
                                                            <w:right w:val="none" w:sz="0" w:space="0" w:color="auto"/>
                                                          </w:divBdr>
                                                          <w:divsChild>
                                                            <w:div w:id="763889201">
                                                              <w:marLeft w:val="0"/>
                                                              <w:marRight w:val="150"/>
                                                              <w:marTop w:val="0"/>
                                                              <w:marBottom w:val="150"/>
                                                              <w:divBdr>
                                                                <w:top w:val="none" w:sz="0" w:space="0" w:color="auto"/>
                                                                <w:left w:val="none" w:sz="0" w:space="0" w:color="auto"/>
                                                                <w:bottom w:val="none" w:sz="0" w:space="0" w:color="auto"/>
                                                                <w:right w:val="none" w:sz="0" w:space="0" w:color="auto"/>
                                                              </w:divBdr>
                                                              <w:divsChild>
                                                                <w:div w:id="1433159072">
                                                                  <w:marLeft w:val="0"/>
                                                                  <w:marRight w:val="0"/>
                                                                  <w:marTop w:val="0"/>
                                                                  <w:marBottom w:val="0"/>
                                                                  <w:divBdr>
                                                                    <w:top w:val="none" w:sz="0" w:space="0" w:color="auto"/>
                                                                    <w:left w:val="none" w:sz="0" w:space="0" w:color="auto"/>
                                                                    <w:bottom w:val="none" w:sz="0" w:space="0" w:color="auto"/>
                                                                    <w:right w:val="none" w:sz="0" w:space="0" w:color="auto"/>
                                                                  </w:divBdr>
                                                                  <w:divsChild>
                                                                    <w:div w:id="2079210129">
                                                                      <w:marLeft w:val="0"/>
                                                                      <w:marRight w:val="0"/>
                                                                      <w:marTop w:val="0"/>
                                                                      <w:marBottom w:val="0"/>
                                                                      <w:divBdr>
                                                                        <w:top w:val="none" w:sz="0" w:space="0" w:color="auto"/>
                                                                        <w:left w:val="none" w:sz="0" w:space="0" w:color="auto"/>
                                                                        <w:bottom w:val="none" w:sz="0" w:space="0" w:color="auto"/>
                                                                        <w:right w:val="none" w:sz="0" w:space="0" w:color="auto"/>
                                                                      </w:divBdr>
                                                                      <w:divsChild>
                                                                        <w:div w:id="1085148090">
                                                                          <w:marLeft w:val="0"/>
                                                                          <w:marRight w:val="0"/>
                                                                          <w:marTop w:val="0"/>
                                                                          <w:marBottom w:val="0"/>
                                                                          <w:divBdr>
                                                                            <w:top w:val="none" w:sz="0" w:space="0" w:color="auto"/>
                                                                            <w:left w:val="none" w:sz="0" w:space="0" w:color="auto"/>
                                                                            <w:bottom w:val="none" w:sz="0" w:space="0" w:color="auto"/>
                                                                            <w:right w:val="none" w:sz="0" w:space="0" w:color="auto"/>
                                                                          </w:divBdr>
                                                                          <w:divsChild>
                                                                            <w:div w:id="1630668428">
                                                                              <w:marLeft w:val="0"/>
                                                                              <w:marRight w:val="0"/>
                                                                              <w:marTop w:val="0"/>
                                                                              <w:marBottom w:val="0"/>
                                                                              <w:divBdr>
                                                                                <w:top w:val="none" w:sz="0" w:space="0" w:color="auto"/>
                                                                                <w:left w:val="none" w:sz="0" w:space="0" w:color="auto"/>
                                                                                <w:bottom w:val="none" w:sz="0" w:space="0" w:color="auto"/>
                                                                                <w:right w:val="none" w:sz="0" w:space="0" w:color="auto"/>
                                                                              </w:divBdr>
                                                                              <w:divsChild>
                                                                                <w:div w:id="1786189071">
                                                                                  <w:marLeft w:val="0"/>
                                                                                  <w:marRight w:val="0"/>
                                                                                  <w:marTop w:val="0"/>
                                                                                  <w:marBottom w:val="0"/>
                                                                                  <w:divBdr>
                                                                                    <w:top w:val="none" w:sz="0" w:space="0" w:color="auto"/>
                                                                                    <w:left w:val="none" w:sz="0" w:space="0" w:color="auto"/>
                                                                                    <w:bottom w:val="none" w:sz="0" w:space="0" w:color="auto"/>
                                                                                    <w:right w:val="none" w:sz="0" w:space="0" w:color="auto"/>
                                                                                  </w:divBdr>
                                                                                  <w:divsChild>
                                                                                    <w:div w:id="1308824360">
                                                                                      <w:marLeft w:val="0"/>
                                                                                      <w:marRight w:val="0"/>
                                                                                      <w:marTop w:val="0"/>
                                                                                      <w:marBottom w:val="0"/>
                                                                                      <w:divBdr>
                                                                                        <w:top w:val="none" w:sz="0" w:space="0" w:color="auto"/>
                                                                                        <w:left w:val="none" w:sz="0" w:space="0" w:color="auto"/>
                                                                                        <w:bottom w:val="none" w:sz="0" w:space="0" w:color="auto"/>
                                                                                        <w:right w:val="none" w:sz="0" w:space="0" w:color="auto"/>
                                                                                      </w:divBdr>
                                                                                    </w:div>
                                                                                    <w:div w:id="1847792240">
                                                                                      <w:marLeft w:val="0"/>
                                                                                      <w:marRight w:val="0"/>
                                                                                      <w:marTop w:val="0"/>
                                                                                      <w:marBottom w:val="0"/>
                                                                                      <w:divBdr>
                                                                                        <w:top w:val="none" w:sz="0" w:space="0" w:color="auto"/>
                                                                                        <w:left w:val="none" w:sz="0" w:space="0" w:color="auto"/>
                                                                                        <w:bottom w:val="none" w:sz="0" w:space="0" w:color="auto"/>
                                                                                        <w:right w:val="none" w:sz="0" w:space="0" w:color="auto"/>
                                                                                      </w:divBdr>
                                                                                    </w:div>
                                                                                    <w:div w:id="1366902197">
                                                                                      <w:marLeft w:val="0"/>
                                                                                      <w:marRight w:val="0"/>
                                                                                      <w:marTop w:val="0"/>
                                                                                      <w:marBottom w:val="0"/>
                                                                                      <w:divBdr>
                                                                                        <w:top w:val="none" w:sz="0" w:space="0" w:color="auto"/>
                                                                                        <w:left w:val="none" w:sz="0" w:space="0" w:color="auto"/>
                                                                                        <w:bottom w:val="none" w:sz="0" w:space="0" w:color="auto"/>
                                                                                        <w:right w:val="none" w:sz="0" w:space="0" w:color="auto"/>
                                                                                      </w:divBdr>
                                                                                    </w:div>
                                                                                    <w:div w:id="1058626285">
                                                                                      <w:marLeft w:val="0"/>
                                                                                      <w:marRight w:val="0"/>
                                                                                      <w:marTop w:val="0"/>
                                                                                      <w:marBottom w:val="0"/>
                                                                                      <w:divBdr>
                                                                                        <w:top w:val="none" w:sz="0" w:space="0" w:color="auto"/>
                                                                                        <w:left w:val="none" w:sz="0" w:space="0" w:color="auto"/>
                                                                                        <w:bottom w:val="none" w:sz="0" w:space="0" w:color="auto"/>
                                                                                        <w:right w:val="none" w:sz="0" w:space="0" w:color="auto"/>
                                                                                      </w:divBdr>
                                                                                    </w:div>
                                                                                    <w:div w:id="1802309256">
                                                                                      <w:marLeft w:val="0"/>
                                                                                      <w:marRight w:val="0"/>
                                                                                      <w:marTop w:val="0"/>
                                                                                      <w:marBottom w:val="0"/>
                                                                                      <w:divBdr>
                                                                                        <w:top w:val="none" w:sz="0" w:space="0" w:color="auto"/>
                                                                                        <w:left w:val="none" w:sz="0" w:space="0" w:color="auto"/>
                                                                                        <w:bottom w:val="none" w:sz="0" w:space="0" w:color="auto"/>
                                                                                        <w:right w:val="none" w:sz="0" w:space="0" w:color="auto"/>
                                                                                      </w:divBdr>
                                                                                    </w:div>
                                                                                    <w:div w:id="2143842426">
                                                                                      <w:marLeft w:val="0"/>
                                                                                      <w:marRight w:val="0"/>
                                                                                      <w:marTop w:val="0"/>
                                                                                      <w:marBottom w:val="0"/>
                                                                                      <w:divBdr>
                                                                                        <w:top w:val="none" w:sz="0" w:space="0" w:color="auto"/>
                                                                                        <w:left w:val="none" w:sz="0" w:space="0" w:color="auto"/>
                                                                                        <w:bottom w:val="none" w:sz="0" w:space="0" w:color="auto"/>
                                                                                        <w:right w:val="none" w:sz="0" w:space="0" w:color="auto"/>
                                                                                      </w:divBdr>
                                                                                    </w:div>
                                                                                    <w:div w:id="323316795">
                                                                                      <w:marLeft w:val="0"/>
                                                                                      <w:marRight w:val="0"/>
                                                                                      <w:marTop w:val="0"/>
                                                                                      <w:marBottom w:val="0"/>
                                                                                      <w:divBdr>
                                                                                        <w:top w:val="none" w:sz="0" w:space="0" w:color="auto"/>
                                                                                        <w:left w:val="none" w:sz="0" w:space="0" w:color="auto"/>
                                                                                        <w:bottom w:val="none" w:sz="0" w:space="0" w:color="auto"/>
                                                                                        <w:right w:val="none" w:sz="0" w:space="0" w:color="auto"/>
                                                                                      </w:divBdr>
                                                                                    </w:div>
                                                                                    <w:div w:id="862940769">
                                                                                      <w:marLeft w:val="0"/>
                                                                                      <w:marRight w:val="0"/>
                                                                                      <w:marTop w:val="0"/>
                                                                                      <w:marBottom w:val="0"/>
                                                                                      <w:divBdr>
                                                                                        <w:top w:val="none" w:sz="0" w:space="0" w:color="auto"/>
                                                                                        <w:left w:val="none" w:sz="0" w:space="0" w:color="auto"/>
                                                                                        <w:bottom w:val="none" w:sz="0" w:space="0" w:color="auto"/>
                                                                                        <w:right w:val="none" w:sz="0" w:space="0" w:color="auto"/>
                                                                                      </w:divBdr>
                                                                                    </w:div>
                                                                                    <w:div w:id="770930014">
                                                                                      <w:marLeft w:val="0"/>
                                                                                      <w:marRight w:val="0"/>
                                                                                      <w:marTop w:val="0"/>
                                                                                      <w:marBottom w:val="0"/>
                                                                                      <w:divBdr>
                                                                                        <w:top w:val="none" w:sz="0" w:space="0" w:color="auto"/>
                                                                                        <w:left w:val="none" w:sz="0" w:space="0" w:color="auto"/>
                                                                                        <w:bottom w:val="none" w:sz="0" w:space="0" w:color="auto"/>
                                                                                        <w:right w:val="none" w:sz="0" w:space="0" w:color="auto"/>
                                                                                      </w:divBdr>
                                                                                    </w:div>
                                                                                    <w:div w:id="1336035682">
                                                                                      <w:marLeft w:val="0"/>
                                                                                      <w:marRight w:val="0"/>
                                                                                      <w:marTop w:val="0"/>
                                                                                      <w:marBottom w:val="0"/>
                                                                                      <w:divBdr>
                                                                                        <w:top w:val="none" w:sz="0" w:space="0" w:color="auto"/>
                                                                                        <w:left w:val="none" w:sz="0" w:space="0" w:color="auto"/>
                                                                                        <w:bottom w:val="none" w:sz="0" w:space="0" w:color="auto"/>
                                                                                        <w:right w:val="none" w:sz="0" w:space="0" w:color="auto"/>
                                                                                      </w:divBdr>
                                                                                    </w:div>
                                                                                    <w:div w:id="1659728546">
                                                                                      <w:marLeft w:val="0"/>
                                                                                      <w:marRight w:val="0"/>
                                                                                      <w:marTop w:val="0"/>
                                                                                      <w:marBottom w:val="0"/>
                                                                                      <w:divBdr>
                                                                                        <w:top w:val="none" w:sz="0" w:space="0" w:color="auto"/>
                                                                                        <w:left w:val="none" w:sz="0" w:space="0" w:color="auto"/>
                                                                                        <w:bottom w:val="none" w:sz="0" w:space="0" w:color="auto"/>
                                                                                        <w:right w:val="none" w:sz="0" w:space="0" w:color="auto"/>
                                                                                      </w:divBdr>
                                                                                    </w:div>
                                                                                    <w:div w:id="1331788822">
                                                                                      <w:marLeft w:val="0"/>
                                                                                      <w:marRight w:val="0"/>
                                                                                      <w:marTop w:val="0"/>
                                                                                      <w:marBottom w:val="0"/>
                                                                                      <w:divBdr>
                                                                                        <w:top w:val="none" w:sz="0" w:space="0" w:color="auto"/>
                                                                                        <w:left w:val="none" w:sz="0" w:space="0" w:color="auto"/>
                                                                                        <w:bottom w:val="none" w:sz="0" w:space="0" w:color="auto"/>
                                                                                        <w:right w:val="none" w:sz="0" w:space="0" w:color="auto"/>
                                                                                      </w:divBdr>
                                                                                    </w:div>
                                                                                    <w:div w:id="230849293">
                                                                                      <w:marLeft w:val="0"/>
                                                                                      <w:marRight w:val="0"/>
                                                                                      <w:marTop w:val="0"/>
                                                                                      <w:marBottom w:val="0"/>
                                                                                      <w:divBdr>
                                                                                        <w:top w:val="none" w:sz="0" w:space="0" w:color="auto"/>
                                                                                        <w:left w:val="none" w:sz="0" w:space="0" w:color="auto"/>
                                                                                        <w:bottom w:val="none" w:sz="0" w:space="0" w:color="auto"/>
                                                                                        <w:right w:val="none" w:sz="0" w:space="0" w:color="auto"/>
                                                                                      </w:divBdr>
                                                                                    </w:div>
                                                                                    <w:div w:id="1169564989">
                                                                                      <w:marLeft w:val="0"/>
                                                                                      <w:marRight w:val="0"/>
                                                                                      <w:marTop w:val="0"/>
                                                                                      <w:marBottom w:val="0"/>
                                                                                      <w:divBdr>
                                                                                        <w:top w:val="none" w:sz="0" w:space="0" w:color="auto"/>
                                                                                        <w:left w:val="none" w:sz="0" w:space="0" w:color="auto"/>
                                                                                        <w:bottom w:val="none" w:sz="0" w:space="0" w:color="auto"/>
                                                                                        <w:right w:val="none" w:sz="0" w:space="0" w:color="auto"/>
                                                                                      </w:divBdr>
                                                                                    </w:div>
                                                                                    <w:div w:id="399182342">
                                                                                      <w:marLeft w:val="0"/>
                                                                                      <w:marRight w:val="0"/>
                                                                                      <w:marTop w:val="0"/>
                                                                                      <w:marBottom w:val="0"/>
                                                                                      <w:divBdr>
                                                                                        <w:top w:val="none" w:sz="0" w:space="0" w:color="auto"/>
                                                                                        <w:left w:val="none" w:sz="0" w:space="0" w:color="auto"/>
                                                                                        <w:bottom w:val="none" w:sz="0" w:space="0" w:color="auto"/>
                                                                                        <w:right w:val="none" w:sz="0" w:space="0" w:color="auto"/>
                                                                                      </w:divBdr>
                                                                                    </w:div>
                                                                                    <w:div w:id="349572110">
                                                                                      <w:marLeft w:val="0"/>
                                                                                      <w:marRight w:val="0"/>
                                                                                      <w:marTop w:val="0"/>
                                                                                      <w:marBottom w:val="0"/>
                                                                                      <w:divBdr>
                                                                                        <w:top w:val="none" w:sz="0" w:space="0" w:color="auto"/>
                                                                                        <w:left w:val="none" w:sz="0" w:space="0" w:color="auto"/>
                                                                                        <w:bottom w:val="none" w:sz="0" w:space="0" w:color="auto"/>
                                                                                        <w:right w:val="none" w:sz="0" w:space="0" w:color="auto"/>
                                                                                      </w:divBdr>
                                                                                    </w:div>
                                                                                    <w:div w:id="30554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3320904">
      <w:bodyDiv w:val="1"/>
      <w:marLeft w:val="0"/>
      <w:marRight w:val="0"/>
      <w:marTop w:val="0"/>
      <w:marBottom w:val="0"/>
      <w:divBdr>
        <w:top w:val="none" w:sz="0" w:space="0" w:color="auto"/>
        <w:left w:val="none" w:sz="0" w:space="0" w:color="auto"/>
        <w:bottom w:val="none" w:sz="0" w:space="0" w:color="auto"/>
        <w:right w:val="none" w:sz="0" w:space="0" w:color="auto"/>
      </w:divBdr>
    </w:div>
    <w:div w:id="998850069">
      <w:bodyDiv w:val="1"/>
      <w:marLeft w:val="0"/>
      <w:marRight w:val="0"/>
      <w:marTop w:val="0"/>
      <w:marBottom w:val="0"/>
      <w:divBdr>
        <w:top w:val="none" w:sz="0" w:space="0" w:color="auto"/>
        <w:left w:val="none" w:sz="0" w:space="0" w:color="auto"/>
        <w:bottom w:val="none" w:sz="0" w:space="0" w:color="auto"/>
        <w:right w:val="none" w:sz="0" w:space="0" w:color="auto"/>
      </w:divBdr>
    </w:div>
    <w:div w:id="1129206533">
      <w:bodyDiv w:val="1"/>
      <w:marLeft w:val="0"/>
      <w:marRight w:val="0"/>
      <w:marTop w:val="0"/>
      <w:marBottom w:val="0"/>
      <w:divBdr>
        <w:top w:val="none" w:sz="0" w:space="0" w:color="auto"/>
        <w:left w:val="none" w:sz="0" w:space="0" w:color="auto"/>
        <w:bottom w:val="none" w:sz="0" w:space="0" w:color="auto"/>
        <w:right w:val="none" w:sz="0" w:space="0" w:color="auto"/>
      </w:divBdr>
    </w:div>
    <w:div w:id="1183083387">
      <w:bodyDiv w:val="1"/>
      <w:marLeft w:val="0"/>
      <w:marRight w:val="0"/>
      <w:marTop w:val="0"/>
      <w:marBottom w:val="0"/>
      <w:divBdr>
        <w:top w:val="none" w:sz="0" w:space="0" w:color="auto"/>
        <w:left w:val="none" w:sz="0" w:space="0" w:color="auto"/>
        <w:bottom w:val="none" w:sz="0" w:space="0" w:color="auto"/>
        <w:right w:val="none" w:sz="0" w:space="0" w:color="auto"/>
      </w:divBdr>
    </w:div>
    <w:div w:id="1184903976">
      <w:bodyDiv w:val="1"/>
      <w:marLeft w:val="0"/>
      <w:marRight w:val="0"/>
      <w:marTop w:val="0"/>
      <w:marBottom w:val="0"/>
      <w:divBdr>
        <w:top w:val="none" w:sz="0" w:space="0" w:color="auto"/>
        <w:left w:val="none" w:sz="0" w:space="0" w:color="auto"/>
        <w:bottom w:val="none" w:sz="0" w:space="0" w:color="auto"/>
        <w:right w:val="none" w:sz="0" w:space="0" w:color="auto"/>
      </w:divBdr>
    </w:div>
    <w:div w:id="1320841472">
      <w:bodyDiv w:val="1"/>
      <w:marLeft w:val="0"/>
      <w:marRight w:val="0"/>
      <w:marTop w:val="0"/>
      <w:marBottom w:val="0"/>
      <w:divBdr>
        <w:top w:val="none" w:sz="0" w:space="0" w:color="auto"/>
        <w:left w:val="none" w:sz="0" w:space="0" w:color="auto"/>
        <w:bottom w:val="none" w:sz="0" w:space="0" w:color="auto"/>
        <w:right w:val="none" w:sz="0" w:space="0" w:color="auto"/>
      </w:divBdr>
    </w:div>
    <w:div w:id="1328633622">
      <w:bodyDiv w:val="1"/>
      <w:marLeft w:val="0"/>
      <w:marRight w:val="0"/>
      <w:marTop w:val="0"/>
      <w:marBottom w:val="0"/>
      <w:divBdr>
        <w:top w:val="none" w:sz="0" w:space="0" w:color="auto"/>
        <w:left w:val="none" w:sz="0" w:space="0" w:color="auto"/>
        <w:bottom w:val="none" w:sz="0" w:space="0" w:color="auto"/>
        <w:right w:val="none" w:sz="0" w:space="0" w:color="auto"/>
      </w:divBdr>
    </w:div>
    <w:div w:id="1331451273">
      <w:bodyDiv w:val="1"/>
      <w:marLeft w:val="0"/>
      <w:marRight w:val="0"/>
      <w:marTop w:val="0"/>
      <w:marBottom w:val="0"/>
      <w:divBdr>
        <w:top w:val="none" w:sz="0" w:space="0" w:color="auto"/>
        <w:left w:val="none" w:sz="0" w:space="0" w:color="auto"/>
        <w:bottom w:val="none" w:sz="0" w:space="0" w:color="auto"/>
        <w:right w:val="none" w:sz="0" w:space="0" w:color="auto"/>
      </w:divBdr>
    </w:div>
    <w:div w:id="1352608429">
      <w:bodyDiv w:val="1"/>
      <w:marLeft w:val="0"/>
      <w:marRight w:val="0"/>
      <w:marTop w:val="0"/>
      <w:marBottom w:val="0"/>
      <w:divBdr>
        <w:top w:val="none" w:sz="0" w:space="0" w:color="auto"/>
        <w:left w:val="none" w:sz="0" w:space="0" w:color="auto"/>
        <w:bottom w:val="none" w:sz="0" w:space="0" w:color="auto"/>
        <w:right w:val="none" w:sz="0" w:space="0" w:color="auto"/>
      </w:divBdr>
    </w:div>
    <w:div w:id="1395469401">
      <w:bodyDiv w:val="1"/>
      <w:marLeft w:val="0"/>
      <w:marRight w:val="0"/>
      <w:marTop w:val="0"/>
      <w:marBottom w:val="0"/>
      <w:divBdr>
        <w:top w:val="none" w:sz="0" w:space="0" w:color="auto"/>
        <w:left w:val="none" w:sz="0" w:space="0" w:color="auto"/>
        <w:bottom w:val="none" w:sz="0" w:space="0" w:color="auto"/>
        <w:right w:val="none" w:sz="0" w:space="0" w:color="auto"/>
      </w:divBdr>
    </w:div>
    <w:div w:id="1489205288">
      <w:bodyDiv w:val="1"/>
      <w:marLeft w:val="0"/>
      <w:marRight w:val="0"/>
      <w:marTop w:val="0"/>
      <w:marBottom w:val="0"/>
      <w:divBdr>
        <w:top w:val="none" w:sz="0" w:space="0" w:color="auto"/>
        <w:left w:val="none" w:sz="0" w:space="0" w:color="auto"/>
        <w:bottom w:val="none" w:sz="0" w:space="0" w:color="auto"/>
        <w:right w:val="none" w:sz="0" w:space="0" w:color="auto"/>
      </w:divBdr>
    </w:div>
    <w:div w:id="1577545374">
      <w:bodyDiv w:val="1"/>
      <w:marLeft w:val="0"/>
      <w:marRight w:val="0"/>
      <w:marTop w:val="0"/>
      <w:marBottom w:val="0"/>
      <w:divBdr>
        <w:top w:val="none" w:sz="0" w:space="0" w:color="auto"/>
        <w:left w:val="none" w:sz="0" w:space="0" w:color="auto"/>
        <w:bottom w:val="none" w:sz="0" w:space="0" w:color="auto"/>
        <w:right w:val="none" w:sz="0" w:space="0" w:color="auto"/>
      </w:divBdr>
    </w:div>
    <w:div w:id="1628050476">
      <w:bodyDiv w:val="1"/>
      <w:marLeft w:val="0"/>
      <w:marRight w:val="0"/>
      <w:marTop w:val="0"/>
      <w:marBottom w:val="0"/>
      <w:divBdr>
        <w:top w:val="none" w:sz="0" w:space="0" w:color="auto"/>
        <w:left w:val="none" w:sz="0" w:space="0" w:color="auto"/>
        <w:bottom w:val="none" w:sz="0" w:space="0" w:color="auto"/>
        <w:right w:val="none" w:sz="0" w:space="0" w:color="auto"/>
      </w:divBdr>
    </w:div>
    <w:div w:id="1652176292">
      <w:bodyDiv w:val="1"/>
      <w:marLeft w:val="0"/>
      <w:marRight w:val="0"/>
      <w:marTop w:val="0"/>
      <w:marBottom w:val="0"/>
      <w:divBdr>
        <w:top w:val="none" w:sz="0" w:space="0" w:color="auto"/>
        <w:left w:val="none" w:sz="0" w:space="0" w:color="auto"/>
        <w:bottom w:val="none" w:sz="0" w:space="0" w:color="auto"/>
        <w:right w:val="none" w:sz="0" w:space="0" w:color="auto"/>
      </w:divBdr>
    </w:div>
    <w:div w:id="1695031170">
      <w:bodyDiv w:val="1"/>
      <w:marLeft w:val="0"/>
      <w:marRight w:val="0"/>
      <w:marTop w:val="0"/>
      <w:marBottom w:val="0"/>
      <w:divBdr>
        <w:top w:val="none" w:sz="0" w:space="0" w:color="auto"/>
        <w:left w:val="none" w:sz="0" w:space="0" w:color="auto"/>
        <w:bottom w:val="none" w:sz="0" w:space="0" w:color="auto"/>
        <w:right w:val="none" w:sz="0" w:space="0" w:color="auto"/>
      </w:divBdr>
    </w:div>
    <w:div w:id="1738286266">
      <w:bodyDiv w:val="1"/>
      <w:marLeft w:val="0"/>
      <w:marRight w:val="0"/>
      <w:marTop w:val="0"/>
      <w:marBottom w:val="0"/>
      <w:divBdr>
        <w:top w:val="none" w:sz="0" w:space="0" w:color="auto"/>
        <w:left w:val="none" w:sz="0" w:space="0" w:color="auto"/>
        <w:bottom w:val="none" w:sz="0" w:space="0" w:color="auto"/>
        <w:right w:val="none" w:sz="0" w:space="0" w:color="auto"/>
      </w:divBdr>
    </w:div>
    <w:div w:id="1812400819">
      <w:bodyDiv w:val="1"/>
      <w:marLeft w:val="0"/>
      <w:marRight w:val="0"/>
      <w:marTop w:val="0"/>
      <w:marBottom w:val="0"/>
      <w:divBdr>
        <w:top w:val="none" w:sz="0" w:space="0" w:color="auto"/>
        <w:left w:val="none" w:sz="0" w:space="0" w:color="auto"/>
        <w:bottom w:val="none" w:sz="0" w:space="0" w:color="auto"/>
        <w:right w:val="none" w:sz="0" w:space="0" w:color="auto"/>
      </w:divBdr>
    </w:div>
    <w:div w:id="1837528009">
      <w:bodyDiv w:val="1"/>
      <w:marLeft w:val="0"/>
      <w:marRight w:val="0"/>
      <w:marTop w:val="0"/>
      <w:marBottom w:val="0"/>
      <w:divBdr>
        <w:top w:val="none" w:sz="0" w:space="0" w:color="auto"/>
        <w:left w:val="none" w:sz="0" w:space="0" w:color="auto"/>
        <w:bottom w:val="none" w:sz="0" w:space="0" w:color="auto"/>
        <w:right w:val="none" w:sz="0" w:space="0" w:color="auto"/>
      </w:divBdr>
    </w:div>
    <w:div w:id="1915894542">
      <w:bodyDiv w:val="1"/>
      <w:marLeft w:val="0"/>
      <w:marRight w:val="0"/>
      <w:marTop w:val="0"/>
      <w:marBottom w:val="0"/>
      <w:divBdr>
        <w:top w:val="none" w:sz="0" w:space="0" w:color="auto"/>
        <w:left w:val="none" w:sz="0" w:space="0" w:color="auto"/>
        <w:bottom w:val="none" w:sz="0" w:space="0" w:color="auto"/>
        <w:right w:val="none" w:sz="0" w:space="0" w:color="auto"/>
      </w:divBdr>
    </w:div>
    <w:div w:id="2034919638">
      <w:bodyDiv w:val="1"/>
      <w:marLeft w:val="0"/>
      <w:marRight w:val="0"/>
      <w:marTop w:val="0"/>
      <w:marBottom w:val="0"/>
      <w:divBdr>
        <w:top w:val="none" w:sz="0" w:space="0" w:color="auto"/>
        <w:left w:val="none" w:sz="0" w:space="0" w:color="auto"/>
        <w:bottom w:val="none" w:sz="0" w:space="0" w:color="auto"/>
        <w:right w:val="none" w:sz="0" w:space="0" w:color="auto"/>
      </w:divBdr>
    </w:div>
    <w:div w:id="20517564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science/article/pii/S0921800916303202" TargetMode="External"/><Relationship Id="rId13" Type="http://schemas.openxmlformats.org/officeDocument/2006/relationships/hyperlink" Target="http://www.lse.ac.uk/website-archive/newsAndMedia/news/archives/2009/07/LettertoQueen2.aspx" TargetMode="External"/><Relationship Id="rId18" Type="http://schemas.openxmlformats.org/officeDocument/2006/relationships/hyperlink" Target="Jackson,%20T.%20and%20P.%20Victor%20(2018).%20LowGrow%20SFC%20-%20a%20stock-flow%20consistent%20ecological%20macroeconomic%20model%20for%20Canada.%20CUSP%20Working%20Paper%20No%2016.%20Available%20at:&#160;https://www.cusp.ac.uk/themes/aetw/wp16%20(10.12.2019).%20" TargetMode="External"/><Relationship Id="rId26" Type="http://schemas.openxmlformats.org/officeDocument/2006/relationships/hyperlink" Target="http://www.muratopia.org/" TargetMode="External"/><Relationship Id="rId3" Type="http://schemas.openxmlformats.org/officeDocument/2006/relationships/styles" Target="styles.xml"/><Relationship Id="rId21" Type="http://schemas.openxmlformats.org/officeDocument/2006/relationships/hyperlink" Target="http://www.petre.org.uk/pdf/sept08/petrE_WP3%202%20Ginfors.pdf" TargetMode="External"/><Relationship Id="rId7" Type="http://schemas.openxmlformats.org/officeDocument/2006/relationships/endnotes" Target="endnotes.xml"/><Relationship Id="rId12" Type="http://schemas.openxmlformats.org/officeDocument/2006/relationships/hyperlink" Target="https://ec.europa.eu/clima/sites/clima/files/strategies/2030/docs/climate_energy_priorities_en.pdf" TargetMode="External"/><Relationship Id="rId17" Type="http://schemas.openxmlformats.org/officeDocument/2006/relationships/hyperlink" Target="https://www.ineteconomics.org/perspectives/blog/why-we-need-the-knightian-uncertainty-hypothesis" TargetMode="External"/><Relationship Id="rId25" Type="http://schemas.openxmlformats.org/officeDocument/2006/relationships/hyperlink" Target="https://www.environment.gov.za/sites/default/files/docs/green_economy_modelling.pdf" TargetMode="External"/><Relationship Id="rId2" Type="http://schemas.openxmlformats.org/officeDocument/2006/relationships/numbering" Target="numbering.xml"/><Relationship Id="rId16" Type="http://schemas.openxmlformats.org/officeDocument/2006/relationships/hyperlink" Target="https://www.ineteconomics.org/about/our-purpose" TargetMode="External"/><Relationship Id="rId20" Type="http://schemas.openxmlformats.org/officeDocument/2006/relationships/hyperlink" Target="https://core.ac.uk/download/pdf/6731842.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tp.jrc.es/EURdoc/JRC83177.pdf" TargetMode="External"/><Relationship Id="rId24" Type="http://schemas.openxmlformats.org/officeDocument/2006/relationships/hyperlink" Target="http://medeas.eu/deliverables" TargetMode="External"/><Relationship Id="rId5" Type="http://schemas.openxmlformats.org/officeDocument/2006/relationships/webSettings" Target="webSettings.xml"/><Relationship Id="rId15" Type="http://schemas.openxmlformats.org/officeDocument/2006/relationships/hyperlink" Target="https://www.gws-os.com/de/index.php/energy-and-climate/models/model-details/panta-rhei.html" TargetMode="External"/><Relationship Id="rId23" Type="http://schemas.openxmlformats.org/officeDocument/2006/relationships/hyperlink" Target="http://www.postkeynesian.net/downloads/events/Pollitt_2019.pdf" TargetMode="External"/><Relationship Id="rId28" Type="http://schemas.openxmlformats.org/officeDocument/2006/relationships/fontTable" Target="fontTable.xml"/><Relationship Id="rId10" Type="http://schemas.openxmlformats.org/officeDocument/2006/relationships/hyperlink" Target="Capell&#225;n-P&#233;rez,%20I&#241;igo,%20&#241;igo%20Capell&#225;n-P&#233;rez%20(ICM-CSIC),%20Ignacio%20de%20Blas,%20Jaime%20Nieto,%20Carlos%20de%20Castro,%20Luis%20Javier%20Miguel,%20Margarita%20Mediavilla,%20&#211;scar%20Carpintero,%20Paula%20Rodrigo,%20Fernando%20Frechoso%20&amp;%20Santiago%20C&#225;ceres%20(2017).%20Guiding%20European%20Policy%20toward%20a%20low-carbon%20economy.%20Modelling%20sustainable%20Energy%20system%20Development%20under%20Environmental%20and%20Socioeconomic%20constraints.%20D4.1%20(D13)%20Global%20Model:%20MEDEAS-World%20Model%20and%20IOA%20implementation%20at%20global%20geographical%20level.%20Available%20at%20http://medeas.eu/deliverables%20(31.07.2018)." TargetMode="External"/><Relationship Id="rId19" Type="http://schemas.openxmlformats.org/officeDocument/2006/relationships/hyperlink" Target="https://doi.org/10.1787/9789264264687-en" TargetMode="External"/><Relationship Id="rId4" Type="http://schemas.openxmlformats.org/officeDocument/2006/relationships/settings" Target="settings.xml"/><Relationship Id="rId9" Type="http://schemas.openxmlformats.org/officeDocument/2006/relationships/hyperlink" Target="http://citeseerx.ist.psu.edu/viewdoc/download?doi=10.1.1.198.6148&amp;rep=rep1&amp;type=pdf" TargetMode="External"/><Relationship Id="rId14" Type="http://schemas.openxmlformats.org/officeDocument/2006/relationships/hyperlink" Target="https://www.iioa.org/conferences/23rd/papers/files/2165_20150529081_Grossmann_Lutz_23IIOA.pdf" TargetMode="External"/><Relationship Id="rId22" Type="http://schemas.openxmlformats.org/officeDocument/2006/relationships/hyperlink" Target="https://www.oxfordeconomics.com/global-economic-model" TargetMode="External"/><Relationship Id="rId27"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rebuildingmacroeconomics.ac.uk/" TargetMode="External"/><Relationship Id="rId1" Type="http://schemas.openxmlformats.org/officeDocument/2006/relationships/hyperlink" Target="https://www.rebuildingmacroeconomics.ac.uk)"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F280F8C-3A57-49ED-832D-090FAD693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11</Pages>
  <Words>13748</Words>
  <Characters>78368</Characters>
  <Application>Microsoft Office Word</Application>
  <DocSecurity>0</DocSecurity>
  <Lines>653</Lines>
  <Paragraphs>183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91933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Hafner</dc:creator>
  <cp:keywords/>
  <dc:description/>
  <cp:lastModifiedBy>Blanshard, Lisa</cp:lastModifiedBy>
  <cp:revision>36</cp:revision>
  <cp:lastPrinted>2019-03-12T16:39:00Z</cp:lastPrinted>
  <dcterms:created xsi:type="dcterms:W3CDTF">2020-03-30T11:27:00Z</dcterms:created>
  <dcterms:modified xsi:type="dcterms:W3CDTF">2020-10-19T15:36:00Z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ies>
</file>