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C39A9" w14:textId="24D77080" w:rsidR="0078400D" w:rsidRPr="00AF68D6" w:rsidRDefault="00810CA6" w:rsidP="00466725">
      <w:pPr>
        <w:pStyle w:val="Heading1"/>
      </w:pPr>
      <w:r w:rsidRPr="00AF68D6">
        <w:t>The impact of m</w:t>
      </w:r>
      <w:r w:rsidR="00D5551A" w:rsidRPr="00AF68D6">
        <w:t xml:space="preserve">alnutrition </w:t>
      </w:r>
      <w:r w:rsidRPr="00AF68D6">
        <w:t xml:space="preserve">on </w:t>
      </w:r>
      <w:r w:rsidR="00F626B6" w:rsidRPr="00AF68D6">
        <w:t xml:space="preserve">short-term </w:t>
      </w:r>
      <w:r w:rsidR="005755DD" w:rsidRPr="00AF68D6">
        <w:t xml:space="preserve">morbidity and </w:t>
      </w:r>
      <w:r w:rsidR="0078400D" w:rsidRPr="00AF68D6">
        <w:t xml:space="preserve">mortality in </w:t>
      </w:r>
      <w:r w:rsidR="005755DD" w:rsidRPr="00AF68D6">
        <w:t xml:space="preserve">ambulatory </w:t>
      </w:r>
      <w:r w:rsidR="0078400D" w:rsidRPr="00AF68D6">
        <w:t>patients with heart failure</w:t>
      </w:r>
    </w:p>
    <w:p w14:paraId="4549F811" w14:textId="1F091CDE" w:rsidR="003C2838" w:rsidRPr="00AF68D6" w:rsidRDefault="00C411C5" w:rsidP="003C2838">
      <w:pPr>
        <w:ind w:right="567"/>
        <w:rPr>
          <w:bCs/>
        </w:rPr>
      </w:pPr>
      <w:r w:rsidRPr="00AF68D6">
        <w:rPr>
          <w:bCs/>
        </w:rPr>
        <w:t xml:space="preserve">Short Title: Prognostic </w:t>
      </w:r>
      <w:r w:rsidR="00312163" w:rsidRPr="00AF68D6">
        <w:rPr>
          <w:bCs/>
        </w:rPr>
        <w:t>value</w:t>
      </w:r>
      <w:r w:rsidR="001F0C00" w:rsidRPr="00AF68D6">
        <w:rPr>
          <w:bCs/>
        </w:rPr>
        <w:t xml:space="preserve"> of malnutrition </w:t>
      </w:r>
      <w:r w:rsidRPr="00AF68D6">
        <w:rPr>
          <w:bCs/>
        </w:rPr>
        <w:t>in heart failure</w:t>
      </w:r>
    </w:p>
    <w:p w14:paraId="41BE7C37" w14:textId="77777777" w:rsidR="003C2838" w:rsidRPr="00AF68D6" w:rsidRDefault="003C2838" w:rsidP="003C2838">
      <w:pPr>
        <w:ind w:right="567"/>
        <w:rPr>
          <w:bCs/>
        </w:rPr>
      </w:pPr>
    </w:p>
    <w:p w14:paraId="43B0343B" w14:textId="1073E2C7" w:rsidR="00C411C5" w:rsidRPr="00AF68D6" w:rsidRDefault="00C411C5" w:rsidP="003C2838">
      <w:pPr>
        <w:ind w:right="567"/>
        <w:rPr>
          <w:lang w:eastAsia="en-GB"/>
        </w:rPr>
      </w:pPr>
      <w:r w:rsidRPr="00AF68D6">
        <w:rPr>
          <w:lang w:eastAsia="en-GB"/>
        </w:rPr>
        <w:t xml:space="preserve">Shirley Sze, </w:t>
      </w:r>
      <w:r w:rsidR="00C869B1" w:rsidRPr="00AF68D6">
        <w:rPr>
          <w:lang w:eastAsia="en-GB"/>
        </w:rPr>
        <w:t>M</w:t>
      </w:r>
      <w:r w:rsidR="00CF36C2">
        <w:rPr>
          <w:lang w:eastAsia="en-GB"/>
        </w:rPr>
        <w:t>D</w:t>
      </w:r>
      <w:r w:rsidR="00C869B1" w:rsidRPr="00AF68D6">
        <w:rPr>
          <w:vertAlign w:val="superscript"/>
          <w:lang w:eastAsia="en-GB"/>
        </w:rPr>
        <w:t>1</w:t>
      </w:r>
      <w:r w:rsidRPr="00AF68D6">
        <w:rPr>
          <w:vertAlign w:val="superscript"/>
          <w:lang w:eastAsia="en-GB"/>
        </w:rPr>
        <w:t>,2</w:t>
      </w:r>
      <w:r w:rsidRPr="00AF68D6">
        <w:rPr>
          <w:lang w:eastAsia="en-GB"/>
        </w:rPr>
        <w:t xml:space="preserve">; </w:t>
      </w:r>
      <w:proofErr w:type="spellStart"/>
      <w:r w:rsidRPr="00AF68D6">
        <w:rPr>
          <w:lang w:eastAsia="en-GB"/>
        </w:rPr>
        <w:t>Pierpaolo</w:t>
      </w:r>
      <w:proofErr w:type="spellEnd"/>
      <w:r w:rsidRPr="00AF68D6">
        <w:rPr>
          <w:lang w:eastAsia="en-GB"/>
        </w:rPr>
        <w:t xml:space="preserve"> </w:t>
      </w:r>
      <w:proofErr w:type="spellStart"/>
      <w:r w:rsidRPr="00AF68D6">
        <w:rPr>
          <w:lang w:eastAsia="en-GB"/>
        </w:rPr>
        <w:t>Pellicori</w:t>
      </w:r>
      <w:proofErr w:type="spellEnd"/>
      <w:r w:rsidRPr="00AF68D6">
        <w:rPr>
          <w:lang w:eastAsia="en-GB"/>
        </w:rPr>
        <w:t>, MD, FESC</w:t>
      </w:r>
      <w:r w:rsidRPr="00AF68D6">
        <w:rPr>
          <w:vertAlign w:val="superscript"/>
          <w:lang w:eastAsia="en-GB"/>
        </w:rPr>
        <w:t>1,3</w:t>
      </w:r>
      <w:r w:rsidRPr="00AF68D6">
        <w:rPr>
          <w:lang w:eastAsia="en-GB"/>
        </w:rPr>
        <w:t>; Jufen Zhang PhD</w:t>
      </w:r>
      <w:r w:rsidRPr="00AF68D6">
        <w:rPr>
          <w:vertAlign w:val="superscript"/>
          <w:lang w:eastAsia="en-GB"/>
        </w:rPr>
        <w:t>1,4</w:t>
      </w:r>
      <w:r w:rsidRPr="00AF68D6">
        <w:rPr>
          <w:lang w:eastAsia="en-GB"/>
        </w:rPr>
        <w:t>; Joan Weston</w:t>
      </w:r>
      <w:r w:rsidRPr="00AF68D6">
        <w:rPr>
          <w:vertAlign w:val="superscript"/>
          <w:lang w:eastAsia="en-GB"/>
        </w:rPr>
        <w:t>1</w:t>
      </w:r>
      <w:r w:rsidRPr="00AF68D6">
        <w:rPr>
          <w:lang w:eastAsia="en-GB"/>
        </w:rPr>
        <w:t>; Andrew L Clark, MA, MD, FRCP.</w:t>
      </w:r>
      <w:r w:rsidRPr="00AF68D6">
        <w:rPr>
          <w:vertAlign w:val="superscript"/>
          <w:lang w:eastAsia="en-GB"/>
        </w:rPr>
        <w:t>1</w:t>
      </w:r>
    </w:p>
    <w:p w14:paraId="59D084A3" w14:textId="77777777" w:rsidR="00C411C5" w:rsidRPr="00AF68D6" w:rsidRDefault="00C411C5" w:rsidP="00C411C5">
      <w:pPr>
        <w:spacing w:before="288" w:after="288"/>
        <w:ind w:right="567"/>
        <w:rPr>
          <w:bCs/>
          <w:vertAlign w:val="superscript"/>
        </w:rPr>
      </w:pPr>
    </w:p>
    <w:p w14:paraId="2F7D4CD0" w14:textId="77777777" w:rsidR="00C411C5" w:rsidRPr="00AF68D6" w:rsidRDefault="00C411C5" w:rsidP="00C411C5">
      <w:pPr>
        <w:spacing w:before="288" w:after="288"/>
        <w:ind w:right="567"/>
      </w:pPr>
      <w:r w:rsidRPr="00AF68D6">
        <w:rPr>
          <w:bCs/>
          <w:vertAlign w:val="superscript"/>
        </w:rPr>
        <w:t xml:space="preserve">1 </w:t>
      </w:r>
      <w:r w:rsidRPr="00AF68D6">
        <w:rPr>
          <w:bCs/>
        </w:rPr>
        <w:t xml:space="preserve">Department of Cardiology, Castle Hill Hospital, Hull York Medical School (at University of Hull), </w:t>
      </w:r>
      <w:r w:rsidRPr="00AF68D6">
        <w:t>Kingston upon Hull, HU16 5JQ, UK</w:t>
      </w:r>
    </w:p>
    <w:p w14:paraId="74F89B1B" w14:textId="0DAA4E02" w:rsidR="00C411C5" w:rsidRPr="00AF68D6" w:rsidRDefault="00C411C5" w:rsidP="00C411C5">
      <w:pPr>
        <w:pStyle w:val="NoSpacing"/>
        <w:spacing w:line="480" w:lineRule="auto"/>
        <w:rPr>
          <w:rFonts w:ascii="Times New Roman" w:hAnsi="Times New Roman"/>
          <w:sz w:val="24"/>
          <w:szCs w:val="24"/>
        </w:rPr>
      </w:pPr>
      <w:r w:rsidRPr="00AF68D6">
        <w:rPr>
          <w:rFonts w:ascii="Times New Roman" w:hAnsi="Times New Roman"/>
          <w:sz w:val="24"/>
          <w:szCs w:val="24"/>
          <w:vertAlign w:val="superscript"/>
        </w:rPr>
        <w:t>2</w:t>
      </w:r>
      <w:r w:rsidRPr="00AF68D6">
        <w:rPr>
          <w:rFonts w:ascii="Times New Roman" w:hAnsi="Times New Roman"/>
          <w:sz w:val="24"/>
          <w:szCs w:val="24"/>
          <w:shd w:val="clear" w:color="auto" w:fill="FFFFFF"/>
        </w:rPr>
        <w:t xml:space="preserve"> </w:t>
      </w:r>
      <w:r w:rsidR="00C51CA1" w:rsidRPr="00AF68D6">
        <w:rPr>
          <w:rFonts w:ascii="Times New Roman" w:hAnsi="Times New Roman"/>
          <w:bCs/>
          <w:sz w:val="24"/>
          <w:szCs w:val="24"/>
        </w:rPr>
        <w:t xml:space="preserve">NIHR Leicester Biomedical Research Centre, University of Leicester, Glenfield Hospital, </w:t>
      </w:r>
      <w:proofErr w:type="spellStart"/>
      <w:r w:rsidR="00C51CA1" w:rsidRPr="00AF68D6">
        <w:rPr>
          <w:rFonts w:ascii="Times New Roman" w:hAnsi="Times New Roman"/>
          <w:bCs/>
          <w:sz w:val="24"/>
          <w:szCs w:val="24"/>
        </w:rPr>
        <w:t>Groby</w:t>
      </w:r>
      <w:proofErr w:type="spellEnd"/>
      <w:r w:rsidR="00C51CA1" w:rsidRPr="00AF68D6">
        <w:rPr>
          <w:rFonts w:ascii="Times New Roman" w:hAnsi="Times New Roman"/>
          <w:bCs/>
          <w:sz w:val="24"/>
          <w:szCs w:val="24"/>
        </w:rPr>
        <w:t xml:space="preserve"> Road, Leicester, LE3 9QP</w:t>
      </w:r>
    </w:p>
    <w:p w14:paraId="006348F5" w14:textId="59D8841C" w:rsidR="00C411C5" w:rsidRPr="00AF68D6" w:rsidRDefault="00C411C5" w:rsidP="00C411C5">
      <w:pPr>
        <w:spacing w:before="288" w:after="288"/>
        <w:ind w:right="567"/>
      </w:pPr>
      <w:r w:rsidRPr="00AF68D6">
        <w:rPr>
          <w:vertAlign w:val="superscript"/>
        </w:rPr>
        <w:t>3</w:t>
      </w:r>
      <w:r w:rsidRPr="00AF68D6">
        <w:t xml:space="preserve"> Robertson Centre for Biostatistics &amp; Clinical Trials, University of Glasgow </w:t>
      </w:r>
    </w:p>
    <w:p w14:paraId="7BF29313" w14:textId="66FD6CD3" w:rsidR="00C411C5" w:rsidRPr="00AF68D6" w:rsidRDefault="00C411C5" w:rsidP="00C411C5">
      <w:pPr>
        <w:spacing w:before="288" w:after="288"/>
        <w:rPr>
          <w:lang w:eastAsia="en-GB"/>
        </w:rPr>
      </w:pPr>
      <w:r w:rsidRPr="00AF68D6">
        <w:rPr>
          <w:vertAlign w:val="superscript"/>
        </w:rPr>
        <w:t>4</w:t>
      </w:r>
      <w:r w:rsidRPr="00AF68D6">
        <w:rPr>
          <w:lang w:eastAsia="en-GB"/>
        </w:rPr>
        <w:t xml:space="preserve"> </w:t>
      </w:r>
      <w:r w:rsidR="00265DDC" w:rsidRPr="00AF68D6">
        <w:rPr>
          <w:szCs w:val="20"/>
          <w:shd w:val="clear" w:color="auto" w:fill="FFFFFF"/>
        </w:rPr>
        <w:t>School of Medicine</w:t>
      </w:r>
      <w:r w:rsidRPr="00AF68D6">
        <w:rPr>
          <w:lang w:eastAsia="en-GB"/>
        </w:rPr>
        <w:t xml:space="preserve">, Anglia Ruskin University, </w:t>
      </w:r>
      <w:r w:rsidRPr="00AF68D6">
        <w:rPr>
          <w:shd w:val="clear" w:color="auto" w:fill="FFFFFF"/>
        </w:rPr>
        <w:t>CB1 1PT, UK</w:t>
      </w:r>
    </w:p>
    <w:p w14:paraId="24014953" w14:textId="77777777" w:rsidR="00C411C5" w:rsidRPr="00AF68D6" w:rsidRDefault="00C411C5" w:rsidP="00C411C5">
      <w:pPr>
        <w:ind w:right="567"/>
      </w:pPr>
    </w:p>
    <w:p w14:paraId="6066BBF5" w14:textId="77777777" w:rsidR="00C411C5" w:rsidRPr="00AF68D6" w:rsidRDefault="00C411C5" w:rsidP="00C411C5">
      <w:pPr>
        <w:ind w:right="567"/>
        <w:rPr>
          <w:bCs/>
        </w:rPr>
      </w:pPr>
      <w:r w:rsidRPr="00AF68D6">
        <w:rPr>
          <w:bCs/>
        </w:rPr>
        <w:t>Corresponding author:</w:t>
      </w:r>
      <w:r w:rsidRPr="00AF68D6">
        <w:t xml:space="preserve"> </w:t>
      </w:r>
      <w:r w:rsidRPr="00AF68D6">
        <w:rPr>
          <w:lang w:eastAsia="en-GB"/>
        </w:rPr>
        <w:t>Shirley Sze</w:t>
      </w:r>
    </w:p>
    <w:p w14:paraId="1A1C6C06" w14:textId="77777777" w:rsidR="00E3464F" w:rsidRPr="00AF68D6" w:rsidRDefault="00E3464F" w:rsidP="00E3464F">
      <w:pPr>
        <w:spacing w:before="288" w:after="288" w:line="360" w:lineRule="auto"/>
        <w:ind w:right="567"/>
        <w:rPr>
          <w:bCs/>
        </w:rPr>
      </w:pPr>
      <w:r w:rsidRPr="00AF68D6">
        <w:rPr>
          <w:bCs/>
        </w:rPr>
        <w:t xml:space="preserve">NIHR Leicester Biomedical Research Centre, University of Leicester, Glenfield Hospital, </w:t>
      </w:r>
      <w:proofErr w:type="spellStart"/>
      <w:r w:rsidRPr="00AF68D6">
        <w:rPr>
          <w:bCs/>
        </w:rPr>
        <w:t>Groby</w:t>
      </w:r>
      <w:proofErr w:type="spellEnd"/>
      <w:r w:rsidRPr="00AF68D6">
        <w:rPr>
          <w:bCs/>
        </w:rPr>
        <w:t xml:space="preserve"> Road, Leicester, LE3 9QP, UK, </w:t>
      </w:r>
      <w:r w:rsidRPr="00AF68D6">
        <w:t xml:space="preserve">Tel: </w:t>
      </w:r>
      <w:r w:rsidRPr="00AF68D6">
        <w:rPr>
          <w:shd w:val="clear" w:color="auto" w:fill="FFFFFF"/>
        </w:rPr>
        <w:t>+44 (0)116 256 3021</w:t>
      </w:r>
      <w:r w:rsidRPr="00AF68D6">
        <w:t xml:space="preserve">, Fax: </w:t>
      </w:r>
      <w:r w:rsidRPr="00AF68D6">
        <w:rPr>
          <w:shd w:val="clear" w:color="auto" w:fill="FFFFFF"/>
        </w:rPr>
        <w:t>+44 (0)116 250 2405</w:t>
      </w:r>
    </w:p>
    <w:p w14:paraId="2FB1F7DA" w14:textId="77777777" w:rsidR="00C411C5" w:rsidRPr="00AF68D6" w:rsidRDefault="00C411C5" w:rsidP="00C411C5">
      <w:pPr>
        <w:ind w:right="567"/>
      </w:pPr>
      <w:r w:rsidRPr="00AF68D6">
        <w:t xml:space="preserve">Email: </w:t>
      </w:r>
      <w:hyperlink r:id="rId8" w:history="1">
        <w:r w:rsidRPr="00AF68D6">
          <w:rPr>
            <w:rStyle w:val="Hyperlink"/>
            <w:color w:val="auto"/>
          </w:rPr>
          <w:t>Shirley.sze@nhs.net</w:t>
        </w:r>
      </w:hyperlink>
    </w:p>
    <w:p w14:paraId="597E2176" w14:textId="77777777" w:rsidR="00C411C5" w:rsidRPr="00AF68D6" w:rsidRDefault="00C411C5" w:rsidP="00C411C5">
      <w:pPr>
        <w:ind w:right="567"/>
        <w:rPr>
          <w:rStyle w:val="Strong"/>
        </w:rPr>
      </w:pPr>
    </w:p>
    <w:p w14:paraId="53845EC3" w14:textId="0C126ECF" w:rsidR="006E7605" w:rsidRPr="00AF68D6" w:rsidRDefault="006E7605" w:rsidP="00C411C5">
      <w:pPr>
        <w:ind w:right="567"/>
        <w:rPr>
          <w:rFonts w:eastAsia="Times New Roman"/>
          <w:lang w:eastAsia="en-GB"/>
        </w:rPr>
      </w:pPr>
      <w:r w:rsidRPr="00AF68D6">
        <w:rPr>
          <w:rFonts w:eastAsia="Times New Roman"/>
          <w:lang w:eastAsia="en-GB"/>
        </w:rPr>
        <w:lastRenderedPageBreak/>
        <w:t xml:space="preserve">Data described in the manuscript, code book, and analytic code will be made available upon request pending application and approval. </w:t>
      </w:r>
    </w:p>
    <w:p w14:paraId="36AB36E8" w14:textId="77777777" w:rsidR="00C27AFB" w:rsidRPr="00AF68D6" w:rsidRDefault="00C27AFB" w:rsidP="00C27AFB">
      <w:pPr>
        <w:spacing w:before="288" w:after="288"/>
      </w:pPr>
      <w:r w:rsidRPr="00AF68D6">
        <w:rPr>
          <w:b/>
        </w:rPr>
        <w:t xml:space="preserve">Funding/ Sources of support: </w:t>
      </w:r>
      <w:r w:rsidRPr="00AF68D6">
        <w:t xml:space="preserve">The authors received no specific funding for this work. No author has received travel, gifts or honoraria associated with any portion of the study. </w:t>
      </w:r>
    </w:p>
    <w:p w14:paraId="2976B10D" w14:textId="4C4E3379" w:rsidR="00C411C5" w:rsidRPr="00AF68D6" w:rsidRDefault="00574FBB" w:rsidP="00C411C5">
      <w:pPr>
        <w:ind w:right="567"/>
        <w:rPr>
          <w:shd w:val="clear" w:color="auto" w:fill="FFFFFF"/>
        </w:rPr>
      </w:pPr>
      <w:r w:rsidRPr="00AF68D6">
        <w:rPr>
          <w:shd w:val="clear" w:color="auto" w:fill="FFFFFF"/>
        </w:rPr>
        <w:t>Word count</w:t>
      </w:r>
      <w:r w:rsidR="003D079C" w:rsidRPr="00AF68D6">
        <w:rPr>
          <w:shd w:val="clear" w:color="auto" w:fill="FFFFFF"/>
        </w:rPr>
        <w:t xml:space="preserve">: </w:t>
      </w:r>
      <w:r w:rsidR="00B859D1">
        <w:rPr>
          <w:shd w:val="clear" w:color="auto" w:fill="FFFFFF"/>
        </w:rPr>
        <w:t>3</w:t>
      </w:r>
      <w:r w:rsidR="00342BF2">
        <w:rPr>
          <w:shd w:val="clear" w:color="auto" w:fill="FFFFFF"/>
        </w:rPr>
        <w:t>798</w:t>
      </w:r>
      <w:r w:rsidRPr="00AF68D6">
        <w:rPr>
          <w:shd w:val="clear" w:color="auto" w:fill="FFFFFF"/>
        </w:rPr>
        <w:t xml:space="preserve"> (from the introduction to the conclusion, </w:t>
      </w:r>
      <w:r w:rsidR="00F31F69" w:rsidRPr="00AF68D6">
        <w:rPr>
          <w:shd w:val="clear" w:color="auto" w:fill="FFFFFF"/>
        </w:rPr>
        <w:t>excluding</w:t>
      </w:r>
      <w:r w:rsidRPr="00AF68D6">
        <w:rPr>
          <w:shd w:val="clear" w:color="auto" w:fill="FFFFFF"/>
        </w:rPr>
        <w:t xml:space="preserve"> </w:t>
      </w:r>
      <w:r w:rsidR="00F31F69" w:rsidRPr="00AF68D6">
        <w:t>abstract, tables, figures, acknowledgments, references, and supplemental material</w:t>
      </w:r>
      <w:r w:rsidR="00F31F69" w:rsidRPr="00AF68D6">
        <w:rPr>
          <w:rFonts w:ascii="Helvetica" w:hAnsi="Helvetica"/>
        </w:rPr>
        <w:t>)</w:t>
      </w:r>
    </w:p>
    <w:p w14:paraId="4972F67F" w14:textId="77777777" w:rsidR="00C411C5" w:rsidRPr="00AF68D6" w:rsidRDefault="00C411C5" w:rsidP="00C411C5">
      <w:pPr>
        <w:ind w:right="567"/>
        <w:rPr>
          <w:shd w:val="clear" w:color="auto" w:fill="FFFFFF"/>
        </w:rPr>
      </w:pPr>
    </w:p>
    <w:p w14:paraId="709CEE12" w14:textId="4C12E09D" w:rsidR="001D6818" w:rsidRPr="00AF68D6" w:rsidRDefault="001D6818" w:rsidP="001D6818">
      <w:pPr>
        <w:spacing w:before="0" w:after="0"/>
      </w:pPr>
      <w:r w:rsidRPr="00AF68D6">
        <w:t xml:space="preserve">Abbreviations: </w:t>
      </w:r>
      <w:r w:rsidR="005C2788">
        <w:t xml:space="preserve">AF = atrial fibrillation, </w:t>
      </w:r>
      <w:r w:rsidR="00FA2B8A">
        <w:t xml:space="preserve">AIC = Akaike Information Criterion, </w:t>
      </w:r>
      <w:r w:rsidR="00902B00" w:rsidRPr="00AF68D6">
        <w:t xml:space="preserve">BAPEN = British Association for Parenteral and Enteral Nutrition, </w:t>
      </w:r>
      <w:r w:rsidR="00FA2B8A">
        <w:t xml:space="preserve">BIC = Bayesian Information Criterion, </w:t>
      </w:r>
      <w:r w:rsidR="00DE6EE3" w:rsidRPr="00AF68D6">
        <w:t xml:space="preserve">BMI = body mass index, </w:t>
      </w:r>
      <w:r w:rsidRPr="00AF68D6">
        <w:t xml:space="preserve">CHF = chronic heart failure, </w:t>
      </w:r>
      <w:r w:rsidR="004D141C" w:rsidRPr="00AF68D6">
        <w:t xml:space="preserve">CONUT = controlling nutritional status index, </w:t>
      </w:r>
      <w:r w:rsidR="00DE6EE3" w:rsidRPr="00AF68D6">
        <w:t xml:space="preserve">COPD = Chronic obstructive pulmonary disease, CVA = Cerebrovascular accident, eGFR = estimated glomerular filtration rate, </w:t>
      </w:r>
      <w:r w:rsidR="004D141C" w:rsidRPr="00AF68D6">
        <w:t xml:space="preserve">GNRI = geriatric nutritional risk index, </w:t>
      </w:r>
      <w:r w:rsidR="00DE6EE3" w:rsidRPr="00AF68D6">
        <w:t xml:space="preserve">Hb = </w:t>
      </w:r>
      <w:proofErr w:type="spellStart"/>
      <w:r w:rsidR="00DE6EE3" w:rsidRPr="00AF68D6">
        <w:t>hemoglobin</w:t>
      </w:r>
      <w:proofErr w:type="spellEnd"/>
      <w:r w:rsidR="00DE6EE3" w:rsidRPr="00AF68D6">
        <w:t xml:space="preserve">, </w:t>
      </w:r>
      <w:proofErr w:type="spellStart"/>
      <w:r w:rsidRPr="00AF68D6">
        <w:t>HeFREF</w:t>
      </w:r>
      <w:proofErr w:type="spellEnd"/>
      <w:r w:rsidRPr="00AF68D6">
        <w:t xml:space="preserve"> = heart failure with reduced ejection fraction, </w:t>
      </w:r>
      <w:proofErr w:type="spellStart"/>
      <w:r w:rsidRPr="00AF68D6">
        <w:t>HeFNEF</w:t>
      </w:r>
      <w:proofErr w:type="spellEnd"/>
      <w:r w:rsidRPr="00AF68D6">
        <w:t xml:space="preserve"> = heart failure with normal ejection fraction, </w:t>
      </w:r>
      <w:r w:rsidR="00DE6EE3" w:rsidRPr="00AF68D6">
        <w:t>HF = heart failure</w:t>
      </w:r>
      <w:r w:rsidR="006600C3" w:rsidRPr="00AF68D6">
        <w:t xml:space="preserve">, IQR= interquartile range, </w:t>
      </w:r>
      <w:r w:rsidRPr="00AF68D6">
        <w:t>LVEF = left ventricular ejection fraction,</w:t>
      </w:r>
      <w:r w:rsidR="002F531B">
        <w:t xml:space="preserve"> MI = myocardial infarction,</w:t>
      </w:r>
      <w:r w:rsidRPr="00AF68D6">
        <w:t xml:space="preserve"> </w:t>
      </w:r>
      <w:r w:rsidR="004D141C" w:rsidRPr="00AF68D6">
        <w:t xml:space="preserve">MNA-SF = mini nutritional assessment-short form, MUST = malnutrition universal screening tool, </w:t>
      </w:r>
      <w:r w:rsidRPr="00AF68D6">
        <w:t>NT-</w:t>
      </w:r>
      <w:proofErr w:type="spellStart"/>
      <w:r w:rsidRPr="00AF68D6">
        <w:t>proBNP</w:t>
      </w:r>
      <w:proofErr w:type="spellEnd"/>
      <w:r w:rsidRPr="00AF68D6">
        <w:t xml:space="preserve"> = N-terminal pro B-type natriuretic peptide,</w:t>
      </w:r>
      <w:r w:rsidR="006600C3" w:rsidRPr="00AF68D6">
        <w:t xml:space="preserve"> NYHA = New York Heart Association,</w:t>
      </w:r>
      <w:r w:rsidRPr="00AF68D6">
        <w:t xml:space="preserve"> PNI = prognostic nutritional index, </w:t>
      </w:r>
      <w:r w:rsidR="002F531B">
        <w:t xml:space="preserve">PVD = peripheral vascular disease, </w:t>
      </w:r>
      <w:r w:rsidRPr="00AF68D6">
        <w:t xml:space="preserve">SGA = subjective global assessment. </w:t>
      </w:r>
    </w:p>
    <w:p w14:paraId="5A674E83" w14:textId="77777777" w:rsidR="00C411C5" w:rsidRPr="00AF68D6" w:rsidRDefault="00C411C5" w:rsidP="00C411C5">
      <w:pPr>
        <w:ind w:right="567"/>
        <w:rPr>
          <w:shd w:val="clear" w:color="auto" w:fill="FFFFFF"/>
        </w:rPr>
      </w:pPr>
    </w:p>
    <w:p w14:paraId="483BD267" w14:textId="77777777" w:rsidR="00C411C5" w:rsidRPr="00AF68D6" w:rsidRDefault="00C411C5" w:rsidP="00C411C5">
      <w:pPr>
        <w:ind w:right="567"/>
        <w:rPr>
          <w:shd w:val="clear" w:color="auto" w:fill="FFFFFF"/>
        </w:rPr>
      </w:pPr>
    </w:p>
    <w:p w14:paraId="3A0398F4" w14:textId="77777777" w:rsidR="00C411C5" w:rsidRPr="00AF68D6" w:rsidRDefault="00C411C5" w:rsidP="00C411C5">
      <w:pPr>
        <w:ind w:right="567"/>
        <w:rPr>
          <w:shd w:val="clear" w:color="auto" w:fill="FFFFFF"/>
        </w:rPr>
      </w:pPr>
    </w:p>
    <w:p w14:paraId="3D30BF23" w14:textId="77777777" w:rsidR="006B287A" w:rsidRPr="00AF68D6" w:rsidRDefault="006B287A" w:rsidP="00C411C5">
      <w:pPr>
        <w:ind w:right="567"/>
        <w:rPr>
          <w:shd w:val="clear" w:color="auto" w:fill="FFFFFF"/>
        </w:rPr>
      </w:pPr>
    </w:p>
    <w:p w14:paraId="18BF6015" w14:textId="4C6203CE" w:rsidR="005627E7" w:rsidRPr="00AF68D6" w:rsidRDefault="00466725" w:rsidP="00466725">
      <w:pPr>
        <w:pStyle w:val="Heading1"/>
      </w:pPr>
      <w:r>
        <w:lastRenderedPageBreak/>
        <w:t>Abstract</w:t>
      </w:r>
    </w:p>
    <w:p w14:paraId="00D5BA4F" w14:textId="77777777" w:rsidR="005627E7" w:rsidRPr="00AF68D6" w:rsidRDefault="005627E7" w:rsidP="005627E7">
      <w:pPr>
        <w:spacing w:before="0" w:after="0"/>
        <w:rPr>
          <w:b/>
        </w:rPr>
      </w:pPr>
      <w:r w:rsidRPr="00AF68D6">
        <w:rPr>
          <w:b/>
        </w:rPr>
        <w:t xml:space="preserve">Background: </w:t>
      </w:r>
    </w:p>
    <w:p w14:paraId="2259106A" w14:textId="77777777" w:rsidR="005627E7" w:rsidRPr="00AF68D6" w:rsidRDefault="005627E7" w:rsidP="005627E7">
      <w:pPr>
        <w:spacing w:before="0" w:after="0"/>
      </w:pPr>
      <w:r w:rsidRPr="00AF68D6">
        <w:t>Malnutrition is common in patients with chronic heart failure (CHF) and is associated with adverse outcome, but it is uncertain how malnutrition should best be evaluated.</w:t>
      </w:r>
    </w:p>
    <w:p w14:paraId="4DD77053" w14:textId="77777777" w:rsidR="005627E7" w:rsidRPr="00AF68D6" w:rsidRDefault="005627E7" w:rsidP="005627E7">
      <w:pPr>
        <w:pStyle w:val="Normal1"/>
        <w:spacing w:before="0" w:beforeAutospacing="0" w:after="0" w:afterAutospacing="0" w:line="480" w:lineRule="auto"/>
        <w:rPr>
          <w:rFonts w:eastAsia="Calibri"/>
          <w:lang w:eastAsia="en-US"/>
        </w:rPr>
      </w:pPr>
    </w:p>
    <w:p w14:paraId="5CFCFFDF" w14:textId="77777777" w:rsidR="005627E7" w:rsidRPr="00AF68D6" w:rsidRDefault="005627E7" w:rsidP="005627E7">
      <w:pPr>
        <w:spacing w:before="0" w:after="0"/>
      </w:pPr>
      <w:r w:rsidRPr="00AF68D6">
        <w:rPr>
          <w:b/>
        </w:rPr>
        <w:t>Objectives:</w:t>
      </w:r>
      <w:r w:rsidRPr="00AF68D6">
        <w:t xml:space="preserve"> </w:t>
      </w:r>
    </w:p>
    <w:p w14:paraId="70F0FCC1" w14:textId="5F83B72C" w:rsidR="005627E7" w:rsidRPr="00AF68D6" w:rsidRDefault="001D6818" w:rsidP="005627E7">
      <w:pPr>
        <w:spacing w:before="0" w:after="0"/>
      </w:pPr>
      <w:r w:rsidRPr="00AF68D6">
        <w:t xml:space="preserve">This prospective cohort study aims to </w:t>
      </w:r>
      <w:r w:rsidR="005627E7" w:rsidRPr="00AF68D6">
        <w:t xml:space="preserve">compare the </w:t>
      </w:r>
      <w:r w:rsidRPr="00AF68D6">
        <w:t xml:space="preserve">short-term </w:t>
      </w:r>
      <w:r w:rsidR="005627E7" w:rsidRPr="00AF68D6">
        <w:t>prognostic value of 9 commonly used malnutrition tools in CHF</w:t>
      </w:r>
      <w:r w:rsidR="00930086">
        <w:t xml:space="preserve"> patients</w:t>
      </w:r>
      <w:r w:rsidR="005627E7" w:rsidRPr="00AF68D6">
        <w:t xml:space="preserve">. </w:t>
      </w:r>
    </w:p>
    <w:p w14:paraId="681D63C8" w14:textId="77777777" w:rsidR="005627E7" w:rsidRPr="00AF68D6" w:rsidRDefault="005627E7" w:rsidP="005627E7">
      <w:pPr>
        <w:spacing w:before="0" w:after="0"/>
      </w:pPr>
    </w:p>
    <w:p w14:paraId="4A89F09C" w14:textId="77777777" w:rsidR="005627E7" w:rsidRPr="00AF68D6" w:rsidRDefault="005627E7" w:rsidP="005627E7">
      <w:pPr>
        <w:spacing w:before="0" w:after="0"/>
        <w:rPr>
          <w:b/>
        </w:rPr>
      </w:pPr>
      <w:r w:rsidRPr="00AF68D6">
        <w:rPr>
          <w:b/>
        </w:rPr>
        <w:t>Methods:</w:t>
      </w:r>
    </w:p>
    <w:p w14:paraId="28E05B4D" w14:textId="04578B2C" w:rsidR="005627E7" w:rsidRPr="00AF68D6" w:rsidRDefault="005627E7" w:rsidP="005627E7">
      <w:pPr>
        <w:spacing w:before="0" w:after="0"/>
        <w:rPr>
          <w:iCs/>
        </w:rPr>
      </w:pPr>
      <w:r w:rsidRPr="00AF68D6">
        <w:t xml:space="preserve">We assessed, simultaneously: 3 simple tools (controlling nutritional status (CONUT) score, geriatric nutritional risk index (GNRI), prognostic nutritional index (PNI)); 3 multi-dimensional tools (malnutrition universal screening tool (MUST), mini nutritional assessment-short form (MNA-SF), subjective global assessment (SGA)); and 3 laboratory tests (serum cholesterol, </w:t>
      </w:r>
      <w:proofErr w:type="gramStart"/>
      <w:r w:rsidRPr="00AF68D6">
        <w:t>albumin</w:t>
      </w:r>
      <w:proofErr w:type="gramEnd"/>
      <w:r w:rsidRPr="00AF68D6">
        <w:t xml:space="preserve"> and total lymphocyte count)</w:t>
      </w:r>
      <w:r w:rsidRPr="00AF68D6">
        <w:rPr>
          <w:iCs/>
        </w:rPr>
        <w:t xml:space="preserve"> in consecutive patients with CHF attending a routine follow-up.</w:t>
      </w:r>
      <w:r w:rsidR="00F729DF" w:rsidRPr="00AF68D6">
        <w:rPr>
          <w:iCs/>
        </w:rPr>
        <w:t xml:space="preserve"> </w:t>
      </w:r>
      <w:r w:rsidR="00F729DF" w:rsidRPr="00AF68D6">
        <w:rPr>
          <w:lang w:eastAsia="en-GB"/>
        </w:rPr>
        <w:t xml:space="preserve">The primary end point was all-cause </w:t>
      </w:r>
      <w:r w:rsidR="00BC3FCE" w:rsidRPr="00AF68D6">
        <w:rPr>
          <w:lang w:eastAsia="en-GB"/>
        </w:rPr>
        <w:t>mortality; the</w:t>
      </w:r>
      <w:r w:rsidR="00F729DF" w:rsidRPr="00AF68D6">
        <w:rPr>
          <w:lang w:eastAsia="en-GB"/>
        </w:rPr>
        <w:t xml:space="preserve"> secondary end point was the combination of all-cause </w:t>
      </w:r>
      <w:r w:rsidR="005F6288" w:rsidRPr="00AF68D6">
        <w:rPr>
          <w:lang w:eastAsia="en-GB"/>
        </w:rPr>
        <w:t>hospitaliz</w:t>
      </w:r>
      <w:r w:rsidR="00F729DF" w:rsidRPr="00AF68D6">
        <w:rPr>
          <w:lang w:eastAsia="en-GB"/>
        </w:rPr>
        <w:t>ation and all-cause mortality.</w:t>
      </w:r>
    </w:p>
    <w:p w14:paraId="421B6F84" w14:textId="77777777" w:rsidR="005627E7" w:rsidRPr="00AF68D6" w:rsidRDefault="005627E7" w:rsidP="005627E7">
      <w:pPr>
        <w:spacing w:before="0" w:after="0"/>
      </w:pPr>
    </w:p>
    <w:p w14:paraId="3191ECED" w14:textId="77777777" w:rsidR="005627E7" w:rsidRPr="00AF68D6" w:rsidRDefault="005627E7" w:rsidP="005627E7">
      <w:pPr>
        <w:spacing w:before="0" w:after="0"/>
        <w:rPr>
          <w:b/>
        </w:rPr>
      </w:pPr>
      <w:r w:rsidRPr="00AF68D6">
        <w:rPr>
          <w:b/>
        </w:rPr>
        <w:t>Results:</w:t>
      </w:r>
    </w:p>
    <w:p w14:paraId="463B0EFF" w14:textId="7850934B" w:rsidR="005627E7" w:rsidRPr="00AF68D6" w:rsidRDefault="005627E7" w:rsidP="005627E7">
      <w:pPr>
        <w:spacing w:before="0" w:after="0"/>
        <w:rPr>
          <w:lang w:eastAsia="en-GB"/>
        </w:rPr>
      </w:pPr>
      <w:r w:rsidRPr="00AF68D6">
        <w:t>467 patients (67% male, median age 76 years</w:t>
      </w:r>
      <w:r w:rsidR="00F156CD">
        <w:t xml:space="preserve"> (range:</w:t>
      </w:r>
      <w:r w:rsidR="00930086">
        <w:t xml:space="preserve"> 21-98 years)</w:t>
      </w:r>
      <w:r w:rsidRPr="00AF68D6">
        <w:t xml:space="preserve">, median </w:t>
      </w:r>
      <w:r w:rsidR="001D6818" w:rsidRPr="00AF68D6">
        <w:rPr>
          <w:shd w:val="clear" w:color="auto" w:fill="FFFFFF"/>
        </w:rPr>
        <w:t>N-terminal pro-B-type natriuretic peptide (</w:t>
      </w:r>
      <w:r w:rsidRPr="00AF68D6">
        <w:t>NT-</w:t>
      </w:r>
      <w:proofErr w:type="spellStart"/>
      <w:r w:rsidRPr="00AF68D6">
        <w:t>proBNP</w:t>
      </w:r>
      <w:proofErr w:type="spellEnd"/>
      <w:r w:rsidR="001D6818" w:rsidRPr="00AF68D6">
        <w:t>)</w:t>
      </w:r>
      <w:r w:rsidRPr="00AF68D6">
        <w:t xml:space="preserve"> 1156 ng/L) were enrolled. </w:t>
      </w:r>
      <w:r w:rsidRPr="00AF68D6">
        <w:rPr>
          <w:lang w:eastAsia="en-GB"/>
        </w:rPr>
        <w:t xml:space="preserve">During a median follow-up of 554 days, 82 (18%) patients </w:t>
      </w:r>
      <w:proofErr w:type="gramStart"/>
      <w:r w:rsidRPr="00AF68D6">
        <w:rPr>
          <w:lang w:eastAsia="en-GB"/>
        </w:rPr>
        <w:t>died</w:t>
      </w:r>
      <w:proofErr w:type="gramEnd"/>
      <w:r w:rsidRPr="00AF68D6">
        <w:rPr>
          <w:lang w:eastAsia="en-GB"/>
        </w:rPr>
        <w:t xml:space="preserve"> and 201 (43%) patients had either a non-elective hospitali</w:t>
      </w:r>
      <w:r w:rsidR="005F6288" w:rsidRPr="00AF68D6">
        <w:rPr>
          <w:lang w:eastAsia="en-GB"/>
        </w:rPr>
        <w:t>z</w:t>
      </w:r>
      <w:r w:rsidRPr="00AF68D6">
        <w:rPr>
          <w:lang w:eastAsia="en-GB"/>
        </w:rPr>
        <w:t xml:space="preserve">ation or died. </w:t>
      </w:r>
    </w:p>
    <w:p w14:paraId="62BB30BD" w14:textId="77777777" w:rsidR="005627E7" w:rsidRPr="00AF68D6" w:rsidRDefault="005627E7" w:rsidP="005627E7">
      <w:pPr>
        <w:spacing w:before="0" w:after="0"/>
        <w:rPr>
          <w:lang w:eastAsia="en-GB"/>
        </w:rPr>
      </w:pPr>
    </w:p>
    <w:p w14:paraId="4249B646" w14:textId="3617A60A" w:rsidR="005627E7" w:rsidRPr="00AF68D6" w:rsidRDefault="005627E7" w:rsidP="005627E7">
      <w:pPr>
        <w:spacing w:before="0" w:after="0"/>
        <w:rPr>
          <w:lang w:eastAsia="en-GB"/>
        </w:rPr>
      </w:pPr>
      <w:r w:rsidRPr="00AF68D6">
        <w:rPr>
          <w:lang w:eastAsia="en-GB"/>
        </w:rPr>
        <w:lastRenderedPageBreak/>
        <w:t>In models corrected for age,</w:t>
      </w:r>
      <w:r w:rsidR="005D43B6" w:rsidRPr="00AF68D6">
        <w:rPr>
          <w:lang w:eastAsia="en-GB"/>
        </w:rPr>
        <w:t xml:space="preserve"> </w:t>
      </w:r>
      <w:proofErr w:type="spellStart"/>
      <w:r w:rsidRPr="00AF68D6">
        <w:rPr>
          <w:lang w:eastAsia="en-GB"/>
        </w:rPr>
        <w:t>hemoglobin</w:t>
      </w:r>
      <w:proofErr w:type="spellEnd"/>
      <w:r w:rsidR="006600C3" w:rsidRPr="00AF68D6">
        <w:rPr>
          <w:lang w:eastAsia="en-GB"/>
        </w:rPr>
        <w:t xml:space="preserve"> (Hb)</w:t>
      </w:r>
      <w:r w:rsidRPr="00AF68D6">
        <w:rPr>
          <w:lang w:eastAsia="en-GB"/>
        </w:rPr>
        <w:t>, renal function, N</w:t>
      </w:r>
      <w:r w:rsidR="001D6818" w:rsidRPr="00AF68D6">
        <w:rPr>
          <w:lang w:eastAsia="en-GB"/>
        </w:rPr>
        <w:t>ew York Heart Association (N</w:t>
      </w:r>
      <w:r w:rsidRPr="00AF68D6">
        <w:rPr>
          <w:lang w:eastAsia="en-GB"/>
        </w:rPr>
        <w:t>YHA</w:t>
      </w:r>
      <w:r w:rsidR="001D6818" w:rsidRPr="00AF68D6">
        <w:rPr>
          <w:lang w:eastAsia="en-GB"/>
        </w:rPr>
        <w:t>)</w:t>
      </w:r>
      <w:r w:rsidRPr="00AF68D6">
        <w:rPr>
          <w:lang w:eastAsia="en-GB"/>
        </w:rPr>
        <w:t xml:space="preserve"> class, </w:t>
      </w:r>
      <w:proofErr w:type="spellStart"/>
      <w:r w:rsidR="00D61F70">
        <w:rPr>
          <w:lang w:eastAsia="en-GB"/>
        </w:rPr>
        <w:t>NTproBNP</w:t>
      </w:r>
      <w:proofErr w:type="spellEnd"/>
      <w:r w:rsidR="00D61F70">
        <w:rPr>
          <w:lang w:eastAsia="en-GB"/>
        </w:rPr>
        <w:t xml:space="preserve">, </w:t>
      </w:r>
      <w:r w:rsidRPr="00AF68D6">
        <w:rPr>
          <w:lang w:eastAsia="en-GB"/>
        </w:rPr>
        <w:t>body mass index</w:t>
      </w:r>
      <w:r w:rsidR="005D43B6" w:rsidRPr="00AF68D6">
        <w:rPr>
          <w:lang w:eastAsia="en-GB"/>
        </w:rPr>
        <w:t xml:space="preserve"> and comorbidities</w:t>
      </w:r>
      <w:r w:rsidRPr="00AF68D6">
        <w:rPr>
          <w:lang w:eastAsia="en-GB"/>
        </w:rPr>
        <w:t>, all malnutrition tools, except total lymphocyte count</w:t>
      </w:r>
      <w:r w:rsidR="00110AC7" w:rsidRPr="00AF68D6">
        <w:rPr>
          <w:lang w:eastAsia="en-GB"/>
        </w:rPr>
        <w:t xml:space="preserve"> and serum cholesterol</w:t>
      </w:r>
      <w:r w:rsidRPr="00AF68D6">
        <w:rPr>
          <w:lang w:eastAsia="en-GB"/>
        </w:rPr>
        <w:t xml:space="preserve">, were independently associated with </w:t>
      </w:r>
      <w:r w:rsidR="00110AC7" w:rsidRPr="00AF68D6">
        <w:rPr>
          <w:lang w:eastAsia="en-GB"/>
        </w:rPr>
        <w:t>worse morbidity and mortality.</w:t>
      </w:r>
      <w:r w:rsidRPr="00AF68D6">
        <w:rPr>
          <w:lang w:eastAsia="en-GB"/>
        </w:rPr>
        <w:t xml:space="preserve"> </w:t>
      </w:r>
    </w:p>
    <w:p w14:paraId="20E27FB0" w14:textId="77777777" w:rsidR="005627E7" w:rsidRPr="00AF68D6" w:rsidRDefault="005627E7" w:rsidP="005627E7">
      <w:pPr>
        <w:spacing w:before="0" w:after="0"/>
        <w:rPr>
          <w:lang w:eastAsia="en-GB"/>
        </w:rPr>
      </w:pPr>
    </w:p>
    <w:p w14:paraId="2C4937C3" w14:textId="3BC54830" w:rsidR="005627E7" w:rsidRPr="00AF68D6" w:rsidRDefault="005627E7" w:rsidP="005627E7">
      <w:pPr>
        <w:spacing w:before="0" w:after="0"/>
      </w:pPr>
      <w:r w:rsidRPr="00AF68D6">
        <w:t xml:space="preserve">A base model for predicting mortality including </w:t>
      </w:r>
      <w:r w:rsidR="00992659" w:rsidRPr="00AF68D6">
        <w:t xml:space="preserve">age, NYHA </w:t>
      </w:r>
      <w:r w:rsidR="006600C3" w:rsidRPr="00AF68D6">
        <w:t>class</w:t>
      </w:r>
      <w:r w:rsidR="00930086">
        <w:t>,</w:t>
      </w:r>
      <w:r w:rsidR="00992659" w:rsidRPr="00AF68D6">
        <w:t xml:space="preserve"> log [NT-</w:t>
      </w:r>
      <w:proofErr w:type="spellStart"/>
      <w:r w:rsidR="00992659" w:rsidRPr="00AF68D6">
        <w:t>proBNP</w:t>
      </w:r>
      <w:proofErr w:type="spellEnd"/>
      <w:r w:rsidR="00992659" w:rsidRPr="00AF68D6">
        <w:t xml:space="preserve">], Hb, </w:t>
      </w:r>
      <w:r w:rsidR="006600C3" w:rsidRPr="00AF68D6">
        <w:t>renal function</w:t>
      </w:r>
      <w:r w:rsidR="00964034" w:rsidRPr="00AF68D6">
        <w:t xml:space="preserve"> and comorbidities</w:t>
      </w:r>
      <w:r w:rsidRPr="00AF68D6">
        <w:t xml:space="preserve"> had a C-statistic of 0.7</w:t>
      </w:r>
      <w:r w:rsidR="00992659" w:rsidRPr="00AF68D6">
        <w:t>57</w:t>
      </w:r>
      <w:r w:rsidRPr="00AF68D6">
        <w:t xml:space="preserve">. </w:t>
      </w:r>
      <w:r w:rsidRPr="00AF68D6">
        <w:rPr>
          <w:lang w:eastAsia="en-GB"/>
        </w:rPr>
        <w:t>Among simple tools: CONUT (C-statistic=0.7</w:t>
      </w:r>
      <w:r w:rsidR="00992659" w:rsidRPr="00AF68D6">
        <w:rPr>
          <w:lang w:eastAsia="en-GB"/>
        </w:rPr>
        <w:t>77</w:t>
      </w:r>
      <w:r w:rsidRPr="00AF68D6">
        <w:rPr>
          <w:lang w:eastAsia="en-GB"/>
        </w:rPr>
        <w:t>); among multi-dimensional tools, MNA-SF (C-statistic=0.7</w:t>
      </w:r>
      <w:r w:rsidR="00992659" w:rsidRPr="00AF68D6">
        <w:rPr>
          <w:lang w:eastAsia="en-GB"/>
        </w:rPr>
        <w:t>76</w:t>
      </w:r>
      <w:r w:rsidRPr="00AF68D6">
        <w:rPr>
          <w:lang w:eastAsia="en-GB"/>
        </w:rPr>
        <w:t>) and among biochemical tests: albumin (C-statistic=0.</w:t>
      </w:r>
      <w:r w:rsidR="00992659" w:rsidRPr="00AF68D6">
        <w:rPr>
          <w:lang w:eastAsia="en-GB"/>
        </w:rPr>
        <w:t>773</w:t>
      </w:r>
      <w:r w:rsidRPr="00AF68D6">
        <w:rPr>
          <w:lang w:eastAsia="en-GB"/>
        </w:rPr>
        <w:t xml:space="preserve">), increased model performance most compared to base </w:t>
      </w:r>
      <w:r w:rsidR="00BB71F6" w:rsidRPr="00AF68D6">
        <w:rPr>
          <w:lang w:eastAsia="en-GB"/>
        </w:rPr>
        <w:t>model. Patients</w:t>
      </w:r>
      <w:r w:rsidR="00964C12" w:rsidRPr="00AF68D6">
        <w:rPr>
          <w:lang w:eastAsia="en-GB"/>
        </w:rPr>
        <w:t xml:space="preserve"> with serum albumin &lt;30 g/L </w:t>
      </w:r>
      <w:r w:rsidR="00BB71F6" w:rsidRPr="00AF68D6">
        <w:rPr>
          <w:lang w:eastAsia="en-GB"/>
        </w:rPr>
        <w:t xml:space="preserve">was </w:t>
      </w:r>
      <w:r w:rsidR="00964C12" w:rsidRPr="00AF68D6">
        <w:rPr>
          <w:lang w:eastAsia="en-GB"/>
        </w:rPr>
        <w:t>associated with a 6-fold increase in mortality compared to patients with albumin ≥35 g/L.</w:t>
      </w:r>
    </w:p>
    <w:p w14:paraId="0FED0FDB" w14:textId="77777777" w:rsidR="005627E7" w:rsidRPr="00AF68D6" w:rsidRDefault="005627E7" w:rsidP="005627E7">
      <w:pPr>
        <w:pStyle w:val="Normal1"/>
        <w:spacing w:before="0" w:beforeAutospacing="0" w:after="0" w:afterAutospacing="0" w:line="480" w:lineRule="auto"/>
        <w:rPr>
          <w:rFonts w:eastAsia="Calibri"/>
          <w:lang w:eastAsia="en-US"/>
        </w:rPr>
      </w:pPr>
    </w:p>
    <w:p w14:paraId="1485FA23" w14:textId="77777777" w:rsidR="005627E7" w:rsidRPr="00AF68D6" w:rsidRDefault="005627E7" w:rsidP="005627E7">
      <w:pPr>
        <w:spacing w:before="0" w:after="0"/>
        <w:rPr>
          <w:b/>
        </w:rPr>
      </w:pPr>
      <w:r w:rsidRPr="00AF68D6">
        <w:rPr>
          <w:b/>
        </w:rPr>
        <w:t>Conclusion:</w:t>
      </w:r>
    </w:p>
    <w:p w14:paraId="72D9BF51" w14:textId="65ED610F" w:rsidR="005627E7" w:rsidRPr="00AF68D6" w:rsidRDefault="005627E7" w:rsidP="00930086">
      <w:pPr>
        <w:spacing w:before="0" w:after="0"/>
      </w:pPr>
      <w:r w:rsidRPr="00AF68D6">
        <w:t xml:space="preserve">Malnutrition is strongly associated with adverse outcomes in </w:t>
      </w:r>
      <w:r w:rsidR="00930086">
        <w:t>CHF patients</w:t>
      </w:r>
      <w:r w:rsidRPr="00AF68D6">
        <w:t xml:space="preserve">. Measuring serum albumin provides comparable prognostic information to simple or multi-dimensional malnutrition tools.   </w:t>
      </w:r>
    </w:p>
    <w:p w14:paraId="268D85E1" w14:textId="2A1B142D" w:rsidR="005627E7" w:rsidRPr="00AF68D6" w:rsidRDefault="005627E7" w:rsidP="005627E7">
      <w:pPr>
        <w:spacing w:before="0" w:after="0"/>
      </w:pPr>
      <w:r w:rsidRPr="00AF68D6">
        <w:t>(</w:t>
      </w:r>
      <w:r w:rsidR="00930086">
        <w:t>300</w:t>
      </w:r>
      <w:r w:rsidR="00930086" w:rsidRPr="00AF68D6">
        <w:t xml:space="preserve"> </w:t>
      </w:r>
      <w:r w:rsidR="00BC3FCE" w:rsidRPr="00AF68D6">
        <w:t>words</w:t>
      </w:r>
      <w:r w:rsidR="000A7AD4">
        <w:t>)</w:t>
      </w:r>
    </w:p>
    <w:p w14:paraId="3699AFF9" w14:textId="77777777" w:rsidR="00F662D7" w:rsidRPr="00AF68D6" w:rsidRDefault="00F662D7" w:rsidP="008B68F9">
      <w:pPr>
        <w:spacing w:before="0" w:after="0"/>
      </w:pPr>
    </w:p>
    <w:p w14:paraId="7D7486EF" w14:textId="77777777" w:rsidR="0035666D" w:rsidRPr="00AF68D6" w:rsidRDefault="0035666D" w:rsidP="008B68F9">
      <w:pPr>
        <w:spacing w:before="0" w:after="0"/>
      </w:pPr>
    </w:p>
    <w:p w14:paraId="4BD27CAD" w14:textId="3FBA904B" w:rsidR="000533F7" w:rsidRPr="00AF68D6" w:rsidRDefault="00C411C5" w:rsidP="008B68F9">
      <w:pPr>
        <w:spacing w:before="0" w:after="0"/>
      </w:pPr>
      <w:r w:rsidRPr="00AF68D6">
        <w:t xml:space="preserve">Key words: heart failure, </w:t>
      </w:r>
      <w:r w:rsidR="001F0C00" w:rsidRPr="00AF68D6">
        <w:t>malnutrition</w:t>
      </w:r>
      <w:r w:rsidRPr="00AF68D6">
        <w:t>, prognosis, mortality, hospitali</w:t>
      </w:r>
      <w:r w:rsidR="005F6288" w:rsidRPr="00AF68D6">
        <w:t>z</w:t>
      </w:r>
      <w:r w:rsidRPr="00AF68D6">
        <w:t>ation</w:t>
      </w:r>
    </w:p>
    <w:p w14:paraId="36D5BBBB" w14:textId="77777777" w:rsidR="005627E7" w:rsidRPr="00AF68D6" w:rsidRDefault="005627E7" w:rsidP="008B68F9">
      <w:pPr>
        <w:spacing w:before="0" w:after="0"/>
      </w:pPr>
    </w:p>
    <w:p w14:paraId="3698DBFA" w14:textId="213BC98F" w:rsidR="008B68F9" w:rsidRPr="00AF68D6" w:rsidRDefault="008B68F9" w:rsidP="008B68F9">
      <w:pPr>
        <w:spacing w:before="0" w:after="0"/>
      </w:pPr>
    </w:p>
    <w:p w14:paraId="0DB02E39" w14:textId="3AE9E7D2" w:rsidR="008B68F9" w:rsidRPr="00AF68D6" w:rsidRDefault="008B68F9" w:rsidP="008B68F9">
      <w:pPr>
        <w:spacing w:before="0" w:after="0"/>
      </w:pPr>
    </w:p>
    <w:p w14:paraId="3A6F3616" w14:textId="577AB8D1" w:rsidR="008B68F9" w:rsidRPr="00AF68D6" w:rsidRDefault="008B68F9" w:rsidP="008B68F9">
      <w:pPr>
        <w:spacing w:before="0" w:after="0"/>
      </w:pPr>
    </w:p>
    <w:p w14:paraId="1A110710" w14:textId="4F921034" w:rsidR="008B68F9" w:rsidRDefault="008B68F9" w:rsidP="008B68F9">
      <w:pPr>
        <w:spacing w:before="0" w:after="0"/>
      </w:pPr>
    </w:p>
    <w:p w14:paraId="46C28FB5" w14:textId="77777777" w:rsidR="00D26FA4" w:rsidRPr="00AF68D6" w:rsidRDefault="00D26FA4" w:rsidP="008B68F9">
      <w:pPr>
        <w:spacing w:before="0" w:after="0"/>
        <w:rPr>
          <w:b/>
        </w:rPr>
        <w:sectPr w:rsidR="00D26FA4" w:rsidRPr="00AF68D6" w:rsidSect="004F0DA2">
          <w:headerReference w:type="default" r:id="rId9"/>
          <w:endnotePr>
            <w:numFmt w:val="decimal"/>
          </w:endnotePr>
          <w:type w:val="continuous"/>
          <w:pgSz w:w="11906" w:h="16838"/>
          <w:pgMar w:top="1440" w:right="1440" w:bottom="1440" w:left="1440" w:header="708" w:footer="708" w:gutter="0"/>
          <w:lnNumType w:countBy="1" w:restart="continuous"/>
          <w:cols w:space="708"/>
          <w:docGrid w:linePitch="360"/>
        </w:sectPr>
      </w:pPr>
    </w:p>
    <w:p w14:paraId="2474DA9C" w14:textId="3CF4120D" w:rsidR="00C411C5" w:rsidRPr="00AF68D6" w:rsidRDefault="00466725" w:rsidP="00466725">
      <w:pPr>
        <w:pStyle w:val="Heading1"/>
      </w:pPr>
      <w:r>
        <w:lastRenderedPageBreak/>
        <w:t>Introduction</w:t>
      </w:r>
    </w:p>
    <w:p w14:paraId="70325938" w14:textId="1AC252DB" w:rsidR="000A6B09" w:rsidRPr="00AF68D6" w:rsidRDefault="00661206" w:rsidP="008B68F9">
      <w:pPr>
        <w:spacing w:before="0" w:after="0"/>
      </w:pPr>
      <w:r w:rsidRPr="00AF68D6">
        <w:t xml:space="preserve">Malnutrition is </w:t>
      </w:r>
      <w:r w:rsidR="00097668" w:rsidRPr="00AF68D6">
        <w:t>the</w:t>
      </w:r>
      <w:r w:rsidR="003846AC" w:rsidRPr="00AF68D6">
        <w:t xml:space="preserve"> lack of </w:t>
      </w:r>
      <w:r w:rsidR="00F67D64" w:rsidRPr="00AF68D6">
        <w:t>intake or uptake of nutr</w:t>
      </w:r>
      <w:r w:rsidRPr="00AF68D6">
        <w:t>ients</w:t>
      </w:r>
      <w:r w:rsidR="00484782" w:rsidRPr="00AF68D6">
        <w:t>,</w:t>
      </w:r>
      <w:r w:rsidR="006B33A7" w:rsidRPr="00AF68D6">
        <w:t xml:space="preserve"> </w:t>
      </w:r>
      <w:r w:rsidR="00F67D64" w:rsidRPr="00AF68D6">
        <w:t xml:space="preserve">which </w:t>
      </w:r>
      <w:r w:rsidR="00484782" w:rsidRPr="00AF68D6">
        <w:t xml:space="preserve">ultimately </w:t>
      </w:r>
      <w:r w:rsidR="00F67D64" w:rsidRPr="00AF68D6">
        <w:t xml:space="preserve">results in altered body composition, </w:t>
      </w:r>
      <w:r w:rsidR="00C8381D" w:rsidRPr="00AF68D6">
        <w:t>leading to</w:t>
      </w:r>
      <w:r w:rsidR="00F67D64" w:rsidRPr="00AF68D6">
        <w:t xml:space="preserve"> reduced physical function and </w:t>
      </w:r>
      <w:r w:rsidR="00ED0A55" w:rsidRPr="00AF68D6">
        <w:t xml:space="preserve">worse </w:t>
      </w:r>
      <w:r w:rsidR="00C8381D" w:rsidRPr="00AF68D6">
        <w:t>clinical outcomes</w:t>
      </w:r>
      <w:r w:rsidR="005627E7" w:rsidRPr="00AF68D6">
        <w:t xml:space="preserve"> </w:t>
      </w:r>
      <w:r w:rsidR="00800C5A" w:rsidRPr="00AF68D6">
        <w:t>(</w:t>
      </w:r>
      <w:r w:rsidR="00F67D64" w:rsidRPr="00AF68D6">
        <w:rPr>
          <w:rStyle w:val="EndnoteReference"/>
          <w:vertAlign w:val="baseline"/>
        </w:rPr>
        <w:endnoteReference w:id="1"/>
      </w:r>
      <w:r w:rsidR="00800C5A" w:rsidRPr="00AF68D6">
        <w:t>)</w:t>
      </w:r>
      <w:r w:rsidR="005627E7" w:rsidRPr="00AF68D6">
        <w:t>.</w:t>
      </w:r>
      <w:r w:rsidR="00F67D64" w:rsidRPr="00AF68D6">
        <w:t xml:space="preserve"> </w:t>
      </w:r>
    </w:p>
    <w:p w14:paraId="1E5216F4" w14:textId="77777777" w:rsidR="00FD1AC6" w:rsidRPr="00AF68D6" w:rsidRDefault="00FD1AC6" w:rsidP="008B68F9">
      <w:pPr>
        <w:spacing w:before="0" w:after="0"/>
      </w:pPr>
    </w:p>
    <w:p w14:paraId="4B3F08DD" w14:textId="172D6F05" w:rsidR="003846AC" w:rsidRPr="00AF68D6" w:rsidRDefault="00FD1AC6" w:rsidP="008B68F9">
      <w:pPr>
        <w:spacing w:before="0" w:after="0"/>
      </w:pPr>
      <w:r w:rsidRPr="00AF68D6">
        <w:t xml:space="preserve">Malnutrition is </w:t>
      </w:r>
      <w:r w:rsidR="003C35BA" w:rsidRPr="00AF68D6">
        <w:t xml:space="preserve">common </w:t>
      </w:r>
      <w:r w:rsidRPr="00AF68D6">
        <w:t xml:space="preserve">in patients with </w:t>
      </w:r>
      <w:r w:rsidR="008555A9" w:rsidRPr="00AF68D6">
        <w:t>heart failure (</w:t>
      </w:r>
      <w:r w:rsidRPr="00AF68D6">
        <w:t>HF</w:t>
      </w:r>
      <w:r w:rsidR="008555A9" w:rsidRPr="00AF68D6">
        <w:t>)</w:t>
      </w:r>
      <w:r w:rsidRPr="00AF68D6">
        <w:t>, and is associated with significant disa</w:t>
      </w:r>
      <w:r w:rsidR="005627E7" w:rsidRPr="00AF68D6">
        <w:t xml:space="preserve">bility, morbidity and mortality </w:t>
      </w:r>
      <w:r w:rsidR="00800C5A" w:rsidRPr="00AF68D6">
        <w:t>(</w:t>
      </w:r>
      <w:r w:rsidRPr="00AF68D6">
        <w:rPr>
          <w:rStyle w:val="EndnoteReference"/>
          <w:vertAlign w:val="baseline"/>
        </w:rPr>
        <w:endnoteReference w:id="2"/>
      </w:r>
      <w:r w:rsidR="00800C5A" w:rsidRPr="00AF68D6">
        <w:t>)</w:t>
      </w:r>
      <w:r w:rsidR="005627E7" w:rsidRPr="00AF68D6">
        <w:t>.</w:t>
      </w:r>
      <w:r w:rsidRPr="00AF68D6">
        <w:t xml:space="preserve"> The relationship between malnutrition and </w:t>
      </w:r>
      <w:r w:rsidR="008555A9" w:rsidRPr="00AF68D6">
        <w:t>HF</w:t>
      </w:r>
      <w:r w:rsidRPr="00AF68D6">
        <w:t xml:space="preserve"> is complex. </w:t>
      </w:r>
      <w:r w:rsidR="00D21487" w:rsidRPr="00AF68D6">
        <w:t>On one hand, nutrit</w:t>
      </w:r>
      <w:r w:rsidR="00BA763A" w:rsidRPr="00AF68D6">
        <w:t>ional deficiencies might cause</w:t>
      </w:r>
      <w:r w:rsidR="00D21487" w:rsidRPr="00AF68D6">
        <w:t xml:space="preserve"> atrophy and fibrosis of cardiac myocytes, leading to reduced lef</w:t>
      </w:r>
      <w:r w:rsidR="005627E7" w:rsidRPr="00AF68D6">
        <w:t xml:space="preserve">t ventricular mass and function </w:t>
      </w:r>
      <w:r w:rsidR="00800C5A" w:rsidRPr="00AF68D6">
        <w:t>(</w:t>
      </w:r>
      <w:r w:rsidR="00D21487" w:rsidRPr="00AF68D6">
        <w:rPr>
          <w:rStyle w:val="EndnoteReference"/>
          <w:vertAlign w:val="baseline"/>
        </w:rPr>
        <w:endnoteReference w:id="3"/>
      </w:r>
      <w:r w:rsidR="00D21487" w:rsidRPr="00AF68D6">
        <w:t>,</w:t>
      </w:r>
      <w:r w:rsidR="00D21487" w:rsidRPr="00AF68D6">
        <w:rPr>
          <w:rStyle w:val="EndnoteReference"/>
          <w:vertAlign w:val="baseline"/>
        </w:rPr>
        <w:endnoteReference w:id="4"/>
      </w:r>
      <w:r w:rsidR="00800C5A" w:rsidRPr="00AF68D6">
        <w:t>)</w:t>
      </w:r>
      <w:r w:rsidR="005627E7" w:rsidRPr="00AF68D6">
        <w:t>.</w:t>
      </w:r>
      <w:r w:rsidR="00BA763A" w:rsidRPr="00AF68D6">
        <w:rPr>
          <w:vertAlign w:val="superscript"/>
        </w:rPr>
        <w:t xml:space="preserve"> </w:t>
      </w:r>
      <w:r w:rsidR="0087017C" w:rsidRPr="00AF68D6">
        <w:t>The lack of nutrients</w:t>
      </w:r>
      <w:r w:rsidR="00BA763A" w:rsidRPr="00AF68D6">
        <w:t xml:space="preserve"> </w:t>
      </w:r>
      <w:r w:rsidR="0087017C" w:rsidRPr="00AF68D6">
        <w:t xml:space="preserve">secondary to </w:t>
      </w:r>
      <w:r w:rsidR="00BA763A" w:rsidRPr="00AF68D6">
        <w:t xml:space="preserve">poor lifestyles and habits </w:t>
      </w:r>
      <w:r w:rsidR="00BE1B4B" w:rsidRPr="00AF68D6">
        <w:t xml:space="preserve">such as </w:t>
      </w:r>
      <w:r w:rsidR="002B00BB" w:rsidRPr="00AF68D6">
        <w:t xml:space="preserve">chronic and severe </w:t>
      </w:r>
      <w:r w:rsidR="00BA763A" w:rsidRPr="00AF68D6">
        <w:t xml:space="preserve">alcoholism, might also contribute to </w:t>
      </w:r>
      <w:r w:rsidR="00BE1B4B" w:rsidRPr="00AF68D6">
        <w:t xml:space="preserve">the </w:t>
      </w:r>
      <w:r w:rsidR="00BA763A" w:rsidRPr="00AF68D6">
        <w:t xml:space="preserve">development of overt </w:t>
      </w:r>
      <w:r w:rsidR="00BE1B4B" w:rsidRPr="00AF68D6">
        <w:t>HF</w:t>
      </w:r>
      <w:r w:rsidR="00BA763A" w:rsidRPr="00AF68D6">
        <w:t xml:space="preserve">. On the other hand, </w:t>
      </w:r>
      <w:r w:rsidR="00097668" w:rsidRPr="00AF68D6">
        <w:rPr>
          <w:shd w:val="clear" w:color="auto" w:fill="FFFFFF"/>
        </w:rPr>
        <w:t>HF</w:t>
      </w:r>
      <w:r w:rsidR="00BA763A" w:rsidRPr="00AF68D6">
        <w:rPr>
          <w:shd w:val="clear" w:color="auto" w:fill="FFFFFF"/>
        </w:rPr>
        <w:t xml:space="preserve"> itself</w:t>
      </w:r>
      <w:r w:rsidR="00097668" w:rsidRPr="00AF68D6">
        <w:rPr>
          <w:shd w:val="clear" w:color="auto" w:fill="FFFFFF"/>
        </w:rPr>
        <w:t xml:space="preserve"> </w:t>
      </w:r>
      <w:r w:rsidR="000B125D" w:rsidRPr="00AF68D6">
        <w:rPr>
          <w:shd w:val="clear" w:color="auto" w:fill="FFFFFF"/>
        </w:rPr>
        <w:t>predisposes to</w:t>
      </w:r>
      <w:r w:rsidR="00097668" w:rsidRPr="00AF68D6">
        <w:rPr>
          <w:shd w:val="clear" w:color="auto" w:fill="FFFFFF"/>
        </w:rPr>
        <w:t xml:space="preserve"> congestive enteropathy and malabsorption</w:t>
      </w:r>
      <w:r w:rsidR="005627E7" w:rsidRPr="00AF68D6">
        <w:rPr>
          <w:shd w:val="clear" w:color="auto" w:fill="FFFFFF"/>
        </w:rPr>
        <w:t xml:space="preserve"> </w:t>
      </w:r>
      <w:r w:rsidR="00800C5A" w:rsidRPr="00AF68D6">
        <w:rPr>
          <w:shd w:val="clear" w:color="auto" w:fill="FFFFFF"/>
        </w:rPr>
        <w:t>(</w:t>
      </w:r>
      <w:r w:rsidR="000B125D" w:rsidRPr="00AF68D6">
        <w:rPr>
          <w:rStyle w:val="EndnoteReference"/>
          <w:shd w:val="clear" w:color="auto" w:fill="FFFFFF"/>
          <w:vertAlign w:val="baseline"/>
        </w:rPr>
        <w:endnoteReference w:id="5"/>
      </w:r>
      <w:r w:rsidR="00800C5A" w:rsidRPr="00AF68D6">
        <w:rPr>
          <w:shd w:val="clear" w:color="auto" w:fill="FFFFFF"/>
        </w:rPr>
        <w:t>)</w:t>
      </w:r>
      <w:r w:rsidR="005627E7" w:rsidRPr="00AF68D6">
        <w:rPr>
          <w:shd w:val="clear" w:color="auto" w:fill="FFFFFF"/>
        </w:rPr>
        <w:t>.</w:t>
      </w:r>
      <w:r w:rsidR="00097668" w:rsidRPr="00AF68D6">
        <w:rPr>
          <w:shd w:val="clear" w:color="auto" w:fill="FFFFFF"/>
        </w:rPr>
        <w:t xml:space="preserve"> </w:t>
      </w:r>
      <w:r w:rsidR="002B315F" w:rsidRPr="00AF68D6">
        <w:rPr>
          <w:shd w:val="clear" w:color="auto" w:fill="FFFFFF"/>
        </w:rPr>
        <w:t>The sustained n</w:t>
      </w:r>
      <w:r w:rsidR="00097668" w:rsidRPr="00AF68D6">
        <w:rPr>
          <w:shd w:val="clear" w:color="auto" w:fill="FFFFFF"/>
        </w:rPr>
        <w:t xml:space="preserve">eurohormonal activation and chronic inflammation </w:t>
      </w:r>
      <w:r w:rsidR="00BE1B4B" w:rsidRPr="00AF68D6">
        <w:rPr>
          <w:shd w:val="clear" w:color="auto" w:fill="FFFFFF"/>
        </w:rPr>
        <w:t>associated with</w:t>
      </w:r>
      <w:r w:rsidR="00BA763A" w:rsidRPr="00AF68D6">
        <w:rPr>
          <w:shd w:val="clear" w:color="auto" w:fill="FFFFFF"/>
        </w:rPr>
        <w:t xml:space="preserve"> HF </w:t>
      </w:r>
      <w:r w:rsidR="00097668" w:rsidRPr="00AF68D6">
        <w:rPr>
          <w:shd w:val="clear" w:color="auto" w:fill="FFFFFF"/>
        </w:rPr>
        <w:t xml:space="preserve">lead to </w:t>
      </w:r>
      <w:proofErr w:type="spellStart"/>
      <w:r w:rsidR="00097668" w:rsidRPr="00AF68D6">
        <w:rPr>
          <w:shd w:val="clear" w:color="auto" w:fill="FFFFFF"/>
        </w:rPr>
        <w:t>hypercatabolism</w:t>
      </w:r>
      <w:proofErr w:type="spellEnd"/>
      <w:r w:rsidR="00097668" w:rsidRPr="00AF68D6">
        <w:rPr>
          <w:shd w:val="clear" w:color="auto" w:fill="FFFFFF"/>
        </w:rPr>
        <w:t xml:space="preserve">, </w:t>
      </w:r>
      <w:r w:rsidR="008D12D6" w:rsidRPr="00AF68D6">
        <w:rPr>
          <w:shd w:val="clear" w:color="auto" w:fill="FFFFFF"/>
        </w:rPr>
        <w:t xml:space="preserve">which, in turn, </w:t>
      </w:r>
      <w:r w:rsidR="008555A9" w:rsidRPr="00AF68D6">
        <w:rPr>
          <w:shd w:val="clear" w:color="auto" w:fill="FFFFFF"/>
        </w:rPr>
        <w:t>predisposes to</w:t>
      </w:r>
      <w:r w:rsidR="00097668" w:rsidRPr="00AF68D6">
        <w:rPr>
          <w:shd w:val="clear" w:color="auto" w:fill="FFFFFF"/>
        </w:rPr>
        <w:t xml:space="preserve"> sarcopenia and cachexia</w:t>
      </w:r>
      <w:r w:rsidR="005627E7" w:rsidRPr="00AF68D6">
        <w:rPr>
          <w:shd w:val="clear" w:color="auto" w:fill="FFFFFF"/>
        </w:rPr>
        <w:t xml:space="preserve"> </w:t>
      </w:r>
      <w:r w:rsidR="00800C5A" w:rsidRPr="00AF68D6">
        <w:rPr>
          <w:shd w:val="clear" w:color="auto" w:fill="FFFFFF"/>
        </w:rPr>
        <w:t>(</w:t>
      </w:r>
      <w:r w:rsidR="000B125D" w:rsidRPr="00AF68D6">
        <w:rPr>
          <w:rStyle w:val="EndnoteReference"/>
          <w:shd w:val="clear" w:color="auto" w:fill="FFFFFF"/>
          <w:vertAlign w:val="baseline"/>
        </w:rPr>
        <w:endnoteReference w:id="6"/>
      </w:r>
      <w:r w:rsidR="00800C5A" w:rsidRPr="00AF68D6">
        <w:rPr>
          <w:shd w:val="clear" w:color="auto" w:fill="FFFFFF"/>
        </w:rPr>
        <w:t>)</w:t>
      </w:r>
      <w:r w:rsidR="005627E7" w:rsidRPr="00AF68D6">
        <w:rPr>
          <w:shd w:val="clear" w:color="auto" w:fill="FFFFFF"/>
        </w:rPr>
        <w:t>.</w:t>
      </w:r>
      <w:r w:rsidR="000B125D" w:rsidRPr="00AF68D6">
        <w:rPr>
          <w:shd w:val="clear" w:color="auto" w:fill="FFFFFF"/>
        </w:rPr>
        <w:t xml:space="preserve"> </w:t>
      </w:r>
      <w:r w:rsidR="00661206" w:rsidRPr="00AF68D6">
        <w:t>Older age, polypharmacy, and other co</w:t>
      </w:r>
      <w:r w:rsidR="009A1B05" w:rsidRPr="00AF68D6">
        <w:t>-</w:t>
      </w:r>
      <w:r w:rsidR="00661206" w:rsidRPr="00AF68D6">
        <w:t>morbiditi</w:t>
      </w:r>
      <w:r w:rsidR="00EF2C12" w:rsidRPr="00AF68D6">
        <w:t xml:space="preserve">es, </w:t>
      </w:r>
      <w:r w:rsidR="00097668" w:rsidRPr="00AF68D6">
        <w:t>such as</w:t>
      </w:r>
      <w:r w:rsidR="00EF2C12" w:rsidRPr="00AF68D6">
        <w:t xml:space="preserve"> </w:t>
      </w:r>
      <w:r w:rsidR="00E66A98" w:rsidRPr="00AF68D6">
        <w:t>dementia or</w:t>
      </w:r>
      <w:r w:rsidR="00661206" w:rsidRPr="00AF68D6">
        <w:t xml:space="preserve"> frailty</w:t>
      </w:r>
      <w:r w:rsidR="005627E7" w:rsidRPr="00AF68D6">
        <w:t xml:space="preserve"> </w:t>
      </w:r>
      <w:r w:rsidR="00800C5A" w:rsidRPr="00AF68D6">
        <w:t>(</w:t>
      </w:r>
      <w:r w:rsidR="00097668" w:rsidRPr="00AF68D6">
        <w:rPr>
          <w:rStyle w:val="EndnoteReference"/>
          <w:vertAlign w:val="baseline"/>
        </w:rPr>
        <w:endnoteReference w:id="7"/>
      </w:r>
      <w:r w:rsidR="00800C5A" w:rsidRPr="00AF68D6">
        <w:t>)</w:t>
      </w:r>
      <w:r w:rsidR="005627E7" w:rsidRPr="00AF68D6">
        <w:t>,</w:t>
      </w:r>
      <w:r w:rsidR="008555A9" w:rsidRPr="00AF68D6">
        <w:t xml:space="preserve"> </w:t>
      </w:r>
      <w:r w:rsidR="00661206" w:rsidRPr="00AF68D6">
        <w:t xml:space="preserve">might </w:t>
      </w:r>
      <w:r w:rsidR="00E66A98" w:rsidRPr="00AF68D6">
        <w:t xml:space="preserve">further </w:t>
      </w:r>
      <w:r w:rsidR="00661206" w:rsidRPr="00AF68D6">
        <w:t xml:space="preserve">increase the risk </w:t>
      </w:r>
      <w:r w:rsidR="00E66A98" w:rsidRPr="00AF68D6">
        <w:t xml:space="preserve">of </w:t>
      </w:r>
      <w:r w:rsidR="003970CD" w:rsidRPr="00AF68D6">
        <w:t>malnutrition</w:t>
      </w:r>
      <w:r w:rsidR="00097668" w:rsidRPr="00AF68D6">
        <w:t xml:space="preserve"> in </w:t>
      </w:r>
      <w:r w:rsidR="00E66A98" w:rsidRPr="00AF68D6">
        <w:t>patients with HF</w:t>
      </w:r>
      <w:r w:rsidR="00097668" w:rsidRPr="00AF68D6">
        <w:t xml:space="preserve">. </w:t>
      </w:r>
    </w:p>
    <w:p w14:paraId="4FD08AE6" w14:textId="77777777" w:rsidR="00BE1B4B" w:rsidRPr="00AF68D6" w:rsidRDefault="00BE1B4B" w:rsidP="008B68F9">
      <w:pPr>
        <w:spacing w:before="0" w:after="0"/>
      </w:pPr>
    </w:p>
    <w:p w14:paraId="3F916AF1" w14:textId="3C5EA4A8" w:rsidR="00490272" w:rsidRPr="00AF68D6" w:rsidRDefault="00C82234" w:rsidP="008B68F9">
      <w:pPr>
        <w:spacing w:before="0" w:after="0"/>
      </w:pPr>
      <w:r w:rsidRPr="00AF68D6">
        <w:t xml:space="preserve">Current guidelines recommend assessment </w:t>
      </w:r>
      <w:r w:rsidR="004C4D8E" w:rsidRPr="00AF68D6">
        <w:t>of nutrition</w:t>
      </w:r>
      <w:r w:rsidRPr="00AF68D6">
        <w:t>al status</w:t>
      </w:r>
      <w:r w:rsidR="004C4D8E" w:rsidRPr="00AF68D6">
        <w:t xml:space="preserve"> in patients with </w:t>
      </w:r>
      <w:proofErr w:type="gramStart"/>
      <w:r w:rsidR="00B12B0B" w:rsidRPr="00AF68D6">
        <w:t>HF</w:t>
      </w:r>
      <w:r w:rsidR="00800C5A" w:rsidRPr="00AF68D6">
        <w:t>(</w:t>
      </w:r>
      <w:proofErr w:type="gramEnd"/>
      <w:r w:rsidR="003846AC" w:rsidRPr="00AF68D6">
        <w:rPr>
          <w:rStyle w:val="EndnoteReference"/>
          <w:vertAlign w:val="baseline"/>
        </w:rPr>
        <w:endnoteReference w:id="8"/>
      </w:r>
      <w:r w:rsidR="00800C5A" w:rsidRPr="00AF68D6">
        <w:t>)</w:t>
      </w:r>
      <w:r w:rsidR="005F6288" w:rsidRPr="00AF68D6">
        <w:t>,</w:t>
      </w:r>
      <w:r w:rsidR="004C4D8E" w:rsidRPr="00AF68D6">
        <w:t xml:space="preserve"> </w:t>
      </w:r>
      <w:r w:rsidR="006B33A7" w:rsidRPr="00AF68D6">
        <w:t xml:space="preserve">but there is no consensus as to </w:t>
      </w:r>
      <w:r w:rsidR="002D56CD" w:rsidRPr="00AF68D6">
        <w:t xml:space="preserve">how </w:t>
      </w:r>
      <w:r w:rsidR="00B12B0B" w:rsidRPr="00AF68D6">
        <w:t>malnutrition should best be measured</w:t>
      </w:r>
      <w:r w:rsidR="002B315F" w:rsidRPr="00AF68D6">
        <w:t xml:space="preserve">. </w:t>
      </w:r>
      <w:r w:rsidR="00B12B0B" w:rsidRPr="00AF68D6">
        <w:t>W</w:t>
      </w:r>
      <w:r w:rsidR="00E75BC5" w:rsidRPr="00AF68D6">
        <w:t xml:space="preserve">e </w:t>
      </w:r>
      <w:r w:rsidR="00B12B0B" w:rsidRPr="00AF68D6">
        <w:t xml:space="preserve">therefore </w:t>
      </w:r>
      <w:r w:rsidR="00E75BC5" w:rsidRPr="00AF68D6">
        <w:t xml:space="preserve">performed </w:t>
      </w:r>
      <w:r w:rsidR="006943F8" w:rsidRPr="00AF68D6">
        <w:t xml:space="preserve">a </w:t>
      </w:r>
      <w:r w:rsidR="00E75BC5" w:rsidRPr="00AF68D6">
        <w:t xml:space="preserve">comprehensive malnutrition evaluation in a cohort of well-characterised ambulatory patients with </w:t>
      </w:r>
      <w:r w:rsidR="00B12B0B" w:rsidRPr="00AF68D6">
        <w:t>chronic heart failure (C</w:t>
      </w:r>
      <w:r w:rsidR="00E75BC5" w:rsidRPr="00AF68D6">
        <w:t>HF</w:t>
      </w:r>
      <w:r w:rsidR="00B12B0B" w:rsidRPr="00AF68D6">
        <w:t>)</w:t>
      </w:r>
      <w:r w:rsidR="00E75BC5" w:rsidRPr="00AF68D6">
        <w:t xml:space="preserve"> and </w:t>
      </w:r>
      <w:r w:rsidR="004F6F0D" w:rsidRPr="00AF68D6">
        <w:t xml:space="preserve">compared the </w:t>
      </w:r>
      <w:r w:rsidR="00F03E1A" w:rsidRPr="00AF68D6">
        <w:t xml:space="preserve">short-term </w:t>
      </w:r>
      <w:r w:rsidR="004F6F0D" w:rsidRPr="00AF68D6">
        <w:t xml:space="preserve">prognostic significance of 9 </w:t>
      </w:r>
      <w:r w:rsidR="003C35BA" w:rsidRPr="00AF68D6">
        <w:t>commonly used</w:t>
      </w:r>
      <w:r w:rsidR="00BB1AA0" w:rsidRPr="00AF68D6">
        <w:t xml:space="preserve"> malnutrition tools.</w:t>
      </w:r>
    </w:p>
    <w:p w14:paraId="736A4D9F" w14:textId="3E1E76F1" w:rsidR="00CB5ECD" w:rsidRDefault="00CB5ECD" w:rsidP="008B68F9">
      <w:pPr>
        <w:spacing w:before="0" w:after="0"/>
      </w:pPr>
    </w:p>
    <w:p w14:paraId="31C5DEC2" w14:textId="4DBDEEED" w:rsidR="009251AF" w:rsidRDefault="009251AF" w:rsidP="008B68F9">
      <w:pPr>
        <w:spacing w:before="0" w:after="0"/>
      </w:pPr>
    </w:p>
    <w:p w14:paraId="0A83CCAC" w14:textId="3E70F474" w:rsidR="009251AF" w:rsidRDefault="009251AF" w:rsidP="008B68F9">
      <w:pPr>
        <w:spacing w:before="0" w:after="0"/>
      </w:pPr>
    </w:p>
    <w:p w14:paraId="0E5ED664" w14:textId="77777777" w:rsidR="009251AF" w:rsidRPr="00AF68D6" w:rsidRDefault="009251AF" w:rsidP="008B68F9">
      <w:pPr>
        <w:spacing w:before="0" w:after="0"/>
      </w:pPr>
    </w:p>
    <w:p w14:paraId="206BE4F9" w14:textId="77777777" w:rsidR="00C411C5" w:rsidRPr="00AF68D6" w:rsidRDefault="00C411C5" w:rsidP="00466725">
      <w:pPr>
        <w:pStyle w:val="Heading1"/>
      </w:pPr>
      <w:r w:rsidRPr="00AF68D6">
        <w:lastRenderedPageBreak/>
        <w:t>Methods</w:t>
      </w:r>
    </w:p>
    <w:p w14:paraId="663BDE86" w14:textId="73D4BD3C" w:rsidR="00C411C5" w:rsidRPr="00AF68D6" w:rsidRDefault="00C411C5" w:rsidP="00466725">
      <w:pPr>
        <w:pStyle w:val="Heading2"/>
      </w:pPr>
      <w:r w:rsidRPr="00AF68D6">
        <w:t>Study population</w:t>
      </w:r>
      <w:r w:rsidR="00DD64D3" w:rsidRPr="00AF68D6">
        <w:t xml:space="preserve"> (</w:t>
      </w:r>
      <w:r w:rsidR="00D943CD" w:rsidRPr="00AF68D6">
        <w:t>Supplementary</w:t>
      </w:r>
      <w:r w:rsidR="00DD64D3" w:rsidRPr="00AF68D6">
        <w:t xml:space="preserve"> </w:t>
      </w:r>
      <w:r w:rsidR="004253C7">
        <w:t>F</w:t>
      </w:r>
      <w:r w:rsidR="00DD64D3" w:rsidRPr="00AF68D6">
        <w:t>igure 1)</w:t>
      </w:r>
    </w:p>
    <w:p w14:paraId="77C1F0E7" w14:textId="263FB01F" w:rsidR="00637AFC" w:rsidRPr="00AF68D6" w:rsidRDefault="00AC1676" w:rsidP="008B68F9">
      <w:pPr>
        <w:spacing w:before="0" w:after="0"/>
      </w:pPr>
      <w:r w:rsidRPr="00AF68D6">
        <w:t xml:space="preserve">Between September 2016 and March 2017, we enrolled </w:t>
      </w:r>
      <w:r w:rsidR="00F729DF" w:rsidRPr="00AF68D6">
        <w:t xml:space="preserve">prospectively </w:t>
      </w:r>
      <w:r w:rsidRPr="00AF68D6">
        <w:t>c</w:t>
      </w:r>
      <w:r w:rsidR="00C411C5" w:rsidRPr="00AF68D6">
        <w:t>onsecutive</w:t>
      </w:r>
      <w:r w:rsidR="00430DD1" w:rsidRPr="00AF68D6">
        <w:t xml:space="preserve"> </w:t>
      </w:r>
      <w:r w:rsidR="00C22B0F" w:rsidRPr="00AF68D6">
        <w:t>ambulatory</w:t>
      </w:r>
      <w:r w:rsidR="00C411C5" w:rsidRPr="00AF68D6">
        <w:t xml:space="preserve"> </w:t>
      </w:r>
      <w:r w:rsidR="00B12B0B" w:rsidRPr="00AF68D6">
        <w:t xml:space="preserve">patients </w:t>
      </w:r>
      <w:r w:rsidR="00C411C5" w:rsidRPr="00AF68D6">
        <w:t>with</w:t>
      </w:r>
      <w:r w:rsidR="00430DD1" w:rsidRPr="00AF68D6">
        <w:t xml:space="preserve"> </w:t>
      </w:r>
      <w:r w:rsidR="00B12B0B" w:rsidRPr="00AF68D6">
        <w:t>C</w:t>
      </w:r>
      <w:r w:rsidR="00325D47" w:rsidRPr="00AF68D6">
        <w:t xml:space="preserve">HF who attended </w:t>
      </w:r>
      <w:r w:rsidR="00C411C5" w:rsidRPr="00AF68D6">
        <w:t xml:space="preserve">a community </w:t>
      </w:r>
      <w:r w:rsidR="006B287A">
        <w:t>HF</w:t>
      </w:r>
      <w:r w:rsidR="00B12B0B" w:rsidRPr="00AF68D6">
        <w:t xml:space="preserve"> </w:t>
      </w:r>
      <w:r w:rsidR="00C411C5" w:rsidRPr="00AF68D6">
        <w:t xml:space="preserve">clinic </w:t>
      </w:r>
      <w:r w:rsidRPr="00AF68D6">
        <w:t xml:space="preserve">for a routine follow-up appointment. </w:t>
      </w:r>
      <w:r w:rsidR="00C411C5" w:rsidRPr="00AF68D6">
        <w:t xml:space="preserve">All patients had a pre-existing (&gt;1 year) clinical diagnosis of </w:t>
      </w:r>
      <w:r w:rsidR="00325D47" w:rsidRPr="00AF68D6">
        <w:t>HF</w:t>
      </w:r>
      <w:r w:rsidR="00430DD1" w:rsidRPr="00AF68D6">
        <w:t xml:space="preserve">, </w:t>
      </w:r>
      <w:r w:rsidR="00C411C5" w:rsidRPr="00AF68D6">
        <w:t xml:space="preserve">confirmed by either evidence of left ventricular systolic dysfunction on echocardiography (left ventricular ejection fraction (LVEF) &lt;40% or at least moderate left ventricular systolic dysfunction by visual inspection if LVEF was not calculated), defined as heart failure with reduced ejection fraction, </w:t>
      </w:r>
      <w:proofErr w:type="spellStart"/>
      <w:r w:rsidR="00C411C5" w:rsidRPr="00AF68D6">
        <w:t>HeFREF</w:t>
      </w:r>
      <w:proofErr w:type="spellEnd"/>
      <w:r w:rsidR="00C411C5" w:rsidRPr="00AF68D6">
        <w:t xml:space="preserve">; </w:t>
      </w:r>
      <w:r w:rsidR="00C411C5" w:rsidRPr="00AF68D6">
        <w:rPr>
          <w:b/>
        </w:rPr>
        <w:t>or</w:t>
      </w:r>
      <w:r w:rsidR="00C411C5" w:rsidRPr="00AF68D6">
        <w:t xml:space="preserve"> normal left ventricular systolic function (LVEF </w:t>
      </w:r>
      <w:r w:rsidR="00C411C5" w:rsidRPr="00AF68D6">
        <w:rPr>
          <w:u w:val="single"/>
        </w:rPr>
        <w:t>&gt;</w:t>
      </w:r>
      <w:r w:rsidR="00C411C5" w:rsidRPr="00AF68D6">
        <w:t xml:space="preserve">40%) and </w:t>
      </w:r>
      <w:r w:rsidR="00C411C5" w:rsidRPr="00AF68D6">
        <w:rPr>
          <w:shd w:val="clear" w:color="auto" w:fill="FFFFFF"/>
        </w:rPr>
        <w:t>N-terminal pro-B-type natriuretic peptide (</w:t>
      </w:r>
      <w:proofErr w:type="spellStart"/>
      <w:r w:rsidR="00C411C5" w:rsidRPr="00AF68D6">
        <w:t>NTproBNP</w:t>
      </w:r>
      <w:proofErr w:type="spellEnd"/>
      <w:r w:rsidR="00C411C5" w:rsidRPr="00AF68D6">
        <w:t>) &gt;400 ng/L, defined as heart failure with n</w:t>
      </w:r>
      <w:r w:rsidR="005627E7" w:rsidRPr="00AF68D6">
        <w:t xml:space="preserve">ormal ejection fraction, </w:t>
      </w:r>
      <w:proofErr w:type="spellStart"/>
      <w:r w:rsidR="005627E7" w:rsidRPr="00AF68D6">
        <w:t>HeFNEF</w:t>
      </w:r>
      <w:proofErr w:type="spellEnd"/>
      <w:r w:rsidR="005627E7" w:rsidRPr="00AF68D6">
        <w:t xml:space="preserve"> </w:t>
      </w:r>
      <w:r w:rsidR="00800C5A" w:rsidRPr="00AF68D6">
        <w:t>(</w:t>
      </w:r>
      <w:r w:rsidR="00C411C5" w:rsidRPr="00AF68D6">
        <w:rPr>
          <w:rStyle w:val="EndnoteReference"/>
          <w:vertAlign w:val="baseline"/>
        </w:rPr>
        <w:endnoteReference w:id="9"/>
      </w:r>
      <w:r w:rsidR="00800C5A" w:rsidRPr="00AF68D6">
        <w:t>)</w:t>
      </w:r>
      <w:r w:rsidR="005627E7" w:rsidRPr="00AF68D6">
        <w:t>.</w:t>
      </w:r>
      <w:r w:rsidR="00C411C5" w:rsidRPr="00AF68D6">
        <w:t xml:space="preserve"> All patients </w:t>
      </w:r>
      <w:r w:rsidR="002431C6" w:rsidRPr="00AF68D6">
        <w:t>gave consent</w:t>
      </w:r>
      <w:r w:rsidR="00821EE7" w:rsidRPr="00AF68D6">
        <w:t xml:space="preserve"> to take part in research and</w:t>
      </w:r>
      <w:r w:rsidR="00FC14BD" w:rsidRPr="00AF68D6">
        <w:t xml:space="preserve"> had </w:t>
      </w:r>
      <w:r w:rsidR="00C411C5" w:rsidRPr="00AF68D6">
        <w:t xml:space="preserve">been initiated on treatment for </w:t>
      </w:r>
      <w:r w:rsidR="000F2B43" w:rsidRPr="00AF68D6">
        <w:t>HF</w:t>
      </w:r>
      <w:r w:rsidR="001C3386" w:rsidRPr="00AF68D6">
        <w:t xml:space="preserve"> according to the Heart Failure Association of the European Society of Cardiology</w:t>
      </w:r>
      <w:r w:rsidR="001C3386" w:rsidRPr="00AF68D6">
        <w:rPr>
          <w:rFonts w:eastAsiaTheme="minorHAnsi"/>
        </w:rPr>
        <w:t xml:space="preserve"> Guidelines for the diagnosis and treatment of acute and chronic heart failure (8)</w:t>
      </w:r>
      <w:r w:rsidR="00C411C5" w:rsidRPr="00AF68D6">
        <w:t xml:space="preserve">.  </w:t>
      </w:r>
    </w:p>
    <w:p w14:paraId="7BE922C3" w14:textId="77777777" w:rsidR="00BB1AA0" w:rsidRPr="00AF68D6" w:rsidRDefault="00BB1AA0" w:rsidP="008B68F9">
      <w:pPr>
        <w:spacing w:before="0" w:after="0"/>
      </w:pPr>
    </w:p>
    <w:p w14:paraId="6643BD1C" w14:textId="7E57D04D" w:rsidR="00C411C5" w:rsidRPr="00AF68D6" w:rsidRDefault="00C411C5" w:rsidP="008B68F9">
      <w:pPr>
        <w:pStyle w:val="Normal1"/>
        <w:spacing w:before="0" w:beforeAutospacing="0" w:after="0" w:afterAutospacing="0" w:line="480" w:lineRule="auto"/>
        <w:jc w:val="both"/>
      </w:pPr>
      <w:r w:rsidRPr="00AF68D6">
        <w:t>During the visit, all patients had a full medical history, physical examination, blood tests (full blood count, urea and electrolytes and NT</w:t>
      </w:r>
      <w:r w:rsidR="000A2246" w:rsidRPr="00AF68D6">
        <w:t>-</w:t>
      </w:r>
      <w:proofErr w:type="spellStart"/>
      <w:r w:rsidRPr="00AF68D6">
        <w:t>proBNP</w:t>
      </w:r>
      <w:proofErr w:type="spellEnd"/>
      <w:r w:rsidRPr="00AF68D6">
        <w:t xml:space="preserve">), an electrocardiogram and a consultation with a HF specialist. </w:t>
      </w:r>
    </w:p>
    <w:p w14:paraId="4FBACA4A" w14:textId="77777777" w:rsidR="00C411C5" w:rsidRPr="00AF68D6" w:rsidRDefault="00C411C5" w:rsidP="008B68F9">
      <w:pPr>
        <w:spacing w:before="0" w:after="0"/>
      </w:pPr>
    </w:p>
    <w:p w14:paraId="20F5931F" w14:textId="233F461A" w:rsidR="00896DA3" w:rsidRPr="00AF68D6" w:rsidRDefault="00896DA3" w:rsidP="00466725">
      <w:pPr>
        <w:pStyle w:val="Heading2"/>
      </w:pPr>
      <w:r w:rsidRPr="00AF68D6">
        <w:t>Malnutrition evaluation</w:t>
      </w:r>
    </w:p>
    <w:p w14:paraId="0819C1D7" w14:textId="0B40CFFE" w:rsidR="00896DA3" w:rsidRPr="00AF68D6" w:rsidRDefault="00896DA3" w:rsidP="008B68F9">
      <w:pPr>
        <w:spacing w:before="0" w:after="0"/>
        <w:rPr>
          <w:lang w:eastAsia="en-GB"/>
        </w:rPr>
      </w:pPr>
      <w:r w:rsidRPr="00AF68D6">
        <w:rPr>
          <w:lang w:eastAsia="en-GB"/>
        </w:rPr>
        <w:t xml:space="preserve">All patients were screened by the same researcher </w:t>
      </w:r>
      <w:r w:rsidR="00463406" w:rsidRPr="00AF68D6">
        <w:rPr>
          <w:lang w:eastAsia="en-GB"/>
        </w:rPr>
        <w:t>(SS) for malnutrition. (</w:t>
      </w:r>
      <w:proofErr w:type="gramStart"/>
      <w:r w:rsidR="00D943CD" w:rsidRPr="00AF68D6">
        <w:rPr>
          <w:lang w:eastAsia="en-GB"/>
        </w:rPr>
        <w:t xml:space="preserve">Supplementary </w:t>
      </w:r>
      <w:r w:rsidR="00463406" w:rsidRPr="00AF68D6">
        <w:rPr>
          <w:lang w:eastAsia="en-GB"/>
        </w:rPr>
        <w:t xml:space="preserve"> Table</w:t>
      </w:r>
      <w:proofErr w:type="gramEnd"/>
      <w:r w:rsidRPr="00AF68D6">
        <w:rPr>
          <w:lang w:eastAsia="en-GB"/>
        </w:rPr>
        <w:t xml:space="preserve"> 1a)</w:t>
      </w:r>
    </w:p>
    <w:p w14:paraId="5F2E03B6" w14:textId="344F9D32" w:rsidR="00896DA3" w:rsidRDefault="00896DA3" w:rsidP="008B68F9">
      <w:pPr>
        <w:spacing w:before="0" w:after="0"/>
        <w:rPr>
          <w:lang w:eastAsia="en-GB"/>
        </w:rPr>
      </w:pPr>
      <w:r w:rsidRPr="00AF68D6">
        <w:rPr>
          <w:lang w:eastAsia="en-GB"/>
        </w:rPr>
        <w:t>The simple tools used were:</w:t>
      </w:r>
    </w:p>
    <w:p w14:paraId="6D4E5F6D" w14:textId="77777777" w:rsidR="009251AF" w:rsidRPr="00AF68D6" w:rsidRDefault="009251AF" w:rsidP="008B68F9">
      <w:pPr>
        <w:spacing w:before="0" w:after="0"/>
        <w:rPr>
          <w:lang w:eastAsia="en-GB"/>
        </w:rPr>
      </w:pPr>
    </w:p>
    <w:p w14:paraId="03513636" w14:textId="77777777" w:rsidR="00896DA3" w:rsidRPr="00AF68D6" w:rsidRDefault="00896DA3" w:rsidP="008B68F9">
      <w:pPr>
        <w:pStyle w:val="ListParagraph"/>
        <w:numPr>
          <w:ilvl w:val="0"/>
          <w:numId w:val="8"/>
        </w:numPr>
        <w:spacing w:beforeLines="120" w:before="288" w:afterLines="120" w:after="288" w:line="480" w:lineRule="auto"/>
        <w:ind w:left="0" w:firstLine="0"/>
        <w:rPr>
          <w:rFonts w:ascii="Times New Roman" w:hAnsi="Times New Roman"/>
          <w:sz w:val="24"/>
          <w:szCs w:val="24"/>
          <w:lang w:eastAsia="en-GB"/>
        </w:rPr>
      </w:pPr>
      <w:r w:rsidRPr="00AF68D6">
        <w:rPr>
          <w:rFonts w:ascii="Times New Roman" w:hAnsi="Times New Roman"/>
          <w:i/>
          <w:sz w:val="24"/>
          <w:szCs w:val="24"/>
          <w:lang w:eastAsia="en-GB"/>
        </w:rPr>
        <w:lastRenderedPageBreak/>
        <w:t>The geriatric nutritional risk index</w:t>
      </w:r>
      <w:r w:rsidRPr="00AF68D6">
        <w:rPr>
          <w:rFonts w:ascii="Times New Roman" w:hAnsi="Times New Roman"/>
          <w:sz w:val="24"/>
          <w:szCs w:val="24"/>
          <w:lang w:eastAsia="en-GB"/>
        </w:rPr>
        <w:t xml:space="preserve"> (GNRI)</w:t>
      </w:r>
    </w:p>
    <w:p w14:paraId="5D9967F8" w14:textId="16A2FC3A" w:rsidR="00896DA3" w:rsidRPr="00AF68D6" w:rsidRDefault="00896DA3" w:rsidP="008B68F9">
      <w:pPr>
        <w:pStyle w:val="ListParagraph"/>
        <w:spacing w:after="0" w:line="480" w:lineRule="auto"/>
        <w:ind w:left="0"/>
        <w:rPr>
          <w:rFonts w:ascii="Times New Roman" w:hAnsi="Times New Roman"/>
          <w:sz w:val="24"/>
          <w:szCs w:val="24"/>
          <w:lang w:eastAsia="en-GB"/>
        </w:rPr>
      </w:pPr>
      <w:r w:rsidRPr="00AF68D6">
        <w:rPr>
          <w:rFonts w:ascii="Times New Roman" w:hAnsi="Times New Roman"/>
          <w:sz w:val="24"/>
          <w:szCs w:val="24"/>
          <w:lang w:eastAsia="en-GB"/>
        </w:rPr>
        <w:t>GNRI was calculated using the formula: [1.489 x albumin (g/L)] + [41.7 x current weight/ ideal weight]</w:t>
      </w:r>
      <w:r w:rsidR="005627E7" w:rsidRPr="00AF68D6">
        <w:rPr>
          <w:rFonts w:ascii="Times New Roman" w:hAnsi="Times New Roman"/>
          <w:sz w:val="24"/>
          <w:szCs w:val="24"/>
          <w:lang w:eastAsia="en-GB"/>
        </w:rPr>
        <w:t xml:space="preserve"> </w:t>
      </w:r>
      <w:r w:rsidR="00800C5A" w:rsidRPr="00AF68D6">
        <w:rPr>
          <w:rFonts w:ascii="Times New Roman" w:hAnsi="Times New Roman"/>
          <w:sz w:val="24"/>
          <w:szCs w:val="24"/>
          <w:lang w:eastAsia="en-GB"/>
        </w:rPr>
        <w:t>(</w:t>
      </w:r>
      <w:r w:rsidRPr="00AF68D6">
        <w:rPr>
          <w:rStyle w:val="EndnoteReference"/>
          <w:rFonts w:ascii="Times New Roman" w:hAnsi="Times New Roman"/>
          <w:sz w:val="24"/>
          <w:szCs w:val="24"/>
          <w:vertAlign w:val="baseline"/>
          <w:lang w:eastAsia="en-GB"/>
        </w:rPr>
        <w:endnoteReference w:id="10"/>
      </w:r>
      <w:r w:rsidR="00800C5A" w:rsidRPr="00AF68D6">
        <w:rPr>
          <w:rFonts w:ascii="Times New Roman" w:hAnsi="Times New Roman"/>
          <w:sz w:val="24"/>
          <w:szCs w:val="24"/>
          <w:lang w:eastAsia="en-GB"/>
        </w:rPr>
        <w:t>)</w:t>
      </w:r>
      <w:r w:rsidR="005627E7" w:rsidRPr="00AF68D6">
        <w:rPr>
          <w:rFonts w:ascii="Times New Roman" w:hAnsi="Times New Roman"/>
          <w:sz w:val="24"/>
          <w:szCs w:val="24"/>
          <w:lang w:eastAsia="en-GB"/>
        </w:rPr>
        <w:t>.</w:t>
      </w:r>
      <w:r w:rsidRPr="00AF68D6">
        <w:rPr>
          <w:rFonts w:ascii="Times New Roman" w:hAnsi="Times New Roman"/>
          <w:sz w:val="24"/>
          <w:szCs w:val="24"/>
          <w:lang w:eastAsia="en-GB"/>
        </w:rPr>
        <w:t xml:space="preserve"> Ideal body weight was calculated using the formula: </w:t>
      </w:r>
      <w:r w:rsidR="005627E7" w:rsidRPr="00AF68D6">
        <w:rPr>
          <w:rFonts w:ascii="Times New Roman" w:hAnsi="Times New Roman"/>
          <w:sz w:val="24"/>
          <w:szCs w:val="24"/>
          <w:lang w:eastAsia="en-GB"/>
        </w:rPr>
        <w:t xml:space="preserve">22 x square of height in meters </w:t>
      </w:r>
      <w:r w:rsidR="00800C5A" w:rsidRPr="00AF68D6">
        <w:rPr>
          <w:rFonts w:ascii="Times New Roman" w:hAnsi="Times New Roman"/>
          <w:sz w:val="24"/>
          <w:szCs w:val="24"/>
          <w:lang w:eastAsia="en-GB"/>
        </w:rPr>
        <w:t>(</w:t>
      </w:r>
      <w:r w:rsidRPr="00AF68D6">
        <w:rPr>
          <w:rStyle w:val="EndnoteReference"/>
          <w:rFonts w:ascii="Times New Roman" w:hAnsi="Times New Roman"/>
          <w:sz w:val="24"/>
          <w:szCs w:val="24"/>
          <w:vertAlign w:val="baseline"/>
          <w:lang w:eastAsia="en-GB"/>
        </w:rPr>
        <w:endnoteReference w:id="11"/>
      </w:r>
      <w:r w:rsidR="00800C5A" w:rsidRPr="00AF68D6">
        <w:rPr>
          <w:rFonts w:ascii="Times New Roman" w:hAnsi="Times New Roman"/>
          <w:sz w:val="24"/>
          <w:szCs w:val="24"/>
          <w:lang w:eastAsia="en-GB"/>
        </w:rPr>
        <w:t>)</w:t>
      </w:r>
      <w:r w:rsidR="005627E7" w:rsidRPr="00AF68D6">
        <w:rPr>
          <w:rFonts w:ascii="Times New Roman" w:hAnsi="Times New Roman"/>
          <w:sz w:val="24"/>
          <w:szCs w:val="24"/>
          <w:lang w:eastAsia="en-GB"/>
        </w:rPr>
        <w:t>.</w:t>
      </w:r>
      <w:r w:rsidRPr="00AF68D6">
        <w:rPr>
          <w:rFonts w:ascii="Times New Roman" w:hAnsi="Times New Roman"/>
          <w:sz w:val="24"/>
          <w:szCs w:val="24"/>
          <w:lang w:eastAsia="en-GB"/>
        </w:rPr>
        <w:t xml:space="preserve"> Subjects with GNRI &gt;98 have normal nutritional status, those with GNRI 92-98, 82-91, &lt;82 have mild, moderate and severe malnutrition respectively. GNRI ≤ 98 is classified as malnourished</w:t>
      </w:r>
      <w:r w:rsidR="005627E7" w:rsidRPr="00AF68D6">
        <w:rPr>
          <w:rFonts w:ascii="Times New Roman" w:hAnsi="Times New Roman"/>
          <w:sz w:val="24"/>
          <w:szCs w:val="24"/>
          <w:lang w:eastAsia="en-GB"/>
        </w:rPr>
        <w:t xml:space="preserve"> </w:t>
      </w:r>
      <w:r w:rsidR="00800C5A" w:rsidRPr="00AF68D6">
        <w:rPr>
          <w:rFonts w:ascii="Times New Roman" w:hAnsi="Times New Roman"/>
          <w:sz w:val="24"/>
          <w:szCs w:val="24"/>
          <w:lang w:eastAsia="en-GB"/>
        </w:rPr>
        <w:t>(</w:t>
      </w:r>
      <w:r w:rsidR="003C35BA" w:rsidRPr="00AF68D6">
        <w:rPr>
          <w:rFonts w:ascii="Times New Roman" w:hAnsi="Times New Roman"/>
          <w:sz w:val="24"/>
          <w:szCs w:val="24"/>
          <w:lang w:eastAsia="en-GB"/>
        </w:rPr>
        <w:t>10</w:t>
      </w:r>
      <w:r w:rsidR="00800C5A" w:rsidRPr="00AF68D6">
        <w:rPr>
          <w:rFonts w:ascii="Times New Roman" w:hAnsi="Times New Roman"/>
          <w:sz w:val="24"/>
          <w:szCs w:val="24"/>
          <w:lang w:eastAsia="en-GB"/>
        </w:rPr>
        <w:t>)</w:t>
      </w:r>
      <w:r w:rsidR="005627E7" w:rsidRPr="00AF68D6">
        <w:rPr>
          <w:rFonts w:ascii="Times New Roman" w:hAnsi="Times New Roman"/>
          <w:sz w:val="24"/>
          <w:szCs w:val="24"/>
          <w:lang w:eastAsia="en-GB"/>
        </w:rPr>
        <w:t>.</w:t>
      </w:r>
    </w:p>
    <w:p w14:paraId="00A6AB5D" w14:textId="77777777" w:rsidR="00896DA3" w:rsidRPr="00AF68D6" w:rsidRDefault="00896DA3" w:rsidP="008B68F9">
      <w:pPr>
        <w:pStyle w:val="ListParagraph"/>
        <w:spacing w:after="0" w:line="480" w:lineRule="auto"/>
        <w:ind w:left="0"/>
        <w:rPr>
          <w:rFonts w:ascii="Times New Roman" w:hAnsi="Times New Roman"/>
          <w:i/>
          <w:sz w:val="24"/>
          <w:szCs w:val="24"/>
          <w:lang w:eastAsia="en-GB"/>
        </w:rPr>
      </w:pPr>
    </w:p>
    <w:p w14:paraId="1508CE54" w14:textId="77777777" w:rsidR="00896DA3" w:rsidRPr="00AF68D6" w:rsidRDefault="00896DA3" w:rsidP="008B68F9">
      <w:pPr>
        <w:pStyle w:val="ListParagraph"/>
        <w:numPr>
          <w:ilvl w:val="0"/>
          <w:numId w:val="8"/>
        </w:numPr>
        <w:spacing w:beforeLines="120" w:before="288" w:afterLines="120" w:after="288" w:line="480" w:lineRule="auto"/>
        <w:ind w:left="0" w:firstLine="0"/>
        <w:rPr>
          <w:rFonts w:ascii="Times New Roman" w:hAnsi="Times New Roman"/>
          <w:sz w:val="24"/>
          <w:szCs w:val="24"/>
          <w:lang w:eastAsia="en-GB"/>
        </w:rPr>
      </w:pPr>
      <w:r w:rsidRPr="00AF68D6">
        <w:rPr>
          <w:rFonts w:ascii="Times New Roman" w:hAnsi="Times New Roman"/>
          <w:i/>
          <w:sz w:val="24"/>
          <w:szCs w:val="24"/>
          <w:lang w:eastAsia="en-GB"/>
        </w:rPr>
        <w:t xml:space="preserve"> The</w:t>
      </w:r>
      <w:r w:rsidRPr="00AF68D6">
        <w:rPr>
          <w:rFonts w:ascii="Times New Roman" w:hAnsi="Times New Roman"/>
          <w:i/>
          <w:sz w:val="24"/>
          <w:szCs w:val="24"/>
        </w:rPr>
        <w:t> </w:t>
      </w:r>
      <w:proofErr w:type="spellStart"/>
      <w:r w:rsidRPr="00AF68D6">
        <w:rPr>
          <w:rFonts w:ascii="Times New Roman" w:hAnsi="Times New Roman"/>
          <w:i/>
          <w:sz w:val="24"/>
          <w:szCs w:val="24"/>
        </w:rPr>
        <w:t>COntrolling</w:t>
      </w:r>
      <w:proofErr w:type="spellEnd"/>
      <w:r w:rsidRPr="00AF68D6">
        <w:rPr>
          <w:rFonts w:ascii="Times New Roman" w:hAnsi="Times New Roman"/>
          <w:i/>
          <w:sz w:val="24"/>
          <w:szCs w:val="24"/>
        </w:rPr>
        <w:t xml:space="preserve"> </w:t>
      </w:r>
      <w:proofErr w:type="spellStart"/>
      <w:r w:rsidRPr="00AF68D6">
        <w:rPr>
          <w:rFonts w:ascii="Times New Roman" w:hAnsi="Times New Roman"/>
          <w:i/>
          <w:sz w:val="24"/>
          <w:szCs w:val="24"/>
        </w:rPr>
        <w:t>NUTritional</w:t>
      </w:r>
      <w:proofErr w:type="spellEnd"/>
      <w:r w:rsidRPr="00AF68D6">
        <w:rPr>
          <w:rFonts w:ascii="Times New Roman" w:hAnsi="Times New Roman"/>
          <w:i/>
          <w:sz w:val="24"/>
          <w:szCs w:val="24"/>
        </w:rPr>
        <w:t xml:space="preserve"> Status index</w:t>
      </w:r>
      <w:r w:rsidRPr="00AF68D6">
        <w:rPr>
          <w:rFonts w:ascii="Times New Roman" w:hAnsi="Times New Roman"/>
          <w:sz w:val="24"/>
          <w:szCs w:val="24"/>
        </w:rPr>
        <w:t> </w:t>
      </w:r>
      <w:r w:rsidRPr="00AF68D6">
        <w:rPr>
          <w:rFonts w:ascii="Times New Roman" w:hAnsi="Times New Roman"/>
          <w:bCs/>
          <w:sz w:val="24"/>
          <w:szCs w:val="24"/>
        </w:rPr>
        <w:t xml:space="preserve">(CONUT score; </w:t>
      </w:r>
      <w:r w:rsidRPr="00AF68D6">
        <w:rPr>
          <w:rFonts w:ascii="Times New Roman" w:hAnsi="Times New Roman"/>
          <w:sz w:val="24"/>
          <w:szCs w:val="24"/>
          <w:lang w:eastAsia="en-GB"/>
        </w:rPr>
        <w:t>scored between 0-12):</w:t>
      </w:r>
    </w:p>
    <w:p w14:paraId="0DE02132" w14:textId="5B8CA7DC" w:rsidR="00896DA3" w:rsidRPr="00AF68D6" w:rsidRDefault="00896DA3" w:rsidP="008B68F9">
      <w:pPr>
        <w:pStyle w:val="ListParagraph"/>
        <w:spacing w:after="0" w:line="480" w:lineRule="auto"/>
        <w:ind w:left="0"/>
        <w:rPr>
          <w:rFonts w:ascii="Times New Roman" w:hAnsi="Times New Roman"/>
          <w:sz w:val="24"/>
          <w:szCs w:val="24"/>
          <w:lang w:eastAsia="en-GB"/>
        </w:rPr>
      </w:pPr>
      <w:r w:rsidRPr="00AF68D6">
        <w:rPr>
          <w:rFonts w:ascii="Times New Roman" w:hAnsi="Times New Roman"/>
          <w:sz w:val="24"/>
          <w:szCs w:val="24"/>
          <w:lang w:eastAsia="en-GB"/>
        </w:rPr>
        <w:t xml:space="preserve">The CONUT score </w:t>
      </w:r>
      <w:r w:rsidRPr="00AF68D6">
        <w:rPr>
          <w:rFonts w:ascii="Times New Roman" w:hAnsi="Times New Roman"/>
          <w:sz w:val="24"/>
          <w:szCs w:val="24"/>
        </w:rPr>
        <w:t>was developed by Ignacio de Ulibarri and colleagues in 2005 as a screening tool for assessment of nu</w:t>
      </w:r>
      <w:r w:rsidR="005627E7" w:rsidRPr="00AF68D6">
        <w:rPr>
          <w:rFonts w:ascii="Times New Roman" w:hAnsi="Times New Roman"/>
          <w:sz w:val="24"/>
          <w:szCs w:val="24"/>
        </w:rPr>
        <w:t xml:space="preserve">tritional status of in-patients </w:t>
      </w:r>
      <w:r w:rsidR="00800C5A" w:rsidRPr="00AF68D6">
        <w:rPr>
          <w:rFonts w:ascii="Times New Roman" w:hAnsi="Times New Roman"/>
          <w:sz w:val="24"/>
          <w:szCs w:val="24"/>
        </w:rPr>
        <w:t>(</w:t>
      </w:r>
      <w:r w:rsidRPr="00AF68D6">
        <w:rPr>
          <w:rStyle w:val="EndnoteReference"/>
          <w:rFonts w:ascii="Times New Roman" w:hAnsi="Times New Roman"/>
          <w:sz w:val="24"/>
          <w:szCs w:val="24"/>
          <w:vertAlign w:val="baseline"/>
        </w:rPr>
        <w:endnoteReference w:id="12"/>
      </w:r>
      <w:r w:rsidR="00800C5A" w:rsidRPr="00AF68D6">
        <w:rPr>
          <w:rFonts w:ascii="Times New Roman" w:hAnsi="Times New Roman"/>
          <w:sz w:val="24"/>
          <w:szCs w:val="24"/>
        </w:rPr>
        <w:t>)</w:t>
      </w:r>
      <w:r w:rsidR="005627E7" w:rsidRPr="00AF68D6">
        <w:rPr>
          <w:rFonts w:ascii="Times New Roman" w:hAnsi="Times New Roman"/>
          <w:sz w:val="24"/>
          <w:szCs w:val="24"/>
        </w:rPr>
        <w:t xml:space="preserve">. </w:t>
      </w:r>
      <w:r w:rsidRPr="00AF68D6">
        <w:rPr>
          <w:rFonts w:ascii="Times New Roman" w:hAnsi="Times New Roman"/>
          <w:sz w:val="24"/>
          <w:szCs w:val="24"/>
        </w:rPr>
        <w:t>It uses serum albumin, cholesterol and total lymphocyte count. Subjects with a CONUT score 0-1 have normal nutritional status, those with CONUT score 2-4, 5-8, 9-12 have mild, moderate and severe malnutrition respectively. Subjects with CONUT score ≥2 are</w:t>
      </w:r>
      <w:r w:rsidR="005627E7" w:rsidRPr="00AF68D6">
        <w:rPr>
          <w:rFonts w:ascii="Times New Roman" w:hAnsi="Times New Roman"/>
          <w:sz w:val="24"/>
          <w:szCs w:val="24"/>
        </w:rPr>
        <w:t xml:space="preserve"> classified as malnourished </w:t>
      </w:r>
      <w:r w:rsidR="00800C5A" w:rsidRPr="00AF68D6">
        <w:rPr>
          <w:rFonts w:ascii="Times New Roman" w:hAnsi="Times New Roman"/>
          <w:sz w:val="24"/>
          <w:szCs w:val="24"/>
        </w:rPr>
        <w:t>(</w:t>
      </w:r>
      <w:r w:rsidR="003C35BA" w:rsidRPr="00AF68D6">
        <w:rPr>
          <w:rFonts w:ascii="Times New Roman" w:hAnsi="Times New Roman"/>
          <w:sz w:val="24"/>
          <w:szCs w:val="24"/>
        </w:rPr>
        <w:t>12</w:t>
      </w:r>
      <w:r w:rsidR="00800C5A" w:rsidRPr="00AF68D6">
        <w:rPr>
          <w:rFonts w:ascii="Times New Roman" w:hAnsi="Times New Roman"/>
          <w:sz w:val="24"/>
          <w:szCs w:val="24"/>
          <w:lang w:eastAsia="en-GB"/>
        </w:rPr>
        <w:t>)</w:t>
      </w:r>
      <w:r w:rsidR="005627E7" w:rsidRPr="00AF68D6">
        <w:rPr>
          <w:rFonts w:ascii="Times New Roman" w:hAnsi="Times New Roman"/>
          <w:sz w:val="24"/>
          <w:szCs w:val="24"/>
          <w:lang w:eastAsia="en-GB"/>
        </w:rPr>
        <w:t>.</w:t>
      </w:r>
      <w:r w:rsidRPr="00AF68D6">
        <w:rPr>
          <w:rFonts w:ascii="Times New Roman" w:hAnsi="Times New Roman"/>
          <w:sz w:val="24"/>
          <w:szCs w:val="24"/>
          <w:lang w:eastAsia="en-GB"/>
        </w:rPr>
        <w:t xml:space="preserve"> </w:t>
      </w:r>
    </w:p>
    <w:p w14:paraId="6D0E0BB3" w14:textId="77777777" w:rsidR="00896DA3" w:rsidRPr="00AF68D6" w:rsidRDefault="00896DA3" w:rsidP="008B68F9">
      <w:pPr>
        <w:pStyle w:val="ListParagraph"/>
        <w:spacing w:after="0" w:line="480" w:lineRule="auto"/>
        <w:ind w:left="0"/>
        <w:rPr>
          <w:rFonts w:ascii="Times New Roman" w:hAnsi="Times New Roman"/>
          <w:sz w:val="24"/>
          <w:szCs w:val="24"/>
          <w:shd w:val="clear" w:color="auto" w:fill="FFFFFF"/>
        </w:rPr>
      </w:pPr>
    </w:p>
    <w:p w14:paraId="4EE3CD0F" w14:textId="77777777" w:rsidR="00896DA3" w:rsidRPr="00AF68D6" w:rsidRDefault="00896DA3" w:rsidP="008B68F9">
      <w:pPr>
        <w:pStyle w:val="ListParagraph"/>
        <w:numPr>
          <w:ilvl w:val="0"/>
          <w:numId w:val="8"/>
        </w:numPr>
        <w:spacing w:beforeLines="120" w:before="288" w:afterLines="120" w:after="288" w:line="480" w:lineRule="auto"/>
        <w:ind w:left="0" w:firstLine="0"/>
        <w:rPr>
          <w:rFonts w:ascii="Times New Roman" w:hAnsi="Times New Roman"/>
          <w:sz w:val="24"/>
          <w:szCs w:val="24"/>
          <w:lang w:eastAsia="en-GB"/>
        </w:rPr>
      </w:pPr>
      <w:r w:rsidRPr="00AF68D6">
        <w:rPr>
          <w:rFonts w:ascii="Times New Roman" w:hAnsi="Times New Roman"/>
          <w:i/>
          <w:sz w:val="24"/>
          <w:szCs w:val="24"/>
          <w:shd w:val="clear" w:color="auto" w:fill="FFFFFF"/>
        </w:rPr>
        <w:t>The prognostic nutritional index</w:t>
      </w:r>
      <w:r w:rsidRPr="00AF68D6">
        <w:rPr>
          <w:rFonts w:ascii="Times New Roman" w:hAnsi="Times New Roman"/>
          <w:sz w:val="24"/>
          <w:szCs w:val="24"/>
          <w:shd w:val="clear" w:color="auto" w:fill="FFFFFF"/>
        </w:rPr>
        <w:t xml:space="preserve"> (PNI)</w:t>
      </w:r>
    </w:p>
    <w:p w14:paraId="143E9C2F" w14:textId="2E97820E" w:rsidR="00896DA3" w:rsidRPr="00AF68D6" w:rsidRDefault="00896DA3" w:rsidP="008B68F9">
      <w:pPr>
        <w:pStyle w:val="ListParagraph"/>
        <w:spacing w:after="0" w:line="480" w:lineRule="auto"/>
        <w:ind w:left="0"/>
        <w:rPr>
          <w:rFonts w:ascii="Times New Roman" w:hAnsi="Times New Roman"/>
          <w:sz w:val="24"/>
          <w:szCs w:val="24"/>
          <w:lang w:eastAsia="en-GB"/>
        </w:rPr>
      </w:pPr>
      <w:r w:rsidRPr="00AF68D6">
        <w:rPr>
          <w:rFonts w:ascii="Times New Roman" w:hAnsi="Times New Roman"/>
          <w:sz w:val="24"/>
          <w:szCs w:val="24"/>
          <w:shd w:val="clear" w:color="auto" w:fill="FFFFFF"/>
        </w:rPr>
        <w:t>PNI is c</w:t>
      </w:r>
      <w:r w:rsidRPr="00AF68D6">
        <w:rPr>
          <w:rStyle w:val="apple-converted-space"/>
          <w:rFonts w:ascii="Times New Roman" w:hAnsi="Times New Roman"/>
          <w:sz w:val="24"/>
          <w:szCs w:val="24"/>
          <w:shd w:val="clear" w:color="auto" w:fill="FFFFFF"/>
        </w:rPr>
        <w:t xml:space="preserve">alculated using the formula: </w:t>
      </w:r>
      <w:r w:rsidRPr="00AF68D6">
        <w:rPr>
          <w:rFonts w:ascii="Times New Roman" w:hAnsi="Times New Roman"/>
          <w:sz w:val="24"/>
          <w:szCs w:val="24"/>
          <w:lang w:eastAsia="en-GB"/>
        </w:rPr>
        <w:t xml:space="preserve">10 x </w:t>
      </w:r>
      <w:r w:rsidRPr="00AF68D6">
        <w:rPr>
          <w:rFonts w:ascii="Times New Roman" w:eastAsia="Times New Roman" w:hAnsi="Times New Roman"/>
          <w:sz w:val="24"/>
          <w:szCs w:val="24"/>
          <w:lang w:eastAsia="en-GB"/>
        </w:rPr>
        <w:t>serum albumin (</w:t>
      </w:r>
      <w:r w:rsidRPr="00AF68D6">
        <w:rPr>
          <w:rFonts w:ascii="Times New Roman" w:hAnsi="Times New Roman"/>
          <w:sz w:val="24"/>
          <w:szCs w:val="24"/>
          <w:lang w:eastAsia="en-GB"/>
        </w:rPr>
        <w:t>g/dL) + 0.005 x total lymphocyte count (mm</w:t>
      </w:r>
      <w:r w:rsidRPr="00AF68D6">
        <w:rPr>
          <w:rFonts w:ascii="Times New Roman" w:hAnsi="Times New Roman"/>
          <w:sz w:val="24"/>
          <w:szCs w:val="24"/>
          <w:vertAlign w:val="superscript"/>
          <w:lang w:eastAsia="en-GB"/>
        </w:rPr>
        <w:t>3</w:t>
      </w:r>
      <w:r w:rsidR="005627E7" w:rsidRPr="00AF68D6">
        <w:rPr>
          <w:rFonts w:ascii="Times New Roman" w:hAnsi="Times New Roman"/>
          <w:sz w:val="24"/>
          <w:szCs w:val="24"/>
          <w:lang w:eastAsia="en-GB"/>
        </w:rPr>
        <w:t xml:space="preserve">) </w:t>
      </w:r>
      <w:r w:rsidR="00800C5A" w:rsidRPr="00AF68D6">
        <w:rPr>
          <w:rFonts w:ascii="Times New Roman" w:hAnsi="Times New Roman"/>
          <w:sz w:val="24"/>
          <w:szCs w:val="24"/>
          <w:lang w:eastAsia="en-GB"/>
        </w:rPr>
        <w:t>(</w:t>
      </w:r>
      <w:r w:rsidRPr="00AF68D6">
        <w:rPr>
          <w:rStyle w:val="EndnoteReference"/>
          <w:rFonts w:ascii="Times New Roman" w:hAnsi="Times New Roman"/>
          <w:sz w:val="24"/>
          <w:szCs w:val="24"/>
          <w:vertAlign w:val="baseline"/>
          <w:lang w:eastAsia="en-GB"/>
        </w:rPr>
        <w:endnoteReference w:id="13"/>
      </w:r>
      <w:r w:rsidR="00800C5A" w:rsidRPr="00AF68D6">
        <w:rPr>
          <w:rFonts w:ascii="Times New Roman" w:hAnsi="Times New Roman"/>
          <w:sz w:val="24"/>
          <w:szCs w:val="24"/>
          <w:lang w:eastAsia="en-GB"/>
        </w:rPr>
        <w:t>)</w:t>
      </w:r>
      <w:r w:rsidR="005627E7" w:rsidRPr="00AF68D6">
        <w:rPr>
          <w:rFonts w:ascii="Times New Roman" w:hAnsi="Times New Roman"/>
          <w:sz w:val="24"/>
          <w:szCs w:val="24"/>
          <w:lang w:eastAsia="en-GB"/>
        </w:rPr>
        <w:t>.</w:t>
      </w:r>
      <w:r w:rsidRPr="00AF68D6">
        <w:rPr>
          <w:rFonts w:ascii="Times New Roman" w:hAnsi="Times New Roman"/>
          <w:sz w:val="24"/>
          <w:szCs w:val="24"/>
          <w:lang w:eastAsia="en-GB"/>
        </w:rPr>
        <w:t xml:space="preserve"> Subjects with PNI &gt;38 have normal nutritional status; those with PNI 35-38 and &lt;35 have moderate and severe malnutrition respectively. Subjects with PNI ≤38 are classified as malnourished</w:t>
      </w:r>
      <w:r w:rsidR="005627E7" w:rsidRPr="00AF68D6">
        <w:rPr>
          <w:rFonts w:ascii="Times New Roman" w:hAnsi="Times New Roman"/>
          <w:sz w:val="24"/>
          <w:szCs w:val="24"/>
          <w:lang w:eastAsia="en-GB"/>
        </w:rPr>
        <w:t xml:space="preserve"> </w:t>
      </w:r>
      <w:r w:rsidR="00800C5A" w:rsidRPr="00AF68D6">
        <w:rPr>
          <w:rFonts w:ascii="Times New Roman" w:hAnsi="Times New Roman"/>
          <w:sz w:val="24"/>
          <w:szCs w:val="24"/>
          <w:lang w:eastAsia="en-GB"/>
        </w:rPr>
        <w:t>(</w:t>
      </w:r>
      <w:r w:rsidR="003C35BA" w:rsidRPr="00AF68D6">
        <w:rPr>
          <w:rFonts w:ascii="Times New Roman" w:hAnsi="Times New Roman"/>
          <w:sz w:val="24"/>
          <w:szCs w:val="24"/>
          <w:lang w:eastAsia="en-GB"/>
        </w:rPr>
        <w:t>13</w:t>
      </w:r>
      <w:r w:rsidR="00800C5A" w:rsidRPr="00AF68D6">
        <w:rPr>
          <w:rFonts w:ascii="Times New Roman" w:hAnsi="Times New Roman"/>
          <w:sz w:val="24"/>
          <w:szCs w:val="24"/>
          <w:lang w:eastAsia="en-GB"/>
        </w:rPr>
        <w:t>)</w:t>
      </w:r>
      <w:r w:rsidR="005627E7" w:rsidRPr="00AF68D6">
        <w:rPr>
          <w:rFonts w:ascii="Times New Roman" w:hAnsi="Times New Roman"/>
          <w:sz w:val="24"/>
          <w:szCs w:val="24"/>
          <w:lang w:eastAsia="en-GB"/>
        </w:rPr>
        <w:t>.</w:t>
      </w:r>
      <w:r w:rsidRPr="00AF68D6">
        <w:rPr>
          <w:rFonts w:ascii="Times New Roman" w:hAnsi="Times New Roman"/>
          <w:sz w:val="24"/>
          <w:szCs w:val="24"/>
          <w:lang w:eastAsia="en-GB"/>
        </w:rPr>
        <w:t xml:space="preserve"> </w:t>
      </w:r>
    </w:p>
    <w:p w14:paraId="40FA617C" w14:textId="77777777" w:rsidR="00896DA3" w:rsidRPr="00AF68D6" w:rsidRDefault="00896DA3" w:rsidP="008B68F9">
      <w:pPr>
        <w:pStyle w:val="ListParagraph"/>
        <w:spacing w:after="0" w:line="480" w:lineRule="auto"/>
        <w:ind w:left="0"/>
        <w:rPr>
          <w:rFonts w:ascii="Times New Roman" w:hAnsi="Times New Roman"/>
          <w:sz w:val="24"/>
          <w:szCs w:val="24"/>
          <w:lang w:eastAsia="en-GB"/>
        </w:rPr>
      </w:pPr>
    </w:p>
    <w:p w14:paraId="607AA48B" w14:textId="1952161D" w:rsidR="00896DA3" w:rsidRPr="00AF68D6" w:rsidRDefault="00896DA3" w:rsidP="008B68F9">
      <w:pPr>
        <w:spacing w:before="0" w:after="0"/>
        <w:rPr>
          <w:lang w:eastAsia="en-GB"/>
        </w:rPr>
      </w:pPr>
      <w:r w:rsidRPr="00AF68D6">
        <w:rPr>
          <w:lang w:eastAsia="en-GB"/>
        </w:rPr>
        <w:t>The multi-dimensional tools used were:</w:t>
      </w:r>
    </w:p>
    <w:p w14:paraId="2598A3FE" w14:textId="5077F6AC" w:rsidR="009A1B05" w:rsidRPr="00AF68D6" w:rsidRDefault="00896DA3" w:rsidP="008B68F9">
      <w:pPr>
        <w:pStyle w:val="ListParagraph"/>
        <w:spacing w:beforeLines="100" w:before="240" w:afterLines="100" w:after="240" w:line="480" w:lineRule="auto"/>
        <w:ind w:left="0"/>
        <w:rPr>
          <w:rFonts w:ascii="Times New Roman" w:hAnsi="Times New Roman"/>
          <w:i/>
          <w:sz w:val="24"/>
          <w:szCs w:val="24"/>
          <w:vertAlign w:val="superscript"/>
        </w:rPr>
      </w:pPr>
      <w:r w:rsidRPr="00AF68D6">
        <w:rPr>
          <w:rFonts w:ascii="Times New Roman" w:hAnsi="Times New Roman"/>
          <w:i/>
          <w:sz w:val="24"/>
          <w:szCs w:val="24"/>
        </w:rPr>
        <w:t xml:space="preserve">1) </w:t>
      </w:r>
      <w:r w:rsidRPr="00AF68D6">
        <w:rPr>
          <w:rFonts w:ascii="Times New Roman" w:hAnsi="Times New Roman"/>
          <w:i/>
          <w:sz w:val="24"/>
          <w:szCs w:val="24"/>
        </w:rPr>
        <w:tab/>
        <w:t>Malnutrition Universal Screening Tool (</w:t>
      </w:r>
      <w:r w:rsidRPr="00AF68D6">
        <w:rPr>
          <w:rFonts w:ascii="Times New Roman" w:hAnsi="Times New Roman"/>
          <w:iCs/>
          <w:sz w:val="24"/>
          <w:szCs w:val="24"/>
        </w:rPr>
        <w:t>MUST; scored between 0-2): (</w:t>
      </w:r>
      <w:proofErr w:type="gramStart"/>
      <w:r w:rsidR="00D943CD" w:rsidRPr="00AF68D6">
        <w:rPr>
          <w:rFonts w:ascii="Times New Roman" w:hAnsi="Times New Roman"/>
          <w:iCs/>
          <w:sz w:val="24"/>
          <w:szCs w:val="24"/>
        </w:rPr>
        <w:t xml:space="preserve">Supplementary </w:t>
      </w:r>
      <w:r w:rsidR="00463406" w:rsidRPr="00AF68D6">
        <w:rPr>
          <w:rFonts w:ascii="Times New Roman" w:hAnsi="Times New Roman"/>
          <w:iCs/>
          <w:sz w:val="24"/>
          <w:szCs w:val="24"/>
        </w:rPr>
        <w:t xml:space="preserve"> Table</w:t>
      </w:r>
      <w:proofErr w:type="gramEnd"/>
      <w:r w:rsidR="00463406" w:rsidRPr="00AF68D6">
        <w:rPr>
          <w:rFonts w:ascii="Times New Roman" w:hAnsi="Times New Roman"/>
          <w:iCs/>
          <w:sz w:val="24"/>
          <w:szCs w:val="24"/>
        </w:rPr>
        <w:t xml:space="preserve"> </w:t>
      </w:r>
      <w:r w:rsidRPr="00AF68D6">
        <w:rPr>
          <w:rFonts w:ascii="Times New Roman" w:hAnsi="Times New Roman"/>
          <w:iCs/>
          <w:sz w:val="24"/>
          <w:szCs w:val="24"/>
        </w:rPr>
        <w:t>1b)</w:t>
      </w:r>
      <w:r w:rsidRPr="00AF68D6">
        <w:rPr>
          <w:rFonts w:ascii="Times New Roman" w:hAnsi="Times New Roman"/>
          <w:i/>
          <w:sz w:val="24"/>
          <w:szCs w:val="24"/>
          <w:vertAlign w:val="superscript"/>
        </w:rPr>
        <w:t xml:space="preserve"> </w:t>
      </w:r>
    </w:p>
    <w:p w14:paraId="1BBE3B2A" w14:textId="1C34BD32" w:rsidR="00896DA3" w:rsidRPr="00AF68D6" w:rsidRDefault="00896DA3" w:rsidP="008B68F9">
      <w:pPr>
        <w:pStyle w:val="ListParagraph"/>
        <w:spacing w:beforeLines="100" w:before="240" w:afterLines="100" w:after="240" w:line="480" w:lineRule="auto"/>
        <w:ind w:left="0"/>
        <w:rPr>
          <w:rFonts w:ascii="Times New Roman" w:hAnsi="Times New Roman"/>
          <w:i/>
          <w:sz w:val="24"/>
          <w:szCs w:val="24"/>
          <w:vertAlign w:val="superscript"/>
        </w:rPr>
      </w:pPr>
      <w:r w:rsidRPr="00AF68D6">
        <w:rPr>
          <w:rFonts w:ascii="Times New Roman" w:hAnsi="Times New Roman"/>
          <w:sz w:val="24"/>
          <w:szCs w:val="24"/>
        </w:rPr>
        <w:lastRenderedPageBreak/>
        <w:t xml:space="preserve">MUST is </w:t>
      </w:r>
      <w:r w:rsidR="003C35BA" w:rsidRPr="00AF68D6">
        <w:rPr>
          <w:rFonts w:ascii="Times New Roman" w:hAnsi="Times New Roman"/>
          <w:sz w:val="24"/>
          <w:szCs w:val="24"/>
        </w:rPr>
        <w:t xml:space="preserve">a </w:t>
      </w:r>
      <w:r w:rsidRPr="00AF68D6">
        <w:rPr>
          <w:rFonts w:ascii="Times New Roman" w:hAnsi="Times New Roman"/>
          <w:sz w:val="24"/>
          <w:szCs w:val="24"/>
        </w:rPr>
        <w:t xml:space="preserve">screening tool developed by the multidisciplinary malnutrition advisory group of the British Association for Parenteral and Enteral Nutrition (BAPEN) in 2003 to identify </w:t>
      </w:r>
      <w:r w:rsidR="005627E7" w:rsidRPr="00AF68D6">
        <w:rPr>
          <w:rFonts w:ascii="Times New Roman" w:hAnsi="Times New Roman"/>
          <w:sz w:val="24"/>
          <w:szCs w:val="24"/>
        </w:rPr>
        <w:t xml:space="preserve">malnutrition in adults </w:t>
      </w:r>
      <w:r w:rsidR="00800C5A" w:rsidRPr="00AF68D6">
        <w:rPr>
          <w:rFonts w:ascii="Times New Roman" w:hAnsi="Times New Roman"/>
          <w:sz w:val="24"/>
          <w:szCs w:val="24"/>
        </w:rPr>
        <w:t>(</w:t>
      </w:r>
      <w:r w:rsidRPr="00AF68D6">
        <w:rPr>
          <w:rStyle w:val="EndnoteReference"/>
          <w:rFonts w:ascii="Times New Roman" w:hAnsi="Times New Roman"/>
          <w:sz w:val="24"/>
          <w:szCs w:val="24"/>
          <w:vertAlign w:val="baseline"/>
        </w:rPr>
        <w:endnoteReference w:id="14"/>
      </w:r>
      <w:r w:rsidR="00800C5A" w:rsidRPr="00AF68D6">
        <w:rPr>
          <w:rFonts w:ascii="Times New Roman" w:hAnsi="Times New Roman"/>
          <w:sz w:val="24"/>
          <w:szCs w:val="24"/>
        </w:rPr>
        <w:t>)</w:t>
      </w:r>
      <w:r w:rsidR="005627E7" w:rsidRPr="00AF68D6">
        <w:rPr>
          <w:rFonts w:ascii="Times New Roman" w:hAnsi="Times New Roman"/>
          <w:sz w:val="24"/>
          <w:szCs w:val="24"/>
        </w:rPr>
        <w:t>.</w:t>
      </w:r>
      <w:r w:rsidRPr="00AF68D6">
        <w:rPr>
          <w:rFonts w:ascii="Times New Roman" w:hAnsi="Times New Roman"/>
          <w:sz w:val="24"/>
          <w:szCs w:val="24"/>
        </w:rPr>
        <w:t xml:space="preserve"> MUST uses 3 simple steps: </w:t>
      </w:r>
      <w:r w:rsidR="00902B00" w:rsidRPr="00AF68D6">
        <w:rPr>
          <w:rFonts w:ascii="Times New Roman" w:hAnsi="Times New Roman"/>
          <w:sz w:val="24"/>
          <w:szCs w:val="24"/>
        </w:rPr>
        <w:t>body mass index (</w:t>
      </w:r>
      <w:r w:rsidRPr="00AF68D6">
        <w:rPr>
          <w:rFonts w:ascii="Times New Roman" w:hAnsi="Times New Roman"/>
          <w:sz w:val="24"/>
          <w:szCs w:val="24"/>
        </w:rPr>
        <w:t>BMI</w:t>
      </w:r>
      <w:r w:rsidR="00902B00" w:rsidRPr="00AF68D6">
        <w:rPr>
          <w:rFonts w:ascii="Times New Roman" w:hAnsi="Times New Roman"/>
          <w:sz w:val="24"/>
          <w:szCs w:val="24"/>
        </w:rPr>
        <w:t>)</w:t>
      </w:r>
      <w:r w:rsidRPr="00AF68D6">
        <w:rPr>
          <w:rFonts w:ascii="Times New Roman" w:hAnsi="Times New Roman"/>
          <w:sz w:val="24"/>
          <w:szCs w:val="24"/>
        </w:rPr>
        <w:t>, weight loss and the effect of acute illness on food intake to generate an overall risk of malnutrition. Subjects with MUST score 0 have normal nutritional status (low malnutrition risk); those with MUST score 1 and ≥ 2 have mild (medium risk) and ≥ moderate (high risk) malnutrition respectively. Subjects with MUST ≥ 1</w:t>
      </w:r>
      <w:r w:rsidR="005627E7" w:rsidRPr="00AF68D6">
        <w:rPr>
          <w:rFonts w:ascii="Times New Roman" w:hAnsi="Times New Roman"/>
          <w:sz w:val="24"/>
          <w:szCs w:val="24"/>
        </w:rPr>
        <w:t xml:space="preserve"> are classified as malnourished </w:t>
      </w:r>
      <w:r w:rsidR="00800C5A" w:rsidRPr="00AF68D6">
        <w:rPr>
          <w:rFonts w:ascii="Times New Roman" w:hAnsi="Times New Roman"/>
          <w:sz w:val="24"/>
          <w:szCs w:val="24"/>
        </w:rPr>
        <w:t>(</w:t>
      </w:r>
      <w:r w:rsidR="003C35BA" w:rsidRPr="00AF68D6">
        <w:rPr>
          <w:rFonts w:ascii="Times New Roman" w:hAnsi="Times New Roman"/>
          <w:sz w:val="24"/>
          <w:szCs w:val="24"/>
        </w:rPr>
        <w:t>14</w:t>
      </w:r>
      <w:r w:rsidR="00800C5A" w:rsidRPr="00AF68D6">
        <w:rPr>
          <w:rFonts w:ascii="Times New Roman" w:hAnsi="Times New Roman"/>
          <w:sz w:val="24"/>
          <w:szCs w:val="24"/>
        </w:rPr>
        <w:t>)</w:t>
      </w:r>
      <w:r w:rsidR="005627E7" w:rsidRPr="00AF68D6">
        <w:rPr>
          <w:rFonts w:ascii="Times New Roman" w:hAnsi="Times New Roman"/>
          <w:sz w:val="24"/>
          <w:szCs w:val="24"/>
        </w:rPr>
        <w:t>.</w:t>
      </w:r>
      <w:r w:rsidRPr="00AF68D6">
        <w:rPr>
          <w:rFonts w:ascii="Times New Roman" w:hAnsi="Times New Roman"/>
          <w:sz w:val="24"/>
          <w:szCs w:val="24"/>
        </w:rPr>
        <w:t xml:space="preserve"> The researcher who assessed nutrition status completed the BAPEN’s e-learning available at </w:t>
      </w:r>
      <w:hyperlink r:id="rId10" w:history="1">
        <w:r w:rsidRPr="00AF68D6">
          <w:rPr>
            <w:rStyle w:val="Hyperlink"/>
            <w:rFonts w:ascii="Times New Roman" w:hAnsi="Times New Roman"/>
            <w:color w:val="auto"/>
            <w:sz w:val="24"/>
            <w:szCs w:val="24"/>
          </w:rPr>
          <w:t>www.bapen.org.uk</w:t>
        </w:r>
      </w:hyperlink>
      <w:r w:rsidRPr="00AF68D6">
        <w:rPr>
          <w:rFonts w:ascii="Times New Roman" w:hAnsi="Times New Roman"/>
          <w:sz w:val="24"/>
          <w:szCs w:val="24"/>
        </w:rPr>
        <w:t>.</w:t>
      </w:r>
    </w:p>
    <w:p w14:paraId="11889274" w14:textId="77777777" w:rsidR="00FE2CFD" w:rsidRPr="00AF68D6" w:rsidRDefault="00FE2CFD" w:rsidP="008B68F9">
      <w:pPr>
        <w:spacing w:before="0" w:after="0"/>
      </w:pPr>
    </w:p>
    <w:p w14:paraId="41866174" w14:textId="253F158E" w:rsidR="008B68F9" w:rsidRPr="00AF68D6" w:rsidRDefault="00896DA3" w:rsidP="008B68F9">
      <w:pPr>
        <w:pStyle w:val="ListParagraph"/>
        <w:spacing w:beforeLines="100" w:before="240" w:afterLines="100" w:after="240" w:line="480" w:lineRule="auto"/>
        <w:ind w:left="0"/>
        <w:rPr>
          <w:rFonts w:ascii="Times New Roman" w:hAnsi="Times New Roman"/>
          <w:iCs/>
          <w:sz w:val="24"/>
          <w:szCs w:val="24"/>
        </w:rPr>
      </w:pPr>
      <w:r w:rsidRPr="00AF68D6">
        <w:rPr>
          <w:rFonts w:ascii="Times New Roman" w:hAnsi="Times New Roman"/>
          <w:i/>
          <w:sz w:val="24"/>
          <w:szCs w:val="24"/>
        </w:rPr>
        <w:t xml:space="preserve">2) </w:t>
      </w:r>
      <w:r w:rsidRPr="00AF68D6">
        <w:rPr>
          <w:rFonts w:ascii="Times New Roman" w:hAnsi="Times New Roman"/>
          <w:i/>
          <w:sz w:val="24"/>
          <w:szCs w:val="24"/>
        </w:rPr>
        <w:tab/>
        <w:t xml:space="preserve">Mini Nutritional Assessment Short Form </w:t>
      </w:r>
      <w:r w:rsidRPr="00AF68D6">
        <w:rPr>
          <w:rFonts w:ascii="Times New Roman" w:hAnsi="Times New Roman"/>
          <w:iCs/>
          <w:sz w:val="24"/>
          <w:szCs w:val="24"/>
        </w:rPr>
        <w:t>(MNA-SF; scored between 0-14): (</w:t>
      </w:r>
      <w:r w:rsidR="00D943CD" w:rsidRPr="00AF68D6">
        <w:rPr>
          <w:rFonts w:ascii="Times New Roman" w:hAnsi="Times New Roman"/>
          <w:iCs/>
          <w:sz w:val="24"/>
          <w:szCs w:val="24"/>
        </w:rPr>
        <w:t xml:space="preserve">Supplementary </w:t>
      </w:r>
      <w:r w:rsidR="00463406" w:rsidRPr="00AF68D6">
        <w:rPr>
          <w:rFonts w:ascii="Times New Roman" w:hAnsi="Times New Roman"/>
          <w:iCs/>
          <w:sz w:val="24"/>
          <w:szCs w:val="24"/>
        </w:rPr>
        <w:t xml:space="preserve">Table </w:t>
      </w:r>
      <w:r w:rsidRPr="00AF68D6">
        <w:rPr>
          <w:rFonts w:ascii="Times New Roman" w:hAnsi="Times New Roman"/>
          <w:iCs/>
          <w:sz w:val="24"/>
          <w:szCs w:val="24"/>
        </w:rPr>
        <w:t>1c)</w:t>
      </w:r>
    </w:p>
    <w:p w14:paraId="76735988" w14:textId="1C0AC61B" w:rsidR="008B68F9" w:rsidRPr="00AF68D6" w:rsidRDefault="00896DA3" w:rsidP="008B68F9">
      <w:pPr>
        <w:pStyle w:val="ListParagraph"/>
        <w:spacing w:beforeLines="100" w:before="240" w:afterLines="100" w:after="240" w:line="480" w:lineRule="auto"/>
        <w:ind w:left="0"/>
        <w:rPr>
          <w:rFonts w:ascii="Times New Roman" w:hAnsi="Times New Roman"/>
          <w:i/>
          <w:sz w:val="24"/>
          <w:szCs w:val="24"/>
        </w:rPr>
      </w:pPr>
      <w:r w:rsidRPr="00AF68D6">
        <w:rPr>
          <w:rFonts w:ascii="Times New Roman" w:hAnsi="Times New Roman"/>
          <w:sz w:val="24"/>
          <w:szCs w:val="24"/>
          <w:shd w:val="clear" w:color="auto" w:fill="FFFFFF"/>
        </w:rPr>
        <w:t>MNA was developed in 1996 as a tool to identify m</w:t>
      </w:r>
      <w:r w:rsidR="005627E7" w:rsidRPr="00AF68D6">
        <w:rPr>
          <w:rFonts w:ascii="Times New Roman" w:hAnsi="Times New Roman"/>
          <w:sz w:val="24"/>
          <w:szCs w:val="24"/>
          <w:shd w:val="clear" w:color="auto" w:fill="FFFFFF"/>
        </w:rPr>
        <w:t xml:space="preserve">alnutrition in elderly patients </w:t>
      </w:r>
      <w:r w:rsidR="00800C5A" w:rsidRPr="00AF68D6">
        <w:rPr>
          <w:rFonts w:ascii="Times New Roman" w:hAnsi="Times New Roman"/>
          <w:sz w:val="24"/>
          <w:szCs w:val="24"/>
          <w:shd w:val="clear" w:color="auto" w:fill="FFFFFF"/>
        </w:rPr>
        <w:t>(</w:t>
      </w:r>
      <w:r w:rsidRPr="00AF68D6">
        <w:rPr>
          <w:rStyle w:val="EndnoteReference"/>
          <w:rFonts w:ascii="Times New Roman" w:hAnsi="Times New Roman"/>
          <w:sz w:val="24"/>
          <w:szCs w:val="24"/>
          <w:shd w:val="clear" w:color="auto" w:fill="FFFFFF"/>
          <w:vertAlign w:val="baseline"/>
        </w:rPr>
        <w:endnoteReference w:id="15"/>
      </w:r>
      <w:r w:rsidR="00800C5A" w:rsidRPr="00AF68D6">
        <w:rPr>
          <w:rFonts w:ascii="Times New Roman" w:hAnsi="Times New Roman"/>
          <w:sz w:val="24"/>
          <w:szCs w:val="24"/>
          <w:shd w:val="clear" w:color="auto" w:fill="FFFFFF"/>
        </w:rPr>
        <w:t>)</w:t>
      </w:r>
      <w:r w:rsidR="005627E7" w:rsidRPr="00AF68D6">
        <w:rPr>
          <w:rFonts w:ascii="Times New Roman" w:hAnsi="Times New Roman"/>
          <w:sz w:val="24"/>
          <w:szCs w:val="24"/>
          <w:shd w:val="clear" w:color="auto" w:fill="FFFFFF"/>
        </w:rPr>
        <w:t>.</w:t>
      </w:r>
      <w:r w:rsidRPr="00AF68D6">
        <w:rPr>
          <w:rFonts w:ascii="Times New Roman" w:hAnsi="Times New Roman"/>
          <w:sz w:val="24"/>
          <w:szCs w:val="24"/>
          <w:shd w:val="clear" w:color="auto" w:fill="FFFFFF"/>
        </w:rPr>
        <w:t xml:space="preserve"> M</w:t>
      </w:r>
      <w:r w:rsidRPr="00AF68D6">
        <w:rPr>
          <w:rFonts w:ascii="Times New Roman" w:hAnsi="Times New Roman"/>
          <w:sz w:val="24"/>
          <w:szCs w:val="24"/>
        </w:rPr>
        <w:t>NA-short form (MNA-SF)</w:t>
      </w:r>
      <w:r w:rsidR="005627E7" w:rsidRPr="00AF68D6">
        <w:rPr>
          <w:rFonts w:ascii="Times New Roman" w:hAnsi="Times New Roman"/>
          <w:sz w:val="24"/>
          <w:szCs w:val="24"/>
        </w:rPr>
        <w:t xml:space="preserve"> </w:t>
      </w:r>
      <w:r w:rsidR="00800C5A" w:rsidRPr="00AF68D6">
        <w:rPr>
          <w:rFonts w:ascii="Times New Roman" w:hAnsi="Times New Roman"/>
          <w:sz w:val="24"/>
          <w:szCs w:val="24"/>
        </w:rPr>
        <w:t>(</w:t>
      </w:r>
      <w:r w:rsidRPr="00AF68D6">
        <w:rPr>
          <w:rStyle w:val="EndnoteReference"/>
          <w:rFonts w:ascii="Times New Roman" w:hAnsi="Times New Roman"/>
          <w:sz w:val="24"/>
          <w:szCs w:val="24"/>
          <w:vertAlign w:val="baseline"/>
        </w:rPr>
        <w:endnoteReference w:id="16"/>
      </w:r>
      <w:r w:rsidR="00800C5A" w:rsidRPr="00AF68D6">
        <w:rPr>
          <w:rFonts w:ascii="Times New Roman" w:hAnsi="Times New Roman"/>
          <w:sz w:val="24"/>
          <w:szCs w:val="24"/>
          <w:shd w:val="clear" w:color="auto" w:fill="FFFFFF"/>
        </w:rPr>
        <w:t>)</w:t>
      </w:r>
      <w:r w:rsidR="005627E7" w:rsidRPr="00AF68D6">
        <w:rPr>
          <w:rFonts w:ascii="Times New Roman" w:hAnsi="Times New Roman"/>
          <w:sz w:val="24"/>
          <w:szCs w:val="24"/>
          <w:shd w:val="clear" w:color="auto" w:fill="FFFFFF"/>
        </w:rPr>
        <w:t>,</w:t>
      </w:r>
      <w:r w:rsidRPr="00AF68D6">
        <w:rPr>
          <w:rFonts w:ascii="Times New Roman" w:hAnsi="Times New Roman"/>
          <w:sz w:val="24"/>
          <w:szCs w:val="24"/>
          <w:shd w:val="clear" w:color="auto" w:fill="FFFFFF"/>
        </w:rPr>
        <w:t xml:space="preserve"> a shorter version of MNA,</w:t>
      </w:r>
      <w:r w:rsidRPr="00AF68D6">
        <w:rPr>
          <w:rFonts w:ascii="Times New Roman" w:hAnsi="Times New Roman"/>
          <w:sz w:val="24"/>
          <w:szCs w:val="24"/>
        </w:rPr>
        <w:t xml:space="preserve"> consists of</w:t>
      </w:r>
      <w:r w:rsidRPr="00AF68D6">
        <w:rPr>
          <w:rStyle w:val="apple-converted-space"/>
          <w:rFonts w:ascii="Times New Roman" w:hAnsi="Times New Roman"/>
          <w:sz w:val="24"/>
          <w:szCs w:val="24"/>
        </w:rPr>
        <w:t xml:space="preserve"> 6 questions which assess food intake, </w:t>
      </w:r>
      <w:r w:rsidRPr="00AF68D6">
        <w:rPr>
          <w:rFonts w:ascii="Times New Roman" w:hAnsi="Times New Roman"/>
          <w:sz w:val="24"/>
          <w:szCs w:val="24"/>
        </w:rPr>
        <w:t xml:space="preserve">weight loss, mobility, acute events, neuro-psychological </w:t>
      </w:r>
      <w:proofErr w:type="gramStart"/>
      <w:r w:rsidRPr="00AF68D6">
        <w:rPr>
          <w:rFonts w:ascii="Times New Roman" w:hAnsi="Times New Roman"/>
          <w:sz w:val="24"/>
          <w:szCs w:val="24"/>
        </w:rPr>
        <w:t>problems</w:t>
      </w:r>
      <w:proofErr w:type="gramEnd"/>
      <w:r w:rsidRPr="00AF68D6">
        <w:rPr>
          <w:rFonts w:ascii="Times New Roman" w:hAnsi="Times New Roman"/>
          <w:sz w:val="24"/>
          <w:szCs w:val="24"/>
        </w:rPr>
        <w:t xml:space="preserve"> and BMI. Subjects with MNA-SF score 12-14 have normal nutritional status, those with MNA-SF score 8-11 and ≤7 have mild and ≥ moderate malnutrition respectively. Subjects with MNA-SF score ≤11 </w:t>
      </w:r>
      <w:proofErr w:type="gramStart"/>
      <w:r w:rsidRPr="00AF68D6">
        <w:rPr>
          <w:rFonts w:ascii="Times New Roman" w:hAnsi="Times New Roman"/>
          <w:sz w:val="24"/>
          <w:szCs w:val="24"/>
        </w:rPr>
        <w:t>are</w:t>
      </w:r>
      <w:proofErr w:type="gramEnd"/>
      <w:r w:rsidRPr="00AF68D6">
        <w:rPr>
          <w:rFonts w:ascii="Times New Roman" w:hAnsi="Times New Roman"/>
          <w:sz w:val="24"/>
          <w:szCs w:val="24"/>
        </w:rPr>
        <w:t xml:space="preserve"> classified as malnourished</w:t>
      </w:r>
      <w:r w:rsidR="005627E7" w:rsidRPr="00AF68D6">
        <w:rPr>
          <w:rFonts w:ascii="Times New Roman" w:hAnsi="Times New Roman"/>
          <w:sz w:val="24"/>
          <w:szCs w:val="24"/>
        </w:rPr>
        <w:t xml:space="preserve"> </w:t>
      </w:r>
      <w:r w:rsidR="00800C5A" w:rsidRPr="00AF68D6">
        <w:rPr>
          <w:rFonts w:ascii="Times New Roman" w:hAnsi="Times New Roman"/>
          <w:sz w:val="24"/>
          <w:szCs w:val="24"/>
        </w:rPr>
        <w:t>(</w:t>
      </w:r>
      <w:r w:rsidR="003C35BA" w:rsidRPr="00AF68D6">
        <w:rPr>
          <w:rFonts w:ascii="Times New Roman" w:hAnsi="Times New Roman"/>
          <w:sz w:val="24"/>
          <w:szCs w:val="24"/>
        </w:rPr>
        <w:t>16</w:t>
      </w:r>
      <w:r w:rsidR="00800C5A" w:rsidRPr="00AF68D6">
        <w:rPr>
          <w:rFonts w:ascii="Times New Roman" w:hAnsi="Times New Roman"/>
          <w:sz w:val="24"/>
          <w:szCs w:val="24"/>
        </w:rPr>
        <w:t>)</w:t>
      </w:r>
      <w:r w:rsidR="005627E7" w:rsidRPr="00AF68D6">
        <w:rPr>
          <w:rFonts w:ascii="Times New Roman" w:hAnsi="Times New Roman"/>
          <w:sz w:val="24"/>
          <w:szCs w:val="24"/>
        </w:rPr>
        <w:t>.</w:t>
      </w:r>
    </w:p>
    <w:p w14:paraId="7B12CEDD" w14:textId="77777777" w:rsidR="008B68F9" w:rsidRPr="00AF68D6" w:rsidRDefault="008B68F9" w:rsidP="008B68F9">
      <w:pPr>
        <w:spacing w:before="0" w:after="0"/>
      </w:pPr>
    </w:p>
    <w:p w14:paraId="2F8B2190" w14:textId="002A9FBD" w:rsidR="00896DA3" w:rsidRPr="00AF68D6" w:rsidRDefault="00896DA3" w:rsidP="008B68F9">
      <w:pPr>
        <w:spacing w:before="0" w:after="0"/>
      </w:pPr>
      <w:r w:rsidRPr="00AF68D6">
        <w:rPr>
          <w:i/>
        </w:rPr>
        <w:t xml:space="preserve">3) </w:t>
      </w:r>
      <w:r w:rsidRPr="00AF68D6">
        <w:rPr>
          <w:i/>
        </w:rPr>
        <w:tab/>
        <w:t xml:space="preserve">Subjective global assessment </w:t>
      </w:r>
      <w:r w:rsidRPr="00AF68D6">
        <w:rPr>
          <w:iCs/>
        </w:rPr>
        <w:t>(SGA; scored as A, B or C)</w:t>
      </w:r>
      <w:r w:rsidRPr="00AF68D6">
        <w:rPr>
          <w:i/>
        </w:rPr>
        <w:t xml:space="preserve">: </w:t>
      </w:r>
      <w:r w:rsidRPr="00AF68D6">
        <w:t>(</w:t>
      </w:r>
      <w:r w:rsidR="00D943CD" w:rsidRPr="00AF68D6">
        <w:t>Supplementary</w:t>
      </w:r>
      <w:r w:rsidR="00463406" w:rsidRPr="00AF68D6">
        <w:t xml:space="preserve"> Table</w:t>
      </w:r>
      <w:r w:rsidRPr="00AF68D6">
        <w:t xml:space="preserve"> 1d)</w:t>
      </w:r>
    </w:p>
    <w:p w14:paraId="775A8CCB" w14:textId="04E60947" w:rsidR="007D6AA0" w:rsidRPr="00AF68D6" w:rsidRDefault="00896DA3" w:rsidP="008B68F9">
      <w:pPr>
        <w:spacing w:before="0" w:after="0"/>
        <w:rPr>
          <w:vertAlign w:val="superscript"/>
        </w:rPr>
      </w:pPr>
      <w:r w:rsidRPr="00AF68D6">
        <w:t xml:space="preserve">SGA is a nutritional assessment tool that is widely used in </w:t>
      </w:r>
      <w:r w:rsidR="00C65CB7" w:rsidRPr="00AF68D6">
        <w:t xml:space="preserve">a variety of clinical settings </w:t>
      </w:r>
      <w:r w:rsidR="00800C5A" w:rsidRPr="00AF68D6">
        <w:t>(</w:t>
      </w:r>
      <w:r w:rsidRPr="00AF68D6">
        <w:rPr>
          <w:rStyle w:val="EndnoteReference"/>
          <w:vertAlign w:val="baseline"/>
        </w:rPr>
        <w:endnoteReference w:id="17"/>
      </w:r>
      <w:r w:rsidRPr="00AF68D6">
        <w:t>,</w:t>
      </w:r>
      <w:r w:rsidRPr="00AF68D6">
        <w:rPr>
          <w:rStyle w:val="EndnoteReference"/>
          <w:vertAlign w:val="baseline"/>
        </w:rPr>
        <w:endnoteReference w:id="18"/>
      </w:r>
      <w:r w:rsidR="00800C5A" w:rsidRPr="00AF68D6">
        <w:rPr>
          <w:rStyle w:val="EndnoteReference"/>
          <w:vertAlign w:val="baseline"/>
        </w:rPr>
        <w:t>)</w:t>
      </w:r>
      <w:r w:rsidR="00C65CB7" w:rsidRPr="00AF68D6">
        <w:rPr>
          <w:rStyle w:val="EndnoteReference"/>
          <w:vertAlign w:val="baseline"/>
        </w:rPr>
        <w:t>.</w:t>
      </w:r>
      <w:r w:rsidR="00800C5A" w:rsidRPr="00AF68D6">
        <w:t xml:space="preserve"> </w:t>
      </w:r>
      <w:r w:rsidRPr="00AF68D6">
        <w:t>It includes an assessment of medical history</w:t>
      </w:r>
      <w:r w:rsidR="0086619D" w:rsidRPr="00AF68D6">
        <w:t xml:space="preserve"> (</w:t>
      </w:r>
      <w:r w:rsidR="00601916" w:rsidRPr="00AF68D6">
        <w:t xml:space="preserve">specifically evaluating </w:t>
      </w:r>
      <w:r w:rsidRPr="00AF68D6">
        <w:t>weight loss, changes in dietary intake, gastrointestinal symptoms and functional capacity</w:t>
      </w:r>
      <w:r w:rsidR="0086619D" w:rsidRPr="00AF68D6">
        <w:t>)</w:t>
      </w:r>
      <w:r w:rsidRPr="00AF68D6">
        <w:t xml:space="preserve"> and a physical examination</w:t>
      </w:r>
      <w:r w:rsidR="00601916" w:rsidRPr="00AF68D6">
        <w:t xml:space="preserve"> </w:t>
      </w:r>
      <w:r w:rsidR="0086619D" w:rsidRPr="00AF68D6">
        <w:t>(</w:t>
      </w:r>
      <w:r w:rsidR="00601916" w:rsidRPr="00AF68D6">
        <w:t>specifically e</w:t>
      </w:r>
      <w:r w:rsidR="00EC66F7" w:rsidRPr="00AF68D6">
        <w:t xml:space="preserve">valuating large muscle wasting as determined by palpable loss of </w:t>
      </w:r>
      <w:r w:rsidR="00EC66F7" w:rsidRPr="00AF68D6">
        <w:lastRenderedPageBreak/>
        <w:t>bulk; subcutaneous fat l</w:t>
      </w:r>
      <w:r w:rsidR="00FF30C9" w:rsidRPr="00AF68D6">
        <w:t>o</w:t>
      </w:r>
      <w:r w:rsidR="00EC66F7" w:rsidRPr="00AF68D6">
        <w:t xml:space="preserve">ss as determined by arm circumference; peripheral </w:t>
      </w:r>
      <w:proofErr w:type="spellStart"/>
      <w:r w:rsidR="00EC66F7" w:rsidRPr="00AF68D6">
        <w:t>edema</w:t>
      </w:r>
      <w:proofErr w:type="spellEnd"/>
      <w:r w:rsidR="00EC66F7" w:rsidRPr="00AF68D6">
        <w:t xml:space="preserve"> and ascites</w:t>
      </w:r>
      <w:r w:rsidR="0086619D" w:rsidRPr="00AF68D6">
        <w:t>:</w:t>
      </w:r>
      <w:r w:rsidR="00EC66F7" w:rsidRPr="00AF68D6">
        <w:t xml:space="preserve"> graded as non</w:t>
      </w:r>
      <w:r w:rsidR="0086619D" w:rsidRPr="00AF68D6">
        <w:t>e</w:t>
      </w:r>
      <w:r w:rsidR="00EC66F7" w:rsidRPr="00AF68D6">
        <w:t>; mild to moderate or severe</w:t>
      </w:r>
      <w:r w:rsidR="005479D4" w:rsidRPr="00AF68D6">
        <w:t>)</w:t>
      </w:r>
      <w:r w:rsidR="00EC66F7" w:rsidRPr="00AF68D6">
        <w:t xml:space="preserve">. The measurements are not precise, but are a subjective impression. Each component of the SGA is </w:t>
      </w:r>
      <w:r w:rsidR="001D0389" w:rsidRPr="00AF68D6">
        <w:t xml:space="preserve">ranked </w:t>
      </w:r>
      <w:r w:rsidR="00EC66F7" w:rsidRPr="00AF68D6">
        <w:t xml:space="preserve">as either </w:t>
      </w:r>
      <w:r w:rsidR="00FF30C9" w:rsidRPr="00AF68D6">
        <w:t>‘</w:t>
      </w:r>
      <w:r w:rsidR="00EC66F7" w:rsidRPr="00AF68D6">
        <w:t>A</w:t>
      </w:r>
      <w:r w:rsidR="00FF30C9" w:rsidRPr="00AF68D6">
        <w:t>’</w:t>
      </w:r>
      <w:r w:rsidR="00EC66F7" w:rsidRPr="00AF68D6">
        <w:t xml:space="preserve">, </w:t>
      </w:r>
      <w:r w:rsidR="00FF30C9" w:rsidRPr="00AF68D6">
        <w:t>‘</w:t>
      </w:r>
      <w:r w:rsidR="00EC66F7" w:rsidRPr="00AF68D6">
        <w:t>B</w:t>
      </w:r>
      <w:r w:rsidR="00FF30C9" w:rsidRPr="00AF68D6">
        <w:t>’</w:t>
      </w:r>
      <w:r w:rsidR="00EC66F7" w:rsidRPr="00AF68D6">
        <w:t xml:space="preserve"> or </w:t>
      </w:r>
      <w:r w:rsidR="00FF30C9" w:rsidRPr="00AF68D6">
        <w:t>‘</w:t>
      </w:r>
      <w:r w:rsidR="00EC66F7" w:rsidRPr="00AF68D6">
        <w:t>C</w:t>
      </w:r>
      <w:r w:rsidR="00FF30C9" w:rsidRPr="00AF68D6">
        <w:t>’</w:t>
      </w:r>
      <w:r w:rsidR="00EC66F7" w:rsidRPr="00AF68D6">
        <w:t xml:space="preserve"> according to specific set criteria, with </w:t>
      </w:r>
      <w:r w:rsidR="00FF30C9" w:rsidRPr="00AF68D6">
        <w:t>‘</w:t>
      </w:r>
      <w:r w:rsidR="00EC66F7" w:rsidRPr="00AF68D6">
        <w:t>A</w:t>
      </w:r>
      <w:r w:rsidR="00FF30C9" w:rsidRPr="00AF68D6">
        <w:t>’</w:t>
      </w:r>
      <w:r w:rsidR="00EC66F7" w:rsidRPr="00AF68D6">
        <w:t xml:space="preserve"> reflecting normal nutritional status and </w:t>
      </w:r>
      <w:r w:rsidR="00FF30C9" w:rsidRPr="00AF68D6">
        <w:t>‘</w:t>
      </w:r>
      <w:r w:rsidR="00EC66F7" w:rsidRPr="00AF68D6">
        <w:t>C</w:t>
      </w:r>
      <w:r w:rsidR="00FF30C9" w:rsidRPr="00AF68D6">
        <w:t>’</w:t>
      </w:r>
      <w:r w:rsidR="00EC66F7" w:rsidRPr="00AF68D6">
        <w:t xml:space="preserve"> reflecting significant malnu</w:t>
      </w:r>
      <w:r w:rsidR="00FF30C9" w:rsidRPr="00AF68D6">
        <w:t>t</w:t>
      </w:r>
      <w:r w:rsidR="00EC66F7" w:rsidRPr="00AF68D6">
        <w:t xml:space="preserve">rition. </w:t>
      </w:r>
      <w:r w:rsidR="001D0389" w:rsidRPr="00AF68D6">
        <w:t xml:space="preserve">The ranking with the highest frequency among individual components of SGA was determined as the overall SGA score. </w:t>
      </w:r>
      <w:r w:rsidR="00EC66F7" w:rsidRPr="00AF68D6">
        <w:t>We classified s</w:t>
      </w:r>
      <w:r w:rsidRPr="00AF68D6">
        <w:t xml:space="preserve">ubjects with SGA- A </w:t>
      </w:r>
      <w:r w:rsidR="00EC66F7" w:rsidRPr="00AF68D6">
        <w:t xml:space="preserve">as having </w:t>
      </w:r>
      <w:r w:rsidRPr="00AF68D6">
        <w:t>normal nutritional status, those with SGA-B and C</w:t>
      </w:r>
      <w:r w:rsidR="00EC66F7" w:rsidRPr="00AF68D6">
        <w:t xml:space="preserve">, we classified as having </w:t>
      </w:r>
      <w:r w:rsidRPr="00AF68D6">
        <w:t>mild and ≥ moderate malnutrition respectively. Subjects w</w:t>
      </w:r>
      <w:r w:rsidR="00C65CB7" w:rsidRPr="00AF68D6">
        <w:t xml:space="preserve">ith SGA-B or C are malnourished </w:t>
      </w:r>
      <w:r w:rsidR="00800C5A" w:rsidRPr="00AF68D6">
        <w:t>(</w:t>
      </w:r>
      <w:r w:rsidR="00EC66F7" w:rsidRPr="00AF68D6">
        <w:t>17</w:t>
      </w:r>
      <w:r w:rsidR="00800C5A" w:rsidRPr="00AF68D6">
        <w:t>)</w:t>
      </w:r>
      <w:r w:rsidR="00C65CB7" w:rsidRPr="00AF68D6">
        <w:t>.</w:t>
      </w:r>
    </w:p>
    <w:p w14:paraId="1F4CE472" w14:textId="77777777" w:rsidR="005479D4" w:rsidRPr="00AF68D6" w:rsidRDefault="005479D4" w:rsidP="008B68F9">
      <w:pPr>
        <w:spacing w:before="0" w:after="0"/>
      </w:pPr>
    </w:p>
    <w:p w14:paraId="47C91828" w14:textId="5EA6AA1A" w:rsidR="007D6AA0" w:rsidRPr="00AF68D6" w:rsidRDefault="007D6AA0" w:rsidP="008B68F9">
      <w:pPr>
        <w:spacing w:before="0" w:after="0"/>
        <w:rPr>
          <w:lang w:eastAsia="en-GB"/>
        </w:rPr>
      </w:pPr>
      <w:r w:rsidRPr="00AF68D6">
        <w:rPr>
          <w:lang w:eastAsia="en-GB"/>
        </w:rPr>
        <w:t xml:space="preserve">The </w:t>
      </w:r>
      <w:r w:rsidR="007A22D8" w:rsidRPr="00AF68D6">
        <w:rPr>
          <w:lang w:eastAsia="en-GB"/>
        </w:rPr>
        <w:t>laboratory</w:t>
      </w:r>
      <w:r w:rsidRPr="00AF68D6">
        <w:rPr>
          <w:lang w:eastAsia="en-GB"/>
        </w:rPr>
        <w:t xml:space="preserve"> tests </w:t>
      </w:r>
      <w:r w:rsidR="00F742EB" w:rsidRPr="00AF68D6">
        <w:rPr>
          <w:lang w:eastAsia="en-GB"/>
        </w:rPr>
        <w:t xml:space="preserve">chosen </w:t>
      </w:r>
      <w:r w:rsidRPr="00AF68D6">
        <w:rPr>
          <w:lang w:eastAsia="en-GB"/>
        </w:rPr>
        <w:t>were</w:t>
      </w:r>
      <w:r w:rsidR="00F742EB" w:rsidRPr="00AF68D6">
        <w:rPr>
          <w:lang w:eastAsia="en-GB"/>
        </w:rPr>
        <w:t xml:space="preserve"> based on the components of the CONUT score as these have been </w:t>
      </w:r>
      <w:r w:rsidR="001475CB" w:rsidRPr="00AF68D6">
        <w:rPr>
          <w:lang w:eastAsia="en-GB"/>
        </w:rPr>
        <w:t xml:space="preserve">studied </w:t>
      </w:r>
      <w:r w:rsidR="00F742EB" w:rsidRPr="00AF68D6">
        <w:rPr>
          <w:lang w:eastAsia="en-GB"/>
        </w:rPr>
        <w:t>in prior work</w:t>
      </w:r>
      <w:r w:rsidR="00C65CB7" w:rsidRPr="00AF68D6">
        <w:rPr>
          <w:lang w:eastAsia="en-GB"/>
        </w:rPr>
        <w:t xml:space="preserve"> </w:t>
      </w:r>
      <w:r w:rsidR="00800C5A" w:rsidRPr="00AF68D6">
        <w:rPr>
          <w:lang w:eastAsia="en-GB"/>
        </w:rPr>
        <w:t>(</w:t>
      </w:r>
      <w:r w:rsidR="0017575D" w:rsidRPr="00AF68D6">
        <w:rPr>
          <w:rStyle w:val="EndnoteReference"/>
          <w:vertAlign w:val="baseline"/>
          <w:lang w:eastAsia="en-GB"/>
        </w:rPr>
        <w:endnoteReference w:id="19"/>
      </w:r>
      <w:r w:rsidR="00800C5A" w:rsidRPr="00AF68D6">
        <w:rPr>
          <w:lang w:eastAsia="en-GB"/>
        </w:rPr>
        <w:t>)</w:t>
      </w:r>
      <w:r w:rsidRPr="00AF68D6">
        <w:rPr>
          <w:lang w:eastAsia="en-GB"/>
        </w:rPr>
        <w:t>:</w:t>
      </w:r>
    </w:p>
    <w:p w14:paraId="059E649B" w14:textId="47EB2A15" w:rsidR="007D6AA0" w:rsidRPr="00AF68D6" w:rsidRDefault="007D6AA0" w:rsidP="008B68F9">
      <w:pPr>
        <w:spacing w:beforeLines="100" w:before="240" w:afterLines="100" w:after="240"/>
      </w:pPr>
      <w:r w:rsidRPr="00AF68D6">
        <w:rPr>
          <w:i/>
        </w:rPr>
        <w:t xml:space="preserve">1) </w:t>
      </w:r>
      <w:r w:rsidRPr="00AF68D6">
        <w:rPr>
          <w:i/>
        </w:rPr>
        <w:tab/>
        <w:t>Serum cholesterol level</w:t>
      </w:r>
      <w:r w:rsidR="00681A96" w:rsidRPr="00AF68D6">
        <w:rPr>
          <w:i/>
        </w:rPr>
        <w:t xml:space="preserve"> (mmol/L)</w:t>
      </w:r>
      <w:r w:rsidRPr="00AF68D6">
        <w:rPr>
          <w:i/>
        </w:rPr>
        <w:t xml:space="preserve">: </w:t>
      </w:r>
      <w:r w:rsidRPr="00AF68D6">
        <w:t>(</w:t>
      </w:r>
      <w:r w:rsidR="00D943CD" w:rsidRPr="00AF68D6">
        <w:t>Supplementary</w:t>
      </w:r>
      <w:r w:rsidR="00463406" w:rsidRPr="00AF68D6">
        <w:t xml:space="preserve"> Table</w:t>
      </w:r>
      <w:r w:rsidRPr="00AF68D6">
        <w:t xml:space="preserve"> 1a)</w:t>
      </w:r>
    </w:p>
    <w:p w14:paraId="3FFD4CE4" w14:textId="16301BBD" w:rsidR="007D6AA0" w:rsidRPr="00AF68D6" w:rsidRDefault="007D6AA0" w:rsidP="008B68F9">
      <w:pPr>
        <w:spacing w:beforeLines="100" w:before="240" w:afterLines="100" w:after="240"/>
        <w:rPr>
          <w:lang w:eastAsia="en-GB"/>
        </w:rPr>
      </w:pPr>
      <w:r w:rsidRPr="00AF68D6">
        <w:rPr>
          <w:lang w:eastAsia="en-GB"/>
        </w:rPr>
        <w:t>Subjects with serum cholesterol level &gt;4.65 have normal nutritional status</w:t>
      </w:r>
      <w:r w:rsidR="00E478F3" w:rsidRPr="00AF68D6">
        <w:rPr>
          <w:lang w:eastAsia="en-GB"/>
        </w:rPr>
        <w:t xml:space="preserve"> </w:t>
      </w:r>
      <w:r w:rsidR="000643B8" w:rsidRPr="00AF68D6">
        <w:rPr>
          <w:lang w:eastAsia="en-GB"/>
        </w:rPr>
        <w:t xml:space="preserve">according to the </w:t>
      </w:r>
      <w:r w:rsidR="00E478F3" w:rsidRPr="00AF68D6">
        <w:rPr>
          <w:lang w:eastAsia="en-GB"/>
        </w:rPr>
        <w:t>CONUT score cut-off</w:t>
      </w:r>
      <w:r w:rsidRPr="00AF68D6">
        <w:rPr>
          <w:lang w:eastAsia="en-GB"/>
        </w:rPr>
        <w:t>, those with serum cholesterol level 3.62-4.65, 2.59-3.61, &lt;2.59 have mild, moderate and s</w:t>
      </w:r>
      <w:r w:rsidR="00C65CB7" w:rsidRPr="00AF68D6">
        <w:rPr>
          <w:lang w:eastAsia="en-GB"/>
        </w:rPr>
        <w:t xml:space="preserve">evere malnutrition respectively </w:t>
      </w:r>
      <w:r w:rsidR="00800C5A" w:rsidRPr="00AF68D6">
        <w:rPr>
          <w:lang w:eastAsia="en-GB"/>
        </w:rPr>
        <w:t>(</w:t>
      </w:r>
      <w:r w:rsidR="009E4703" w:rsidRPr="00AF68D6">
        <w:rPr>
          <w:lang w:eastAsia="en-GB"/>
        </w:rPr>
        <w:t>12</w:t>
      </w:r>
      <w:r w:rsidR="00800C5A" w:rsidRPr="00AF68D6">
        <w:rPr>
          <w:lang w:eastAsia="en-GB"/>
        </w:rPr>
        <w:t>)</w:t>
      </w:r>
      <w:r w:rsidR="00C65CB7" w:rsidRPr="00AF68D6">
        <w:rPr>
          <w:lang w:eastAsia="en-GB"/>
        </w:rPr>
        <w:t>.</w:t>
      </w:r>
      <w:r w:rsidRPr="00AF68D6">
        <w:rPr>
          <w:lang w:eastAsia="en-GB"/>
        </w:rPr>
        <w:t xml:space="preserve"> </w:t>
      </w:r>
      <w:r w:rsidR="00C11328" w:rsidRPr="00AF68D6">
        <w:rPr>
          <w:lang w:eastAsia="en-GB"/>
        </w:rPr>
        <w:t>Subjects with s</w:t>
      </w:r>
      <w:r w:rsidRPr="00AF68D6">
        <w:rPr>
          <w:lang w:eastAsia="en-GB"/>
        </w:rPr>
        <w:t xml:space="preserve">erum cholesterol </w:t>
      </w:r>
      <w:r w:rsidR="00E478F3" w:rsidRPr="00AF68D6">
        <w:rPr>
          <w:lang w:eastAsia="en-GB"/>
        </w:rPr>
        <w:t xml:space="preserve">level </w:t>
      </w:r>
      <w:r w:rsidRPr="00AF68D6">
        <w:rPr>
          <w:lang w:eastAsia="en-GB"/>
        </w:rPr>
        <w:t xml:space="preserve">≤ 4.65 </w:t>
      </w:r>
      <w:r w:rsidR="00C11328" w:rsidRPr="00AF68D6">
        <w:rPr>
          <w:lang w:eastAsia="en-GB"/>
        </w:rPr>
        <w:t>are</w:t>
      </w:r>
      <w:r w:rsidRPr="00AF68D6">
        <w:rPr>
          <w:lang w:eastAsia="en-GB"/>
        </w:rPr>
        <w:t xml:space="preserve"> classified as malnourished</w:t>
      </w:r>
      <w:r w:rsidR="00624B57" w:rsidRPr="00AF68D6">
        <w:rPr>
          <w:lang w:eastAsia="en-GB"/>
        </w:rPr>
        <w:t>.</w:t>
      </w:r>
      <w:r w:rsidR="0017575D" w:rsidRPr="00AF68D6">
        <w:rPr>
          <w:rStyle w:val="EndnoteReference"/>
          <w:lang w:eastAsia="en-GB"/>
        </w:rPr>
        <w:t xml:space="preserve"> </w:t>
      </w:r>
    </w:p>
    <w:p w14:paraId="7F8532CA" w14:textId="23BA303D" w:rsidR="008B68F9" w:rsidRPr="00AF68D6" w:rsidRDefault="00E478F3" w:rsidP="008B68F9">
      <w:pPr>
        <w:spacing w:beforeLines="100" w:before="240" w:afterLines="100" w:after="240"/>
      </w:pPr>
      <w:r w:rsidRPr="00AF68D6">
        <w:rPr>
          <w:i/>
        </w:rPr>
        <w:t xml:space="preserve">2) </w:t>
      </w:r>
      <w:r w:rsidRPr="00AF68D6">
        <w:rPr>
          <w:i/>
        </w:rPr>
        <w:tab/>
        <w:t>Serum albumin level</w:t>
      </w:r>
      <w:r w:rsidR="00681A96" w:rsidRPr="00AF68D6">
        <w:rPr>
          <w:i/>
        </w:rPr>
        <w:t xml:space="preserve"> (g/L)</w:t>
      </w:r>
      <w:r w:rsidRPr="00AF68D6">
        <w:rPr>
          <w:i/>
        </w:rPr>
        <w:t xml:space="preserve">: </w:t>
      </w:r>
      <w:r w:rsidRPr="00AF68D6">
        <w:t>(</w:t>
      </w:r>
      <w:r w:rsidR="00D943CD" w:rsidRPr="00AF68D6">
        <w:t xml:space="preserve">Supplementary </w:t>
      </w:r>
      <w:r w:rsidR="00463406" w:rsidRPr="00AF68D6">
        <w:t>Table</w:t>
      </w:r>
      <w:r w:rsidRPr="00AF68D6">
        <w:t xml:space="preserve"> 1a)</w:t>
      </w:r>
      <w:r w:rsidR="008B68F9" w:rsidRPr="00AF68D6">
        <w:t xml:space="preserve"> </w:t>
      </w:r>
    </w:p>
    <w:p w14:paraId="4BB98F43" w14:textId="0C1B719C" w:rsidR="00E478F3" w:rsidRDefault="00E478F3" w:rsidP="00800C5A">
      <w:pPr>
        <w:spacing w:beforeLines="100" w:before="240" w:afterLines="100" w:after="240"/>
        <w:rPr>
          <w:lang w:eastAsia="en-GB"/>
        </w:rPr>
      </w:pPr>
      <w:r w:rsidRPr="00AF68D6">
        <w:rPr>
          <w:lang w:eastAsia="en-GB"/>
        </w:rPr>
        <w:t xml:space="preserve">Subjects with serum albumin level ≥35 have normal nutritional status </w:t>
      </w:r>
      <w:r w:rsidR="000643B8" w:rsidRPr="00AF68D6">
        <w:rPr>
          <w:lang w:eastAsia="en-GB"/>
        </w:rPr>
        <w:t>according to the CONUT</w:t>
      </w:r>
      <w:r w:rsidR="00BF67B5" w:rsidRPr="00AF68D6">
        <w:rPr>
          <w:lang w:eastAsia="en-GB"/>
        </w:rPr>
        <w:t xml:space="preserve"> </w:t>
      </w:r>
      <w:r w:rsidRPr="00AF68D6">
        <w:rPr>
          <w:lang w:eastAsia="en-GB"/>
        </w:rPr>
        <w:t>score cut-off, those with serum albumin level 30-34, 25-29 and &lt;25 have mild, moderate and s</w:t>
      </w:r>
      <w:r w:rsidR="00C65CB7" w:rsidRPr="00AF68D6">
        <w:rPr>
          <w:lang w:eastAsia="en-GB"/>
        </w:rPr>
        <w:t xml:space="preserve">evere malnutrition respectively </w:t>
      </w:r>
      <w:r w:rsidR="00800C5A" w:rsidRPr="00AF68D6">
        <w:rPr>
          <w:lang w:eastAsia="en-GB"/>
        </w:rPr>
        <w:t>(</w:t>
      </w:r>
      <w:r w:rsidR="009E4703" w:rsidRPr="00AF68D6">
        <w:rPr>
          <w:lang w:eastAsia="en-GB"/>
        </w:rPr>
        <w:t>12</w:t>
      </w:r>
      <w:r w:rsidR="00800C5A" w:rsidRPr="00AF68D6">
        <w:rPr>
          <w:lang w:eastAsia="en-GB"/>
        </w:rPr>
        <w:t>)</w:t>
      </w:r>
      <w:r w:rsidR="00C65CB7" w:rsidRPr="00AF68D6">
        <w:rPr>
          <w:lang w:eastAsia="en-GB"/>
        </w:rPr>
        <w:t>.</w:t>
      </w:r>
      <w:r w:rsidRPr="00AF68D6">
        <w:rPr>
          <w:lang w:eastAsia="en-GB"/>
        </w:rPr>
        <w:t xml:space="preserve"> </w:t>
      </w:r>
      <w:r w:rsidR="00C11328" w:rsidRPr="00AF68D6">
        <w:rPr>
          <w:lang w:eastAsia="en-GB"/>
        </w:rPr>
        <w:t>Subjects with s</w:t>
      </w:r>
      <w:r w:rsidRPr="00AF68D6">
        <w:rPr>
          <w:lang w:eastAsia="en-GB"/>
        </w:rPr>
        <w:t xml:space="preserve">erum albumin level &lt;35 </w:t>
      </w:r>
      <w:r w:rsidR="00C11328" w:rsidRPr="00AF68D6">
        <w:rPr>
          <w:lang w:eastAsia="en-GB"/>
        </w:rPr>
        <w:t>are</w:t>
      </w:r>
      <w:r w:rsidRPr="00AF68D6">
        <w:rPr>
          <w:lang w:eastAsia="en-GB"/>
        </w:rPr>
        <w:t xml:space="preserve"> classified as malnourished.</w:t>
      </w:r>
    </w:p>
    <w:p w14:paraId="13E2287E" w14:textId="77777777" w:rsidR="006E0133" w:rsidRPr="00AF68D6" w:rsidRDefault="006E0133" w:rsidP="00800C5A">
      <w:pPr>
        <w:spacing w:beforeLines="100" w:before="240" w:afterLines="100" w:after="240"/>
        <w:rPr>
          <w:lang w:eastAsia="en-GB"/>
        </w:rPr>
      </w:pPr>
    </w:p>
    <w:p w14:paraId="553DDEDF" w14:textId="38D94803" w:rsidR="00E478F3" w:rsidRPr="00AF68D6" w:rsidRDefault="00E478F3" w:rsidP="008B68F9">
      <w:pPr>
        <w:spacing w:beforeLines="100" w:before="240" w:afterLines="100" w:after="240"/>
      </w:pPr>
      <w:r w:rsidRPr="00AF68D6">
        <w:rPr>
          <w:i/>
        </w:rPr>
        <w:lastRenderedPageBreak/>
        <w:t xml:space="preserve">3) </w:t>
      </w:r>
      <w:r w:rsidRPr="00AF68D6">
        <w:rPr>
          <w:i/>
        </w:rPr>
        <w:tab/>
        <w:t>Serum total lymphocyte count (</w:t>
      </w:r>
      <w:r w:rsidRPr="00AF68D6">
        <w:rPr>
          <w:rFonts w:eastAsia="Times New Roman"/>
          <w:i/>
          <w:lang w:eastAsia="en-GB"/>
        </w:rPr>
        <w:t>x10</w:t>
      </w:r>
      <w:r w:rsidRPr="00AF68D6">
        <w:rPr>
          <w:rFonts w:eastAsia="Times New Roman"/>
          <w:i/>
          <w:vertAlign w:val="superscript"/>
          <w:lang w:eastAsia="en-GB"/>
        </w:rPr>
        <w:t>9</w:t>
      </w:r>
      <w:r w:rsidRPr="00AF68D6">
        <w:rPr>
          <w:rFonts w:eastAsia="Times New Roman"/>
          <w:i/>
          <w:lang w:eastAsia="en-GB"/>
        </w:rPr>
        <w:t>/L</w:t>
      </w:r>
      <w:r w:rsidRPr="00AF68D6">
        <w:rPr>
          <w:i/>
        </w:rPr>
        <w:t xml:space="preserve">): </w:t>
      </w:r>
      <w:r w:rsidRPr="00AF68D6">
        <w:t>(</w:t>
      </w:r>
      <w:r w:rsidR="00D943CD" w:rsidRPr="00AF68D6">
        <w:t xml:space="preserve">Supplementary </w:t>
      </w:r>
      <w:r w:rsidR="00463406" w:rsidRPr="00AF68D6">
        <w:t>Table</w:t>
      </w:r>
      <w:r w:rsidRPr="00AF68D6">
        <w:t xml:space="preserve"> 1a)</w:t>
      </w:r>
    </w:p>
    <w:p w14:paraId="419C03F4" w14:textId="6AE32C68" w:rsidR="00E478F3" w:rsidRPr="00AF68D6" w:rsidRDefault="00E478F3" w:rsidP="00800C5A">
      <w:pPr>
        <w:spacing w:beforeLines="100" w:before="240" w:afterLines="100" w:after="240"/>
        <w:rPr>
          <w:lang w:eastAsia="en-GB"/>
        </w:rPr>
      </w:pPr>
      <w:r w:rsidRPr="00AF68D6">
        <w:rPr>
          <w:lang w:eastAsia="en-GB"/>
        </w:rPr>
        <w:t xml:space="preserve">Subjects with serum total lymphocyte count of ≥1.6 have normal nutritional status </w:t>
      </w:r>
      <w:r w:rsidR="000643B8" w:rsidRPr="00AF68D6">
        <w:rPr>
          <w:lang w:eastAsia="en-GB"/>
        </w:rPr>
        <w:t xml:space="preserve">according to the </w:t>
      </w:r>
      <w:r w:rsidRPr="00AF68D6">
        <w:rPr>
          <w:lang w:eastAsia="en-GB"/>
        </w:rPr>
        <w:t>CONUT score cut-off, those with total lymphocyte count 1.20-1.59, 0.80-1.19 and &lt;0.80 have mild, moderate and s</w:t>
      </w:r>
      <w:r w:rsidR="00C65CB7" w:rsidRPr="00AF68D6">
        <w:rPr>
          <w:lang w:eastAsia="en-GB"/>
        </w:rPr>
        <w:t xml:space="preserve">evere malnutrition respectively </w:t>
      </w:r>
      <w:r w:rsidR="00800C5A" w:rsidRPr="00AF68D6">
        <w:rPr>
          <w:lang w:eastAsia="en-GB"/>
        </w:rPr>
        <w:t>(</w:t>
      </w:r>
      <w:r w:rsidR="009E4703" w:rsidRPr="00AF68D6">
        <w:rPr>
          <w:lang w:eastAsia="en-GB"/>
        </w:rPr>
        <w:t>12</w:t>
      </w:r>
      <w:r w:rsidR="00800C5A" w:rsidRPr="00AF68D6">
        <w:rPr>
          <w:lang w:eastAsia="en-GB"/>
        </w:rPr>
        <w:t>)</w:t>
      </w:r>
      <w:r w:rsidR="00C65CB7" w:rsidRPr="00AF68D6">
        <w:rPr>
          <w:lang w:eastAsia="en-GB"/>
        </w:rPr>
        <w:t>.</w:t>
      </w:r>
      <w:r w:rsidRPr="00AF68D6">
        <w:rPr>
          <w:lang w:eastAsia="en-GB"/>
        </w:rPr>
        <w:t xml:space="preserve"> </w:t>
      </w:r>
      <w:r w:rsidR="00C11328" w:rsidRPr="00AF68D6">
        <w:rPr>
          <w:lang w:eastAsia="en-GB"/>
        </w:rPr>
        <w:t>Subjects with s</w:t>
      </w:r>
      <w:r w:rsidRPr="00AF68D6">
        <w:rPr>
          <w:lang w:eastAsia="en-GB"/>
        </w:rPr>
        <w:t xml:space="preserve">erum total lymphocyte count &lt;1.6 </w:t>
      </w:r>
      <w:r w:rsidR="00C11328" w:rsidRPr="00AF68D6">
        <w:rPr>
          <w:lang w:eastAsia="en-GB"/>
        </w:rPr>
        <w:t>are</w:t>
      </w:r>
      <w:r w:rsidRPr="00AF68D6">
        <w:rPr>
          <w:lang w:eastAsia="en-GB"/>
        </w:rPr>
        <w:t xml:space="preserve"> classified as malnourished.</w:t>
      </w:r>
    </w:p>
    <w:p w14:paraId="2216ED95" w14:textId="77777777" w:rsidR="000643B8" w:rsidRPr="00AF68D6" w:rsidRDefault="000643B8" w:rsidP="008B68F9">
      <w:pPr>
        <w:pStyle w:val="ListParagraph"/>
        <w:spacing w:after="0" w:line="480" w:lineRule="auto"/>
        <w:ind w:left="0"/>
        <w:rPr>
          <w:rFonts w:ascii="Times New Roman" w:hAnsi="Times New Roman"/>
          <w:sz w:val="24"/>
          <w:szCs w:val="24"/>
          <w:u w:val="single"/>
        </w:rPr>
      </w:pPr>
    </w:p>
    <w:p w14:paraId="14BDEE4A" w14:textId="77777777" w:rsidR="00C411C5" w:rsidRPr="00AF68D6" w:rsidRDefault="00C411C5" w:rsidP="00466725">
      <w:pPr>
        <w:pStyle w:val="Heading2"/>
      </w:pPr>
      <w:r w:rsidRPr="00AF68D6">
        <w:t>Co-morbidities</w:t>
      </w:r>
    </w:p>
    <w:p w14:paraId="45F7A18A" w14:textId="6FC1B9DB" w:rsidR="00F2690F" w:rsidRPr="00AF68D6" w:rsidRDefault="00C411C5" w:rsidP="008B68F9">
      <w:pPr>
        <w:pStyle w:val="Normal1"/>
        <w:spacing w:before="0" w:beforeAutospacing="0" w:after="0" w:afterAutospacing="0" w:line="480" w:lineRule="auto"/>
        <w:jc w:val="both"/>
      </w:pPr>
      <w:r w:rsidRPr="00AF68D6">
        <w:t xml:space="preserve">Co-morbidities were </w:t>
      </w:r>
      <w:r w:rsidR="000643B8" w:rsidRPr="00AF68D6">
        <w:t xml:space="preserve">recorded </w:t>
      </w:r>
      <w:r w:rsidRPr="00AF68D6">
        <w:t xml:space="preserve">using the </w:t>
      </w:r>
      <w:proofErr w:type="spellStart"/>
      <w:r w:rsidRPr="00AF68D6">
        <w:t>Charlson</w:t>
      </w:r>
      <w:proofErr w:type="spellEnd"/>
      <w:r w:rsidRPr="00AF68D6">
        <w:t xml:space="preserve"> co-morbidity index/score</w:t>
      </w:r>
      <w:r w:rsidR="00C65CB7" w:rsidRPr="00AF68D6">
        <w:t xml:space="preserve"> </w:t>
      </w:r>
      <w:r w:rsidR="00800C5A" w:rsidRPr="00AF68D6">
        <w:t>(</w:t>
      </w:r>
      <w:r w:rsidRPr="00AF68D6">
        <w:rPr>
          <w:rStyle w:val="EndnoteReference"/>
          <w:vertAlign w:val="baseline"/>
        </w:rPr>
        <w:endnoteReference w:id="20"/>
      </w:r>
      <w:r w:rsidR="00800C5A" w:rsidRPr="00AF68D6">
        <w:t>)</w:t>
      </w:r>
      <w:r w:rsidR="00C65CB7" w:rsidRPr="00AF68D6">
        <w:t>.</w:t>
      </w:r>
      <w:r w:rsidRPr="00AF68D6">
        <w:t xml:space="preserve"> Hypertension was defined as systolic blood pressure ≥140 mmHg, diastolic blood pressure ≥90 mmHg or a </w:t>
      </w:r>
      <w:r w:rsidR="00C65CB7" w:rsidRPr="00AF68D6">
        <w:t xml:space="preserve">previous clinical diagnosis </w:t>
      </w:r>
      <w:r w:rsidR="00800C5A" w:rsidRPr="00AF68D6">
        <w:t>(</w:t>
      </w:r>
      <w:r w:rsidRPr="00AF68D6">
        <w:rPr>
          <w:rStyle w:val="EndnoteReference"/>
          <w:vertAlign w:val="baseline"/>
        </w:rPr>
        <w:endnoteReference w:id="21"/>
      </w:r>
      <w:r w:rsidR="00800C5A" w:rsidRPr="00AF68D6">
        <w:t>)</w:t>
      </w:r>
      <w:r w:rsidR="00C65CB7" w:rsidRPr="00AF68D6">
        <w:t>.</w:t>
      </w:r>
      <w:r w:rsidRPr="00AF68D6">
        <w:t xml:space="preserve"> Current </w:t>
      </w:r>
      <w:proofErr w:type="spellStart"/>
      <w:r w:rsidRPr="00AF68D6">
        <w:t>hemoglobin</w:t>
      </w:r>
      <w:proofErr w:type="spellEnd"/>
      <w:r w:rsidRPr="00AF68D6">
        <w:t xml:space="preserve"> (Hb) levels </w:t>
      </w:r>
      <w:r w:rsidR="004921DB" w:rsidRPr="00AF68D6">
        <w:t xml:space="preserve">were used to define </w:t>
      </w:r>
      <w:proofErr w:type="spellStart"/>
      <w:r w:rsidR="004921DB" w:rsidRPr="00AF68D6">
        <w:t>anemia</w:t>
      </w:r>
      <w:proofErr w:type="spellEnd"/>
      <w:r w:rsidR="004921DB" w:rsidRPr="00AF68D6">
        <w:t xml:space="preserve"> (Hb</w:t>
      </w:r>
      <w:r w:rsidRPr="00AF68D6">
        <w:t xml:space="preserve">&lt;13.0 g/dL </w:t>
      </w:r>
      <w:r w:rsidR="00C65CB7" w:rsidRPr="00AF68D6">
        <w:t xml:space="preserve">in men and &lt;12.0 g/dL in women) </w:t>
      </w:r>
      <w:r w:rsidR="00800C5A" w:rsidRPr="00AF68D6">
        <w:t>(</w:t>
      </w:r>
      <w:r w:rsidRPr="00AF68D6">
        <w:rPr>
          <w:rStyle w:val="EndnoteReference"/>
          <w:vertAlign w:val="baseline"/>
        </w:rPr>
        <w:endnoteReference w:id="22"/>
      </w:r>
      <w:r w:rsidR="00800C5A" w:rsidRPr="00AF68D6">
        <w:t>)</w:t>
      </w:r>
      <w:r w:rsidR="00C65CB7" w:rsidRPr="00AF68D6">
        <w:t>.</w:t>
      </w:r>
      <w:r w:rsidRPr="00AF68D6">
        <w:t xml:space="preserve"> </w:t>
      </w:r>
      <w:r w:rsidR="00800C5A" w:rsidRPr="00AF68D6">
        <w:t>D</w:t>
      </w:r>
      <w:r w:rsidRPr="00AF68D6">
        <w:t>iabetes mellitus was defined according to the Diabetes UK</w:t>
      </w:r>
      <w:r w:rsidR="004921DB" w:rsidRPr="00AF68D6">
        <w:t xml:space="preserve"> guidelines</w:t>
      </w:r>
      <w:r w:rsidR="00C65CB7" w:rsidRPr="00AF68D6">
        <w:t xml:space="preserve"> </w:t>
      </w:r>
      <w:r w:rsidR="00800C5A" w:rsidRPr="00AF68D6">
        <w:t>(</w:t>
      </w:r>
      <w:r w:rsidRPr="00AF68D6">
        <w:rPr>
          <w:rStyle w:val="EndnoteReference"/>
          <w:vertAlign w:val="baseline"/>
        </w:rPr>
        <w:endnoteReference w:id="23"/>
      </w:r>
      <w:r w:rsidR="00800C5A" w:rsidRPr="00AF68D6">
        <w:t>)</w:t>
      </w:r>
      <w:r w:rsidR="00C65CB7" w:rsidRPr="00AF68D6">
        <w:t>.</w:t>
      </w:r>
      <w:r w:rsidRPr="00AF68D6">
        <w:t xml:space="preserve"> Patients consented to the use of electronic medical records to identify previous clinical history of myocardial infarction</w:t>
      </w:r>
      <w:r w:rsidR="001654AC" w:rsidRPr="00AF68D6">
        <w:t xml:space="preserve"> (MI)</w:t>
      </w:r>
      <w:r w:rsidRPr="00AF68D6">
        <w:t>, peripheral vascular disease</w:t>
      </w:r>
      <w:r w:rsidR="00BD3D42" w:rsidRPr="00AF68D6">
        <w:t xml:space="preserve"> (PVD)</w:t>
      </w:r>
      <w:r w:rsidRPr="00AF68D6">
        <w:t xml:space="preserve">, cerebrovascular </w:t>
      </w:r>
      <w:r w:rsidR="00BD3D42" w:rsidRPr="00AF68D6">
        <w:t>accidents (CVA)</w:t>
      </w:r>
      <w:r w:rsidRPr="00AF68D6">
        <w:t>, chronic obstructive pulmonary disease (COPD), dementia, rheumatological disease, peptic ulcer</w:t>
      </w:r>
      <w:r w:rsidR="00BD3D42" w:rsidRPr="00AF68D6">
        <w:t xml:space="preserve"> disease</w:t>
      </w:r>
      <w:r w:rsidRPr="00AF68D6">
        <w:t>, liver or renal disease or malignancy.</w:t>
      </w:r>
    </w:p>
    <w:p w14:paraId="1217727D" w14:textId="77777777" w:rsidR="00374F8A" w:rsidRPr="00AF68D6" w:rsidRDefault="00374F8A" w:rsidP="008B68F9">
      <w:pPr>
        <w:pStyle w:val="Normal1"/>
        <w:spacing w:before="0" w:beforeAutospacing="0" w:after="0" w:afterAutospacing="0" w:line="480" w:lineRule="auto"/>
        <w:jc w:val="both"/>
      </w:pPr>
    </w:p>
    <w:p w14:paraId="288FE2C7" w14:textId="77777777" w:rsidR="00374F8A" w:rsidRPr="00AF68D6" w:rsidRDefault="00374F8A" w:rsidP="00DD4026">
      <w:pPr>
        <w:pStyle w:val="Heading2"/>
      </w:pPr>
      <w:r w:rsidRPr="00AF68D6">
        <w:t>End points and follow-up</w:t>
      </w:r>
    </w:p>
    <w:p w14:paraId="1BA0BEBB" w14:textId="72398ACC" w:rsidR="00A01FC5" w:rsidRPr="00AF68D6" w:rsidRDefault="00374F8A" w:rsidP="008B68F9">
      <w:pPr>
        <w:spacing w:before="0" w:after="0"/>
        <w:rPr>
          <w:lang w:eastAsia="en-GB"/>
        </w:rPr>
      </w:pPr>
      <w:r w:rsidRPr="00AF68D6">
        <w:rPr>
          <w:lang w:eastAsia="en-GB"/>
        </w:rPr>
        <w:t>Patients were followed until the 1</w:t>
      </w:r>
      <w:r w:rsidRPr="00AF68D6">
        <w:rPr>
          <w:vertAlign w:val="superscript"/>
          <w:lang w:eastAsia="en-GB"/>
        </w:rPr>
        <w:t>st</w:t>
      </w:r>
      <w:r w:rsidRPr="00AF68D6">
        <w:rPr>
          <w:lang w:eastAsia="en-GB"/>
        </w:rPr>
        <w:t xml:space="preserve"> of August 2018</w:t>
      </w:r>
      <w:r w:rsidR="00E24577" w:rsidRPr="00AF68D6">
        <w:rPr>
          <w:lang w:eastAsia="en-GB"/>
        </w:rPr>
        <w:t xml:space="preserve">. </w:t>
      </w:r>
      <w:r w:rsidR="0093288C" w:rsidRPr="00AF68D6">
        <w:rPr>
          <w:lang w:eastAsia="en-GB"/>
        </w:rPr>
        <w:t xml:space="preserve">All patients were followed for a minimum of one year. </w:t>
      </w:r>
      <w:r w:rsidR="00E24577" w:rsidRPr="00AF68D6">
        <w:rPr>
          <w:lang w:eastAsia="en-GB"/>
        </w:rPr>
        <w:t xml:space="preserve">The </w:t>
      </w:r>
      <w:r w:rsidRPr="00AF68D6">
        <w:rPr>
          <w:lang w:eastAsia="en-GB"/>
        </w:rPr>
        <w:t xml:space="preserve">primary end point was all-cause </w:t>
      </w:r>
      <w:proofErr w:type="gramStart"/>
      <w:r w:rsidRPr="00AF68D6">
        <w:rPr>
          <w:lang w:eastAsia="en-GB"/>
        </w:rPr>
        <w:t>mortality</w:t>
      </w:r>
      <w:proofErr w:type="gramEnd"/>
      <w:r w:rsidR="00E24577" w:rsidRPr="00AF68D6">
        <w:rPr>
          <w:lang w:eastAsia="en-GB"/>
        </w:rPr>
        <w:t xml:space="preserve"> and the secondary end point was </w:t>
      </w:r>
      <w:r w:rsidR="007A22D8" w:rsidRPr="00AF68D6">
        <w:rPr>
          <w:lang w:eastAsia="en-GB"/>
        </w:rPr>
        <w:t xml:space="preserve">the combination of </w:t>
      </w:r>
      <w:r w:rsidR="00A049D6" w:rsidRPr="00AF68D6">
        <w:rPr>
          <w:lang w:eastAsia="en-GB"/>
        </w:rPr>
        <w:t>all-cause</w:t>
      </w:r>
      <w:r w:rsidR="0031748B" w:rsidRPr="00AF68D6">
        <w:rPr>
          <w:lang w:eastAsia="en-GB"/>
        </w:rPr>
        <w:t xml:space="preserve"> </w:t>
      </w:r>
      <w:r w:rsidR="00A049D6" w:rsidRPr="00AF68D6">
        <w:rPr>
          <w:lang w:eastAsia="en-GB"/>
        </w:rPr>
        <w:t>hospitali</w:t>
      </w:r>
      <w:r w:rsidR="005F6288" w:rsidRPr="00AF68D6">
        <w:rPr>
          <w:lang w:eastAsia="en-GB"/>
        </w:rPr>
        <w:t>z</w:t>
      </w:r>
      <w:r w:rsidR="00A049D6" w:rsidRPr="00AF68D6">
        <w:rPr>
          <w:lang w:eastAsia="en-GB"/>
        </w:rPr>
        <w:t>ation</w:t>
      </w:r>
      <w:r w:rsidR="007A22D8" w:rsidRPr="00AF68D6">
        <w:rPr>
          <w:lang w:eastAsia="en-GB"/>
        </w:rPr>
        <w:t xml:space="preserve"> and </w:t>
      </w:r>
      <w:r w:rsidR="00A049D6" w:rsidRPr="00AF68D6">
        <w:rPr>
          <w:lang w:eastAsia="en-GB"/>
        </w:rPr>
        <w:t xml:space="preserve">all-cause mortality. </w:t>
      </w:r>
    </w:p>
    <w:p w14:paraId="6AD85CB0" w14:textId="77777777" w:rsidR="00355333" w:rsidRPr="00AF68D6" w:rsidRDefault="00355333" w:rsidP="008B68F9">
      <w:pPr>
        <w:spacing w:before="0" w:after="0"/>
        <w:rPr>
          <w:lang w:eastAsia="en-GB"/>
        </w:rPr>
      </w:pPr>
    </w:p>
    <w:p w14:paraId="32FBBD11" w14:textId="105AC1D0" w:rsidR="00374F8A" w:rsidRPr="00AF68D6" w:rsidRDefault="00374F8A" w:rsidP="008B68F9">
      <w:pPr>
        <w:autoSpaceDE w:val="0"/>
        <w:autoSpaceDN w:val="0"/>
        <w:adjustRightInd w:val="0"/>
        <w:spacing w:before="0" w:after="0"/>
        <w:rPr>
          <w:lang w:eastAsia="en-GB"/>
        </w:rPr>
      </w:pPr>
      <w:r w:rsidRPr="00AF68D6">
        <w:rPr>
          <w:lang w:eastAsia="en-GB"/>
        </w:rPr>
        <w:t xml:space="preserve">Mortality was ascertained by using medical records (updated systematically onto </w:t>
      </w:r>
      <w:proofErr w:type="gramStart"/>
      <w:r w:rsidRPr="00AF68D6">
        <w:rPr>
          <w:lang w:eastAsia="en-GB"/>
        </w:rPr>
        <w:t>a</w:t>
      </w:r>
      <w:proofErr w:type="gramEnd"/>
      <w:r w:rsidRPr="00AF68D6">
        <w:rPr>
          <w:lang w:eastAsia="en-GB"/>
        </w:rPr>
        <w:t xml:space="preserve"> NHS electronic database), autopsy reports and death certificates.</w:t>
      </w:r>
      <w:r w:rsidR="001F6BBE" w:rsidRPr="00AF68D6">
        <w:rPr>
          <w:lang w:eastAsia="en-GB"/>
        </w:rPr>
        <w:t xml:space="preserve"> </w:t>
      </w:r>
      <w:r w:rsidR="00A049D6" w:rsidRPr="00AF68D6">
        <w:rPr>
          <w:lang w:eastAsia="en-GB"/>
        </w:rPr>
        <w:t>Hospitali</w:t>
      </w:r>
      <w:r w:rsidR="00204D2F" w:rsidRPr="00AF68D6">
        <w:rPr>
          <w:lang w:eastAsia="en-GB"/>
        </w:rPr>
        <w:t>z</w:t>
      </w:r>
      <w:r w:rsidR="00A049D6" w:rsidRPr="00AF68D6">
        <w:rPr>
          <w:lang w:eastAsia="en-GB"/>
        </w:rPr>
        <w:t xml:space="preserve">ation was ascertained </w:t>
      </w:r>
      <w:r w:rsidR="00A049D6" w:rsidRPr="00AF68D6">
        <w:rPr>
          <w:lang w:eastAsia="en-GB"/>
        </w:rPr>
        <w:lastRenderedPageBreak/>
        <w:t xml:space="preserve">by using </w:t>
      </w:r>
      <w:r w:rsidR="00511CFA" w:rsidRPr="00AF68D6">
        <w:rPr>
          <w:lang w:eastAsia="en-GB"/>
        </w:rPr>
        <w:t xml:space="preserve">electronic </w:t>
      </w:r>
      <w:r w:rsidR="00A049D6" w:rsidRPr="00AF68D6">
        <w:rPr>
          <w:lang w:eastAsia="en-GB"/>
        </w:rPr>
        <w:t>medical records</w:t>
      </w:r>
      <w:r w:rsidR="00511CFA" w:rsidRPr="00AF68D6">
        <w:rPr>
          <w:lang w:eastAsia="en-GB"/>
        </w:rPr>
        <w:t xml:space="preserve"> and discharge letters</w:t>
      </w:r>
      <w:r w:rsidR="00A049D6" w:rsidRPr="00AF68D6">
        <w:rPr>
          <w:lang w:eastAsia="en-GB"/>
        </w:rPr>
        <w:t xml:space="preserve">. </w:t>
      </w:r>
      <w:r w:rsidR="00355333" w:rsidRPr="00AF68D6">
        <w:rPr>
          <w:lang w:eastAsia="en-GB"/>
        </w:rPr>
        <w:t>Hospitali</w:t>
      </w:r>
      <w:r w:rsidR="00204D2F" w:rsidRPr="00AF68D6">
        <w:rPr>
          <w:lang w:eastAsia="en-GB"/>
        </w:rPr>
        <w:t>z</w:t>
      </w:r>
      <w:r w:rsidR="00355333" w:rsidRPr="00AF68D6">
        <w:rPr>
          <w:lang w:eastAsia="en-GB"/>
        </w:rPr>
        <w:t xml:space="preserve">ations refer to non-elective admissions to hospital with length of stay of at least 24 hours. </w:t>
      </w:r>
    </w:p>
    <w:p w14:paraId="2A21789A" w14:textId="77777777" w:rsidR="00E8166B" w:rsidRPr="00AF68D6" w:rsidRDefault="00E8166B" w:rsidP="008B68F9">
      <w:pPr>
        <w:spacing w:before="0" w:after="0"/>
        <w:rPr>
          <w:u w:val="single"/>
        </w:rPr>
      </w:pPr>
    </w:p>
    <w:p w14:paraId="5ED6C1BA" w14:textId="22F84951" w:rsidR="00C411C5" w:rsidRPr="00AF68D6" w:rsidRDefault="00C411C5" w:rsidP="008B68F9">
      <w:pPr>
        <w:pStyle w:val="Heading2"/>
        <w:spacing w:before="0" w:after="0"/>
      </w:pPr>
      <w:r w:rsidRPr="00AF68D6">
        <w:t>Statistical analysis</w:t>
      </w:r>
    </w:p>
    <w:p w14:paraId="6FD2F2CE" w14:textId="59B97D55" w:rsidR="00C411C5" w:rsidRPr="00AF68D6" w:rsidRDefault="00C411C5" w:rsidP="008B68F9">
      <w:pPr>
        <w:spacing w:before="0" w:after="0"/>
        <w:rPr>
          <w:rStyle w:val="normalchar"/>
        </w:rPr>
      </w:pPr>
      <w:r w:rsidRPr="00AF68D6">
        <w:rPr>
          <w:rStyle w:val="normalchar"/>
        </w:rPr>
        <w:t>Continuous data are expressed as a median with interquartile range (IQR) (25</w:t>
      </w:r>
      <w:r w:rsidRPr="00AF68D6">
        <w:rPr>
          <w:rStyle w:val="normalchar"/>
          <w:vertAlign w:val="superscript"/>
        </w:rPr>
        <w:t>th</w:t>
      </w:r>
      <w:r w:rsidRPr="00AF68D6">
        <w:rPr>
          <w:rStyle w:val="normalchar"/>
        </w:rPr>
        <w:t xml:space="preserve"> to 75</w:t>
      </w:r>
      <w:r w:rsidRPr="00AF68D6">
        <w:rPr>
          <w:rStyle w:val="normalchar"/>
          <w:vertAlign w:val="superscript"/>
        </w:rPr>
        <w:t>th</w:t>
      </w:r>
      <w:r w:rsidRPr="00AF68D6">
        <w:rPr>
          <w:rStyle w:val="apple-converted-space"/>
        </w:rPr>
        <w:t> </w:t>
      </w:r>
      <w:r w:rsidRPr="00AF68D6">
        <w:rPr>
          <w:rStyle w:val="normalchar"/>
        </w:rPr>
        <w:t xml:space="preserve">centiles) and categorical data are expressed as </w:t>
      </w:r>
      <w:r w:rsidR="00D017D2" w:rsidRPr="00AF68D6">
        <w:rPr>
          <w:rStyle w:val="normalchar"/>
        </w:rPr>
        <w:t>% (N)</w:t>
      </w:r>
      <w:r w:rsidRPr="00AF68D6">
        <w:rPr>
          <w:rStyle w:val="normalchar"/>
        </w:rPr>
        <w:t xml:space="preserve">. Independent t tests and Mann-Whitney U tests were used to compare two continuous variables for normally and non-normally distributed data. The chi-squared test was used to compare proportions between groups.  </w:t>
      </w:r>
    </w:p>
    <w:p w14:paraId="0AB9BACE" w14:textId="77777777" w:rsidR="006B7002" w:rsidRPr="00AF68D6" w:rsidRDefault="006B7002" w:rsidP="008B68F9">
      <w:pPr>
        <w:spacing w:before="0" w:after="0"/>
        <w:rPr>
          <w:rStyle w:val="normalchar"/>
        </w:rPr>
      </w:pPr>
    </w:p>
    <w:p w14:paraId="5109C9F2" w14:textId="66DFDD56" w:rsidR="007336A9" w:rsidRDefault="00DE3854" w:rsidP="008B68F9">
      <w:pPr>
        <w:spacing w:before="0" w:after="0"/>
        <w:rPr>
          <w:rStyle w:val="normalchar"/>
        </w:rPr>
      </w:pPr>
      <w:r w:rsidRPr="00AF68D6">
        <w:rPr>
          <w:rStyle w:val="normalchar"/>
        </w:rPr>
        <w:t>Time-to-event data are presented graphically using Kaplan-Meier curves.</w:t>
      </w:r>
      <w:r w:rsidRPr="00AF68D6">
        <w:t xml:space="preserve"> </w:t>
      </w:r>
      <w:r w:rsidRPr="00AF68D6">
        <w:rPr>
          <w:rStyle w:val="normalchar"/>
        </w:rPr>
        <w:t xml:space="preserve">Log-rank-tests were used to compare survival between groups. </w:t>
      </w:r>
      <w:r w:rsidR="005F72AF">
        <w:rPr>
          <w:rStyle w:val="normalchar"/>
        </w:rPr>
        <w:t xml:space="preserve">To understand the prognostic value of </w:t>
      </w:r>
      <w:r w:rsidR="00B67F77">
        <w:rPr>
          <w:rStyle w:val="normalchar"/>
        </w:rPr>
        <w:t xml:space="preserve">different </w:t>
      </w:r>
      <w:r w:rsidR="005F72AF">
        <w:rPr>
          <w:rStyle w:val="normalchar"/>
        </w:rPr>
        <w:t>malnutrition</w:t>
      </w:r>
      <w:r w:rsidR="00B67F77">
        <w:rPr>
          <w:rStyle w:val="normalchar"/>
        </w:rPr>
        <w:t xml:space="preserve"> tools</w:t>
      </w:r>
      <w:r w:rsidR="005F72AF">
        <w:rPr>
          <w:rStyle w:val="normalchar"/>
        </w:rPr>
        <w:t>, we performed two types of analyses: 1) etiological analysis and 2) predictive analysis.</w:t>
      </w:r>
      <w:r w:rsidR="00AB6704">
        <w:rPr>
          <w:rStyle w:val="EndnoteReference"/>
        </w:rPr>
        <w:endnoteReference w:id="24"/>
      </w:r>
      <w:r w:rsidR="005F72AF">
        <w:rPr>
          <w:rStyle w:val="normalchar"/>
        </w:rPr>
        <w:t xml:space="preserve"> The aim of the etiological analysis is to understand the causal relationship between malnutrition</w:t>
      </w:r>
      <w:r w:rsidR="00B67F77">
        <w:rPr>
          <w:rStyle w:val="normalchar"/>
        </w:rPr>
        <w:t xml:space="preserve"> tools</w:t>
      </w:r>
      <w:r w:rsidR="005F72AF">
        <w:rPr>
          <w:rStyle w:val="normalchar"/>
        </w:rPr>
        <w:t xml:space="preserve"> and outcome</w:t>
      </w:r>
      <w:r w:rsidR="00B67F77">
        <w:rPr>
          <w:rStyle w:val="normalchar"/>
        </w:rPr>
        <w:t>s</w:t>
      </w:r>
      <w:r w:rsidR="005F72AF">
        <w:rPr>
          <w:rStyle w:val="normalchar"/>
        </w:rPr>
        <w:t xml:space="preserve">, with adjustment for possible confounders. </w:t>
      </w:r>
      <w:r w:rsidR="00761696">
        <w:rPr>
          <w:rStyle w:val="normalchar"/>
        </w:rPr>
        <w:t xml:space="preserve">On the other hand, the aim of the predictive analysis is to predict accurately the risk of outcomes using multiple predictors collectively. </w:t>
      </w:r>
    </w:p>
    <w:p w14:paraId="0B9072BA" w14:textId="77777777" w:rsidR="007336A9" w:rsidRDefault="007336A9" w:rsidP="008B68F9">
      <w:pPr>
        <w:spacing w:before="0" w:after="0"/>
        <w:rPr>
          <w:rStyle w:val="normalchar"/>
        </w:rPr>
      </w:pPr>
    </w:p>
    <w:p w14:paraId="12402EF4" w14:textId="5EE864E1" w:rsidR="00DA08D3" w:rsidRPr="00AF68D6" w:rsidRDefault="007336A9" w:rsidP="008B68F9">
      <w:pPr>
        <w:spacing w:before="0" w:after="0"/>
      </w:pPr>
      <w:r>
        <w:rPr>
          <w:rStyle w:val="normalchar"/>
        </w:rPr>
        <w:t xml:space="preserve">For etiological analysis, </w:t>
      </w:r>
      <w:r>
        <w:t>t</w:t>
      </w:r>
      <w:r w:rsidR="006B7002" w:rsidRPr="00AF68D6">
        <w:t xml:space="preserve">he relation between a variable and outcome was explored using Cox regression analysis. </w:t>
      </w:r>
      <w:r w:rsidR="008C475F" w:rsidRPr="00AF68D6">
        <w:t>The Schoenfeld</w:t>
      </w:r>
      <w:r w:rsidR="0039167D" w:rsidRPr="00AF68D6">
        <w:t xml:space="preserve"> and scaled Schoenfeld residuals were </w:t>
      </w:r>
      <w:r w:rsidR="008C475F" w:rsidRPr="00AF68D6">
        <w:t xml:space="preserve">used to check the proportional hazards assumption in multivariable </w:t>
      </w:r>
      <w:r w:rsidR="000436DB">
        <w:t>C</w:t>
      </w:r>
      <w:r w:rsidR="008C475F" w:rsidRPr="00AF68D6">
        <w:t>ox regression analyses</w:t>
      </w:r>
      <w:r w:rsidR="00124A58">
        <w:t xml:space="preserve"> (Supplementary Table 2)</w:t>
      </w:r>
      <w:r w:rsidR="008C475F" w:rsidRPr="00AF68D6">
        <w:t>. Since there is no significant relationship between residuals and time, we assumed the proportional hazards</w:t>
      </w:r>
      <w:r w:rsidR="006E0858">
        <w:t xml:space="preserve"> (Supplementary Figure 2)</w:t>
      </w:r>
      <w:r w:rsidR="008C475F" w:rsidRPr="00AF68D6">
        <w:t xml:space="preserve">. </w:t>
      </w:r>
      <w:r w:rsidR="00DE3854" w:rsidRPr="00AF68D6">
        <w:rPr>
          <w:rStyle w:val="normalchar"/>
        </w:rPr>
        <w:t>Univariable and multivariable analyses with Cox proportional hazard regression were used to determine significant predictors of events. Variables with p&lt;0.05 in univariable analysis</w:t>
      </w:r>
      <w:r>
        <w:rPr>
          <w:rStyle w:val="normalchar"/>
        </w:rPr>
        <w:t xml:space="preserve">, which are known predictors of </w:t>
      </w:r>
      <w:r>
        <w:rPr>
          <w:rStyle w:val="normalchar"/>
        </w:rPr>
        <w:lastRenderedPageBreak/>
        <w:t xml:space="preserve">outcomes in patients with HF, </w:t>
      </w:r>
      <w:r w:rsidR="00DE3854" w:rsidRPr="00AF68D6">
        <w:rPr>
          <w:rStyle w:val="normalchar"/>
        </w:rPr>
        <w:t xml:space="preserve">were </w:t>
      </w:r>
      <w:r w:rsidR="00760B06" w:rsidRPr="00AF68D6">
        <w:rPr>
          <w:rStyle w:val="normalchar"/>
        </w:rPr>
        <w:t>entered int</w:t>
      </w:r>
      <w:r w:rsidR="00DE3854" w:rsidRPr="00AF68D6">
        <w:rPr>
          <w:rStyle w:val="normalchar"/>
        </w:rPr>
        <w:t xml:space="preserve">o </w:t>
      </w:r>
      <w:r w:rsidR="000F2B43" w:rsidRPr="00AF68D6">
        <w:rPr>
          <w:rStyle w:val="normalchar"/>
        </w:rPr>
        <w:t xml:space="preserve">a </w:t>
      </w:r>
      <w:r w:rsidR="00DE3854" w:rsidRPr="00AF68D6">
        <w:rPr>
          <w:rStyle w:val="normalchar"/>
        </w:rPr>
        <w:t>multivariable analys</w:t>
      </w:r>
      <w:r w:rsidR="000A0F26" w:rsidRPr="00AF68D6">
        <w:rPr>
          <w:rStyle w:val="normalchar"/>
        </w:rPr>
        <w:t xml:space="preserve">is </w:t>
      </w:r>
      <w:r w:rsidR="00B26ABB" w:rsidRPr="00AF68D6">
        <w:rPr>
          <w:rStyle w:val="normalchar"/>
        </w:rPr>
        <w:t xml:space="preserve">with </w:t>
      </w:r>
      <w:r w:rsidR="00890238" w:rsidRPr="00AF68D6">
        <w:rPr>
          <w:rStyle w:val="normalchar"/>
        </w:rPr>
        <w:t>each malnutrition tool both as a continuous and binary variable.</w:t>
      </w:r>
      <w:r w:rsidR="003C6079">
        <w:rPr>
          <w:rStyle w:val="normalchar"/>
        </w:rPr>
        <w:t xml:space="preserve"> </w:t>
      </w:r>
      <w:bookmarkStart w:id="0" w:name="_Hlk51624369"/>
      <w:r w:rsidR="00761696">
        <w:rPr>
          <w:rStyle w:val="normalchar"/>
        </w:rPr>
        <w:t>In order to determine</w:t>
      </w:r>
      <w:r w:rsidR="000436DB">
        <w:rPr>
          <w:rStyle w:val="normalchar"/>
        </w:rPr>
        <w:t xml:space="preserve"> accurately</w:t>
      </w:r>
      <w:r w:rsidR="00761696">
        <w:rPr>
          <w:rStyle w:val="normalchar"/>
        </w:rPr>
        <w:t xml:space="preserve"> the association between malnutrition tools and outcomes, </w:t>
      </w:r>
      <w:r w:rsidR="00E62651">
        <w:rPr>
          <w:rStyle w:val="normalchar"/>
        </w:rPr>
        <w:t>multivariable adjustment was performed for the following variables</w:t>
      </w:r>
      <w:r w:rsidR="00761696">
        <w:rPr>
          <w:rStyle w:val="normalchar"/>
        </w:rPr>
        <w:t>:</w:t>
      </w:r>
      <w:r w:rsidR="00E62651">
        <w:rPr>
          <w:rStyle w:val="normalchar"/>
        </w:rPr>
        <w:t xml:space="preserve"> age, BMI, cardiac rhythm </w:t>
      </w:r>
      <w:r w:rsidR="00E62651">
        <w:t>[</w:t>
      </w:r>
      <w:r w:rsidR="00E62651" w:rsidRPr="00AF68D6">
        <w:t>atrial fibrillation (AF)</w:t>
      </w:r>
      <w:r w:rsidR="00E62651">
        <w:t xml:space="preserve"> vs sinus rhythm], New York Heart Association (</w:t>
      </w:r>
      <w:r w:rsidR="00E62651" w:rsidRPr="00AF68D6">
        <w:t>NYHA</w:t>
      </w:r>
      <w:r w:rsidR="00E62651">
        <w:t>)</w:t>
      </w:r>
      <w:r w:rsidR="00E62651">
        <w:rPr>
          <w:rStyle w:val="normalchar"/>
        </w:rPr>
        <w:t xml:space="preserve"> class (III/IV vs I/II), </w:t>
      </w:r>
      <w:proofErr w:type="spellStart"/>
      <w:r w:rsidR="00E62651">
        <w:rPr>
          <w:rStyle w:val="normalchar"/>
        </w:rPr>
        <w:t>Charlson</w:t>
      </w:r>
      <w:proofErr w:type="spellEnd"/>
      <w:r w:rsidR="00E62651">
        <w:rPr>
          <w:rStyle w:val="normalchar"/>
        </w:rPr>
        <w:t xml:space="preserve"> score, </w:t>
      </w:r>
      <w:proofErr w:type="gramStart"/>
      <w:r w:rsidR="00E62651">
        <w:rPr>
          <w:rStyle w:val="normalchar"/>
        </w:rPr>
        <w:t>log[</w:t>
      </w:r>
      <w:proofErr w:type="spellStart"/>
      <w:proofErr w:type="gramEnd"/>
      <w:r w:rsidR="00E62651">
        <w:rPr>
          <w:rStyle w:val="normalchar"/>
        </w:rPr>
        <w:t>NTproBNP</w:t>
      </w:r>
      <w:proofErr w:type="spellEnd"/>
      <w:r w:rsidR="00E62651">
        <w:rPr>
          <w:rStyle w:val="normalchar"/>
        </w:rPr>
        <w:t xml:space="preserve">], Hb and </w:t>
      </w:r>
      <w:r w:rsidR="00E62651" w:rsidRPr="00AF68D6">
        <w:t>estimated glomerular filtration rate (eGFR</w:t>
      </w:r>
      <w:r w:rsidR="00E62651">
        <w:t>)</w:t>
      </w:r>
      <w:r w:rsidR="00E62651">
        <w:rPr>
          <w:rStyle w:val="normalchar"/>
        </w:rPr>
        <w:t>.</w:t>
      </w:r>
      <w:r w:rsidR="00512AAE">
        <w:rPr>
          <w:rStyle w:val="normalchar"/>
        </w:rPr>
        <w:t xml:space="preserve"> </w:t>
      </w:r>
      <w:r w:rsidR="003C6079">
        <w:rPr>
          <w:rStyle w:val="normalchar"/>
        </w:rPr>
        <w:t xml:space="preserve">Potential effect-modification was tested </w:t>
      </w:r>
      <w:r w:rsidR="00AD01B7">
        <w:rPr>
          <w:rStyle w:val="normalchar"/>
        </w:rPr>
        <w:t xml:space="preserve">by fitting models containing both main effects and their cross-product terms. Specifically, effect-modification was tested between </w:t>
      </w:r>
      <w:r w:rsidR="00583509">
        <w:rPr>
          <w:rStyle w:val="normalchar"/>
        </w:rPr>
        <w:t xml:space="preserve">the following variables: </w:t>
      </w:r>
      <w:r w:rsidR="00AD01B7">
        <w:rPr>
          <w:rStyle w:val="normalchar"/>
        </w:rPr>
        <w:t xml:space="preserve">age </w:t>
      </w:r>
      <w:r w:rsidR="003C6079">
        <w:rPr>
          <w:rStyle w:val="normalchar"/>
        </w:rPr>
        <w:t xml:space="preserve">and </w:t>
      </w:r>
      <w:r w:rsidR="00EC119A">
        <w:rPr>
          <w:rStyle w:val="normalchar"/>
        </w:rPr>
        <w:t>BMI;</w:t>
      </w:r>
      <w:r w:rsidR="00583509">
        <w:rPr>
          <w:rStyle w:val="normalchar"/>
        </w:rPr>
        <w:t xml:space="preserve"> age and cardiac rh</w:t>
      </w:r>
      <w:r w:rsidR="00EC119A">
        <w:rPr>
          <w:rStyle w:val="normalchar"/>
        </w:rPr>
        <w:t xml:space="preserve">ythm; age and </w:t>
      </w:r>
      <w:r w:rsidR="00EC119A" w:rsidRPr="00AF68D6">
        <w:t>NYHA</w:t>
      </w:r>
      <w:r w:rsidR="00EC119A">
        <w:rPr>
          <w:rStyle w:val="normalchar"/>
        </w:rPr>
        <w:t xml:space="preserve"> class;</w:t>
      </w:r>
      <w:r w:rsidR="00583509">
        <w:rPr>
          <w:rStyle w:val="normalchar"/>
        </w:rPr>
        <w:t xml:space="preserve"> age </w:t>
      </w:r>
      <w:r w:rsidR="00EC119A">
        <w:rPr>
          <w:rStyle w:val="normalchar"/>
        </w:rPr>
        <w:t>and log[</w:t>
      </w:r>
      <w:proofErr w:type="spellStart"/>
      <w:r w:rsidR="00EC119A">
        <w:rPr>
          <w:rStyle w:val="normalchar"/>
        </w:rPr>
        <w:t>NTproBNP</w:t>
      </w:r>
      <w:proofErr w:type="spellEnd"/>
      <w:r w:rsidR="00EC119A">
        <w:rPr>
          <w:rStyle w:val="normalchar"/>
        </w:rPr>
        <w:t xml:space="preserve">]; age and </w:t>
      </w:r>
      <w:proofErr w:type="spellStart"/>
      <w:r w:rsidR="00EC119A">
        <w:rPr>
          <w:rStyle w:val="normalchar"/>
        </w:rPr>
        <w:t>Charlson</w:t>
      </w:r>
      <w:proofErr w:type="spellEnd"/>
      <w:r w:rsidR="00EC119A">
        <w:rPr>
          <w:rStyle w:val="normalchar"/>
        </w:rPr>
        <w:t xml:space="preserve"> score; age and Hb;</w:t>
      </w:r>
      <w:r w:rsidR="00583509">
        <w:rPr>
          <w:rStyle w:val="normalchar"/>
        </w:rPr>
        <w:t xml:space="preserve"> age and </w:t>
      </w:r>
      <w:r w:rsidR="00EC119A" w:rsidRPr="00AF68D6">
        <w:t>eGFR</w:t>
      </w:r>
      <w:r w:rsidR="00EC119A">
        <w:rPr>
          <w:rStyle w:val="normalchar"/>
        </w:rPr>
        <w:t>;</w:t>
      </w:r>
      <w:r w:rsidR="00583509">
        <w:rPr>
          <w:rStyle w:val="normalchar"/>
        </w:rPr>
        <w:t xml:space="preserve"> malnutrition tool </w:t>
      </w:r>
      <w:r w:rsidR="00EC119A">
        <w:rPr>
          <w:rStyle w:val="normalchar"/>
        </w:rPr>
        <w:t>and age;</w:t>
      </w:r>
      <w:r w:rsidR="00583509">
        <w:rPr>
          <w:rStyle w:val="normalchar"/>
        </w:rPr>
        <w:t xml:space="preserve"> malnutrition tool </w:t>
      </w:r>
      <w:r w:rsidR="00EC119A">
        <w:rPr>
          <w:rStyle w:val="normalchar"/>
        </w:rPr>
        <w:t>and</w:t>
      </w:r>
      <w:r w:rsidR="00583509">
        <w:rPr>
          <w:rStyle w:val="normalchar"/>
        </w:rPr>
        <w:t xml:space="preserve"> </w:t>
      </w:r>
      <w:r w:rsidR="00EC119A">
        <w:rPr>
          <w:rStyle w:val="normalchar"/>
        </w:rPr>
        <w:t>BMI; malnutrition tool and cardiac rhythm;</w:t>
      </w:r>
      <w:r w:rsidR="00EC119A" w:rsidRPr="00EC119A">
        <w:t xml:space="preserve"> </w:t>
      </w:r>
      <w:r w:rsidR="00EC119A">
        <w:rPr>
          <w:rStyle w:val="normalchar"/>
        </w:rPr>
        <w:t>malnutrition tool and NYHA class; malnutrition tool and log[</w:t>
      </w:r>
      <w:proofErr w:type="spellStart"/>
      <w:r w:rsidR="00EC119A">
        <w:rPr>
          <w:rStyle w:val="normalchar"/>
        </w:rPr>
        <w:t>NTproBNP</w:t>
      </w:r>
      <w:proofErr w:type="spellEnd"/>
      <w:r w:rsidR="00EC119A">
        <w:rPr>
          <w:rStyle w:val="normalchar"/>
        </w:rPr>
        <w:t xml:space="preserve">]; malnutrition tool and </w:t>
      </w:r>
      <w:proofErr w:type="spellStart"/>
      <w:r w:rsidR="00EC119A">
        <w:rPr>
          <w:rStyle w:val="normalchar"/>
        </w:rPr>
        <w:t>Charlson</w:t>
      </w:r>
      <w:proofErr w:type="spellEnd"/>
      <w:r w:rsidR="00EC119A">
        <w:rPr>
          <w:rStyle w:val="normalchar"/>
        </w:rPr>
        <w:t xml:space="preserve"> score; malnutrition tool and Hb; and malnutrition tool and eGFR</w:t>
      </w:r>
      <w:r w:rsidR="006664A2">
        <w:rPr>
          <w:rStyle w:val="normalchar"/>
        </w:rPr>
        <w:t xml:space="preserve"> in multivariable Cox regression analysis for predicting all-cause mortality</w:t>
      </w:r>
      <w:bookmarkEnd w:id="0"/>
      <w:r w:rsidR="00F3414C">
        <w:rPr>
          <w:rStyle w:val="normalchar"/>
        </w:rPr>
        <w:t xml:space="preserve"> (Supplementary Table 3)</w:t>
      </w:r>
      <w:r w:rsidR="006762A1" w:rsidRPr="00AF68D6">
        <w:rPr>
          <w:rStyle w:val="normalchar"/>
        </w:rPr>
        <w:t xml:space="preserve">. </w:t>
      </w:r>
      <w:r w:rsidR="00890238" w:rsidRPr="00AF68D6">
        <w:rPr>
          <w:rStyle w:val="normalchar"/>
        </w:rPr>
        <w:t>Further analyses were performed to study the relationship between the degree of malnutrition and outcome. We used the malnutrition tool from each category (simple</w:t>
      </w:r>
      <w:r w:rsidR="00AA6BFB" w:rsidRPr="00AF68D6">
        <w:rPr>
          <w:rStyle w:val="normalchar"/>
        </w:rPr>
        <w:t xml:space="preserve"> tools</w:t>
      </w:r>
      <w:r w:rsidR="00890238" w:rsidRPr="00AF68D6">
        <w:rPr>
          <w:rStyle w:val="normalchar"/>
        </w:rPr>
        <w:t xml:space="preserve">, multi-dimensional </w:t>
      </w:r>
      <w:r w:rsidR="00AA6BFB" w:rsidRPr="00AF68D6">
        <w:rPr>
          <w:rStyle w:val="normalchar"/>
        </w:rPr>
        <w:t xml:space="preserve">tools </w:t>
      </w:r>
      <w:r w:rsidR="00890238" w:rsidRPr="00AF68D6">
        <w:rPr>
          <w:rStyle w:val="normalchar"/>
        </w:rPr>
        <w:t xml:space="preserve">and single laboratory test) which best predicted all-cause mortality </w:t>
      </w:r>
      <w:r w:rsidR="00890238" w:rsidRPr="00AF68D6">
        <w:t xml:space="preserve">(highest </w:t>
      </w:r>
      <w:bookmarkStart w:id="1" w:name="_Hlk17658780"/>
      <w:r w:rsidR="006D15DD" w:rsidRPr="00AF68D6">
        <w:t xml:space="preserve">Wald </w:t>
      </w:r>
      <w:r w:rsidR="0078170D" w:rsidRPr="00AF68D6">
        <w:rPr>
          <w:rFonts w:ascii="Cambria Math" w:hAnsi="Cambria Math" w:cs="Calibri"/>
        </w:rPr>
        <w:t>𝞆</w:t>
      </w:r>
      <w:r w:rsidR="00890238" w:rsidRPr="00AF68D6">
        <w:rPr>
          <w:vertAlign w:val="superscript"/>
        </w:rPr>
        <w:t>2</w:t>
      </w:r>
      <w:bookmarkEnd w:id="1"/>
      <w:r w:rsidR="00890238" w:rsidRPr="00AF68D6">
        <w:rPr>
          <w:rStyle w:val="normalchar"/>
        </w:rPr>
        <w:t xml:space="preserve">). </w:t>
      </w:r>
      <w:r w:rsidR="006B7002" w:rsidRPr="00AF68D6">
        <w:t>Log-transformation was applied when the data were very right</w:t>
      </w:r>
      <w:r w:rsidR="00DA08D3" w:rsidRPr="00AF68D6">
        <w:t xml:space="preserve">-skewed. </w:t>
      </w:r>
    </w:p>
    <w:p w14:paraId="4356105F" w14:textId="77777777" w:rsidR="000F2980" w:rsidRPr="00AF68D6" w:rsidRDefault="000F2980" w:rsidP="008B68F9">
      <w:pPr>
        <w:pStyle w:val="Normal1"/>
        <w:spacing w:before="0" w:beforeAutospacing="0" w:after="0" w:afterAutospacing="0" w:line="480" w:lineRule="auto"/>
        <w:rPr>
          <w:rFonts w:eastAsia="Calibri"/>
          <w:lang w:eastAsia="en-US"/>
        </w:rPr>
      </w:pPr>
    </w:p>
    <w:p w14:paraId="5010EDF4" w14:textId="04747B7A" w:rsidR="000F2980" w:rsidRPr="00AF68D6" w:rsidRDefault="007336A9" w:rsidP="008B68F9">
      <w:pPr>
        <w:spacing w:before="0" w:after="0"/>
      </w:pPr>
      <w:r>
        <w:t>For predictive analysis, i</w:t>
      </w:r>
      <w:r w:rsidR="002B2F96" w:rsidRPr="00AF68D6">
        <w:t xml:space="preserve">n order to compare the performance of </w:t>
      </w:r>
      <w:r>
        <w:t xml:space="preserve">different </w:t>
      </w:r>
      <w:r w:rsidR="002B2F96" w:rsidRPr="00AF68D6">
        <w:t>malnutrition tools</w:t>
      </w:r>
      <w:r>
        <w:t xml:space="preserve"> in predicting outcomes</w:t>
      </w:r>
      <w:r w:rsidR="002B2F96" w:rsidRPr="00AF68D6">
        <w:t>, w</w:t>
      </w:r>
      <w:r w:rsidR="000A0F26" w:rsidRPr="00AF68D6">
        <w:t xml:space="preserve">e created a </w:t>
      </w:r>
      <w:r w:rsidR="00E81FF3" w:rsidRPr="00AF68D6">
        <w:t xml:space="preserve">common </w:t>
      </w:r>
      <w:r w:rsidR="000A0F26" w:rsidRPr="00AF68D6">
        <w:t>base model including</w:t>
      </w:r>
      <w:r w:rsidR="00E81FF3" w:rsidRPr="00AF68D6">
        <w:t xml:space="preserve"> age,</w:t>
      </w:r>
      <w:r w:rsidR="00E56DFD">
        <w:t xml:space="preserve"> </w:t>
      </w:r>
      <w:r w:rsidR="000A0F26" w:rsidRPr="00AF68D6">
        <w:t>NYHA</w:t>
      </w:r>
      <w:r w:rsidR="00E56DFD">
        <w:t xml:space="preserve"> class </w:t>
      </w:r>
      <w:r w:rsidR="000A0F26" w:rsidRPr="00AF68D6">
        <w:t>(III/IV vs I/II), log</w:t>
      </w:r>
      <w:r w:rsidR="00461B79" w:rsidRPr="00AF68D6">
        <w:t xml:space="preserve"> [N</w:t>
      </w:r>
      <w:r w:rsidR="000A0F26" w:rsidRPr="00AF68D6">
        <w:t>T</w:t>
      </w:r>
      <w:r w:rsidR="00461B79" w:rsidRPr="00AF68D6">
        <w:t>-</w:t>
      </w:r>
      <w:proofErr w:type="spellStart"/>
      <w:r w:rsidR="000A0F26" w:rsidRPr="00AF68D6">
        <w:t>proBNP</w:t>
      </w:r>
      <w:proofErr w:type="spellEnd"/>
      <w:r w:rsidR="00461B79" w:rsidRPr="00AF68D6">
        <w:t>]</w:t>
      </w:r>
      <w:r w:rsidR="00E81FF3" w:rsidRPr="00AF68D6">
        <w:t>, Hb, eGFR,</w:t>
      </w:r>
      <w:r w:rsidR="004F63EF" w:rsidRPr="00AF68D6">
        <w:t xml:space="preserve"> </w:t>
      </w:r>
      <w:r w:rsidR="00EC119A">
        <w:t xml:space="preserve">AF, </w:t>
      </w:r>
      <w:r w:rsidR="00DE6EE3" w:rsidRPr="00AF68D6">
        <w:t xml:space="preserve">CVA and </w:t>
      </w:r>
      <w:r w:rsidR="00E81FF3" w:rsidRPr="00AF68D6">
        <w:t>COPD</w:t>
      </w:r>
      <w:r w:rsidR="000A0F26" w:rsidRPr="00AF68D6">
        <w:t xml:space="preserve"> for predicting mortality.</w:t>
      </w:r>
      <w:r w:rsidR="00E81FF3" w:rsidRPr="00AF68D6">
        <w:t xml:space="preserve"> </w:t>
      </w:r>
      <w:r>
        <w:t xml:space="preserve">These variables are all significant predictors of mortality in univariable Cox regression analysis. </w:t>
      </w:r>
      <w:r w:rsidR="00DC1C06" w:rsidRPr="00AF68D6">
        <w:t xml:space="preserve">The base model was standardised so that a fair comparison can be made regarding the prognostic performance of different malnutrition tools. </w:t>
      </w:r>
      <w:r w:rsidR="00E81FF3" w:rsidRPr="00AF68D6">
        <w:t xml:space="preserve">Although BMI, dementia and falls </w:t>
      </w:r>
      <w:r w:rsidR="00E81FF3" w:rsidRPr="00AF68D6">
        <w:lastRenderedPageBreak/>
        <w:t xml:space="preserve">were significant univariable predictors of mortality, they were excluded from the base model as they are contained in some of the malnutrition tools. </w:t>
      </w:r>
      <w:r w:rsidR="006B7002" w:rsidRPr="00AF68D6">
        <w:t xml:space="preserve">We added each of the </w:t>
      </w:r>
      <w:r w:rsidR="00B26ABB" w:rsidRPr="00AF68D6">
        <w:t>malnutrition</w:t>
      </w:r>
      <w:r w:rsidR="006B7002" w:rsidRPr="00AF68D6">
        <w:t xml:space="preserve"> </w:t>
      </w:r>
      <w:r w:rsidR="000A0F26" w:rsidRPr="00AF68D6">
        <w:t>tools</w:t>
      </w:r>
      <w:r w:rsidR="006B7002" w:rsidRPr="00AF68D6">
        <w:t xml:space="preserve"> in turn to the base model and used </w:t>
      </w:r>
      <w:r w:rsidR="00EC488D" w:rsidRPr="00AF68D6">
        <w:t>Harrell’s C</w:t>
      </w:r>
      <w:r w:rsidR="00212E3E" w:rsidRPr="00AF68D6">
        <w:t>-statistic</w:t>
      </w:r>
      <w:r w:rsidR="00AA6BFB" w:rsidRPr="00AF68D6">
        <w:t xml:space="preserve"> </w:t>
      </w:r>
      <w:r w:rsidR="006B7002" w:rsidRPr="00AF68D6">
        <w:t xml:space="preserve">to evaluate model discrimination in survival analysis. </w:t>
      </w:r>
      <w:r w:rsidR="005E5EA0" w:rsidRPr="00AF68D6">
        <w:t>A</w:t>
      </w:r>
      <w:r w:rsidR="00EC488D" w:rsidRPr="00AF68D6">
        <w:t xml:space="preserve"> C</w:t>
      </w:r>
      <w:r w:rsidR="00DF3B8F" w:rsidRPr="00AF68D6">
        <w:t>-statistic</w:t>
      </w:r>
      <w:r w:rsidR="00DA08D3" w:rsidRPr="00AF68D6">
        <w:t xml:space="preserve"> of 0.5 indicates no discriminat</w:t>
      </w:r>
      <w:r w:rsidR="00EC488D" w:rsidRPr="00AF68D6">
        <w:t>ive ability at all while a C</w:t>
      </w:r>
      <w:r w:rsidR="00DF3B8F" w:rsidRPr="00AF68D6">
        <w:t xml:space="preserve">-statistic </w:t>
      </w:r>
      <w:r w:rsidR="00DA08D3" w:rsidRPr="00AF68D6">
        <w:t xml:space="preserve">of 1 indicates perfect discrimination. </w:t>
      </w:r>
      <w:r w:rsidR="00DC1C06" w:rsidRPr="00AF68D6">
        <w:t>The</w:t>
      </w:r>
      <w:r w:rsidR="001328CB" w:rsidRPr="00AF68D6">
        <w:t xml:space="preserve"> likelihood ratio was used to determine if there was any significant difference in model fit</w:t>
      </w:r>
      <w:r w:rsidR="00470DEE" w:rsidRPr="00AF68D6">
        <w:t xml:space="preserve"> between the base model and models including different malnutrition tools.</w:t>
      </w:r>
      <w:r w:rsidR="002B1299">
        <w:t xml:space="preserve"> We performed additional sensitivity analyses where we constructed different base models </w:t>
      </w:r>
      <w:r w:rsidR="00871A39">
        <w:t>for evaluating</w:t>
      </w:r>
      <w:r w:rsidR="002B1299">
        <w:t xml:space="preserve"> the prognostic performance of different malnutrition tools, based on the components of each tool (Supplementary Table 4).</w:t>
      </w:r>
      <w:r w:rsidR="008E53DC">
        <w:t xml:space="preserve"> </w:t>
      </w:r>
      <w:r w:rsidR="002A3B68">
        <w:t xml:space="preserve">To compare the prognostic performance of models including different malnutrition tools, we used the Akaike Information Criterion (AIC) and Bayesian Information Criterion (BIC). </w:t>
      </w:r>
      <w:r w:rsidR="008E53DC">
        <w:t xml:space="preserve">The lower the AIC or BIC value, the better the model fit (Supplementary Table 5). </w:t>
      </w:r>
    </w:p>
    <w:p w14:paraId="34859A69" w14:textId="1AEE341B" w:rsidR="00DA08D3" w:rsidRPr="00AF68D6" w:rsidRDefault="00DA08D3" w:rsidP="008B68F9">
      <w:pPr>
        <w:spacing w:before="0" w:after="0"/>
      </w:pPr>
      <w:r w:rsidRPr="00AF68D6">
        <w:t xml:space="preserve">To evaluate </w:t>
      </w:r>
      <w:r w:rsidR="000F2980" w:rsidRPr="00AF68D6">
        <w:t>length of stay during hospitali</w:t>
      </w:r>
      <w:r w:rsidR="00204D2F" w:rsidRPr="00AF68D6">
        <w:t>z</w:t>
      </w:r>
      <w:r w:rsidR="000F2980" w:rsidRPr="00AF68D6">
        <w:t xml:space="preserve">ation, </w:t>
      </w:r>
      <w:r w:rsidR="00DF3B8F" w:rsidRPr="00AF68D6">
        <w:t xml:space="preserve">we </w:t>
      </w:r>
      <w:r w:rsidR="000F2980" w:rsidRPr="00AF68D6">
        <w:t xml:space="preserve">only included patients with at least </w:t>
      </w:r>
      <w:r w:rsidR="00DF3B8F" w:rsidRPr="00AF68D6">
        <w:t xml:space="preserve">one </w:t>
      </w:r>
      <w:r w:rsidR="000F2980" w:rsidRPr="00AF68D6">
        <w:t>hospitali</w:t>
      </w:r>
      <w:r w:rsidR="00204D2F" w:rsidRPr="00AF68D6">
        <w:t>z</w:t>
      </w:r>
      <w:r w:rsidR="000F2980" w:rsidRPr="00AF68D6">
        <w:t>ation and hospitali</w:t>
      </w:r>
      <w:r w:rsidR="00204D2F" w:rsidRPr="00AF68D6">
        <w:t>z</w:t>
      </w:r>
      <w:r w:rsidR="000F2980" w:rsidRPr="00AF68D6">
        <w:t xml:space="preserve">ations resulting in death were excluded. </w:t>
      </w:r>
    </w:p>
    <w:p w14:paraId="04816FC9" w14:textId="77777777" w:rsidR="00C411C5" w:rsidRPr="00AF68D6" w:rsidRDefault="00C411C5" w:rsidP="008B68F9">
      <w:pPr>
        <w:spacing w:before="0" w:after="0"/>
        <w:rPr>
          <w:lang w:eastAsia="en-GB"/>
        </w:rPr>
      </w:pPr>
    </w:p>
    <w:p w14:paraId="74AA29FD" w14:textId="51B70EBF" w:rsidR="00C411C5" w:rsidRPr="00AF68D6" w:rsidRDefault="00C411C5" w:rsidP="008B68F9">
      <w:pPr>
        <w:spacing w:before="0" w:after="0"/>
        <w:rPr>
          <w:rStyle w:val="normalchar"/>
        </w:rPr>
      </w:pPr>
      <w:r w:rsidRPr="00AF68D6">
        <w:rPr>
          <w:rStyle w:val="normalchar"/>
        </w:rPr>
        <w:t>All statistical analyses were performed using SPSS 2</w:t>
      </w:r>
      <w:r w:rsidR="00AA6BFB" w:rsidRPr="00AF68D6">
        <w:rPr>
          <w:rStyle w:val="normalchar"/>
        </w:rPr>
        <w:t>6</w:t>
      </w:r>
      <w:r w:rsidRPr="00AF68D6">
        <w:rPr>
          <w:rStyle w:val="normalchar"/>
        </w:rPr>
        <w:t xml:space="preserve"> (SPSS </w:t>
      </w:r>
      <w:proofErr w:type="spellStart"/>
      <w:r w:rsidRPr="00AF68D6">
        <w:rPr>
          <w:rStyle w:val="normalchar"/>
        </w:rPr>
        <w:t>INc</w:t>
      </w:r>
      <w:proofErr w:type="spellEnd"/>
      <w:proofErr w:type="gramStart"/>
      <w:r w:rsidRPr="00AF68D6">
        <w:rPr>
          <w:rStyle w:val="normalchar"/>
        </w:rPr>
        <w:t>.,Chicago</w:t>
      </w:r>
      <w:proofErr w:type="gramEnd"/>
      <w:r w:rsidRPr="00AF68D6">
        <w:rPr>
          <w:rStyle w:val="normalchar"/>
        </w:rPr>
        <w:t>, IL, USA) and The Stata (14</w:t>
      </w:r>
      <w:r w:rsidRPr="00AF68D6">
        <w:rPr>
          <w:rStyle w:val="normalchar"/>
          <w:vertAlign w:val="superscript"/>
        </w:rPr>
        <w:t>th</w:t>
      </w:r>
      <w:r w:rsidRPr="00AF68D6">
        <w:rPr>
          <w:rStyle w:val="normalchar"/>
        </w:rPr>
        <w:t xml:space="preserve"> Version, </w:t>
      </w:r>
      <w:proofErr w:type="spellStart"/>
      <w:r w:rsidRPr="00AF68D6">
        <w:rPr>
          <w:rStyle w:val="normalchar"/>
        </w:rPr>
        <w:t>StataCorp</w:t>
      </w:r>
      <w:proofErr w:type="spellEnd"/>
      <w:r w:rsidRPr="00AF68D6">
        <w:rPr>
          <w:rStyle w:val="normalchar"/>
        </w:rPr>
        <w:t>, TX, USA) statistical computer package. A two-tailed P-value of &lt;0.05 was considered significant in all analyses.</w:t>
      </w:r>
    </w:p>
    <w:p w14:paraId="3F19C30D" w14:textId="77777777" w:rsidR="00C411C5" w:rsidRPr="00AF68D6" w:rsidRDefault="00C411C5" w:rsidP="008B68F9">
      <w:pPr>
        <w:spacing w:before="0" w:after="0"/>
        <w:rPr>
          <w:rStyle w:val="normalchar"/>
        </w:rPr>
      </w:pPr>
    </w:p>
    <w:p w14:paraId="5A5C922D" w14:textId="77777777" w:rsidR="00C411C5" w:rsidRPr="00AF68D6" w:rsidRDefault="00C411C5" w:rsidP="008B68F9">
      <w:pPr>
        <w:spacing w:before="0" w:after="0"/>
      </w:pPr>
      <w:r w:rsidRPr="00AF68D6">
        <w:t>The study conformed to the principles outlined in the Declaration of Helsinki and was approved by relevant ethical bodies. All subjects gave their written informed consent for their data to be used for research.</w:t>
      </w:r>
    </w:p>
    <w:p w14:paraId="2C60BAFD" w14:textId="77777777" w:rsidR="00C411C5" w:rsidRPr="00AF68D6" w:rsidRDefault="00C411C5" w:rsidP="008B68F9">
      <w:pPr>
        <w:spacing w:before="0" w:after="0"/>
      </w:pPr>
    </w:p>
    <w:p w14:paraId="15F2524E" w14:textId="533A253F" w:rsidR="00DF3B8F" w:rsidRDefault="00DF3B8F" w:rsidP="008B68F9">
      <w:pPr>
        <w:spacing w:before="0" w:after="0"/>
      </w:pPr>
    </w:p>
    <w:p w14:paraId="78B3CE01" w14:textId="77777777" w:rsidR="006E0133" w:rsidRPr="00AF68D6" w:rsidRDefault="006E0133" w:rsidP="008B68F9">
      <w:pPr>
        <w:spacing w:before="0" w:after="0"/>
      </w:pPr>
    </w:p>
    <w:p w14:paraId="0C4C3E60" w14:textId="77777777" w:rsidR="00C411C5" w:rsidRPr="00AF68D6" w:rsidRDefault="00C411C5" w:rsidP="00466725">
      <w:pPr>
        <w:pStyle w:val="Heading1"/>
      </w:pPr>
      <w:r w:rsidRPr="00AF68D6">
        <w:lastRenderedPageBreak/>
        <w:t>Results</w:t>
      </w:r>
    </w:p>
    <w:p w14:paraId="66E6A083" w14:textId="6FC4CCAB" w:rsidR="00D62EA1" w:rsidRDefault="00A049D6" w:rsidP="008B68F9">
      <w:pPr>
        <w:spacing w:before="0" w:after="0"/>
      </w:pPr>
      <w:r w:rsidRPr="00AF68D6">
        <w:t xml:space="preserve">A total of 467 consecutive </w:t>
      </w:r>
      <w:r w:rsidR="00DF3B8F" w:rsidRPr="00AF68D6">
        <w:t>ambulatory patients with HF w</w:t>
      </w:r>
      <w:r w:rsidR="00327DEF" w:rsidRPr="00AF68D6">
        <w:t xml:space="preserve">as </w:t>
      </w:r>
      <w:r w:rsidR="0085710E" w:rsidRPr="00AF68D6">
        <w:t>approached and all patients consented to participate in the study</w:t>
      </w:r>
      <w:r w:rsidRPr="00AF68D6">
        <w:t xml:space="preserve">. </w:t>
      </w:r>
      <w:r w:rsidR="00D62EA1">
        <w:t xml:space="preserve">No patient was lost to follow up as </w:t>
      </w:r>
      <w:r w:rsidR="000436DB">
        <w:t xml:space="preserve">we </w:t>
      </w:r>
      <w:r w:rsidR="00D62EA1">
        <w:t xml:space="preserve">regularly receive </w:t>
      </w:r>
      <w:r w:rsidR="000436DB">
        <w:t xml:space="preserve">information on </w:t>
      </w:r>
      <w:r w:rsidR="00D62EA1">
        <w:t xml:space="preserve">admissions and deaths from the two regional hospitals </w:t>
      </w:r>
      <w:r w:rsidR="000436DB">
        <w:t xml:space="preserve">which </w:t>
      </w:r>
      <w:r w:rsidR="00D62EA1">
        <w:t xml:space="preserve">provide emergency care, </w:t>
      </w:r>
      <w:r w:rsidR="000436DB">
        <w:t>in turn</w:t>
      </w:r>
      <w:r w:rsidR="00D62EA1">
        <w:t xml:space="preserve"> linked with our research database.</w:t>
      </w:r>
    </w:p>
    <w:p w14:paraId="2F432ED4" w14:textId="77777777" w:rsidR="00D62EA1" w:rsidRDefault="00D62EA1" w:rsidP="00D62EA1">
      <w:pPr>
        <w:spacing w:before="0" w:after="0"/>
        <w:rPr>
          <w:b/>
        </w:rPr>
      </w:pPr>
    </w:p>
    <w:p w14:paraId="048CFAB8" w14:textId="775FBF84" w:rsidR="00D62EA1" w:rsidRPr="00AF68D6" w:rsidRDefault="00D62EA1" w:rsidP="00466725">
      <w:pPr>
        <w:pStyle w:val="Heading2"/>
      </w:pPr>
      <w:r w:rsidRPr="00AF68D6">
        <w:t>Baseline characteristics</w:t>
      </w:r>
    </w:p>
    <w:p w14:paraId="2C707F06" w14:textId="446AC06B" w:rsidR="00A049D6" w:rsidRPr="00AF68D6" w:rsidRDefault="00A049D6" w:rsidP="008B68F9">
      <w:pPr>
        <w:spacing w:before="0" w:after="0"/>
      </w:pPr>
      <w:r w:rsidRPr="00AF68D6">
        <w:t xml:space="preserve">The majority of patients were male and elderly; most patients had </w:t>
      </w:r>
      <w:proofErr w:type="spellStart"/>
      <w:r w:rsidRPr="00AF68D6">
        <w:t>HeFREF</w:t>
      </w:r>
      <w:proofErr w:type="spellEnd"/>
      <w:r w:rsidRPr="00AF68D6">
        <w:t xml:space="preserve"> (62%) with median NT</w:t>
      </w:r>
      <w:r w:rsidR="005479D4" w:rsidRPr="00AF68D6">
        <w:t>-</w:t>
      </w:r>
      <w:proofErr w:type="spellStart"/>
      <w:r w:rsidRPr="00AF68D6">
        <w:t>proBNP</w:t>
      </w:r>
      <w:proofErr w:type="spellEnd"/>
      <w:r w:rsidRPr="00AF68D6">
        <w:t xml:space="preserve"> of 1156 </w:t>
      </w:r>
      <w:r w:rsidR="001655C4" w:rsidRPr="00AF68D6">
        <w:t xml:space="preserve">(496-2463) </w:t>
      </w:r>
      <w:r w:rsidRPr="00AF68D6">
        <w:t>ng/L; around 20% had severe symptoms (NYHA class III/IV).</w:t>
      </w:r>
      <w:r w:rsidR="003D079C" w:rsidRPr="00AF68D6">
        <w:t xml:space="preserve"> (Table 1)</w:t>
      </w:r>
    </w:p>
    <w:p w14:paraId="72C5DD79" w14:textId="77777777" w:rsidR="00920D50" w:rsidRPr="00AF68D6" w:rsidRDefault="00920D50" w:rsidP="008B68F9">
      <w:pPr>
        <w:spacing w:before="0" w:after="0"/>
      </w:pPr>
    </w:p>
    <w:p w14:paraId="2BCE520F" w14:textId="7071FDAD" w:rsidR="00CC1421" w:rsidRPr="00AF68D6" w:rsidRDefault="00534333" w:rsidP="008B68F9">
      <w:pPr>
        <w:spacing w:before="0" w:after="0"/>
        <w:rPr>
          <w:lang w:eastAsia="en-GB"/>
        </w:rPr>
      </w:pPr>
      <w:r w:rsidRPr="00AF68D6">
        <w:t xml:space="preserve">Compared </w:t>
      </w:r>
      <w:r w:rsidR="00327DEF" w:rsidRPr="00AF68D6">
        <w:t xml:space="preserve">to patients </w:t>
      </w:r>
      <w:r w:rsidR="00A049D6" w:rsidRPr="00AF68D6">
        <w:t xml:space="preserve">who </w:t>
      </w:r>
      <w:r w:rsidR="00FE7BA5" w:rsidRPr="00AF68D6">
        <w:t>were alive</w:t>
      </w:r>
      <w:r w:rsidRPr="00AF68D6">
        <w:t xml:space="preserve"> at 1 year</w:t>
      </w:r>
      <w:r w:rsidR="00327DEF" w:rsidRPr="00AF68D6">
        <w:t xml:space="preserve">, those </w:t>
      </w:r>
      <w:r w:rsidR="00A049D6" w:rsidRPr="00AF68D6">
        <w:t xml:space="preserve">who died </w:t>
      </w:r>
      <w:r w:rsidR="00327DEF" w:rsidRPr="00AF68D6">
        <w:t xml:space="preserve">were </w:t>
      </w:r>
      <w:r w:rsidR="00A049D6" w:rsidRPr="00AF68D6">
        <w:t>older</w:t>
      </w:r>
      <w:r w:rsidR="00975E6F" w:rsidRPr="00AF68D6">
        <w:t xml:space="preserve">, </w:t>
      </w:r>
      <w:r w:rsidR="004F63EF" w:rsidRPr="00AF68D6">
        <w:t>had more</w:t>
      </w:r>
      <w:r w:rsidR="00FE7BA5" w:rsidRPr="00AF68D6">
        <w:t xml:space="preserve"> severe </w:t>
      </w:r>
      <w:r w:rsidR="00A049D6" w:rsidRPr="00AF68D6">
        <w:t>symptoms</w:t>
      </w:r>
      <w:r w:rsidR="00FE7BA5" w:rsidRPr="00AF68D6">
        <w:t xml:space="preserve"> and </w:t>
      </w:r>
      <w:r w:rsidR="004F63EF" w:rsidRPr="00AF68D6">
        <w:t xml:space="preserve">were more likely to </w:t>
      </w:r>
      <w:r w:rsidR="00FE7BA5" w:rsidRPr="00AF68D6">
        <w:t xml:space="preserve">be </w:t>
      </w:r>
      <w:r w:rsidR="00A0770D" w:rsidRPr="00AF68D6">
        <w:t>malnourished</w:t>
      </w:r>
      <w:r w:rsidRPr="00AF68D6">
        <w:t xml:space="preserve"> at baseline</w:t>
      </w:r>
      <w:r w:rsidR="00FE7BA5" w:rsidRPr="00AF68D6">
        <w:t xml:space="preserve">. They also had </w:t>
      </w:r>
      <w:r w:rsidR="00DF3B8F" w:rsidRPr="00AF68D6">
        <w:t>higher NT</w:t>
      </w:r>
      <w:r w:rsidR="005479D4" w:rsidRPr="00AF68D6">
        <w:t>-</w:t>
      </w:r>
      <w:proofErr w:type="spellStart"/>
      <w:r w:rsidR="00DF3B8F" w:rsidRPr="00AF68D6">
        <w:t>proBNP</w:t>
      </w:r>
      <w:proofErr w:type="spellEnd"/>
      <w:r w:rsidR="00FE7BA5" w:rsidRPr="00AF68D6">
        <w:t xml:space="preserve"> levels</w:t>
      </w:r>
      <w:r w:rsidR="00A049D6" w:rsidRPr="00AF68D6">
        <w:t>, lower BMI</w:t>
      </w:r>
      <w:r w:rsidR="003D079C" w:rsidRPr="00AF68D6">
        <w:t xml:space="preserve"> and </w:t>
      </w:r>
      <w:r w:rsidR="004F63EF" w:rsidRPr="00AF68D6">
        <w:t>more co</w:t>
      </w:r>
      <w:r w:rsidR="00A0770D" w:rsidRPr="00AF68D6">
        <w:t>-</w:t>
      </w:r>
      <w:r w:rsidR="004F63EF" w:rsidRPr="00AF68D6">
        <w:t>morbidities</w:t>
      </w:r>
      <w:r w:rsidR="008573C5" w:rsidRPr="00AF68D6">
        <w:t>.</w:t>
      </w:r>
      <w:r w:rsidR="00FE7BA5" w:rsidRPr="00AF68D6">
        <w:t xml:space="preserve"> </w:t>
      </w:r>
      <w:r w:rsidR="00DF3B8F" w:rsidRPr="00AF68D6">
        <w:t>(Table 1</w:t>
      </w:r>
      <w:r w:rsidR="006F22B7" w:rsidRPr="00AF68D6">
        <w:t>)</w:t>
      </w:r>
    </w:p>
    <w:p w14:paraId="252EE0E4" w14:textId="77777777" w:rsidR="00A049D6" w:rsidRPr="00AF68D6" w:rsidRDefault="00A049D6" w:rsidP="008B68F9">
      <w:pPr>
        <w:spacing w:before="0" w:after="0"/>
      </w:pPr>
    </w:p>
    <w:p w14:paraId="127663B2" w14:textId="3AD49A5C" w:rsidR="009F08A4" w:rsidRPr="00AF68D6" w:rsidRDefault="00CE0DF8" w:rsidP="00466725">
      <w:pPr>
        <w:pStyle w:val="Heading2"/>
      </w:pPr>
      <w:r w:rsidRPr="00AF68D6">
        <w:t xml:space="preserve">Relation between malnutrition and mortality </w:t>
      </w:r>
    </w:p>
    <w:p w14:paraId="10ED5589" w14:textId="1A1569C7" w:rsidR="00CB51B9" w:rsidRPr="00AF68D6" w:rsidRDefault="00327DEF" w:rsidP="008B68F9">
      <w:pPr>
        <w:spacing w:before="0" w:after="0"/>
        <w:rPr>
          <w:lang w:eastAsia="en-GB"/>
        </w:rPr>
      </w:pPr>
      <w:r w:rsidRPr="00AF68D6">
        <w:rPr>
          <w:lang w:eastAsia="en-GB"/>
        </w:rPr>
        <w:t>During a median follow-up of 554 days (interqu</w:t>
      </w:r>
      <w:r w:rsidR="00CE0DF8" w:rsidRPr="00AF68D6">
        <w:rPr>
          <w:lang w:eastAsia="en-GB"/>
        </w:rPr>
        <w:t xml:space="preserve">artile range 511-629 days), </w:t>
      </w:r>
      <w:r w:rsidRPr="00AF68D6">
        <w:rPr>
          <w:lang w:eastAsia="en-GB"/>
        </w:rPr>
        <w:t>18%</w:t>
      </w:r>
      <w:r w:rsidR="00CE0DF8" w:rsidRPr="00AF68D6">
        <w:rPr>
          <w:lang w:eastAsia="en-GB"/>
        </w:rPr>
        <w:t xml:space="preserve"> of patients died</w:t>
      </w:r>
      <w:r w:rsidR="00534333" w:rsidRPr="00AF68D6">
        <w:rPr>
          <w:lang w:eastAsia="en-GB"/>
        </w:rPr>
        <w:t xml:space="preserve">. The influence of malnutrition measures considered as univariable predictors of mortality are shown in </w:t>
      </w:r>
      <w:r w:rsidR="00D943CD" w:rsidRPr="00AF68D6">
        <w:rPr>
          <w:lang w:eastAsia="en-GB"/>
        </w:rPr>
        <w:t>Supplementary</w:t>
      </w:r>
      <w:r w:rsidR="00EC488D" w:rsidRPr="00AF68D6">
        <w:rPr>
          <w:lang w:eastAsia="en-GB"/>
        </w:rPr>
        <w:t xml:space="preserve"> Table </w:t>
      </w:r>
      <w:r w:rsidR="00A8139F">
        <w:rPr>
          <w:lang w:eastAsia="en-GB"/>
        </w:rPr>
        <w:t>6</w:t>
      </w:r>
      <w:r w:rsidR="00EC488D" w:rsidRPr="00AF68D6">
        <w:rPr>
          <w:lang w:eastAsia="en-GB"/>
        </w:rPr>
        <w:t>a</w:t>
      </w:r>
      <w:r w:rsidR="00534333" w:rsidRPr="00AF68D6">
        <w:rPr>
          <w:lang w:eastAsia="en-GB"/>
        </w:rPr>
        <w:t xml:space="preserve"> with </w:t>
      </w:r>
      <w:r w:rsidR="00D943CD" w:rsidRPr="00AF68D6">
        <w:rPr>
          <w:lang w:eastAsia="en-GB"/>
        </w:rPr>
        <w:t xml:space="preserve">Supplementary </w:t>
      </w:r>
      <w:r w:rsidR="00463406" w:rsidRPr="00AF68D6">
        <w:rPr>
          <w:lang w:eastAsia="en-GB"/>
        </w:rPr>
        <w:t>Table</w:t>
      </w:r>
      <w:r w:rsidR="00534333" w:rsidRPr="00AF68D6">
        <w:rPr>
          <w:lang w:eastAsia="en-GB"/>
        </w:rPr>
        <w:t xml:space="preserve"> </w:t>
      </w:r>
      <w:r w:rsidR="00A8139F">
        <w:rPr>
          <w:lang w:eastAsia="en-GB"/>
        </w:rPr>
        <w:t>6</w:t>
      </w:r>
      <w:r w:rsidR="00EC488D" w:rsidRPr="00AF68D6">
        <w:rPr>
          <w:lang w:eastAsia="en-GB"/>
        </w:rPr>
        <w:t>b</w:t>
      </w:r>
      <w:r w:rsidR="00534333" w:rsidRPr="00AF68D6">
        <w:rPr>
          <w:lang w:eastAsia="en-GB"/>
        </w:rPr>
        <w:t xml:space="preserve"> showing the results for other clinical variables. The presence of malnutrition, </w:t>
      </w:r>
      <w:r w:rsidR="00CE0DF8" w:rsidRPr="00AF68D6">
        <w:rPr>
          <w:lang w:eastAsia="en-GB"/>
        </w:rPr>
        <w:t xml:space="preserve">as determined by any </w:t>
      </w:r>
      <w:r w:rsidR="001356A5" w:rsidRPr="00AF68D6">
        <w:rPr>
          <w:lang w:eastAsia="en-GB"/>
        </w:rPr>
        <w:t xml:space="preserve">tool, </w:t>
      </w:r>
      <w:r w:rsidR="005B69CE" w:rsidRPr="00AF68D6">
        <w:rPr>
          <w:lang w:eastAsia="en-GB"/>
        </w:rPr>
        <w:t xml:space="preserve">was associated with </w:t>
      </w:r>
      <w:r w:rsidR="00D73E26" w:rsidRPr="00AF68D6">
        <w:rPr>
          <w:lang w:eastAsia="en-GB"/>
        </w:rPr>
        <w:t>increased risk of mortality</w:t>
      </w:r>
      <w:r w:rsidR="005B69CE" w:rsidRPr="00AF68D6">
        <w:rPr>
          <w:lang w:eastAsia="en-GB"/>
        </w:rPr>
        <w:t>.</w:t>
      </w:r>
      <w:r w:rsidR="00534333" w:rsidRPr="00AF68D6">
        <w:rPr>
          <w:lang w:eastAsia="en-GB"/>
        </w:rPr>
        <w:t xml:space="preserve"> </w:t>
      </w:r>
      <w:r w:rsidR="00982B67" w:rsidRPr="00AF68D6">
        <w:rPr>
          <w:lang w:eastAsia="en-GB"/>
        </w:rPr>
        <w:t>C</w:t>
      </w:r>
      <w:r w:rsidR="00534333" w:rsidRPr="00AF68D6">
        <w:rPr>
          <w:lang w:eastAsia="en-GB"/>
        </w:rPr>
        <w:t xml:space="preserve">linical variables </w:t>
      </w:r>
      <w:r w:rsidR="00982B67" w:rsidRPr="00AF68D6">
        <w:rPr>
          <w:lang w:eastAsia="en-GB"/>
        </w:rPr>
        <w:t xml:space="preserve">included </w:t>
      </w:r>
      <w:r w:rsidR="00534333" w:rsidRPr="00AF68D6">
        <w:rPr>
          <w:lang w:eastAsia="en-GB"/>
        </w:rPr>
        <w:t xml:space="preserve">in multivariable </w:t>
      </w:r>
      <w:r w:rsidR="00826D98" w:rsidRPr="00AF68D6">
        <w:rPr>
          <w:lang w:eastAsia="en-GB"/>
        </w:rPr>
        <w:t>analys</w:t>
      </w:r>
      <w:r w:rsidR="00FA189E" w:rsidRPr="00AF68D6">
        <w:rPr>
          <w:lang w:eastAsia="en-GB"/>
        </w:rPr>
        <w:t>es</w:t>
      </w:r>
      <w:r w:rsidR="00826D98" w:rsidRPr="00AF68D6">
        <w:rPr>
          <w:lang w:eastAsia="en-GB"/>
        </w:rPr>
        <w:t xml:space="preserve"> </w:t>
      </w:r>
      <w:r w:rsidR="00534333" w:rsidRPr="00AF68D6">
        <w:rPr>
          <w:lang w:eastAsia="en-GB"/>
        </w:rPr>
        <w:t xml:space="preserve">for predicting mortality </w:t>
      </w:r>
      <w:r w:rsidR="00826D98" w:rsidRPr="00AF68D6">
        <w:rPr>
          <w:lang w:eastAsia="en-GB"/>
        </w:rPr>
        <w:t xml:space="preserve">are </w:t>
      </w:r>
      <w:r w:rsidR="00534333" w:rsidRPr="00AF68D6">
        <w:rPr>
          <w:lang w:eastAsia="en-GB"/>
        </w:rPr>
        <w:t xml:space="preserve">shown in </w:t>
      </w:r>
      <w:r w:rsidR="00D943CD" w:rsidRPr="00AF68D6">
        <w:rPr>
          <w:lang w:eastAsia="en-GB"/>
        </w:rPr>
        <w:t xml:space="preserve">Supplementary </w:t>
      </w:r>
      <w:r w:rsidR="00463406" w:rsidRPr="00AF68D6">
        <w:rPr>
          <w:lang w:eastAsia="en-GB"/>
        </w:rPr>
        <w:t>Table</w:t>
      </w:r>
      <w:r w:rsidR="00534333" w:rsidRPr="00AF68D6">
        <w:rPr>
          <w:lang w:eastAsia="en-GB"/>
        </w:rPr>
        <w:t xml:space="preserve"> </w:t>
      </w:r>
      <w:r w:rsidR="00A8139F">
        <w:rPr>
          <w:lang w:eastAsia="en-GB"/>
        </w:rPr>
        <w:t>7</w:t>
      </w:r>
      <w:r w:rsidR="00534333" w:rsidRPr="00AF68D6">
        <w:rPr>
          <w:lang w:eastAsia="en-GB"/>
        </w:rPr>
        <w:t xml:space="preserve">. </w:t>
      </w:r>
      <w:r w:rsidR="00982B67" w:rsidRPr="00AF68D6">
        <w:rPr>
          <w:lang w:eastAsia="en-GB"/>
        </w:rPr>
        <w:t>All</w:t>
      </w:r>
      <w:r w:rsidR="00534333" w:rsidRPr="00AF68D6">
        <w:rPr>
          <w:lang w:eastAsia="en-GB"/>
        </w:rPr>
        <w:t xml:space="preserve"> malnutrition tools, with the exception of </w:t>
      </w:r>
      <w:r w:rsidR="00B25048" w:rsidRPr="00AF68D6">
        <w:rPr>
          <w:lang w:eastAsia="en-GB"/>
        </w:rPr>
        <w:t>total lymphocyte count</w:t>
      </w:r>
      <w:r w:rsidR="002B00BB" w:rsidRPr="00AF68D6">
        <w:rPr>
          <w:lang w:eastAsia="en-GB"/>
        </w:rPr>
        <w:t xml:space="preserve">, and </w:t>
      </w:r>
      <w:r w:rsidR="00B25048" w:rsidRPr="00AF68D6">
        <w:rPr>
          <w:lang w:eastAsia="en-GB"/>
        </w:rPr>
        <w:t xml:space="preserve">GNRI, PNI and MUST score as binary </w:t>
      </w:r>
      <w:r w:rsidR="00B25048" w:rsidRPr="00AF68D6">
        <w:rPr>
          <w:lang w:eastAsia="en-GB"/>
        </w:rPr>
        <w:lastRenderedPageBreak/>
        <w:t>variable</w:t>
      </w:r>
      <w:r w:rsidR="002B00BB" w:rsidRPr="00AF68D6">
        <w:rPr>
          <w:lang w:eastAsia="en-GB"/>
        </w:rPr>
        <w:t>s</w:t>
      </w:r>
      <w:r w:rsidR="00B25048" w:rsidRPr="00AF68D6">
        <w:rPr>
          <w:lang w:eastAsia="en-GB"/>
        </w:rPr>
        <w:t xml:space="preserve">, </w:t>
      </w:r>
      <w:r w:rsidR="00534333" w:rsidRPr="00AF68D6">
        <w:rPr>
          <w:lang w:eastAsia="en-GB"/>
        </w:rPr>
        <w:t xml:space="preserve">were significant predictors of all-cause mortality </w:t>
      </w:r>
      <w:r w:rsidR="00826D98" w:rsidRPr="00AF68D6">
        <w:rPr>
          <w:lang w:eastAsia="en-GB"/>
        </w:rPr>
        <w:t xml:space="preserve">when evaluated individually </w:t>
      </w:r>
      <w:r w:rsidR="00982B67" w:rsidRPr="00AF68D6">
        <w:rPr>
          <w:lang w:eastAsia="en-GB"/>
        </w:rPr>
        <w:t xml:space="preserve">in multivariable analysis </w:t>
      </w:r>
      <w:r w:rsidR="0024121A" w:rsidRPr="00AF68D6">
        <w:rPr>
          <w:lang w:eastAsia="en-GB"/>
        </w:rPr>
        <w:t xml:space="preserve">(Table </w:t>
      </w:r>
      <w:r w:rsidR="004F45BB" w:rsidRPr="00AF68D6">
        <w:rPr>
          <w:lang w:eastAsia="en-GB"/>
        </w:rPr>
        <w:t>2</w:t>
      </w:r>
      <w:r w:rsidR="0024121A" w:rsidRPr="00AF68D6">
        <w:rPr>
          <w:lang w:eastAsia="en-GB"/>
        </w:rPr>
        <w:t xml:space="preserve">). </w:t>
      </w:r>
      <w:r w:rsidR="00534333" w:rsidRPr="00AF68D6">
        <w:rPr>
          <w:lang w:eastAsia="en-GB"/>
        </w:rPr>
        <w:t xml:space="preserve"> </w:t>
      </w:r>
    </w:p>
    <w:p w14:paraId="71546AEC" w14:textId="77777777" w:rsidR="00B727B0" w:rsidRPr="00AF68D6" w:rsidRDefault="00B727B0" w:rsidP="008B68F9">
      <w:pPr>
        <w:spacing w:before="0" w:after="0"/>
      </w:pPr>
    </w:p>
    <w:p w14:paraId="060DB4E1" w14:textId="09305DDE" w:rsidR="00473835" w:rsidRPr="00AF68D6" w:rsidRDefault="00982B67" w:rsidP="008B68F9">
      <w:pPr>
        <w:spacing w:before="0" w:after="0"/>
        <w:rPr>
          <w:lang w:eastAsia="en-GB"/>
        </w:rPr>
      </w:pPr>
      <w:r w:rsidRPr="00AF68D6">
        <w:rPr>
          <w:lang w:eastAsia="en-GB"/>
        </w:rPr>
        <w:t xml:space="preserve">A </w:t>
      </w:r>
      <w:r w:rsidR="00621A4E" w:rsidRPr="00AF68D6">
        <w:rPr>
          <w:lang w:eastAsia="en-GB"/>
        </w:rPr>
        <w:t xml:space="preserve">base model </w:t>
      </w:r>
      <w:r w:rsidR="00526280" w:rsidRPr="00AF68D6">
        <w:rPr>
          <w:lang w:eastAsia="en-GB"/>
        </w:rPr>
        <w:t>(</w:t>
      </w:r>
      <w:r w:rsidR="004F29A9" w:rsidRPr="00AF68D6">
        <w:rPr>
          <w:lang w:eastAsia="en-GB"/>
        </w:rPr>
        <w:t xml:space="preserve">including </w:t>
      </w:r>
      <w:r w:rsidR="004F29A9" w:rsidRPr="00AF68D6">
        <w:t>age, NYHA (III/IV vs I/II), log [NT-</w:t>
      </w:r>
      <w:proofErr w:type="spellStart"/>
      <w:r w:rsidR="004F29A9" w:rsidRPr="00AF68D6">
        <w:t>proBNP</w:t>
      </w:r>
      <w:proofErr w:type="spellEnd"/>
      <w:r w:rsidR="004F29A9" w:rsidRPr="00AF68D6">
        <w:t xml:space="preserve">], Hb, eGFR, AF, CVA and COPD) </w:t>
      </w:r>
      <w:r w:rsidR="00030111" w:rsidRPr="00AF68D6">
        <w:rPr>
          <w:lang w:eastAsia="en-GB"/>
        </w:rPr>
        <w:t xml:space="preserve">for predicting mortality achieved a </w:t>
      </w:r>
      <w:r w:rsidR="00CD286F" w:rsidRPr="00AF68D6">
        <w:rPr>
          <w:lang w:eastAsia="en-GB"/>
        </w:rPr>
        <w:t>C</w:t>
      </w:r>
      <w:r w:rsidR="00526280" w:rsidRPr="00AF68D6">
        <w:rPr>
          <w:lang w:eastAsia="en-GB"/>
        </w:rPr>
        <w:t>-</w:t>
      </w:r>
      <w:r w:rsidR="00254F91" w:rsidRPr="00AF68D6">
        <w:rPr>
          <w:lang w:eastAsia="en-GB"/>
        </w:rPr>
        <w:t>statistic of</w:t>
      </w:r>
      <w:r w:rsidR="000744EB" w:rsidRPr="00AF68D6">
        <w:rPr>
          <w:lang w:eastAsia="en-GB"/>
        </w:rPr>
        <w:t xml:space="preserve"> 0.7</w:t>
      </w:r>
      <w:r w:rsidR="004F29A9" w:rsidRPr="00AF68D6">
        <w:rPr>
          <w:lang w:eastAsia="en-GB"/>
        </w:rPr>
        <w:t>57</w:t>
      </w:r>
      <w:r w:rsidR="0051057E" w:rsidRPr="00AF68D6">
        <w:rPr>
          <w:lang w:eastAsia="en-GB"/>
        </w:rPr>
        <w:t xml:space="preserve"> (Table </w:t>
      </w:r>
      <w:r w:rsidR="004F45BB" w:rsidRPr="00AF68D6">
        <w:rPr>
          <w:lang w:eastAsia="en-GB"/>
        </w:rPr>
        <w:t>3</w:t>
      </w:r>
      <w:r w:rsidR="00030111" w:rsidRPr="00AF68D6">
        <w:rPr>
          <w:lang w:eastAsia="en-GB"/>
        </w:rPr>
        <w:t>)</w:t>
      </w:r>
      <w:r w:rsidR="000744EB" w:rsidRPr="00AF68D6">
        <w:rPr>
          <w:lang w:eastAsia="en-GB"/>
        </w:rPr>
        <w:t>.</w:t>
      </w:r>
      <w:r w:rsidR="00030111" w:rsidRPr="00AF68D6">
        <w:rPr>
          <w:lang w:eastAsia="en-GB"/>
        </w:rPr>
        <w:t xml:space="preserve"> Each </w:t>
      </w:r>
      <w:r w:rsidR="007964E2" w:rsidRPr="00AF68D6">
        <w:rPr>
          <w:lang w:eastAsia="en-GB"/>
        </w:rPr>
        <w:t>malnutrition</w:t>
      </w:r>
      <w:r w:rsidR="00030111" w:rsidRPr="00AF68D6">
        <w:rPr>
          <w:lang w:eastAsia="en-GB"/>
        </w:rPr>
        <w:t xml:space="preserve"> tool, when added individually,</w:t>
      </w:r>
      <w:r w:rsidR="00506B20" w:rsidRPr="00AF68D6">
        <w:rPr>
          <w:lang w:eastAsia="en-GB"/>
        </w:rPr>
        <w:t xml:space="preserve"> except total lymphocyte count, led to better model fit compared to the base model. </w:t>
      </w:r>
      <w:r w:rsidR="00473835" w:rsidRPr="00AF68D6">
        <w:rPr>
          <w:lang w:eastAsia="en-GB"/>
        </w:rPr>
        <w:t xml:space="preserve">Among the </w:t>
      </w:r>
      <w:r w:rsidR="007964E2" w:rsidRPr="00AF68D6">
        <w:rPr>
          <w:lang w:eastAsia="en-GB"/>
        </w:rPr>
        <w:t>simple</w:t>
      </w:r>
      <w:r w:rsidR="00030111" w:rsidRPr="00AF68D6">
        <w:rPr>
          <w:lang w:eastAsia="en-GB"/>
        </w:rPr>
        <w:t xml:space="preserve"> tools: </w:t>
      </w:r>
      <w:r w:rsidR="0051057E" w:rsidRPr="00AF68D6">
        <w:rPr>
          <w:lang w:eastAsia="en-GB"/>
        </w:rPr>
        <w:t>CONUT score (C-statistic=0.7</w:t>
      </w:r>
      <w:r w:rsidR="004F29A9" w:rsidRPr="00AF68D6">
        <w:rPr>
          <w:lang w:eastAsia="en-GB"/>
        </w:rPr>
        <w:t>77</w:t>
      </w:r>
      <w:r w:rsidR="00C009DF" w:rsidRPr="00AF68D6">
        <w:rPr>
          <w:lang w:eastAsia="en-GB"/>
        </w:rPr>
        <w:t>)</w:t>
      </w:r>
      <w:r w:rsidR="00185BFE" w:rsidRPr="00AF68D6">
        <w:rPr>
          <w:lang w:eastAsia="en-GB"/>
        </w:rPr>
        <w:t>;</w:t>
      </w:r>
      <w:r w:rsidR="00506B20" w:rsidRPr="00AF68D6">
        <w:rPr>
          <w:lang w:eastAsia="en-GB"/>
        </w:rPr>
        <w:t xml:space="preserve"> </w:t>
      </w:r>
      <w:r w:rsidR="00030111" w:rsidRPr="00AF68D6">
        <w:rPr>
          <w:lang w:eastAsia="en-GB"/>
        </w:rPr>
        <w:t xml:space="preserve">among the </w:t>
      </w:r>
      <w:r w:rsidR="00C14EE5" w:rsidRPr="00AF68D6">
        <w:rPr>
          <w:lang w:eastAsia="en-GB"/>
        </w:rPr>
        <w:t xml:space="preserve">multi-dimensional </w:t>
      </w:r>
      <w:r w:rsidR="00030111" w:rsidRPr="00AF68D6">
        <w:rPr>
          <w:lang w:eastAsia="en-GB"/>
        </w:rPr>
        <w:t>tools:</w:t>
      </w:r>
      <w:r w:rsidR="0051057E" w:rsidRPr="00AF68D6">
        <w:rPr>
          <w:lang w:eastAsia="en-GB"/>
        </w:rPr>
        <w:t xml:space="preserve"> MNA-SF (C-statistic=0.7</w:t>
      </w:r>
      <w:r w:rsidR="004F29A9" w:rsidRPr="00AF68D6">
        <w:rPr>
          <w:lang w:eastAsia="en-GB"/>
        </w:rPr>
        <w:t>76</w:t>
      </w:r>
      <w:r w:rsidR="00053FA2" w:rsidRPr="00AF68D6">
        <w:rPr>
          <w:lang w:eastAsia="en-GB"/>
        </w:rPr>
        <w:t>)</w:t>
      </w:r>
      <w:r w:rsidR="00030111" w:rsidRPr="00AF68D6">
        <w:rPr>
          <w:lang w:eastAsia="en-GB"/>
        </w:rPr>
        <w:t xml:space="preserve">; and among the single </w:t>
      </w:r>
      <w:r w:rsidR="00C14EE5" w:rsidRPr="00AF68D6">
        <w:rPr>
          <w:lang w:eastAsia="en-GB"/>
        </w:rPr>
        <w:t>laboratory</w:t>
      </w:r>
      <w:r w:rsidR="00030111" w:rsidRPr="00AF68D6">
        <w:rPr>
          <w:lang w:eastAsia="en-GB"/>
        </w:rPr>
        <w:t xml:space="preserve"> tests: </w:t>
      </w:r>
      <w:r w:rsidR="0051057E" w:rsidRPr="00AF68D6">
        <w:rPr>
          <w:lang w:eastAsia="en-GB"/>
        </w:rPr>
        <w:t>albumin</w:t>
      </w:r>
      <w:r w:rsidR="00053FA2" w:rsidRPr="00AF68D6">
        <w:rPr>
          <w:lang w:eastAsia="en-GB"/>
        </w:rPr>
        <w:t xml:space="preserve"> (C-statistic=0.7</w:t>
      </w:r>
      <w:r w:rsidR="004F29A9" w:rsidRPr="00AF68D6">
        <w:rPr>
          <w:lang w:eastAsia="en-GB"/>
        </w:rPr>
        <w:t>73</w:t>
      </w:r>
      <w:r w:rsidR="00053FA2" w:rsidRPr="00AF68D6">
        <w:rPr>
          <w:lang w:eastAsia="en-GB"/>
        </w:rPr>
        <w:t>)</w:t>
      </w:r>
      <w:r w:rsidR="00E365E4" w:rsidRPr="00AF68D6">
        <w:rPr>
          <w:lang w:eastAsia="en-GB"/>
        </w:rPr>
        <w:t>, all as continuous variables,</w:t>
      </w:r>
      <w:r w:rsidR="000A4AEC" w:rsidRPr="00AF68D6">
        <w:rPr>
          <w:lang w:eastAsia="en-GB"/>
        </w:rPr>
        <w:t xml:space="preserve"> </w:t>
      </w:r>
      <w:r w:rsidR="00AB2AA4" w:rsidRPr="00AF68D6">
        <w:rPr>
          <w:lang w:eastAsia="en-GB"/>
        </w:rPr>
        <w:t>increased model performance most compared with base model</w:t>
      </w:r>
      <w:r w:rsidR="00506B20" w:rsidRPr="00AF68D6">
        <w:rPr>
          <w:lang w:eastAsia="en-GB"/>
        </w:rPr>
        <w:t>.</w:t>
      </w:r>
    </w:p>
    <w:p w14:paraId="59A7EDD8" w14:textId="77777777" w:rsidR="00FF3101" w:rsidRPr="00AF68D6" w:rsidRDefault="00FF3101" w:rsidP="008B68F9">
      <w:pPr>
        <w:autoSpaceDE w:val="0"/>
        <w:autoSpaceDN w:val="0"/>
        <w:adjustRightInd w:val="0"/>
        <w:spacing w:before="0" w:after="0"/>
      </w:pPr>
    </w:p>
    <w:p w14:paraId="16E1956B" w14:textId="357E083B" w:rsidR="00473835" w:rsidRPr="00AF68D6" w:rsidRDefault="001516B6" w:rsidP="008B68F9">
      <w:pPr>
        <w:autoSpaceDE w:val="0"/>
        <w:autoSpaceDN w:val="0"/>
        <w:adjustRightInd w:val="0"/>
        <w:spacing w:before="0" w:after="0"/>
      </w:pPr>
      <w:r w:rsidRPr="00AF68D6">
        <w:t>Patients who were at least moderately malnourished</w:t>
      </w:r>
      <w:r w:rsidR="00473835" w:rsidRPr="00AF68D6">
        <w:t xml:space="preserve"> according to </w:t>
      </w:r>
      <w:r w:rsidR="00684E48" w:rsidRPr="00AF68D6">
        <w:t>CONUT score, MNA-</w:t>
      </w:r>
      <w:proofErr w:type="gramStart"/>
      <w:r w:rsidR="00684E48" w:rsidRPr="00AF68D6">
        <w:t>SF</w:t>
      </w:r>
      <w:proofErr w:type="gramEnd"/>
      <w:r w:rsidR="00684E48" w:rsidRPr="00AF68D6">
        <w:t xml:space="preserve"> and </w:t>
      </w:r>
      <w:r w:rsidRPr="00AF68D6">
        <w:t xml:space="preserve">albumin, </w:t>
      </w:r>
      <w:r w:rsidR="00CD286F" w:rsidRPr="00AF68D6">
        <w:t>had a 6-</w:t>
      </w:r>
      <w:r w:rsidR="000E2E73" w:rsidRPr="00AF68D6">
        <w:t xml:space="preserve">10 times greater mortality risk than those who were not malnourished. </w:t>
      </w:r>
      <w:r w:rsidR="003D079C" w:rsidRPr="00AF68D6">
        <w:t>(Figure 1)</w:t>
      </w:r>
    </w:p>
    <w:p w14:paraId="3F17505D" w14:textId="77777777" w:rsidR="0020596E" w:rsidRPr="00AF68D6" w:rsidRDefault="0020596E" w:rsidP="008B68F9">
      <w:pPr>
        <w:spacing w:before="0" w:after="0"/>
      </w:pPr>
    </w:p>
    <w:p w14:paraId="56776082" w14:textId="1C5A345F" w:rsidR="009F08A4" w:rsidRPr="00AF68D6" w:rsidRDefault="008A2EC1" w:rsidP="008B68F9">
      <w:pPr>
        <w:spacing w:before="0" w:after="0"/>
      </w:pPr>
      <w:r w:rsidRPr="00AF68D6">
        <w:t>The</w:t>
      </w:r>
      <w:r w:rsidR="009F3FC7" w:rsidRPr="00AF68D6">
        <w:t xml:space="preserve"> </w:t>
      </w:r>
      <w:r w:rsidR="009F08A4" w:rsidRPr="00AF68D6">
        <w:t>3</w:t>
      </w:r>
      <w:r w:rsidR="00CD286F" w:rsidRPr="00AF68D6">
        <w:t>-</w:t>
      </w:r>
      <w:r w:rsidR="009F08A4" w:rsidRPr="00AF68D6">
        <w:t>month, 6</w:t>
      </w:r>
      <w:r w:rsidR="00CD286F" w:rsidRPr="00AF68D6">
        <w:t>-</w:t>
      </w:r>
      <w:r w:rsidR="009F08A4" w:rsidRPr="00AF68D6">
        <w:t>month and 12</w:t>
      </w:r>
      <w:r w:rsidR="00CD286F" w:rsidRPr="00AF68D6">
        <w:t>-</w:t>
      </w:r>
      <w:r w:rsidR="009F08A4" w:rsidRPr="00AF68D6">
        <w:t xml:space="preserve">month mortality </w:t>
      </w:r>
      <w:r w:rsidR="00CB1C25" w:rsidRPr="00AF68D6">
        <w:t>according to</w:t>
      </w:r>
      <w:r w:rsidRPr="00AF68D6">
        <w:t xml:space="preserve"> </w:t>
      </w:r>
      <w:r w:rsidR="002B00BB" w:rsidRPr="00AF68D6">
        <w:t xml:space="preserve">worsening </w:t>
      </w:r>
      <w:r w:rsidR="006F4B10" w:rsidRPr="00AF68D6">
        <w:t xml:space="preserve">malnutrition categories </w:t>
      </w:r>
      <w:r w:rsidR="003005D8" w:rsidRPr="00AF68D6">
        <w:t xml:space="preserve">is </w:t>
      </w:r>
      <w:r w:rsidR="006F4B10" w:rsidRPr="00AF68D6">
        <w:t>sh</w:t>
      </w:r>
      <w:r w:rsidR="00526280" w:rsidRPr="00AF68D6">
        <w:t xml:space="preserve">own in </w:t>
      </w:r>
      <w:r w:rsidR="0024121A" w:rsidRPr="00AF68D6">
        <w:t>Figure</w:t>
      </w:r>
      <w:r w:rsidR="00FC763A" w:rsidRPr="00AF68D6">
        <w:t xml:space="preserve"> 2</w:t>
      </w:r>
      <w:r w:rsidR="003005D8" w:rsidRPr="00AF68D6">
        <w:t>, top panel</w:t>
      </w:r>
      <w:r w:rsidRPr="00AF68D6">
        <w:t xml:space="preserve">. </w:t>
      </w:r>
      <w:r w:rsidR="003005D8" w:rsidRPr="00AF68D6">
        <w:t>Patients</w:t>
      </w:r>
      <w:r w:rsidR="006F4B10" w:rsidRPr="00AF68D6">
        <w:t xml:space="preserve"> with </w:t>
      </w:r>
      <w:r w:rsidR="002C736F" w:rsidRPr="00AF68D6">
        <w:t xml:space="preserve">the </w:t>
      </w:r>
      <w:r w:rsidR="006F4B10" w:rsidRPr="00AF68D6">
        <w:t xml:space="preserve">worst nutritional status, had a </w:t>
      </w:r>
      <w:r w:rsidR="003005D8" w:rsidRPr="00AF68D6">
        <w:t xml:space="preserve">much higher </w:t>
      </w:r>
      <w:r w:rsidR="006F4B10" w:rsidRPr="00AF68D6">
        <w:t xml:space="preserve">1-year mortality rate </w:t>
      </w:r>
      <w:r w:rsidR="003005D8" w:rsidRPr="00AF68D6">
        <w:t>(</w:t>
      </w:r>
      <w:r w:rsidR="006F4B10" w:rsidRPr="00AF68D6">
        <w:t>33-4</w:t>
      </w:r>
      <w:r w:rsidR="00AF13CC" w:rsidRPr="00AF68D6">
        <w:t>7</w:t>
      </w:r>
      <w:r w:rsidR="003005D8" w:rsidRPr="00AF68D6">
        <w:t xml:space="preserve">%) than patients </w:t>
      </w:r>
      <w:r w:rsidR="006F4B10" w:rsidRPr="00AF68D6">
        <w:t>with</w:t>
      </w:r>
      <w:r w:rsidR="002C736F" w:rsidRPr="00AF68D6">
        <w:t xml:space="preserve"> the</w:t>
      </w:r>
      <w:r w:rsidR="003005D8" w:rsidRPr="00AF68D6">
        <w:t xml:space="preserve"> best nutritional status (2-</w:t>
      </w:r>
      <w:r w:rsidR="00AF13CC" w:rsidRPr="00AF68D6">
        <w:t>4</w:t>
      </w:r>
      <w:r w:rsidR="003005D8" w:rsidRPr="00AF68D6">
        <w:t>%)</w:t>
      </w:r>
      <w:r w:rsidR="00ED777D" w:rsidRPr="00AF68D6">
        <w:t>.</w:t>
      </w:r>
      <w:r w:rsidR="006378B0" w:rsidRPr="00AF68D6">
        <w:t xml:space="preserve"> </w:t>
      </w:r>
    </w:p>
    <w:p w14:paraId="3668C4AC" w14:textId="77777777" w:rsidR="00DC5868" w:rsidRPr="00AF68D6" w:rsidRDefault="00DC5868" w:rsidP="008B68F9">
      <w:pPr>
        <w:spacing w:before="0" w:after="0"/>
      </w:pPr>
    </w:p>
    <w:p w14:paraId="51ACB661" w14:textId="3E38144C" w:rsidR="009F08A4" w:rsidRPr="00AF68D6" w:rsidRDefault="007F7194" w:rsidP="00466725">
      <w:pPr>
        <w:pStyle w:val="Heading2"/>
      </w:pPr>
      <w:r w:rsidRPr="00AF68D6">
        <w:t>Relation between malnutrition and combined all-cause hospitali</w:t>
      </w:r>
      <w:r w:rsidR="00204D2F" w:rsidRPr="00AF68D6">
        <w:t>z</w:t>
      </w:r>
      <w:r w:rsidRPr="00AF68D6">
        <w:t>ation and mortality</w:t>
      </w:r>
    </w:p>
    <w:p w14:paraId="43E2640E" w14:textId="56DBB582" w:rsidR="007F7194" w:rsidRPr="00AF68D6" w:rsidRDefault="007F7194" w:rsidP="008B68F9">
      <w:pPr>
        <w:spacing w:before="0" w:after="0"/>
        <w:rPr>
          <w:lang w:eastAsia="en-GB"/>
        </w:rPr>
      </w:pPr>
      <w:r w:rsidRPr="00AF68D6">
        <w:rPr>
          <w:lang w:eastAsia="en-GB"/>
        </w:rPr>
        <w:t>During follow up, 43% of patients were either hospitalised or died</w:t>
      </w:r>
      <w:r w:rsidR="005E3ED9" w:rsidRPr="00AF68D6">
        <w:rPr>
          <w:lang w:eastAsia="en-GB"/>
        </w:rPr>
        <w:t xml:space="preserve">. The influence of malnutrition measures considered as univariable predictors of the combined outcome are shown in </w:t>
      </w:r>
      <w:r w:rsidR="00D943CD" w:rsidRPr="00AF68D6">
        <w:rPr>
          <w:lang w:eastAsia="en-GB"/>
        </w:rPr>
        <w:t xml:space="preserve">Supplementary </w:t>
      </w:r>
      <w:r w:rsidR="005E3ED9" w:rsidRPr="00AF68D6">
        <w:rPr>
          <w:lang w:eastAsia="en-GB"/>
        </w:rPr>
        <w:t xml:space="preserve">Table </w:t>
      </w:r>
      <w:r w:rsidR="00B13548">
        <w:rPr>
          <w:lang w:eastAsia="en-GB"/>
        </w:rPr>
        <w:t>6</w:t>
      </w:r>
      <w:r w:rsidR="004F45BB" w:rsidRPr="00AF68D6">
        <w:rPr>
          <w:lang w:eastAsia="en-GB"/>
        </w:rPr>
        <w:t>a</w:t>
      </w:r>
      <w:r w:rsidR="005E3ED9" w:rsidRPr="00AF68D6">
        <w:rPr>
          <w:lang w:eastAsia="en-GB"/>
        </w:rPr>
        <w:t xml:space="preserve"> with </w:t>
      </w:r>
      <w:r w:rsidR="00D943CD" w:rsidRPr="00AF68D6">
        <w:rPr>
          <w:lang w:eastAsia="en-GB"/>
        </w:rPr>
        <w:t xml:space="preserve">Supplementary </w:t>
      </w:r>
      <w:r w:rsidR="00463406" w:rsidRPr="00AF68D6">
        <w:rPr>
          <w:lang w:eastAsia="en-GB"/>
        </w:rPr>
        <w:t>Table</w:t>
      </w:r>
      <w:r w:rsidR="005E3ED9" w:rsidRPr="00AF68D6">
        <w:rPr>
          <w:lang w:eastAsia="en-GB"/>
        </w:rPr>
        <w:t xml:space="preserve"> </w:t>
      </w:r>
      <w:r w:rsidR="00B13548">
        <w:rPr>
          <w:lang w:eastAsia="en-GB"/>
        </w:rPr>
        <w:t>6</w:t>
      </w:r>
      <w:r w:rsidR="004F45BB" w:rsidRPr="00AF68D6">
        <w:rPr>
          <w:lang w:eastAsia="en-GB"/>
        </w:rPr>
        <w:t>b</w:t>
      </w:r>
      <w:r w:rsidR="005E3ED9" w:rsidRPr="00AF68D6">
        <w:rPr>
          <w:lang w:eastAsia="en-GB"/>
        </w:rPr>
        <w:t xml:space="preserve"> showing the results for other clinical variables. The presence of malnutrition, as determined by any malnutrition tool, was </w:t>
      </w:r>
      <w:r w:rsidR="005E3ED9" w:rsidRPr="00AF68D6">
        <w:rPr>
          <w:lang w:eastAsia="en-GB"/>
        </w:rPr>
        <w:lastRenderedPageBreak/>
        <w:t xml:space="preserve">associated with increased risk of combined outcome. </w:t>
      </w:r>
      <w:r w:rsidR="00102FAF" w:rsidRPr="00AF68D6">
        <w:rPr>
          <w:lang w:eastAsia="en-GB"/>
        </w:rPr>
        <w:t>Clinical</w:t>
      </w:r>
      <w:r w:rsidR="005E3ED9" w:rsidRPr="00AF68D6">
        <w:rPr>
          <w:lang w:eastAsia="en-GB"/>
        </w:rPr>
        <w:t xml:space="preserve"> variables </w:t>
      </w:r>
      <w:r w:rsidR="00102FAF" w:rsidRPr="00AF68D6">
        <w:rPr>
          <w:lang w:eastAsia="en-GB"/>
        </w:rPr>
        <w:t>included in</w:t>
      </w:r>
      <w:r w:rsidR="005E3ED9" w:rsidRPr="00AF68D6">
        <w:rPr>
          <w:lang w:eastAsia="en-GB"/>
        </w:rPr>
        <w:t xml:space="preserve"> multivariable </w:t>
      </w:r>
      <w:r w:rsidR="00102FAF" w:rsidRPr="00AF68D6">
        <w:rPr>
          <w:lang w:eastAsia="en-GB"/>
        </w:rPr>
        <w:t>analys</w:t>
      </w:r>
      <w:r w:rsidR="00F301B2" w:rsidRPr="00AF68D6">
        <w:rPr>
          <w:lang w:eastAsia="en-GB"/>
        </w:rPr>
        <w:t>i</w:t>
      </w:r>
      <w:r w:rsidR="00102FAF" w:rsidRPr="00AF68D6">
        <w:rPr>
          <w:lang w:eastAsia="en-GB"/>
        </w:rPr>
        <w:t xml:space="preserve">s </w:t>
      </w:r>
      <w:r w:rsidR="005E3ED9" w:rsidRPr="00AF68D6">
        <w:rPr>
          <w:lang w:eastAsia="en-GB"/>
        </w:rPr>
        <w:t xml:space="preserve">for predicting combined outcome </w:t>
      </w:r>
      <w:r w:rsidR="00102FAF" w:rsidRPr="00AF68D6">
        <w:rPr>
          <w:lang w:eastAsia="en-GB"/>
        </w:rPr>
        <w:t xml:space="preserve">are </w:t>
      </w:r>
      <w:r w:rsidR="005E3ED9" w:rsidRPr="00AF68D6">
        <w:rPr>
          <w:lang w:eastAsia="en-GB"/>
        </w:rPr>
        <w:t xml:space="preserve">shown in </w:t>
      </w:r>
      <w:r w:rsidR="00D943CD" w:rsidRPr="00AF68D6">
        <w:rPr>
          <w:lang w:eastAsia="en-GB"/>
        </w:rPr>
        <w:t xml:space="preserve">Supplementary </w:t>
      </w:r>
      <w:r w:rsidR="00463406" w:rsidRPr="00AF68D6">
        <w:rPr>
          <w:lang w:eastAsia="en-GB"/>
        </w:rPr>
        <w:t>Table</w:t>
      </w:r>
      <w:r w:rsidR="005E3ED9" w:rsidRPr="00AF68D6">
        <w:rPr>
          <w:lang w:eastAsia="en-GB"/>
        </w:rPr>
        <w:t xml:space="preserve"> </w:t>
      </w:r>
      <w:r w:rsidR="00B13548">
        <w:rPr>
          <w:lang w:eastAsia="en-GB"/>
        </w:rPr>
        <w:t>7</w:t>
      </w:r>
      <w:r w:rsidR="005E3ED9" w:rsidRPr="00AF68D6">
        <w:rPr>
          <w:lang w:eastAsia="en-GB"/>
        </w:rPr>
        <w:t xml:space="preserve">. </w:t>
      </w:r>
      <w:r w:rsidR="00B80802" w:rsidRPr="00AF68D6">
        <w:rPr>
          <w:lang w:eastAsia="en-GB"/>
        </w:rPr>
        <w:t>All malnutrition tools</w:t>
      </w:r>
      <w:r w:rsidR="008F6462" w:rsidRPr="00AF68D6">
        <w:rPr>
          <w:lang w:eastAsia="en-GB"/>
        </w:rPr>
        <w:t>, with the exception of total lymphocyte count and serum cholesterol level</w:t>
      </w:r>
      <w:r w:rsidR="005E3ED9" w:rsidRPr="00AF68D6">
        <w:rPr>
          <w:lang w:eastAsia="en-GB"/>
        </w:rPr>
        <w:t xml:space="preserve">, were significant predictors of the combined outcome </w:t>
      </w:r>
      <w:r w:rsidR="00B80802" w:rsidRPr="00AF68D6">
        <w:rPr>
          <w:lang w:eastAsia="en-GB"/>
        </w:rPr>
        <w:t>when evaluated individually in multivariable analysis</w:t>
      </w:r>
      <w:r w:rsidR="004F45BB" w:rsidRPr="00AF68D6">
        <w:rPr>
          <w:lang w:eastAsia="en-GB"/>
        </w:rPr>
        <w:t xml:space="preserve"> (Table 2</w:t>
      </w:r>
      <w:r w:rsidR="005E3ED9" w:rsidRPr="00AF68D6">
        <w:rPr>
          <w:lang w:eastAsia="en-GB"/>
        </w:rPr>
        <w:t>).</w:t>
      </w:r>
    </w:p>
    <w:p w14:paraId="5775B9CE" w14:textId="0921E405" w:rsidR="003B2897" w:rsidRPr="00AF68D6" w:rsidRDefault="003B2897" w:rsidP="008B68F9">
      <w:pPr>
        <w:autoSpaceDE w:val="0"/>
        <w:autoSpaceDN w:val="0"/>
        <w:adjustRightInd w:val="0"/>
        <w:spacing w:before="0" w:after="0"/>
      </w:pPr>
    </w:p>
    <w:p w14:paraId="302586A6" w14:textId="7C8FE816" w:rsidR="00AB0E83" w:rsidRPr="00AF68D6" w:rsidRDefault="00AB0E83" w:rsidP="008B68F9">
      <w:pPr>
        <w:autoSpaceDE w:val="0"/>
        <w:autoSpaceDN w:val="0"/>
        <w:adjustRightInd w:val="0"/>
        <w:spacing w:before="0" w:after="0"/>
      </w:pPr>
      <w:r w:rsidRPr="00AF68D6">
        <w:t xml:space="preserve">Patients who were </w:t>
      </w:r>
      <w:r w:rsidR="00096652" w:rsidRPr="00AF68D6">
        <w:t xml:space="preserve">at least moderately malnourished according to </w:t>
      </w:r>
      <w:r w:rsidR="00684E48" w:rsidRPr="00AF68D6">
        <w:t xml:space="preserve">CONUT score, </w:t>
      </w:r>
      <w:r w:rsidR="00096652" w:rsidRPr="00AF68D6">
        <w:t>MNA-</w:t>
      </w:r>
      <w:proofErr w:type="gramStart"/>
      <w:r w:rsidR="00096652" w:rsidRPr="00AF68D6">
        <w:t>SF</w:t>
      </w:r>
      <w:proofErr w:type="gramEnd"/>
      <w:r w:rsidR="00684E48" w:rsidRPr="00AF68D6">
        <w:t xml:space="preserve"> and albumin</w:t>
      </w:r>
      <w:r w:rsidR="000B7353" w:rsidRPr="00AF68D6">
        <w:t>,</w:t>
      </w:r>
      <w:r w:rsidR="00096652" w:rsidRPr="00AF68D6">
        <w:t xml:space="preserve"> had a 5</w:t>
      </w:r>
      <w:r w:rsidR="00CD286F" w:rsidRPr="00AF68D6">
        <w:t>-</w:t>
      </w:r>
      <w:r w:rsidR="003B2897" w:rsidRPr="00AF68D6">
        <w:t xml:space="preserve">11 </w:t>
      </w:r>
      <w:r w:rsidR="00096652" w:rsidRPr="00AF68D6">
        <w:t xml:space="preserve">times </w:t>
      </w:r>
      <w:r w:rsidRPr="00AF68D6">
        <w:t xml:space="preserve">greater </w:t>
      </w:r>
      <w:r w:rsidR="001E51F8" w:rsidRPr="00AF68D6">
        <w:t>risk of combined outcome</w:t>
      </w:r>
      <w:r w:rsidRPr="00AF68D6">
        <w:t xml:space="preserve"> than those wh</w:t>
      </w:r>
      <w:r w:rsidR="00211702" w:rsidRPr="00AF68D6">
        <w:t xml:space="preserve">o were not </w:t>
      </w:r>
      <w:r w:rsidR="00096652" w:rsidRPr="00AF68D6">
        <w:t>malnourished</w:t>
      </w:r>
      <w:r w:rsidR="00CD286F" w:rsidRPr="00AF68D6">
        <w:t xml:space="preserve"> (</w:t>
      </w:r>
      <w:r w:rsidR="00B740BF" w:rsidRPr="00AF68D6">
        <w:t>Figure 3</w:t>
      </w:r>
      <w:r w:rsidR="00CD286F" w:rsidRPr="00AF68D6">
        <w:t>)</w:t>
      </w:r>
      <w:r w:rsidR="00211702" w:rsidRPr="00AF68D6">
        <w:t>.</w:t>
      </w:r>
      <w:r w:rsidRPr="00AF68D6">
        <w:t xml:space="preserve"> </w:t>
      </w:r>
    </w:p>
    <w:p w14:paraId="2AAB6AB1" w14:textId="77777777" w:rsidR="009F08A4" w:rsidRPr="00AF68D6" w:rsidRDefault="009F08A4" w:rsidP="008B68F9">
      <w:pPr>
        <w:spacing w:before="0" w:after="0"/>
      </w:pPr>
    </w:p>
    <w:p w14:paraId="7441B334" w14:textId="39D4D89E" w:rsidR="001E51F8" w:rsidRPr="00AF68D6" w:rsidRDefault="001E51F8" w:rsidP="008B68F9">
      <w:pPr>
        <w:spacing w:before="0" w:after="0"/>
      </w:pPr>
      <w:r w:rsidRPr="00AF68D6">
        <w:t>The 3</w:t>
      </w:r>
      <w:r w:rsidR="00944A11" w:rsidRPr="00AF68D6">
        <w:t>-</w:t>
      </w:r>
      <w:r w:rsidRPr="00AF68D6">
        <w:t>month, 6</w:t>
      </w:r>
      <w:r w:rsidR="00944A11" w:rsidRPr="00AF68D6">
        <w:t>-</w:t>
      </w:r>
      <w:r w:rsidRPr="00AF68D6">
        <w:t>month and 12</w:t>
      </w:r>
      <w:r w:rsidR="00944A11" w:rsidRPr="00AF68D6">
        <w:t>-</w:t>
      </w:r>
      <w:r w:rsidRPr="00AF68D6">
        <w:t xml:space="preserve">month combined event rates </w:t>
      </w:r>
      <w:r w:rsidR="00CB1C25" w:rsidRPr="00AF68D6">
        <w:t xml:space="preserve">according to malnutrition categories </w:t>
      </w:r>
      <w:r w:rsidR="003B2897" w:rsidRPr="00AF68D6">
        <w:t xml:space="preserve">is shown in </w:t>
      </w:r>
      <w:r w:rsidR="00EA1871" w:rsidRPr="00AF68D6">
        <w:t xml:space="preserve">Figure </w:t>
      </w:r>
      <w:r w:rsidR="00FC763A" w:rsidRPr="00AF68D6">
        <w:t>2</w:t>
      </w:r>
      <w:r w:rsidR="00CB3D4F" w:rsidRPr="00AF68D6">
        <w:t>, bottom panel</w:t>
      </w:r>
      <w:r w:rsidR="003B2897" w:rsidRPr="00AF68D6">
        <w:t>. P</w:t>
      </w:r>
      <w:r w:rsidR="00CB1C25" w:rsidRPr="00AF68D6">
        <w:t xml:space="preserve">atients </w:t>
      </w:r>
      <w:r w:rsidR="003B2897" w:rsidRPr="00AF68D6">
        <w:t>with the</w:t>
      </w:r>
      <w:r w:rsidR="00CB1C25" w:rsidRPr="00AF68D6">
        <w:t xml:space="preserve"> worst nutritional status, had a</w:t>
      </w:r>
      <w:r w:rsidR="003B2897" w:rsidRPr="00AF68D6">
        <w:t xml:space="preserve"> much higher 3-month combined event </w:t>
      </w:r>
      <w:r w:rsidR="00CB1C25" w:rsidRPr="00AF68D6">
        <w:t xml:space="preserve">rate </w:t>
      </w:r>
      <w:r w:rsidR="003B2897" w:rsidRPr="00AF68D6">
        <w:t>(</w:t>
      </w:r>
      <w:r w:rsidR="00CB1C25" w:rsidRPr="00AF68D6">
        <w:t>27-47%</w:t>
      </w:r>
      <w:r w:rsidR="005353F1" w:rsidRPr="00AF68D6">
        <w:t>) than patients</w:t>
      </w:r>
      <w:r w:rsidR="003B2897" w:rsidRPr="00AF68D6">
        <w:t xml:space="preserve"> with </w:t>
      </w:r>
      <w:r w:rsidR="00CB1C25" w:rsidRPr="00AF68D6">
        <w:t>the best nutritional status (5-8%).</w:t>
      </w:r>
      <w:r w:rsidR="00F66207" w:rsidRPr="00AF68D6">
        <w:t xml:space="preserve"> A similar trend was seen in 6</w:t>
      </w:r>
      <w:r w:rsidR="00CD286F" w:rsidRPr="00AF68D6">
        <w:t>-</w:t>
      </w:r>
      <w:r w:rsidR="00E01D8F" w:rsidRPr="00AF68D6">
        <w:t>month</w:t>
      </w:r>
      <w:r w:rsidR="00F66207" w:rsidRPr="00AF68D6">
        <w:t xml:space="preserve"> and 12</w:t>
      </w:r>
      <w:r w:rsidR="00CD286F" w:rsidRPr="00AF68D6">
        <w:t>-</w:t>
      </w:r>
      <w:r w:rsidR="00F66207" w:rsidRPr="00AF68D6">
        <w:t xml:space="preserve">month combined event rates. </w:t>
      </w:r>
    </w:p>
    <w:p w14:paraId="1BE4FAE6" w14:textId="3A7A1528" w:rsidR="000B7353" w:rsidRPr="00AF68D6" w:rsidRDefault="000B7353" w:rsidP="008B68F9">
      <w:pPr>
        <w:spacing w:before="0" w:after="0"/>
      </w:pPr>
    </w:p>
    <w:p w14:paraId="788A83EF" w14:textId="26217F20" w:rsidR="000B7353" w:rsidRPr="00AF68D6" w:rsidRDefault="000B7353" w:rsidP="008B68F9">
      <w:pPr>
        <w:spacing w:before="0" w:after="0"/>
      </w:pPr>
      <w:r w:rsidRPr="00AF68D6">
        <w:t>The relation between malnutrition and all-cause hospitali</w:t>
      </w:r>
      <w:r w:rsidR="00204D2F" w:rsidRPr="00AF68D6">
        <w:t>z</w:t>
      </w:r>
      <w:r w:rsidRPr="00AF68D6">
        <w:t>at</w:t>
      </w:r>
      <w:r w:rsidR="008F6462" w:rsidRPr="00AF68D6">
        <w:t xml:space="preserve">ion alone is shown in </w:t>
      </w:r>
      <w:r w:rsidR="00D943CD" w:rsidRPr="00AF68D6">
        <w:t xml:space="preserve">supplementary </w:t>
      </w:r>
      <w:r w:rsidR="00CD286F" w:rsidRPr="00AF68D6">
        <w:t xml:space="preserve">tables </w:t>
      </w:r>
      <w:r w:rsidR="00B13548">
        <w:t>8-9</w:t>
      </w:r>
      <w:r w:rsidRPr="00AF68D6">
        <w:t xml:space="preserve">. </w:t>
      </w:r>
    </w:p>
    <w:p w14:paraId="1784D338" w14:textId="77777777" w:rsidR="001E51F8" w:rsidRPr="00AF68D6" w:rsidRDefault="001E51F8" w:rsidP="008B68F9">
      <w:pPr>
        <w:spacing w:before="0" w:after="0"/>
      </w:pPr>
    </w:p>
    <w:p w14:paraId="3A7EC1DA" w14:textId="77777777" w:rsidR="00886CDB" w:rsidRPr="00AF68D6" w:rsidRDefault="00886CDB" w:rsidP="00466725">
      <w:pPr>
        <w:pStyle w:val="Heading1"/>
      </w:pPr>
      <w:r w:rsidRPr="00AF68D6">
        <w:t>Discussion</w:t>
      </w:r>
    </w:p>
    <w:p w14:paraId="20BE5787" w14:textId="1EF9DA7C" w:rsidR="003C0ED5" w:rsidRPr="00AF68D6" w:rsidRDefault="003E1B73" w:rsidP="008B68F9">
      <w:pPr>
        <w:spacing w:before="0" w:after="0"/>
      </w:pPr>
      <w:r w:rsidRPr="00AF68D6">
        <w:t xml:space="preserve">Our study is the first to </w:t>
      </w:r>
      <w:r w:rsidR="00CD286F" w:rsidRPr="00AF68D6">
        <w:t>comprehensively compare</w:t>
      </w:r>
      <w:r w:rsidR="00D07BEE" w:rsidRPr="00AF68D6">
        <w:t xml:space="preserve"> </w:t>
      </w:r>
      <w:r w:rsidRPr="00AF68D6">
        <w:t>the prognostic value of</w:t>
      </w:r>
      <w:r w:rsidR="00AA54E7" w:rsidRPr="00AF68D6">
        <w:t xml:space="preserve"> several</w:t>
      </w:r>
      <w:r w:rsidRPr="00AF68D6">
        <w:t xml:space="preserve"> commonly</w:t>
      </w:r>
      <w:r w:rsidR="00D07BEE" w:rsidRPr="00AF68D6">
        <w:t xml:space="preserve"> </w:t>
      </w:r>
      <w:r w:rsidRPr="00AF68D6">
        <w:t xml:space="preserve">used </w:t>
      </w:r>
      <w:r w:rsidR="000D6A6C" w:rsidRPr="00AF68D6">
        <w:t>malnutrition</w:t>
      </w:r>
      <w:r w:rsidR="00AA54E7" w:rsidRPr="00AF68D6">
        <w:t xml:space="preserve"> tools </w:t>
      </w:r>
      <w:r w:rsidRPr="00AF68D6">
        <w:t xml:space="preserve">in </w:t>
      </w:r>
      <w:r w:rsidR="001B5E4A" w:rsidRPr="00AF68D6">
        <w:t>a</w:t>
      </w:r>
      <w:r w:rsidR="00F22082" w:rsidRPr="00AF68D6">
        <w:t xml:space="preserve"> well</w:t>
      </w:r>
      <w:r w:rsidR="00AA54E7" w:rsidRPr="00AF68D6">
        <w:t>-</w:t>
      </w:r>
      <w:r w:rsidR="00F22082" w:rsidRPr="00AF68D6">
        <w:t xml:space="preserve">characterised </w:t>
      </w:r>
      <w:r w:rsidRPr="00AF68D6">
        <w:t xml:space="preserve">cohort of </w:t>
      </w:r>
      <w:r w:rsidR="001B5E4A" w:rsidRPr="00AF68D6">
        <w:t xml:space="preserve">ambulatory </w:t>
      </w:r>
      <w:r w:rsidRPr="00AF68D6">
        <w:t>patients</w:t>
      </w:r>
      <w:r w:rsidR="001B5E4A" w:rsidRPr="00AF68D6">
        <w:t xml:space="preserve"> with </w:t>
      </w:r>
      <w:r w:rsidR="00D2158A" w:rsidRPr="00AF68D6">
        <w:t>C</w:t>
      </w:r>
      <w:r w:rsidR="00AA54E7" w:rsidRPr="00AF68D6">
        <w:t>HF</w:t>
      </w:r>
      <w:r w:rsidRPr="00AF68D6">
        <w:t xml:space="preserve">. </w:t>
      </w:r>
      <w:r w:rsidR="00040BC8">
        <w:t xml:space="preserve">In order to eliminate possible bias regarding time between HF diagnosis and </w:t>
      </w:r>
      <w:proofErr w:type="spellStart"/>
      <w:r w:rsidR="00040BC8">
        <w:t>enrollment</w:t>
      </w:r>
      <w:proofErr w:type="spellEnd"/>
      <w:r w:rsidR="00040BC8">
        <w:t xml:space="preserve"> on the association between malnutrition and outcomes, we recruited consecutive ambulatory patients who attended our HF clinic for a routine follow up appointment. All patients had a pre-existing clinical diagnosis of HF for at least one year and all have been started on guideline-</w:t>
      </w:r>
      <w:r w:rsidR="00040BC8">
        <w:lastRenderedPageBreak/>
        <w:t xml:space="preserve">indicated HF treatment. </w:t>
      </w:r>
      <w:r w:rsidR="00F84DBE">
        <w:t>From etiological analyses, w</w:t>
      </w:r>
      <w:r w:rsidR="00F22082" w:rsidRPr="00AF68D6">
        <w:t xml:space="preserve">e found that </w:t>
      </w:r>
      <w:r w:rsidR="000D6A6C" w:rsidRPr="00AF68D6">
        <w:t>mal</w:t>
      </w:r>
      <w:r w:rsidR="00923888" w:rsidRPr="00AF68D6">
        <w:t xml:space="preserve">nutrition </w:t>
      </w:r>
      <w:r w:rsidR="00BF6827" w:rsidRPr="00AF68D6">
        <w:t xml:space="preserve">as determined by any malnutrition tools as a continuous variable except total lymphocyte count and serum cholesterol level, </w:t>
      </w:r>
      <w:r w:rsidR="00A4530F">
        <w:t>was associated with worse</w:t>
      </w:r>
      <w:r w:rsidR="001741AC" w:rsidRPr="00AF68D6">
        <w:t xml:space="preserve"> morbidity and mortality, </w:t>
      </w:r>
      <w:r w:rsidR="00A4530F">
        <w:t>after adjustment for</w:t>
      </w:r>
      <w:r w:rsidR="00A52973" w:rsidRPr="00AF68D6">
        <w:t xml:space="preserve"> age, co</w:t>
      </w:r>
      <w:r w:rsidR="00923888" w:rsidRPr="00AF68D6">
        <w:t>-</w:t>
      </w:r>
      <w:r w:rsidR="00A52973" w:rsidRPr="00AF68D6">
        <w:t>morbidit</w:t>
      </w:r>
      <w:r w:rsidR="007E1BF1" w:rsidRPr="00AF68D6">
        <w:t>ies</w:t>
      </w:r>
      <w:r w:rsidR="00005A1E" w:rsidRPr="00AF68D6">
        <w:t xml:space="preserve">, </w:t>
      </w:r>
      <w:r w:rsidR="004A5A23" w:rsidRPr="00AF68D6">
        <w:t>HF</w:t>
      </w:r>
      <w:r w:rsidR="00035419" w:rsidRPr="00AF68D6">
        <w:t xml:space="preserve"> symptoms and severity</w:t>
      </w:r>
      <w:r w:rsidR="001741AC" w:rsidRPr="00AF68D6">
        <w:t>.</w:t>
      </w:r>
      <w:r w:rsidR="006B2225" w:rsidRPr="00AF68D6">
        <w:t xml:space="preserve"> </w:t>
      </w:r>
      <w:r w:rsidR="0091549E" w:rsidRPr="00AF68D6">
        <w:t xml:space="preserve">Our results </w:t>
      </w:r>
      <w:r w:rsidR="005C3BEB" w:rsidRPr="00AF68D6">
        <w:t>confirm, and expand, previous</w:t>
      </w:r>
      <w:r w:rsidR="0091549E" w:rsidRPr="00AF68D6">
        <w:t xml:space="preserve"> </w:t>
      </w:r>
      <w:r w:rsidR="005C3BEB" w:rsidRPr="00AF68D6">
        <w:t xml:space="preserve">findings from </w:t>
      </w:r>
      <w:r w:rsidR="0091549E" w:rsidRPr="00AF68D6">
        <w:t>other HF cohorts</w:t>
      </w:r>
      <w:r w:rsidR="005C3BEB" w:rsidRPr="00AF68D6">
        <w:t xml:space="preserve">, </w:t>
      </w:r>
      <w:r w:rsidR="0091549E" w:rsidRPr="00AF68D6">
        <w:t xml:space="preserve">which demonstrated </w:t>
      </w:r>
      <w:r w:rsidR="000D6A6C" w:rsidRPr="00AF68D6">
        <w:t>malnutrition</w:t>
      </w:r>
      <w:r w:rsidR="00125750" w:rsidRPr="00AF68D6">
        <w:t xml:space="preserve"> a</w:t>
      </w:r>
      <w:r w:rsidR="00C65CB7" w:rsidRPr="00AF68D6">
        <w:t xml:space="preserve">s a predictor of worse outcome </w:t>
      </w:r>
      <w:r w:rsidR="00B5671D" w:rsidRPr="00AF68D6">
        <w:t>(</w:t>
      </w:r>
      <w:r w:rsidR="00021654" w:rsidRPr="00AF68D6">
        <w:rPr>
          <w:rStyle w:val="EndnoteReference"/>
          <w:vertAlign w:val="baseline"/>
        </w:rPr>
        <w:endnoteReference w:id="25"/>
      </w:r>
      <w:r w:rsidR="00B5671D" w:rsidRPr="00AF68D6">
        <w:t>)</w:t>
      </w:r>
      <w:r w:rsidR="00C65CB7" w:rsidRPr="00AF68D6">
        <w:t>.</w:t>
      </w:r>
      <w:r w:rsidR="00C70ED3" w:rsidRPr="00AF68D6">
        <w:t xml:space="preserve"> </w:t>
      </w:r>
      <w:r w:rsidR="00A4530F">
        <w:t>From predictive analyses, we found that m</w:t>
      </w:r>
      <w:r w:rsidR="00BE1666" w:rsidRPr="00AF68D6">
        <w:t>alnutritio</w:t>
      </w:r>
      <w:r w:rsidR="008D49EC" w:rsidRPr="00AF68D6">
        <w:t xml:space="preserve">n </w:t>
      </w:r>
      <w:r w:rsidR="00C009DF" w:rsidRPr="00AF68D6">
        <w:t xml:space="preserve">as determined by any tool apart from total lymphocyte count, improved the performance of </w:t>
      </w:r>
      <w:r w:rsidR="008D49EC" w:rsidRPr="00AF68D6">
        <w:t xml:space="preserve">a base model </w:t>
      </w:r>
      <w:r w:rsidR="00945024" w:rsidRPr="00AF68D6">
        <w:t>including</w:t>
      </w:r>
      <w:r w:rsidR="00945024" w:rsidRPr="00AF68D6">
        <w:rPr>
          <w:lang w:eastAsia="en-GB"/>
        </w:rPr>
        <w:t xml:space="preserve"> </w:t>
      </w:r>
      <w:r w:rsidR="00945024" w:rsidRPr="00AF68D6">
        <w:t>age, NYHA (III/IV vs I/II), log [NT-</w:t>
      </w:r>
      <w:proofErr w:type="spellStart"/>
      <w:r w:rsidR="00945024" w:rsidRPr="00AF68D6">
        <w:t>proBNP</w:t>
      </w:r>
      <w:proofErr w:type="spellEnd"/>
      <w:r w:rsidR="00945024" w:rsidRPr="00AF68D6">
        <w:t>], Hb, eGFR, AF, CVA and COPD,</w:t>
      </w:r>
      <w:r w:rsidR="008D49EC" w:rsidRPr="00AF68D6">
        <w:t xml:space="preserve"> for predicting mortality</w:t>
      </w:r>
      <w:r w:rsidR="00C009DF" w:rsidRPr="00AF68D6">
        <w:t>, although the degree of improvement is small</w:t>
      </w:r>
      <w:r w:rsidR="008D49EC" w:rsidRPr="00AF68D6">
        <w:t xml:space="preserve">. This is likely </w:t>
      </w:r>
      <w:proofErr w:type="gramStart"/>
      <w:r w:rsidR="008D49EC" w:rsidRPr="00AF68D6">
        <w:t>due to the fact that</w:t>
      </w:r>
      <w:proofErr w:type="gramEnd"/>
      <w:r w:rsidR="008D49EC" w:rsidRPr="00AF68D6">
        <w:t xml:space="preserve"> malnutrition is associated with variables forming the base model, such as increasing age, worse</w:t>
      </w:r>
      <w:r w:rsidR="00BE1666" w:rsidRPr="00AF68D6">
        <w:t>ning</w:t>
      </w:r>
      <w:r w:rsidR="008D49EC" w:rsidRPr="00AF68D6">
        <w:t xml:space="preserve"> HF and complex comorbidities. </w:t>
      </w:r>
      <w:r w:rsidR="00945024" w:rsidRPr="00AF68D6">
        <w:t>(</w:t>
      </w:r>
      <w:r w:rsidR="00945024" w:rsidRPr="00AF68D6">
        <w:rPr>
          <w:rStyle w:val="EndnoteReference"/>
          <w:vertAlign w:val="baseline"/>
        </w:rPr>
        <w:endnoteReference w:id="26"/>
      </w:r>
      <w:r w:rsidR="00945024" w:rsidRPr="00AF68D6">
        <w:t>)</w:t>
      </w:r>
    </w:p>
    <w:p w14:paraId="0964A677" w14:textId="77777777" w:rsidR="00945024" w:rsidRDefault="00945024" w:rsidP="008B68F9">
      <w:pPr>
        <w:spacing w:before="0" w:after="0"/>
      </w:pPr>
    </w:p>
    <w:p w14:paraId="4B3B092D" w14:textId="5C015A7A" w:rsidR="00BC1AE7" w:rsidRPr="00AF68D6" w:rsidRDefault="00BC1AE7" w:rsidP="008B68F9">
      <w:pPr>
        <w:spacing w:before="0" w:after="0"/>
      </w:pPr>
      <w:r>
        <w:t>It is important to distinguish between analyses performed using an etiological versus a predictive approach.</w:t>
      </w:r>
      <w:r w:rsidR="00AB6704">
        <w:t xml:space="preserve"> (24)</w:t>
      </w:r>
      <w:r>
        <w:t xml:space="preserve"> Although both </w:t>
      </w:r>
      <w:r w:rsidR="007363E9">
        <w:t>approaches</w:t>
      </w:r>
      <w:r>
        <w:t xml:space="preserve"> make use of multivariable modelling, the underlying research aim and interpretation of results are different. We performed etiological analyses to determine the effect of malnutrition on outcomes after adjusting for confounders. On the other hand, predictive analyses </w:t>
      </w:r>
      <w:r w:rsidR="007363E9">
        <w:t xml:space="preserve">aim at </w:t>
      </w:r>
      <w:r>
        <w:t xml:space="preserve">predicting </w:t>
      </w:r>
      <w:r w:rsidR="007363E9">
        <w:t xml:space="preserve">accurately </w:t>
      </w:r>
      <w:r>
        <w:t xml:space="preserve">the risk of mortality using </w:t>
      </w:r>
      <w:r w:rsidR="007363E9">
        <w:t xml:space="preserve">a combination of factors. </w:t>
      </w:r>
      <w:r>
        <w:t>The final prediction model is based on statistical significance</w:t>
      </w:r>
      <w:r w:rsidR="00C34A45">
        <w:t xml:space="preserve"> and</w:t>
      </w:r>
      <w:r>
        <w:t xml:space="preserve"> not necessarily causal associations. </w:t>
      </w:r>
    </w:p>
    <w:p w14:paraId="7BC12803" w14:textId="3984238F" w:rsidR="007501BB" w:rsidRPr="00AF68D6" w:rsidRDefault="00DA24D6" w:rsidP="008B68F9">
      <w:pPr>
        <w:spacing w:before="0" w:after="0"/>
      </w:pPr>
      <w:r w:rsidRPr="00AF68D6">
        <w:t xml:space="preserve"> </w:t>
      </w:r>
      <w:r w:rsidR="00955B5B" w:rsidRPr="00AF68D6">
        <w:t xml:space="preserve"> </w:t>
      </w:r>
    </w:p>
    <w:p w14:paraId="65B77E8F" w14:textId="15DB9786" w:rsidR="00A04200" w:rsidRPr="00AF68D6" w:rsidRDefault="00A04200" w:rsidP="008B68F9">
      <w:pPr>
        <w:spacing w:before="0" w:after="0"/>
      </w:pPr>
      <w:r w:rsidRPr="00AF68D6">
        <w:t xml:space="preserve">Many novel malnutrition tools incorporating different combinations of clinical and biochemical factors have been developed and </w:t>
      </w:r>
      <w:r w:rsidR="00A132C8" w:rsidRPr="00AF68D6">
        <w:t xml:space="preserve">are </w:t>
      </w:r>
      <w:r w:rsidRPr="00AF68D6">
        <w:t>strong predictors of a</w:t>
      </w:r>
      <w:r w:rsidR="00C65CB7" w:rsidRPr="00AF68D6">
        <w:t xml:space="preserve">dverse outcomes </w:t>
      </w:r>
      <w:r w:rsidR="00B5671D" w:rsidRPr="00AF68D6">
        <w:t>(</w:t>
      </w:r>
      <w:r w:rsidRPr="00AF68D6">
        <w:t>2</w:t>
      </w:r>
      <w:r w:rsidR="00B5671D" w:rsidRPr="00AF68D6">
        <w:t>)</w:t>
      </w:r>
      <w:r w:rsidR="00C65CB7" w:rsidRPr="00AF68D6">
        <w:t>.</w:t>
      </w:r>
      <w:r w:rsidRPr="00AF68D6">
        <w:t xml:space="preserve"> However, the impact of individual factors on the overall prognostic performance of combination tools is unclear. </w:t>
      </w:r>
      <w:r w:rsidR="00A132C8" w:rsidRPr="00AF68D6">
        <w:t xml:space="preserve">Up to 25% of ambulatory patients with HF have hypoalbuminemia, and the proportion is greater among those requiring recurrent </w:t>
      </w:r>
      <w:r w:rsidR="00A132C8" w:rsidRPr="00AF68D6">
        <w:lastRenderedPageBreak/>
        <w:t>hospitali</w:t>
      </w:r>
      <w:r w:rsidR="00204D2F" w:rsidRPr="00AF68D6">
        <w:t>z</w:t>
      </w:r>
      <w:r w:rsidR="00A132C8" w:rsidRPr="00AF68D6">
        <w:t xml:space="preserve">ations. </w:t>
      </w:r>
      <w:r w:rsidR="003C0ED5" w:rsidRPr="00AF68D6">
        <w:t>W</w:t>
      </w:r>
      <w:r w:rsidR="00C70ED3" w:rsidRPr="00AF68D6">
        <w:t xml:space="preserve">e found that </w:t>
      </w:r>
      <w:r w:rsidR="007E270B" w:rsidRPr="00AF68D6">
        <w:t xml:space="preserve">serum albumin </w:t>
      </w:r>
      <w:r w:rsidR="008B68F9" w:rsidRPr="00AF68D6">
        <w:t xml:space="preserve">has a similar prognostic value </w:t>
      </w:r>
      <w:r w:rsidRPr="00AF68D6">
        <w:t xml:space="preserve">as the </w:t>
      </w:r>
      <w:r w:rsidR="008B68F9" w:rsidRPr="00AF68D6">
        <w:t>more complex malnutrition tools</w:t>
      </w:r>
      <w:r w:rsidR="00784F32" w:rsidRPr="00AF68D6">
        <w:t>.</w:t>
      </w:r>
      <w:r w:rsidRPr="00AF68D6">
        <w:t xml:space="preserve"> </w:t>
      </w:r>
      <w:r w:rsidR="006943F8" w:rsidRPr="00AF68D6">
        <w:t xml:space="preserve">Albumin may </w:t>
      </w:r>
      <w:r w:rsidR="00BE1666" w:rsidRPr="00AF68D6">
        <w:t>reflect</w:t>
      </w:r>
      <w:r w:rsidR="006943F8" w:rsidRPr="00AF68D6">
        <w:t xml:space="preserve"> the overall clinical status of patients with HF. Apart from being a marker of malnutrition, albumin levels can fluctuate with acute illness, congestion or liver dysfunction, all of which are common in patients with HF and predispose to malnutrition via mechanisms such as bowel congestion, increased basal metabolism or reduced dietary intake. Given its simplicity and easy accessibility, albumin may be useful as a screening tool of patients at risk of malnutrition who may benefit from more</w:t>
      </w:r>
      <w:r w:rsidR="006B287A">
        <w:t xml:space="preserve"> detailed nutrition assessment.</w:t>
      </w:r>
      <w:r w:rsidR="006943F8" w:rsidRPr="00AF68D6">
        <w:t xml:space="preserve"> </w:t>
      </w:r>
    </w:p>
    <w:p w14:paraId="52929ABE" w14:textId="77777777" w:rsidR="006943F8" w:rsidRPr="00AF68D6" w:rsidRDefault="006943F8" w:rsidP="008B68F9">
      <w:pPr>
        <w:spacing w:before="0" w:after="0"/>
      </w:pPr>
    </w:p>
    <w:p w14:paraId="3E6DD7EE" w14:textId="19DEDB89" w:rsidR="009C710F" w:rsidRPr="00AF68D6" w:rsidRDefault="009C710F" w:rsidP="008B68F9">
      <w:pPr>
        <w:spacing w:before="0" w:after="0"/>
      </w:pPr>
      <w:r w:rsidRPr="00AF68D6">
        <w:t>S</w:t>
      </w:r>
      <w:r w:rsidR="00CD3222" w:rsidRPr="00AF68D6">
        <w:t>imple malnutrition tools such as the CONUT score, GNRI and PNI,</w:t>
      </w:r>
      <w:r w:rsidR="000A48EA" w:rsidRPr="00AF68D6">
        <w:t xml:space="preserve"> </w:t>
      </w:r>
      <w:r w:rsidR="00CD3222" w:rsidRPr="00AF68D6">
        <w:t>measure malnutrition using a combination of laboratory tests and anthropometric measures</w:t>
      </w:r>
      <w:r w:rsidR="00A04200" w:rsidRPr="00AF68D6">
        <w:t xml:space="preserve"> in addition to </w:t>
      </w:r>
      <w:r w:rsidR="00991C64" w:rsidRPr="00AF68D6">
        <w:t>albumin</w:t>
      </w:r>
      <w:r w:rsidR="00CD3222" w:rsidRPr="00AF68D6">
        <w:t>.</w:t>
      </w:r>
      <w:r w:rsidRPr="00AF68D6">
        <w:t xml:space="preserve"> </w:t>
      </w:r>
      <w:r w:rsidR="00D0394F" w:rsidRPr="00AF68D6">
        <w:t xml:space="preserve">They can generally be completed within a minute. </w:t>
      </w:r>
      <w:r w:rsidRPr="00AF68D6">
        <w:t xml:space="preserve">The CONUT score </w:t>
      </w:r>
      <w:r w:rsidR="00A04200" w:rsidRPr="00AF68D6">
        <w:t xml:space="preserve">uses </w:t>
      </w:r>
      <w:r w:rsidRPr="00AF68D6">
        <w:t xml:space="preserve">serum </w:t>
      </w:r>
      <w:r w:rsidR="00AC6495" w:rsidRPr="00AF68D6">
        <w:t xml:space="preserve">albumin, </w:t>
      </w:r>
      <w:r w:rsidRPr="00AF68D6">
        <w:t>cholesterol and lymphocyte count</w:t>
      </w:r>
      <w:r w:rsidR="00AC6495" w:rsidRPr="00AF68D6">
        <w:t>.</w:t>
      </w:r>
      <w:r w:rsidR="00A04200" w:rsidRPr="00AF68D6">
        <w:t xml:space="preserve"> </w:t>
      </w:r>
      <w:r w:rsidR="00AC6495" w:rsidRPr="00AF68D6">
        <w:t xml:space="preserve">Its use in patients with HF </w:t>
      </w:r>
      <w:r w:rsidR="00A132C8" w:rsidRPr="00AF68D6">
        <w:t xml:space="preserve">is potentially </w:t>
      </w:r>
      <w:r w:rsidR="00363591" w:rsidRPr="00AF68D6">
        <w:t xml:space="preserve">limited </w:t>
      </w:r>
      <w:r w:rsidR="00E03B53" w:rsidRPr="00AF68D6">
        <w:t xml:space="preserve">by </w:t>
      </w:r>
      <w:r w:rsidR="00AC6495" w:rsidRPr="00AF68D6">
        <w:t>statin</w:t>
      </w:r>
      <w:r w:rsidR="00E03B53" w:rsidRPr="00AF68D6">
        <w:t xml:space="preserve"> use</w:t>
      </w:r>
      <w:r w:rsidR="00AC6495" w:rsidRPr="00AF68D6">
        <w:t xml:space="preserve">. </w:t>
      </w:r>
      <w:r w:rsidR="00233D18" w:rsidRPr="00AF68D6">
        <w:t xml:space="preserve">PNI only classifies patients as either non-malnourished or at least moderately malnourished, </w:t>
      </w:r>
      <w:r w:rsidR="00E03B53" w:rsidRPr="00AF68D6">
        <w:t xml:space="preserve">and </w:t>
      </w:r>
      <w:r w:rsidR="00233D18" w:rsidRPr="00AF68D6">
        <w:t>therefore underestimate</w:t>
      </w:r>
      <w:r w:rsidR="00E03B53" w:rsidRPr="00AF68D6">
        <w:t>s the prevalence of milder degrees of</w:t>
      </w:r>
      <w:r w:rsidR="00233D18" w:rsidRPr="00AF68D6">
        <w:t xml:space="preserve"> malnutrition. GNRI </w:t>
      </w:r>
      <w:proofErr w:type="gramStart"/>
      <w:r w:rsidR="00233D18" w:rsidRPr="00AF68D6">
        <w:t>takes into account</w:t>
      </w:r>
      <w:proofErr w:type="gramEnd"/>
      <w:r w:rsidR="00233D18" w:rsidRPr="00AF68D6">
        <w:t xml:space="preserve"> </w:t>
      </w:r>
      <w:r w:rsidR="00A902FF" w:rsidRPr="00AF68D6">
        <w:t>weight,</w:t>
      </w:r>
      <w:r w:rsidR="00233D18" w:rsidRPr="00AF68D6">
        <w:t xml:space="preserve"> which might be confounded by </w:t>
      </w:r>
      <w:r w:rsidR="00A902FF" w:rsidRPr="00AF68D6">
        <w:t>fluid status</w:t>
      </w:r>
      <w:r w:rsidR="00991C64" w:rsidRPr="00AF68D6">
        <w:t xml:space="preserve">, and </w:t>
      </w:r>
      <w:r w:rsidR="00233D18" w:rsidRPr="00AF68D6">
        <w:t>underestimate malnutrition in obese patients</w:t>
      </w:r>
      <w:r w:rsidR="00C65CB7" w:rsidRPr="00AF68D6">
        <w:t xml:space="preserve"> </w:t>
      </w:r>
      <w:r w:rsidR="00B5671D" w:rsidRPr="00AF68D6">
        <w:t>(</w:t>
      </w:r>
      <w:r w:rsidR="007431B2" w:rsidRPr="00AF68D6">
        <w:rPr>
          <w:rStyle w:val="EndnoteReference"/>
          <w:vertAlign w:val="baseline"/>
        </w:rPr>
        <w:endnoteReference w:id="27"/>
      </w:r>
      <w:r w:rsidR="00B5671D" w:rsidRPr="00AF68D6">
        <w:t>)</w:t>
      </w:r>
      <w:r w:rsidR="00C65CB7" w:rsidRPr="00AF68D6">
        <w:t>.</w:t>
      </w:r>
      <w:r w:rsidR="00233D18" w:rsidRPr="00AF68D6">
        <w:t xml:space="preserve"> </w:t>
      </w:r>
    </w:p>
    <w:p w14:paraId="3130F683" w14:textId="77777777" w:rsidR="009C710F" w:rsidRPr="00AF68D6" w:rsidRDefault="009C710F" w:rsidP="008B68F9">
      <w:pPr>
        <w:spacing w:before="0" w:after="0"/>
      </w:pPr>
    </w:p>
    <w:p w14:paraId="5D095570" w14:textId="2450A0AF" w:rsidR="00AC6495" w:rsidRPr="00AF68D6" w:rsidRDefault="00233D18" w:rsidP="008B68F9">
      <w:pPr>
        <w:spacing w:before="0" w:after="0"/>
      </w:pPr>
      <w:r w:rsidRPr="00AF68D6">
        <w:t>Multi</w:t>
      </w:r>
      <w:r w:rsidR="00DB1E58" w:rsidRPr="00AF68D6">
        <w:t>-</w:t>
      </w:r>
      <w:r w:rsidRPr="00AF68D6">
        <w:t>dimensional</w:t>
      </w:r>
      <w:r w:rsidR="00CD3222" w:rsidRPr="00AF68D6">
        <w:t xml:space="preserve"> tools, such as MUST score, MNA-SF and SGA, offer a more comprehensive approach to assess nutritional status </w:t>
      </w:r>
      <w:r w:rsidR="00363591" w:rsidRPr="00AF68D6">
        <w:t xml:space="preserve">by </w:t>
      </w:r>
      <w:r w:rsidR="00CD3222" w:rsidRPr="00AF68D6">
        <w:t xml:space="preserve">taking into account </w:t>
      </w:r>
      <w:r w:rsidR="002E4222" w:rsidRPr="00AF68D6">
        <w:t xml:space="preserve">a variety of clinical and dietary factors, but </w:t>
      </w:r>
      <w:r w:rsidR="00A132C8" w:rsidRPr="00AF68D6">
        <w:t xml:space="preserve">have </w:t>
      </w:r>
      <w:r w:rsidR="002E4222" w:rsidRPr="00AF68D6">
        <w:t xml:space="preserve">subjective </w:t>
      </w:r>
      <w:r w:rsidR="00A132C8" w:rsidRPr="00AF68D6">
        <w:t xml:space="preserve">components </w:t>
      </w:r>
      <w:r w:rsidR="002E4222" w:rsidRPr="00AF68D6">
        <w:t xml:space="preserve">and </w:t>
      </w:r>
      <w:r w:rsidR="00A132C8" w:rsidRPr="00AF68D6">
        <w:t xml:space="preserve">are </w:t>
      </w:r>
      <w:r w:rsidR="002E4222" w:rsidRPr="00AF68D6">
        <w:t>time-consuming to perform</w:t>
      </w:r>
      <w:r w:rsidR="00CF67DF" w:rsidRPr="00AF68D6">
        <w:t xml:space="preserve"> (5-20 minutes, depending on mobility of patients). </w:t>
      </w:r>
      <w:r w:rsidR="00EA56B9" w:rsidRPr="00AF68D6">
        <w:t xml:space="preserve">A recent systematic review which included 28 observational studies on </w:t>
      </w:r>
      <w:r w:rsidR="00EA56B9" w:rsidRPr="00AF68D6">
        <w:rPr>
          <w:rFonts w:eastAsiaTheme="minorHAnsi"/>
        </w:rPr>
        <w:t xml:space="preserve">malnutrition tools and clinical outcomes in patients with </w:t>
      </w:r>
      <w:r w:rsidR="008D56B0" w:rsidRPr="00AF68D6">
        <w:rPr>
          <w:rFonts w:eastAsiaTheme="minorHAnsi"/>
        </w:rPr>
        <w:t xml:space="preserve">stable or acute </w:t>
      </w:r>
      <w:r w:rsidR="00EA56B9" w:rsidRPr="00AF68D6">
        <w:rPr>
          <w:rFonts w:eastAsiaTheme="minorHAnsi"/>
        </w:rPr>
        <w:t xml:space="preserve">HF, concluded that </w:t>
      </w:r>
      <w:r w:rsidR="00EA56B9" w:rsidRPr="00AF68D6">
        <w:t xml:space="preserve">among </w:t>
      </w:r>
      <w:r w:rsidR="007431B2" w:rsidRPr="00AF68D6">
        <w:t xml:space="preserve">11 malnutrition tools, </w:t>
      </w:r>
      <w:r w:rsidR="00EA56B9" w:rsidRPr="00AF68D6">
        <w:t>MNA has the best predictive</w:t>
      </w:r>
      <w:r w:rsidR="00C65CB7" w:rsidRPr="00AF68D6">
        <w:t xml:space="preserve"> ability for mortality </w:t>
      </w:r>
      <w:r w:rsidR="00B5671D" w:rsidRPr="00AF68D6">
        <w:t>(</w:t>
      </w:r>
      <w:r w:rsidR="004F41D1" w:rsidRPr="00AF68D6">
        <w:t>2</w:t>
      </w:r>
      <w:r w:rsidR="00B5671D" w:rsidRPr="00AF68D6">
        <w:t>)</w:t>
      </w:r>
      <w:r w:rsidR="00C65CB7" w:rsidRPr="00AF68D6">
        <w:t>.</w:t>
      </w:r>
      <w:r w:rsidR="00EA56B9" w:rsidRPr="00AF68D6">
        <w:t xml:space="preserve"> </w:t>
      </w:r>
      <w:r w:rsidR="004A5BBB" w:rsidRPr="00AF68D6">
        <w:t xml:space="preserve">However, the reliability of these results is limited as they were </w:t>
      </w:r>
      <w:r w:rsidR="004A5BBB" w:rsidRPr="00AF68D6">
        <w:lastRenderedPageBreak/>
        <w:t xml:space="preserve">generated from a meta-analysis of observational studies </w:t>
      </w:r>
      <w:r w:rsidR="006F59ED" w:rsidRPr="00AF68D6">
        <w:t xml:space="preserve">investigating </w:t>
      </w:r>
      <w:r w:rsidR="004A5BBB" w:rsidRPr="00AF68D6">
        <w:t xml:space="preserve">different malnutrition tools. </w:t>
      </w:r>
    </w:p>
    <w:p w14:paraId="39559D90" w14:textId="77777777" w:rsidR="00AC6495" w:rsidRPr="00AF68D6" w:rsidRDefault="00AC6495" w:rsidP="008B68F9">
      <w:pPr>
        <w:spacing w:before="0" w:after="0"/>
      </w:pPr>
    </w:p>
    <w:p w14:paraId="3687E739" w14:textId="44A8B867" w:rsidR="006F2FA1" w:rsidRPr="00AF68D6" w:rsidRDefault="006F2FA1" w:rsidP="006F2FA1">
      <w:pPr>
        <w:spacing w:before="0" w:after="0"/>
      </w:pPr>
      <w:r w:rsidRPr="00AF68D6">
        <w:t xml:space="preserve">The pathophysiology of malnutrition in patients with HF is not well understood. Several theories have been proposed. One possibility is that fluid retention might cause gut </w:t>
      </w:r>
      <w:proofErr w:type="spellStart"/>
      <w:r w:rsidRPr="00AF68D6">
        <w:t>edema</w:t>
      </w:r>
      <w:proofErr w:type="spellEnd"/>
      <w:r w:rsidRPr="00AF68D6">
        <w:t xml:space="preserve"> leading to nausea, anorexia and possibly malabsorption</w:t>
      </w:r>
      <w:r w:rsidR="00C65CB7" w:rsidRPr="00AF68D6">
        <w:t xml:space="preserve"> </w:t>
      </w:r>
      <w:r w:rsidR="00B5671D" w:rsidRPr="00AF68D6">
        <w:t>(</w:t>
      </w:r>
      <w:r w:rsidR="00866C7D" w:rsidRPr="00AF68D6">
        <w:rPr>
          <w:rStyle w:val="EndnoteReference"/>
          <w:vertAlign w:val="baseline"/>
        </w:rPr>
        <w:endnoteReference w:id="28"/>
      </w:r>
      <w:r w:rsidR="00B5671D" w:rsidRPr="00AF68D6">
        <w:t>)</w:t>
      </w:r>
      <w:r w:rsidR="00C65CB7" w:rsidRPr="00AF68D6">
        <w:t>.</w:t>
      </w:r>
      <w:r w:rsidRPr="00AF68D6">
        <w:t xml:space="preserve"> A second possibility is that change in gut morphology and function disrupts the immunological barrier of the bowel wall, triggering </w:t>
      </w:r>
      <w:r w:rsidR="00936723" w:rsidRPr="00AF68D6">
        <w:t xml:space="preserve">release of pro-inflammatory cytokines. Chronic inflammation and neurohormonal activation </w:t>
      </w:r>
      <w:r w:rsidR="00D0394F" w:rsidRPr="00AF68D6">
        <w:t xml:space="preserve">in HF </w:t>
      </w:r>
      <w:r w:rsidR="00936723" w:rsidRPr="00AF68D6">
        <w:t>also promote catabolism, leading to protein and fat tissue degradation, and thus weight loss and ca</w:t>
      </w:r>
      <w:r w:rsidR="00C65CB7" w:rsidRPr="00AF68D6">
        <w:t xml:space="preserve">chexia </w:t>
      </w:r>
      <w:r w:rsidR="00B5671D" w:rsidRPr="00AF68D6">
        <w:t>(</w:t>
      </w:r>
      <w:r w:rsidR="00C65CB7" w:rsidRPr="00AF68D6">
        <w:t>2</w:t>
      </w:r>
      <w:r w:rsidR="0051533A">
        <w:t>7</w:t>
      </w:r>
      <w:r w:rsidR="00C65CB7" w:rsidRPr="00AF68D6">
        <w:t>,</w:t>
      </w:r>
      <w:r w:rsidR="00866C7D" w:rsidRPr="00AF68D6">
        <w:rPr>
          <w:rStyle w:val="EndnoteReference"/>
          <w:vertAlign w:val="baseline"/>
        </w:rPr>
        <w:endnoteReference w:id="29"/>
      </w:r>
      <w:r w:rsidR="00B5671D" w:rsidRPr="00AF68D6">
        <w:t>)</w:t>
      </w:r>
      <w:r w:rsidR="00C65CB7" w:rsidRPr="00AF68D6">
        <w:t>.</w:t>
      </w:r>
      <w:r w:rsidR="00866C7D" w:rsidRPr="00AF68D6" w:rsidDel="00866C7D">
        <w:rPr>
          <w:rStyle w:val="EndnoteReference"/>
          <w:vertAlign w:val="baseline"/>
        </w:rPr>
        <w:t xml:space="preserve"> </w:t>
      </w:r>
    </w:p>
    <w:p w14:paraId="75850FC7" w14:textId="155AB461" w:rsidR="00D0394F" w:rsidRPr="00AF68D6" w:rsidRDefault="00D0394F" w:rsidP="006F2FA1">
      <w:pPr>
        <w:spacing w:before="0" w:after="0"/>
      </w:pPr>
    </w:p>
    <w:p w14:paraId="4599165A" w14:textId="3D26C69E" w:rsidR="003F4AB6" w:rsidRPr="00AF68D6" w:rsidRDefault="003F4AB6" w:rsidP="00277C53">
      <w:pPr>
        <w:spacing w:before="0" w:after="0"/>
      </w:pPr>
      <w:r w:rsidRPr="00AF68D6">
        <w:t>Malnutritio</w:t>
      </w:r>
      <w:r w:rsidR="00AF429D" w:rsidRPr="00AF68D6">
        <w:t xml:space="preserve">n predisposes to </w:t>
      </w:r>
      <w:r w:rsidRPr="00AF68D6">
        <w:t xml:space="preserve">cachexia which </w:t>
      </w:r>
      <w:r w:rsidR="00AF429D" w:rsidRPr="00AF68D6">
        <w:t>is</w:t>
      </w:r>
      <w:r w:rsidR="00206C11" w:rsidRPr="00AF68D6">
        <w:t xml:space="preserve"> associated with functional impairment, reduced quality of life, increased </w:t>
      </w:r>
      <w:proofErr w:type="gramStart"/>
      <w:r w:rsidR="00206C11" w:rsidRPr="00AF68D6">
        <w:t>morbidity</w:t>
      </w:r>
      <w:proofErr w:type="gramEnd"/>
      <w:r w:rsidR="00206C11" w:rsidRPr="00AF68D6">
        <w:t xml:space="preserve"> and mortality</w:t>
      </w:r>
      <w:r w:rsidR="00C65CB7" w:rsidRPr="00AF68D6">
        <w:t xml:space="preserve"> </w:t>
      </w:r>
      <w:r w:rsidR="00B5671D" w:rsidRPr="00AF68D6">
        <w:t>(</w:t>
      </w:r>
      <w:r w:rsidR="006F3284" w:rsidRPr="00AF68D6">
        <w:rPr>
          <w:rStyle w:val="EndnoteReference"/>
          <w:vertAlign w:val="baseline"/>
        </w:rPr>
        <w:endnoteReference w:id="30"/>
      </w:r>
      <w:r w:rsidR="00B5671D" w:rsidRPr="00AF68D6">
        <w:t>)</w:t>
      </w:r>
      <w:r w:rsidR="00C65CB7" w:rsidRPr="00AF68D6">
        <w:t>.</w:t>
      </w:r>
      <w:r w:rsidR="00206C11" w:rsidRPr="00AF68D6">
        <w:t xml:space="preserve"> </w:t>
      </w:r>
      <w:r w:rsidR="007C107E" w:rsidRPr="00AF68D6">
        <w:t xml:space="preserve">Early identification of malnutrition in patients with HF may allow initiation of potential treatment to prevent the development of cachexia. Firstly, </w:t>
      </w:r>
      <w:r w:rsidR="006F3284" w:rsidRPr="00AF68D6">
        <w:t xml:space="preserve">optimisation of HF therapy might </w:t>
      </w:r>
      <w:r w:rsidR="007C107E" w:rsidRPr="00AF68D6">
        <w:t xml:space="preserve">help </w:t>
      </w:r>
      <w:r w:rsidR="006C7576" w:rsidRPr="00AF68D6">
        <w:t xml:space="preserve">stabilise systemic </w:t>
      </w:r>
      <w:proofErr w:type="spellStart"/>
      <w:r w:rsidR="006C7576" w:rsidRPr="00AF68D6">
        <w:t>h</w:t>
      </w:r>
      <w:r w:rsidR="00277C53" w:rsidRPr="00AF68D6">
        <w:t>a</w:t>
      </w:r>
      <w:r w:rsidR="006C7576" w:rsidRPr="00AF68D6">
        <w:t>emody</w:t>
      </w:r>
      <w:r w:rsidR="00C65CB7" w:rsidRPr="00AF68D6">
        <w:t>namics</w:t>
      </w:r>
      <w:proofErr w:type="spellEnd"/>
      <w:r w:rsidR="00C65CB7" w:rsidRPr="00AF68D6">
        <w:t xml:space="preserve"> and improve bowel </w:t>
      </w:r>
      <w:proofErr w:type="spellStart"/>
      <w:r w:rsidR="00C65CB7" w:rsidRPr="00AF68D6">
        <w:t>edema</w:t>
      </w:r>
      <w:proofErr w:type="spellEnd"/>
      <w:r w:rsidR="00C65CB7" w:rsidRPr="00AF68D6">
        <w:t xml:space="preserve"> (</w:t>
      </w:r>
      <w:r w:rsidR="006F3284" w:rsidRPr="00AF68D6">
        <w:rPr>
          <w:rStyle w:val="EndnoteReference"/>
          <w:vertAlign w:val="baseline"/>
        </w:rPr>
        <w:endnoteReference w:id="31"/>
      </w:r>
      <w:r w:rsidR="00B5671D" w:rsidRPr="00AF68D6">
        <w:t>)</w:t>
      </w:r>
      <w:r w:rsidR="00C65CB7" w:rsidRPr="00AF68D6">
        <w:t>.</w:t>
      </w:r>
      <w:r w:rsidR="006C7576" w:rsidRPr="00AF68D6">
        <w:t xml:space="preserve"> </w:t>
      </w:r>
      <w:r w:rsidR="007C107E" w:rsidRPr="00AF68D6">
        <w:t>Secondly, r</w:t>
      </w:r>
      <w:r w:rsidR="006C7576" w:rsidRPr="00AF68D6">
        <w:t xml:space="preserve">egular </w:t>
      </w:r>
      <w:r w:rsidR="0066781E" w:rsidRPr="00AF68D6">
        <w:t>nutritional counselling</w:t>
      </w:r>
      <w:r w:rsidR="006C7576" w:rsidRPr="00AF68D6">
        <w:t xml:space="preserve"> </w:t>
      </w:r>
      <w:r w:rsidR="006F3284" w:rsidRPr="00AF68D6">
        <w:t>and promotion of a high</w:t>
      </w:r>
      <w:r w:rsidR="00FF0393" w:rsidRPr="00AF68D6">
        <w:t xml:space="preserve"> caloric and high protein diet might help </w:t>
      </w:r>
      <w:r w:rsidR="006F3284" w:rsidRPr="00AF68D6">
        <w:t>ensure</w:t>
      </w:r>
      <w:r w:rsidR="00990769" w:rsidRPr="00AF68D6">
        <w:t xml:space="preserve"> adequate dietary intake </w:t>
      </w:r>
      <w:r w:rsidR="00B5671D" w:rsidRPr="00AF68D6">
        <w:t>(</w:t>
      </w:r>
      <w:r w:rsidR="00945024" w:rsidRPr="00AF68D6">
        <w:t>3</w:t>
      </w:r>
      <w:r w:rsidR="0051533A">
        <w:t>1</w:t>
      </w:r>
      <w:r w:rsidR="00B5671D" w:rsidRPr="00AF68D6">
        <w:t>)</w:t>
      </w:r>
      <w:r w:rsidR="00990769" w:rsidRPr="00AF68D6">
        <w:t>.</w:t>
      </w:r>
      <w:r w:rsidR="0066781E" w:rsidRPr="00AF68D6">
        <w:rPr>
          <w:vertAlign w:val="superscript"/>
        </w:rPr>
        <w:t xml:space="preserve"> </w:t>
      </w:r>
      <w:r w:rsidR="00FF0393" w:rsidRPr="00AF68D6">
        <w:t xml:space="preserve">Micronutrient and vitamin supplementation might </w:t>
      </w:r>
      <w:r w:rsidR="007C107E" w:rsidRPr="00AF68D6">
        <w:t xml:space="preserve">also </w:t>
      </w:r>
      <w:r w:rsidR="00FF0393" w:rsidRPr="00AF68D6">
        <w:t>be helpful</w:t>
      </w:r>
      <w:r w:rsidR="00990769" w:rsidRPr="00AF68D6">
        <w:t xml:space="preserve"> </w:t>
      </w:r>
      <w:r w:rsidR="00B5671D" w:rsidRPr="00AF68D6">
        <w:t>(</w:t>
      </w:r>
      <w:r w:rsidR="00945024" w:rsidRPr="00AF68D6">
        <w:t>3</w:t>
      </w:r>
      <w:r w:rsidR="0051533A">
        <w:t>1</w:t>
      </w:r>
      <w:r w:rsidR="00B946AD" w:rsidRPr="00AF68D6">
        <w:t>,</w:t>
      </w:r>
      <w:r w:rsidR="00B946AD" w:rsidRPr="00AF68D6">
        <w:rPr>
          <w:rStyle w:val="EndnoteReference"/>
          <w:vertAlign w:val="baseline"/>
        </w:rPr>
        <w:endnoteReference w:id="32"/>
      </w:r>
      <w:r w:rsidR="00B5671D" w:rsidRPr="00AF68D6">
        <w:t>)</w:t>
      </w:r>
      <w:r w:rsidR="00990769" w:rsidRPr="00AF68D6">
        <w:t>.</w:t>
      </w:r>
      <w:r w:rsidR="00B5671D" w:rsidRPr="00AF68D6">
        <w:t xml:space="preserve"> </w:t>
      </w:r>
      <w:r w:rsidR="0066781E" w:rsidRPr="00AF68D6">
        <w:t xml:space="preserve">Regular physical exercise has </w:t>
      </w:r>
      <w:r w:rsidR="00720E25" w:rsidRPr="00AF68D6">
        <w:t>anti-inflammatory effect and might</w:t>
      </w:r>
      <w:r w:rsidR="00FF0393" w:rsidRPr="00AF68D6">
        <w:t xml:space="preserve"> ameliorate progressive tissue wasting</w:t>
      </w:r>
      <w:r w:rsidR="00990769" w:rsidRPr="00AF68D6">
        <w:t xml:space="preserve"> </w:t>
      </w:r>
      <w:r w:rsidR="00B5671D" w:rsidRPr="00AF68D6">
        <w:t>(</w:t>
      </w:r>
      <w:r w:rsidR="00945024" w:rsidRPr="00AF68D6">
        <w:t>3</w:t>
      </w:r>
      <w:r w:rsidR="0051533A">
        <w:t>1</w:t>
      </w:r>
      <w:r w:rsidR="00B5671D" w:rsidRPr="00AF68D6">
        <w:t>)</w:t>
      </w:r>
      <w:r w:rsidR="00990769" w:rsidRPr="00AF68D6">
        <w:t>.</w:t>
      </w:r>
      <w:r w:rsidR="0066781E" w:rsidRPr="00AF68D6">
        <w:t xml:space="preserve"> </w:t>
      </w:r>
      <w:r w:rsidR="007C107E" w:rsidRPr="00AF68D6">
        <w:t xml:space="preserve">Other mechanistically appealing treatments include </w:t>
      </w:r>
      <w:r w:rsidR="00A83285" w:rsidRPr="00AF68D6">
        <w:t>appetite stimulants, anti-inflammatory agents and anabolic hormones</w:t>
      </w:r>
      <w:r w:rsidR="006F3284" w:rsidRPr="00AF68D6">
        <w:t xml:space="preserve">, but </w:t>
      </w:r>
      <w:r w:rsidR="00A83285" w:rsidRPr="00AF68D6">
        <w:t>their role in</w:t>
      </w:r>
      <w:r w:rsidR="0066781E" w:rsidRPr="00AF68D6">
        <w:t xml:space="preserve"> the</w:t>
      </w:r>
      <w:r w:rsidR="00A83285" w:rsidRPr="00AF68D6">
        <w:t xml:space="preserve"> treat</w:t>
      </w:r>
      <w:r w:rsidR="00990769" w:rsidRPr="00AF68D6">
        <w:t>ment of malnutrition is unclear (</w:t>
      </w:r>
      <w:r w:rsidR="0051533A">
        <w:t>30</w:t>
      </w:r>
      <w:r w:rsidR="00B5671D" w:rsidRPr="00AF68D6">
        <w:t>)</w:t>
      </w:r>
      <w:r w:rsidR="00990769" w:rsidRPr="00AF68D6">
        <w:t>.</w:t>
      </w:r>
      <w:r w:rsidR="00A83285" w:rsidRPr="00AF68D6">
        <w:t xml:space="preserve"> </w:t>
      </w:r>
    </w:p>
    <w:p w14:paraId="1C775AD4" w14:textId="77777777" w:rsidR="008A76E8" w:rsidRPr="00AF68D6" w:rsidRDefault="008A76E8" w:rsidP="006F2FA1">
      <w:pPr>
        <w:pStyle w:val="Normal1"/>
        <w:spacing w:before="0" w:beforeAutospacing="0" w:after="0" w:afterAutospacing="0" w:line="480" w:lineRule="auto"/>
        <w:rPr>
          <w:rFonts w:eastAsia="Calibri"/>
          <w:lang w:eastAsia="en-US"/>
        </w:rPr>
      </w:pPr>
    </w:p>
    <w:p w14:paraId="3FF7F604" w14:textId="77777777" w:rsidR="00557E5A" w:rsidRPr="00AF68D6" w:rsidRDefault="00557E5A" w:rsidP="00466725">
      <w:pPr>
        <w:pStyle w:val="Heading2"/>
      </w:pPr>
      <w:r w:rsidRPr="00AF68D6">
        <w:t>Study limitations</w:t>
      </w:r>
    </w:p>
    <w:p w14:paraId="6AB82D8C" w14:textId="5F82260D" w:rsidR="00C4447B" w:rsidRDefault="00BE30F4" w:rsidP="008B68F9">
      <w:pPr>
        <w:spacing w:before="0" w:after="0"/>
        <w:rPr>
          <w:rFonts w:eastAsia="Times New Roman"/>
          <w:lang w:eastAsia="en-GB"/>
        </w:rPr>
      </w:pPr>
      <w:r w:rsidRPr="00AF68D6">
        <w:t>T</w:t>
      </w:r>
      <w:r w:rsidR="00557E5A" w:rsidRPr="00AF68D6">
        <w:t>his is a single-centre study conducted in the UK with limited sample size,</w:t>
      </w:r>
      <w:r w:rsidRPr="00AF68D6">
        <w:t xml:space="preserve"> and so</w:t>
      </w:r>
      <w:r w:rsidR="00557E5A" w:rsidRPr="00AF68D6">
        <w:t xml:space="preserve"> external validation of our results from other populations with different healthcare and social systems </w:t>
      </w:r>
      <w:r w:rsidR="00557E5A" w:rsidRPr="00AF68D6">
        <w:lastRenderedPageBreak/>
        <w:t xml:space="preserve">is needed. </w:t>
      </w:r>
      <w:r w:rsidR="006D6911" w:rsidRPr="00AF68D6">
        <w:t>Secondly, we</w:t>
      </w:r>
      <w:r w:rsidRPr="00AF68D6">
        <w:t xml:space="preserve"> have </w:t>
      </w:r>
      <w:r w:rsidR="004045FE" w:rsidRPr="00AF68D6">
        <w:t>limited follow up. We are unable to comment on long-term pr</w:t>
      </w:r>
      <w:r w:rsidR="008F532F" w:rsidRPr="00AF68D6">
        <w:t>ognostic significance of malnutrition</w:t>
      </w:r>
      <w:r w:rsidR="004045FE" w:rsidRPr="00AF68D6">
        <w:t xml:space="preserve"> in the HF p</w:t>
      </w:r>
      <w:r w:rsidR="00E81BA4" w:rsidRPr="00AF68D6">
        <w:t xml:space="preserve">opulation. However, </w:t>
      </w:r>
      <w:r w:rsidR="00D07BEE" w:rsidRPr="00AF68D6">
        <w:t>the majority of patients identified as malnourished had had an end-point by the end of the study.</w:t>
      </w:r>
      <w:r w:rsidR="00D872B3" w:rsidRPr="00AF68D6">
        <w:t xml:space="preserve"> </w:t>
      </w:r>
      <w:r w:rsidR="006D6911" w:rsidRPr="00AF68D6">
        <w:t>Thirdly, we</w:t>
      </w:r>
      <w:r w:rsidR="00115977" w:rsidRPr="00AF68D6">
        <w:t xml:space="preserve"> did not </w:t>
      </w:r>
      <w:r w:rsidR="00115977" w:rsidRPr="00AF68D6">
        <w:rPr>
          <w:rStyle w:val="normalchar"/>
        </w:rPr>
        <w:t xml:space="preserve">study the change in nutritional status over time. </w:t>
      </w:r>
      <w:r w:rsidR="00BB145E" w:rsidRPr="00AF68D6">
        <w:rPr>
          <w:rFonts w:eastAsia="Times New Roman"/>
          <w:lang w:eastAsia="en-GB"/>
        </w:rPr>
        <w:t>Lastly, the type I error rate of the Cox regression analyses may be increased due to multiple testing.</w:t>
      </w:r>
    </w:p>
    <w:p w14:paraId="6464F609" w14:textId="77777777" w:rsidR="006B287A" w:rsidRPr="00AF68D6" w:rsidRDefault="006B287A" w:rsidP="008B68F9">
      <w:pPr>
        <w:spacing w:before="0" w:after="0"/>
      </w:pPr>
    </w:p>
    <w:p w14:paraId="5B5312D3" w14:textId="77777777" w:rsidR="00557E5A" w:rsidRPr="00AF68D6" w:rsidRDefault="00557E5A" w:rsidP="00466725">
      <w:pPr>
        <w:pStyle w:val="Heading2"/>
        <w:rPr>
          <w:shd w:val="clear" w:color="auto" w:fill="FFFFFF"/>
        </w:rPr>
      </w:pPr>
      <w:r w:rsidRPr="00AF68D6">
        <w:rPr>
          <w:shd w:val="clear" w:color="auto" w:fill="FFFFFF"/>
        </w:rPr>
        <w:t>Conclusions</w:t>
      </w:r>
    </w:p>
    <w:p w14:paraId="57C35EE5" w14:textId="4DEF091E" w:rsidR="00342C5A" w:rsidRPr="00AF68D6" w:rsidRDefault="0030553F" w:rsidP="008B68F9">
      <w:pPr>
        <w:spacing w:before="0" w:after="0"/>
      </w:pPr>
      <w:r w:rsidRPr="00AF68D6">
        <w:t>Malnutrition</w:t>
      </w:r>
      <w:r w:rsidR="00E03B53" w:rsidRPr="00AF68D6">
        <w:t xml:space="preserve">, </w:t>
      </w:r>
      <w:r w:rsidR="00AD4E40" w:rsidRPr="00AF68D6">
        <w:t>measured by any of the malnutrition tools studied, with the exception of total lymphocyte count and serum cholesterol level</w:t>
      </w:r>
      <w:r w:rsidR="00E03B53" w:rsidRPr="00AF68D6">
        <w:t>,</w:t>
      </w:r>
      <w:r w:rsidR="00F03AE3" w:rsidRPr="00AF68D6">
        <w:t xml:space="preserve"> is a strong predictor of </w:t>
      </w:r>
      <w:r w:rsidR="00342C5A" w:rsidRPr="00AF68D6">
        <w:t xml:space="preserve">morbidity </w:t>
      </w:r>
      <w:r w:rsidR="00F03AE3" w:rsidRPr="00AF68D6">
        <w:t>and mortality</w:t>
      </w:r>
      <w:r w:rsidR="00342C5A" w:rsidRPr="00AF68D6">
        <w:t xml:space="preserve"> in </w:t>
      </w:r>
      <w:r w:rsidR="00A902FF" w:rsidRPr="00AF68D6">
        <w:t xml:space="preserve">stable </w:t>
      </w:r>
      <w:r w:rsidR="00342C5A" w:rsidRPr="00AF68D6">
        <w:t>ambulatory patient</w:t>
      </w:r>
      <w:r w:rsidR="00A902FF" w:rsidRPr="00AF68D6">
        <w:t>s</w:t>
      </w:r>
      <w:r w:rsidR="00342C5A" w:rsidRPr="00AF68D6">
        <w:t xml:space="preserve"> </w:t>
      </w:r>
      <w:r w:rsidR="00D872B3" w:rsidRPr="00AF68D6">
        <w:t xml:space="preserve">with </w:t>
      </w:r>
      <w:r w:rsidR="00D0394F" w:rsidRPr="00AF68D6">
        <w:t>CHF</w:t>
      </w:r>
      <w:r w:rsidR="00D872B3" w:rsidRPr="00AF68D6">
        <w:t>.</w:t>
      </w:r>
      <w:r w:rsidR="00342C5A" w:rsidRPr="00AF68D6">
        <w:t xml:space="preserve"> </w:t>
      </w:r>
      <w:r w:rsidR="00E95871" w:rsidRPr="00AF68D6">
        <w:t xml:space="preserve">Measuring serum albumin provides comparable prognostic information to simple or </w:t>
      </w:r>
      <w:r w:rsidR="003846AC" w:rsidRPr="00AF68D6">
        <w:t>multi</w:t>
      </w:r>
      <w:r w:rsidR="00DB1E58" w:rsidRPr="00AF68D6">
        <w:t>-</w:t>
      </w:r>
      <w:r w:rsidR="003846AC" w:rsidRPr="00AF68D6">
        <w:t>dimensional malnutrition</w:t>
      </w:r>
      <w:r w:rsidR="00E95871" w:rsidRPr="00AF68D6">
        <w:t xml:space="preserve"> tools</w:t>
      </w:r>
      <w:r w:rsidR="00A902FF" w:rsidRPr="00AF68D6">
        <w:t>.</w:t>
      </w:r>
    </w:p>
    <w:p w14:paraId="0A60F009" w14:textId="77777777" w:rsidR="002F6520" w:rsidRPr="00AF68D6" w:rsidRDefault="002F6520" w:rsidP="00C411C5">
      <w:pPr>
        <w:ind w:right="567"/>
        <w:rPr>
          <w:shd w:val="clear" w:color="auto" w:fill="FFFFFF"/>
        </w:rPr>
      </w:pPr>
    </w:p>
    <w:p w14:paraId="62DF50B8" w14:textId="77777777" w:rsidR="000F2656" w:rsidRPr="00AF68D6" w:rsidRDefault="000F2656" w:rsidP="000F2656">
      <w:pPr>
        <w:rPr>
          <w:b/>
        </w:rPr>
      </w:pPr>
      <w:r w:rsidRPr="00AF68D6">
        <w:rPr>
          <w:b/>
        </w:rPr>
        <w:t xml:space="preserve">Acknowledgement: </w:t>
      </w:r>
      <w:r w:rsidRPr="00AF68D6">
        <w:t>This research was supported by the NIHR Leicester Clinical Research Facility. The views expressed are those of the authors and not necessarily those of the NHS, the NIHR or the Department of Health and Social Care.</w:t>
      </w:r>
    </w:p>
    <w:p w14:paraId="156526AF" w14:textId="77777777" w:rsidR="00C51CA1" w:rsidRPr="00AF68D6" w:rsidRDefault="00C51CA1" w:rsidP="00C51CA1">
      <w:pPr>
        <w:spacing w:before="288" w:after="288"/>
        <w:rPr>
          <w:shd w:val="clear" w:color="auto" w:fill="FFFFFF"/>
        </w:rPr>
      </w:pPr>
      <w:r w:rsidRPr="00AF68D6">
        <w:rPr>
          <w:rStyle w:val="Strong"/>
        </w:rPr>
        <w:t xml:space="preserve">Conflict of interest: </w:t>
      </w:r>
      <w:r w:rsidRPr="00AF68D6">
        <w:rPr>
          <w:shd w:val="clear" w:color="auto" w:fill="FFFFFF"/>
        </w:rPr>
        <w:t xml:space="preserve">Dr Shirley Sze, no conflict of interest. Dr </w:t>
      </w:r>
      <w:proofErr w:type="spellStart"/>
      <w:r w:rsidRPr="00AF68D6">
        <w:rPr>
          <w:shd w:val="clear" w:color="auto" w:fill="FFFFFF"/>
        </w:rPr>
        <w:t>Pierpaolo</w:t>
      </w:r>
      <w:proofErr w:type="spellEnd"/>
      <w:r w:rsidRPr="00AF68D6">
        <w:rPr>
          <w:shd w:val="clear" w:color="auto" w:fill="FFFFFF"/>
        </w:rPr>
        <w:t xml:space="preserve"> </w:t>
      </w:r>
      <w:proofErr w:type="spellStart"/>
      <w:r w:rsidRPr="00AF68D6">
        <w:rPr>
          <w:shd w:val="clear" w:color="auto" w:fill="FFFFFF"/>
        </w:rPr>
        <w:t>Pellicori</w:t>
      </w:r>
      <w:proofErr w:type="spellEnd"/>
      <w:r w:rsidRPr="00AF68D6">
        <w:rPr>
          <w:shd w:val="clear" w:color="auto" w:fill="FFFFFF"/>
        </w:rPr>
        <w:t xml:space="preserve">, no conflict of interest. Dr Jufen Zhang, no conflict of interest. Ms Joan Weston, no conflict of interest. Professor Andrew Clark, no conflict of interest. </w:t>
      </w:r>
    </w:p>
    <w:p w14:paraId="380E72AA" w14:textId="5D337594" w:rsidR="00D26FA4" w:rsidRPr="00C4100A" w:rsidRDefault="00C51CA1" w:rsidP="00C4100A">
      <w:pPr>
        <w:spacing w:before="288" w:after="288"/>
        <w:ind w:right="567"/>
        <w:rPr>
          <w:rFonts w:eastAsia="Times New Roman"/>
          <w:sz w:val="23"/>
          <w:szCs w:val="23"/>
          <w:lang w:eastAsia="en-GB"/>
        </w:rPr>
        <w:sectPr w:rsidR="00D26FA4" w:rsidRPr="00C4100A" w:rsidSect="004F0DA2">
          <w:endnotePr>
            <w:numFmt w:val="decimal"/>
          </w:endnotePr>
          <w:type w:val="continuous"/>
          <w:pgSz w:w="11906" w:h="16838"/>
          <w:pgMar w:top="1440" w:right="1440" w:bottom="1440" w:left="1440" w:header="706" w:footer="706" w:gutter="0"/>
          <w:lnNumType w:countBy="1" w:restart="continuous"/>
          <w:cols w:space="708"/>
          <w:docGrid w:linePitch="360"/>
        </w:sectPr>
      </w:pPr>
      <w:r w:rsidRPr="00AF68D6">
        <w:rPr>
          <w:rStyle w:val="Emphasis"/>
          <w:b/>
          <w:i w:val="0"/>
          <w:bdr w:val="none" w:sz="0" w:space="0" w:color="auto" w:frame="1"/>
          <w:shd w:val="clear" w:color="auto" w:fill="FFFFFF"/>
        </w:rPr>
        <w:t xml:space="preserve">Statement of authors’ contributions to manuscript: </w:t>
      </w:r>
      <w:r w:rsidRPr="00AF68D6">
        <w:rPr>
          <w:rFonts w:eastAsia="Times New Roman"/>
          <w:sz w:val="23"/>
          <w:szCs w:val="23"/>
          <w:lang w:eastAsia="en-GB"/>
        </w:rPr>
        <w:t xml:space="preserve">SS, PP and ALC designed research; SS, PP and JW conducted research; SS, PP and JZ analysed data; SS wrote paper; PP, JZ, JW and ALC reviewed paper. All authors have read and approved the final manuscript. </w:t>
      </w:r>
    </w:p>
    <w:p w14:paraId="0850C86B" w14:textId="53897B8A" w:rsidR="00DD4026" w:rsidRPr="00C4100A" w:rsidRDefault="00DD4026" w:rsidP="00C4100A">
      <w:pPr>
        <w:pStyle w:val="Heading1"/>
      </w:pPr>
      <w:r>
        <w:lastRenderedPageBreak/>
        <w:t>Table 1</w:t>
      </w:r>
    </w:p>
    <w:p w14:paraId="7E0C08BD" w14:textId="7441E173" w:rsidR="00DD4026" w:rsidRDefault="00DD4026" w:rsidP="00DD4026">
      <w:pPr>
        <w:suppressLineNumbers/>
        <w:rPr>
          <w:i/>
        </w:rPr>
      </w:pPr>
      <w:r>
        <w:t xml:space="preserve">Baseline characteristics of patients with CHF (Died by 1 year vs alive at 1 year). </w:t>
      </w:r>
      <w:r w:rsidRPr="00CE61F9">
        <w:rPr>
          <w:vertAlign w:val="superscript"/>
        </w:rPr>
        <w:t>1</w:t>
      </w:r>
    </w:p>
    <w:tbl>
      <w:tblPr>
        <w:tblStyle w:val="TableGrid"/>
        <w:tblW w:w="10405"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9"/>
        <w:gridCol w:w="1853"/>
        <w:gridCol w:w="1876"/>
        <w:gridCol w:w="1745"/>
        <w:gridCol w:w="1151"/>
        <w:gridCol w:w="865"/>
        <w:gridCol w:w="6"/>
      </w:tblGrid>
      <w:tr w:rsidR="00DD4026" w14:paraId="7B585D1E" w14:textId="77777777" w:rsidTr="00380865">
        <w:trPr>
          <w:gridAfter w:val="1"/>
          <w:wAfter w:w="6" w:type="dxa"/>
        </w:trPr>
        <w:tc>
          <w:tcPr>
            <w:tcW w:w="2909" w:type="dxa"/>
            <w:tcBorders>
              <w:top w:val="single" w:sz="4" w:space="0" w:color="auto"/>
              <w:bottom w:val="single" w:sz="4" w:space="0" w:color="auto"/>
            </w:tcBorders>
            <w:shd w:val="clear" w:color="auto" w:fill="auto"/>
          </w:tcPr>
          <w:p w14:paraId="2EB84342" w14:textId="77777777" w:rsidR="00DD4026" w:rsidRDefault="00DD4026" w:rsidP="00380865">
            <w:pPr>
              <w:suppressLineNumbers/>
              <w:spacing w:beforeLines="0" w:before="0" w:afterLines="0" w:line="276" w:lineRule="auto"/>
            </w:pPr>
          </w:p>
        </w:tc>
        <w:tc>
          <w:tcPr>
            <w:tcW w:w="1853" w:type="dxa"/>
            <w:tcBorders>
              <w:top w:val="single" w:sz="4" w:space="0" w:color="auto"/>
              <w:bottom w:val="single" w:sz="4" w:space="0" w:color="auto"/>
            </w:tcBorders>
            <w:shd w:val="clear" w:color="auto" w:fill="auto"/>
          </w:tcPr>
          <w:p w14:paraId="6DF90A79" w14:textId="77777777" w:rsidR="00DD4026" w:rsidRDefault="00DD4026" w:rsidP="00380865">
            <w:pPr>
              <w:suppressLineNumbers/>
              <w:spacing w:beforeLines="0" w:before="0" w:afterLines="0" w:line="276" w:lineRule="auto"/>
              <w:jc w:val="center"/>
            </w:pPr>
            <w:r>
              <w:t>HF patients</w:t>
            </w:r>
          </w:p>
          <w:p w14:paraId="0613B973" w14:textId="77777777" w:rsidR="00DD4026" w:rsidRDefault="00DD4026" w:rsidP="00380865">
            <w:pPr>
              <w:suppressLineNumbers/>
              <w:spacing w:beforeLines="0" w:before="0" w:afterLines="0" w:line="276" w:lineRule="auto"/>
              <w:jc w:val="center"/>
            </w:pPr>
            <w:r w:rsidRPr="00B87EA7">
              <w:rPr>
                <w:sz w:val="20"/>
              </w:rPr>
              <w:t>N=467</w:t>
            </w:r>
          </w:p>
        </w:tc>
        <w:tc>
          <w:tcPr>
            <w:tcW w:w="1876" w:type="dxa"/>
            <w:tcBorders>
              <w:top w:val="single" w:sz="4" w:space="0" w:color="auto"/>
              <w:bottom w:val="single" w:sz="4" w:space="0" w:color="auto"/>
            </w:tcBorders>
            <w:shd w:val="clear" w:color="auto" w:fill="auto"/>
          </w:tcPr>
          <w:p w14:paraId="3DBE1D0F" w14:textId="77777777" w:rsidR="00DD4026" w:rsidRDefault="00DD4026" w:rsidP="00380865">
            <w:pPr>
              <w:suppressLineNumbers/>
              <w:spacing w:beforeLines="0" w:before="0" w:afterLines="0" w:line="276" w:lineRule="auto"/>
              <w:jc w:val="center"/>
            </w:pPr>
            <w:r>
              <w:t>Died by 1 year</w:t>
            </w:r>
          </w:p>
          <w:p w14:paraId="416DAFB3" w14:textId="77777777" w:rsidR="00DD4026" w:rsidRDefault="00DD4026" w:rsidP="00380865">
            <w:pPr>
              <w:suppressLineNumbers/>
              <w:spacing w:beforeLines="0" w:before="0" w:afterLines="0" w:line="276" w:lineRule="auto"/>
              <w:jc w:val="center"/>
            </w:pPr>
            <w:r>
              <w:rPr>
                <w:sz w:val="20"/>
              </w:rPr>
              <w:t>N=56</w:t>
            </w:r>
          </w:p>
        </w:tc>
        <w:tc>
          <w:tcPr>
            <w:tcW w:w="1745" w:type="dxa"/>
            <w:tcBorders>
              <w:top w:val="single" w:sz="4" w:space="0" w:color="auto"/>
              <w:bottom w:val="single" w:sz="4" w:space="0" w:color="auto"/>
            </w:tcBorders>
            <w:shd w:val="clear" w:color="auto" w:fill="auto"/>
          </w:tcPr>
          <w:p w14:paraId="27FA4B68" w14:textId="77777777" w:rsidR="00DD4026" w:rsidRDefault="00DD4026" w:rsidP="00380865">
            <w:pPr>
              <w:suppressLineNumbers/>
              <w:spacing w:beforeLines="0" w:before="0" w:afterLines="0" w:line="276" w:lineRule="auto"/>
              <w:jc w:val="center"/>
            </w:pPr>
            <w:r>
              <w:t>Alive at 1 year</w:t>
            </w:r>
          </w:p>
          <w:p w14:paraId="482BA567" w14:textId="77777777" w:rsidR="00DD4026" w:rsidRDefault="00DD4026" w:rsidP="00380865">
            <w:pPr>
              <w:suppressLineNumbers/>
              <w:spacing w:beforeLines="0" w:before="0" w:afterLines="0" w:line="276" w:lineRule="auto"/>
              <w:jc w:val="center"/>
            </w:pPr>
            <w:r w:rsidRPr="007508DE">
              <w:rPr>
                <w:sz w:val="20"/>
              </w:rPr>
              <w:t>N=</w:t>
            </w:r>
            <w:r>
              <w:rPr>
                <w:sz w:val="20"/>
              </w:rPr>
              <w:t>411</w:t>
            </w:r>
          </w:p>
        </w:tc>
        <w:tc>
          <w:tcPr>
            <w:tcW w:w="1151" w:type="dxa"/>
            <w:tcBorders>
              <w:top w:val="single" w:sz="4" w:space="0" w:color="auto"/>
              <w:bottom w:val="single" w:sz="4" w:space="0" w:color="auto"/>
            </w:tcBorders>
            <w:shd w:val="clear" w:color="auto" w:fill="auto"/>
          </w:tcPr>
          <w:p w14:paraId="4D754B57" w14:textId="77777777" w:rsidR="00DD4026" w:rsidRDefault="00DD4026" w:rsidP="00380865">
            <w:pPr>
              <w:suppressLineNumbers/>
              <w:spacing w:beforeLines="0" w:before="0" w:afterLines="0" w:line="276" w:lineRule="auto"/>
              <w:jc w:val="center"/>
              <w:rPr>
                <w:sz w:val="20"/>
              </w:rPr>
            </w:pPr>
            <w:r w:rsidRPr="008A56A7">
              <w:rPr>
                <w:sz w:val="20"/>
              </w:rPr>
              <w:t>P</w:t>
            </w:r>
          </w:p>
          <w:p w14:paraId="27D82A2A" w14:textId="77777777" w:rsidR="00DD4026" w:rsidRPr="008A56A7" w:rsidRDefault="00DD4026" w:rsidP="00380865">
            <w:pPr>
              <w:suppressLineNumbers/>
              <w:spacing w:beforeLines="0" w:before="0" w:afterLines="0" w:line="276" w:lineRule="auto"/>
              <w:jc w:val="center"/>
              <w:rPr>
                <w:sz w:val="20"/>
              </w:rPr>
            </w:pPr>
            <w:r>
              <w:rPr>
                <w:sz w:val="20"/>
              </w:rPr>
              <w:t>(Died vs alive)</w:t>
            </w:r>
          </w:p>
        </w:tc>
        <w:tc>
          <w:tcPr>
            <w:tcW w:w="865" w:type="dxa"/>
            <w:tcBorders>
              <w:top w:val="single" w:sz="4" w:space="0" w:color="auto"/>
              <w:bottom w:val="single" w:sz="4" w:space="0" w:color="auto"/>
            </w:tcBorders>
            <w:shd w:val="clear" w:color="auto" w:fill="auto"/>
          </w:tcPr>
          <w:p w14:paraId="2AD653C4" w14:textId="77777777" w:rsidR="00DD4026" w:rsidRPr="008A56A7" w:rsidRDefault="00DD4026" w:rsidP="00380865">
            <w:pPr>
              <w:suppressLineNumbers/>
              <w:spacing w:beforeLines="0" w:before="0" w:afterLines="0" w:line="276" w:lineRule="auto"/>
              <w:jc w:val="center"/>
              <w:rPr>
                <w:sz w:val="20"/>
              </w:rPr>
            </w:pPr>
            <w:r w:rsidRPr="008A56A7">
              <w:rPr>
                <w:sz w:val="20"/>
              </w:rPr>
              <w:t>Missing</w:t>
            </w:r>
          </w:p>
        </w:tc>
      </w:tr>
      <w:tr w:rsidR="00DD4026" w14:paraId="7F9AF2D9" w14:textId="77777777" w:rsidTr="00380865">
        <w:tc>
          <w:tcPr>
            <w:tcW w:w="10405" w:type="dxa"/>
            <w:gridSpan w:val="7"/>
            <w:tcBorders>
              <w:top w:val="single" w:sz="4" w:space="0" w:color="auto"/>
              <w:bottom w:val="single" w:sz="4" w:space="0" w:color="auto"/>
            </w:tcBorders>
            <w:shd w:val="clear" w:color="auto" w:fill="auto"/>
          </w:tcPr>
          <w:p w14:paraId="07F93CB7" w14:textId="77777777" w:rsidR="00DD4026" w:rsidRDefault="00DD4026" w:rsidP="00380865">
            <w:pPr>
              <w:suppressLineNumbers/>
              <w:spacing w:beforeLines="0" w:afterLines="0" w:line="276" w:lineRule="auto"/>
            </w:pPr>
            <w:r>
              <w:t>Demographics</w:t>
            </w:r>
          </w:p>
        </w:tc>
      </w:tr>
      <w:tr w:rsidR="00DD4026" w14:paraId="6C781DE8" w14:textId="77777777" w:rsidTr="00380865">
        <w:trPr>
          <w:gridAfter w:val="1"/>
          <w:wAfter w:w="6" w:type="dxa"/>
        </w:trPr>
        <w:tc>
          <w:tcPr>
            <w:tcW w:w="2909" w:type="dxa"/>
            <w:tcBorders>
              <w:top w:val="single" w:sz="4" w:space="0" w:color="auto"/>
            </w:tcBorders>
            <w:shd w:val="clear" w:color="auto" w:fill="auto"/>
          </w:tcPr>
          <w:p w14:paraId="76635BC6" w14:textId="77777777" w:rsidR="00DD4026" w:rsidRDefault="00DD4026" w:rsidP="00380865">
            <w:pPr>
              <w:suppressLineNumbers/>
              <w:spacing w:beforeLines="0" w:before="0" w:afterLines="0" w:line="276" w:lineRule="auto"/>
            </w:pPr>
            <w:r>
              <w:t>Age</w:t>
            </w:r>
          </w:p>
        </w:tc>
        <w:tc>
          <w:tcPr>
            <w:tcW w:w="1853" w:type="dxa"/>
            <w:tcBorders>
              <w:top w:val="single" w:sz="4" w:space="0" w:color="auto"/>
            </w:tcBorders>
            <w:shd w:val="clear" w:color="auto" w:fill="auto"/>
          </w:tcPr>
          <w:p w14:paraId="5CC4BF54" w14:textId="77777777" w:rsidR="00DD4026" w:rsidRDefault="00DD4026" w:rsidP="00380865">
            <w:pPr>
              <w:suppressLineNumbers/>
              <w:spacing w:beforeLines="0" w:before="0" w:afterLines="0" w:line="276" w:lineRule="auto"/>
              <w:jc w:val="center"/>
            </w:pPr>
            <w:r>
              <w:t xml:space="preserve">76 </w:t>
            </w:r>
            <w:r>
              <w:rPr>
                <w:sz w:val="20"/>
              </w:rPr>
              <w:t>(69-82</w:t>
            </w:r>
            <w:r w:rsidRPr="008A56A7">
              <w:rPr>
                <w:sz w:val="20"/>
              </w:rPr>
              <w:t>)</w:t>
            </w:r>
          </w:p>
        </w:tc>
        <w:tc>
          <w:tcPr>
            <w:tcW w:w="1876" w:type="dxa"/>
            <w:tcBorders>
              <w:top w:val="single" w:sz="4" w:space="0" w:color="auto"/>
            </w:tcBorders>
            <w:shd w:val="clear" w:color="auto" w:fill="auto"/>
          </w:tcPr>
          <w:p w14:paraId="02ECD1DC" w14:textId="77777777" w:rsidR="00DD4026" w:rsidRDefault="00DD4026" w:rsidP="00380865">
            <w:pPr>
              <w:suppressLineNumbers/>
              <w:spacing w:beforeLines="0" w:before="0" w:afterLines="0" w:line="276" w:lineRule="auto"/>
              <w:jc w:val="center"/>
            </w:pPr>
            <w:r>
              <w:t xml:space="preserve">82 </w:t>
            </w:r>
            <w:r>
              <w:rPr>
                <w:sz w:val="20"/>
              </w:rPr>
              <w:t>(77-87</w:t>
            </w:r>
            <w:r w:rsidRPr="008A56A7">
              <w:rPr>
                <w:sz w:val="20"/>
              </w:rPr>
              <w:t>)</w:t>
            </w:r>
          </w:p>
        </w:tc>
        <w:tc>
          <w:tcPr>
            <w:tcW w:w="1745" w:type="dxa"/>
            <w:tcBorders>
              <w:top w:val="single" w:sz="4" w:space="0" w:color="auto"/>
            </w:tcBorders>
            <w:shd w:val="clear" w:color="auto" w:fill="auto"/>
          </w:tcPr>
          <w:p w14:paraId="523B9E51" w14:textId="77777777" w:rsidR="00DD4026" w:rsidRDefault="00DD4026" w:rsidP="00380865">
            <w:pPr>
              <w:suppressLineNumbers/>
              <w:spacing w:beforeLines="0" w:before="0" w:afterLines="0" w:line="276" w:lineRule="auto"/>
              <w:jc w:val="center"/>
            </w:pPr>
            <w:r>
              <w:t xml:space="preserve">75 </w:t>
            </w:r>
            <w:r w:rsidRPr="008A56A7">
              <w:rPr>
                <w:sz w:val="20"/>
              </w:rPr>
              <w:t>(</w:t>
            </w:r>
            <w:r>
              <w:rPr>
                <w:sz w:val="20"/>
              </w:rPr>
              <w:t>68</w:t>
            </w:r>
            <w:r w:rsidRPr="008A56A7">
              <w:rPr>
                <w:sz w:val="20"/>
              </w:rPr>
              <w:t>-82)</w:t>
            </w:r>
          </w:p>
        </w:tc>
        <w:tc>
          <w:tcPr>
            <w:tcW w:w="1151" w:type="dxa"/>
            <w:tcBorders>
              <w:top w:val="single" w:sz="4" w:space="0" w:color="auto"/>
            </w:tcBorders>
            <w:shd w:val="clear" w:color="auto" w:fill="auto"/>
          </w:tcPr>
          <w:p w14:paraId="54356883" w14:textId="77777777" w:rsidR="00DD4026" w:rsidRPr="008A56A7" w:rsidRDefault="00DD4026" w:rsidP="00380865">
            <w:pPr>
              <w:suppressLineNumbers/>
              <w:spacing w:beforeLines="0" w:before="0" w:afterLines="0" w:line="276" w:lineRule="auto"/>
              <w:jc w:val="center"/>
              <w:rPr>
                <w:sz w:val="20"/>
              </w:rPr>
            </w:pPr>
            <w:r w:rsidRPr="008A56A7">
              <w:rPr>
                <w:sz w:val="20"/>
              </w:rPr>
              <w:t>&lt;0.001</w:t>
            </w:r>
          </w:p>
        </w:tc>
        <w:tc>
          <w:tcPr>
            <w:tcW w:w="865" w:type="dxa"/>
            <w:tcBorders>
              <w:top w:val="single" w:sz="4" w:space="0" w:color="auto"/>
            </w:tcBorders>
            <w:shd w:val="clear" w:color="auto" w:fill="auto"/>
          </w:tcPr>
          <w:p w14:paraId="1FF74754"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2B69452B" w14:textId="77777777" w:rsidTr="00380865">
        <w:trPr>
          <w:gridAfter w:val="1"/>
          <w:wAfter w:w="6" w:type="dxa"/>
        </w:trPr>
        <w:tc>
          <w:tcPr>
            <w:tcW w:w="2909" w:type="dxa"/>
            <w:shd w:val="clear" w:color="auto" w:fill="auto"/>
          </w:tcPr>
          <w:p w14:paraId="5720368E" w14:textId="77777777" w:rsidR="00DD4026" w:rsidRDefault="00DD4026" w:rsidP="00380865">
            <w:pPr>
              <w:suppressLineNumbers/>
              <w:spacing w:beforeLines="0" w:before="0" w:afterLines="0" w:line="276" w:lineRule="auto"/>
            </w:pPr>
            <w:r>
              <w:t xml:space="preserve">Sex (male), </w:t>
            </w:r>
            <w:r w:rsidRPr="0020419F">
              <w:t>%</w:t>
            </w:r>
            <w:r>
              <w:rPr>
                <w:sz w:val="20"/>
              </w:rPr>
              <w:t xml:space="preserve"> (N)</w:t>
            </w:r>
          </w:p>
        </w:tc>
        <w:tc>
          <w:tcPr>
            <w:tcW w:w="1853" w:type="dxa"/>
            <w:shd w:val="clear" w:color="auto" w:fill="auto"/>
          </w:tcPr>
          <w:p w14:paraId="09D9C75F" w14:textId="77777777" w:rsidR="00DD4026" w:rsidRDefault="00DD4026" w:rsidP="00380865">
            <w:pPr>
              <w:suppressLineNumbers/>
              <w:spacing w:beforeLines="0" w:before="0" w:afterLines="0" w:line="276" w:lineRule="auto"/>
              <w:jc w:val="center"/>
            </w:pPr>
            <w:r>
              <w:t xml:space="preserve">67 </w:t>
            </w:r>
            <w:r>
              <w:rPr>
                <w:sz w:val="20"/>
              </w:rPr>
              <w:t>(313</w:t>
            </w:r>
            <w:r w:rsidRPr="008A56A7">
              <w:rPr>
                <w:sz w:val="20"/>
              </w:rPr>
              <w:t>)</w:t>
            </w:r>
          </w:p>
        </w:tc>
        <w:tc>
          <w:tcPr>
            <w:tcW w:w="1876" w:type="dxa"/>
            <w:shd w:val="clear" w:color="auto" w:fill="auto"/>
          </w:tcPr>
          <w:p w14:paraId="02C23C91" w14:textId="77777777" w:rsidR="00DD4026" w:rsidRDefault="00DD4026" w:rsidP="00380865">
            <w:pPr>
              <w:suppressLineNumbers/>
              <w:spacing w:beforeLines="0" w:before="0" w:afterLines="0" w:line="276" w:lineRule="auto"/>
              <w:jc w:val="center"/>
            </w:pPr>
            <w:r>
              <w:t xml:space="preserve">68 </w:t>
            </w:r>
            <w:r>
              <w:rPr>
                <w:sz w:val="20"/>
              </w:rPr>
              <w:t>(38</w:t>
            </w:r>
            <w:r w:rsidRPr="008A56A7">
              <w:rPr>
                <w:sz w:val="20"/>
              </w:rPr>
              <w:t>)</w:t>
            </w:r>
          </w:p>
        </w:tc>
        <w:tc>
          <w:tcPr>
            <w:tcW w:w="1745" w:type="dxa"/>
            <w:shd w:val="clear" w:color="auto" w:fill="auto"/>
          </w:tcPr>
          <w:p w14:paraId="709A2ADD" w14:textId="77777777" w:rsidR="00DD4026" w:rsidRDefault="00DD4026" w:rsidP="00380865">
            <w:pPr>
              <w:suppressLineNumbers/>
              <w:spacing w:beforeLines="0" w:before="0" w:afterLines="0" w:line="276" w:lineRule="auto"/>
              <w:jc w:val="center"/>
            </w:pPr>
            <w:r>
              <w:t xml:space="preserve">67 </w:t>
            </w:r>
            <w:r>
              <w:rPr>
                <w:sz w:val="20"/>
              </w:rPr>
              <w:t>(275</w:t>
            </w:r>
            <w:r w:rsidRPr="008A56A7">
              <w:rPr>
                <w:sz w:val="20"/>
              </w:rPr>
              <w:t>)</w:t>
            </w:r>
          </w:p>
        </w:tc>
        <w:tc>
          <w:tcPr>
            <w:tcW w:w="1151" w:type="dxa"/>
            <w:shd w:val="clear" w:color="auto" w:fill="auto"/>
          </w:tcPr>
          <w:p w14:paraId="656B5639" w14:textId="77777777" w:rsidR="00DD4026" w:rsidRPr="008A56A7" w:rsidRDefault="00DD4026" w:rsidP="00380865">
            <w:pPr>
              <w:suppressLineNumbers/>
              <w:spacing w:beforeLines="0" w:before="0" w:afterLines="0" w:line="276" w:lineRule="auto"/>
              <w:jc w:val="center"/>
              <w:rPr>
                <w:sz w:val="20"/>
              </w:rPr>
            </w:pPr>
            <w:r w:rsidRPr="008A56A7">
              <w:rPr>
                <w:sz w:val="20"/>
              </w:rPr>
              <w:t>0.</w:t>
            </w:r>
            <w:r>
              <w:rPr>
                <w:sz w:val="20"/>
              </w:rPr>
              <w:t>88</w:t>
            </w:r>
          </w:p>
        </w:tc>
        <w:tc>
          <w:tcPr>
            <w:tcW w:w="865" w:type="dxa"/>
            <w:shd w:val="clear" w:color="auto" w:fill="auto"/>
          </w:tcPr>
          <w:p w14:paraId="61D7B5E0"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265D3D5F" w14:textId="77777777" w:rsidTr="00380865">
        <w:trPr>
          <w:gridAfter w:val="1"/>
          <w:wAfter w:w="6" w:type="dxa"/>
        </w:trPr>
        <w:tc>
          <w:tcPr>
            <w:tcW w:w="2909" w:type="dxa"/>
            <w:shd w:val="clear" w:color="auto" w:fill="auto"/>
          </w:tcPr>
          <w:p w14:paraId="008F4097" w14:textId="77777777" w:rsidR="00DD4026" w:rsidRDefault="00DD4026" w:rsidP="00380865">
            <w:pPr>
              <w:suppressLineNumbers/>
              <w:spacing w:beforeLines="0" w:before="0" w:afterLines="0" w:line="276" w:lineRule="auto"/>
            </w:pPr>
            <w:r>
              <w:t xml:space="preserve">HR </w:t>
            </w:r>
            <w:r w:rsidRPr="007508DE">
              <w:rPr>
                <w:sz w:val="20"/>
              </w:rPr>
              <w:t>(bpm)</w:t>
            </w:r>
          </w:p>
        </w:tc>
        <w:tc>
          <w:tcPr>
            <w:tcW w:w="1853" w:type="dxa"/>
            <w:shd w:val="clear" w:color="auto" w:fill="auto"/>
          </w:tcPr>
          <w:p w14:paraId="12AD9CA7" w14:textId="77777777" w:rsidR="00DD4026" w:rsidRDefault="00DD4026" w:rsidP="00380865">
            <w:pPr>
              <w:suppressLineNumbers/>
              <w:spacing w:beforeLines="0" w:before="0" w:afterLines="0" w:line="276" w:lineRule="auto"/>
              <w:jc w:val="center"/>
            </w:pPr>
            <w:r>
              <w:t xml:space="preserve">70 </w:t>
            </w:r>
            <w:r w:rsidRPr="008A56A7">
              <w:rPr>
                <w:sz w:val="20"/>
              </w:rPr>
              <w:t>(60-80)</w:t>
            </w:r>
          </w:p>
        </w:tc>
        <w:tc>
          <w:tcPr>
            <w:tcW w:w="1876" w:type="dxa"/>
            <w:shd w:val="clear" w:color="auto" w:fill="auto"/>
          </w:tcPr>
          <w:p w14:paraId="295F6433" w14:textId="77777777" w:rsidR="00DD4026" w:rsidRDefault="00DD4026" w:rsidP="00380865">
            <w:pPr>
              <w:suppressLineNumbers/>
              <w:spacing w:beforeLines="0" w:before="0" w:afterLines="0" w:line="276" w:lineRule="auto"/>
              <w:jc w:val="center"/>
            </w:pPr>
            <w:r>
              <w:t xml:space="preserve">70 </w:t>
            </w:r>
            <w:r>
              <w:rPr>
                <w:sz w:val="20"/>
              </w:rPr>
              <w:t>(60-82</w:t>
            </w:r>
            <w:r w:rsidRPr="008A56A7">
              <w:rPr>
                <w:sz w:val="20"/>
              </w:rPr>
              <w:t>)</w:t>
            </w:r>
          </w:p>
        </w:tc>
        <w:tc>
          <w:tcPr>
            <w:tcW w:w="1745" w:type="dxa"/>
            <w:shd w:val="clear" w:color="auto" w:fill="auto"/>
          </w:tcPr>
          <w:p w14:paraId="4B93B9FA" w14:textId="77777777" w:rsidR="00DD4026" w:rsidRDefault="00DD4026" w:rsidP="00380865">
            <w:pPr>
              <w:suppressLineNumbers/>
              <w:spacing w:beforeLines="0" w:before="0" w:afterLines="0" w:line="276" w:lineRule="auto"/>
              <w:jc w:val="center"/>
            </w:pPr>
            <w:r>
              <w:t xml:space="preserve">70 </w:t>
            </w:r>
            <w:r>
              <w:rPr>
                <w:sz w:val="20"/>
              </w:rPr>
              <w:t>(60-80</w:t>
            </w:r>
            <w:r w:rsidRPr="008A56A7">
              <w:rPr>
                <w:sz w:val="20"/>
              </w:rPr>
              <w:t>)</w:t>
            </w:r>
          </w:p>
        </w:tc>
        <w:tc>
          <w:tcPr>
            <w:tcW w:w="1151" w:type="dxa"/>
            <w:shd w:val="clear" w:color="auto" w:fill="auto"/>
          </w:tcPr>
          <w:p w14:paraId="7D528BEA" w14:textId="77777777" w:rsidR="00DD4026" w:rsidRPr="008A56A7" w:rsidRDefault="00DD4026" w:rsidP="00380865">
            <w:pPr>
              <w:suppressLineNumbers/>
              <w:spacing w:beforeLines="0" w:before="0" w:afterLines="0" w:line="276" w:lineRule="auto"/>
              <w:jc w:val="center"/>
              <w:rPr>
                <w:sz w:val="20"/>
              </w:rPr>
            </w:pPr>
            <w:r w:rsidRPr="008A56A7">
              <w:rPr>
                <w:sz w:val="20"/>
              </w:rPr>
              <w:t>0.</w:t>
            </w:r>
            <w:r>
              <w:rPr>
                <w:sz w:val="20"/>
              </w:rPr>
              <w:t>84</w:t>
            </w:r>
          </w:p>
        </w:tc>
        <w:tc>
          <w:tcPr>
            <w:tcW w:w="865" w:type="dxa"/>
            <w:shd w:val="clear" w:color="auto" w:fill="auto"/>
          </w:tcPr>
          <w:p w14:paraId="62CE7B4E"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7B2894DD" w14:textId="77777777" w:rsidTr="00380865">
        <w:trPr>
          <w:gridAfter w:val="1"/>
          <w:wAfter w:w="6" w:type="dxa"/>
        </w:trPr>
        <w:tc>
          <w:tcPr>
            <w:tcW w:w="2909" w:type="dxa"/>
            <w:shd w:val="clear" w:color="auto" w:fill="auto"/>
          </w:tcPr>
          <w:p w14:paraId="62083DC7" w14:textId="77777777" w:rsidR="00DD4026" w:rsidRDefault="00DD4026" w:rsidP="00380865">
            <w:pPr>
              <w:suppressLineNumbers/>
              <w:spacing w:beforeLines="0" w:before="0" w:afterLines="0" w:after="0" w:line="360" w:lineRule="auto"/>
            </w:pPr>
            <w:r>
              <w:t xml:space="preserve">Rhythm </w:t>
            </w:r>
            <w:r w:rsidRPr="002759D5">
              <w:rPr>
                <w:sz w:val="20"/>
              </w:rPr>
              <w:t>(</w:t>
            </w:r>
            <w:r>
              <w:rPr>
                <w:sz w:val="20"/>
              </w:rPr>
              <w:t>AF</w:t>
            </w:r>
            <w:r w:rsidRPr="002759D5">
              <w:rPr>
                <w:sz w:val="20"/>
              </w:rPr>
              <w:t>)</w:t>
            </w:r>
            <w:r>
              <w:rPr>
                <w:sz w:val="20"/>
              </w:rPr>
              <w:t xml:space="preserve">, </w:t>
            </w:r>
            <w:r w:rsidRPr="0020419F">
              <w:t>%</w:t>
            </w:r>
            <w:r>
              <w:rPr>
                <w:sz w:val="20"/>
              </w:rPr>
              <w:t xml:space="preserve"> (N)</w:t>
            </w:r>
          </w:p>
        </w:tc>
        <w:tc>
          <w:tcPr>
            <w:tcW w:w="1853" w:type="dxa"/>
            <w:shd w:val="clear" w:color="auto" w:fill="auto"/>
          </w:tcPr>
          <w:p w14:paraId="7136D415" w14:textId="77777777" w:rsidR="00DD4026" w:rsidRDefault="00DD4026" w:rsidP="00380865">
            <w:pPr>
              <w:suppressLineNumbers/>
              <w:spacing w:beforeLines="0" w:before="0" w:afterLines="0" w:after="0" w:line="360" w:lineRule="auto"/>
              <w:jc w:val="center"/>
            </w:pPr>
            <w:r>
              <w:t xml:space="preserve">46 </w:t>
            </w:r>
            <w:r>
              <w:rPr>
                <w:sz w:val="20"/>
              </w:rPr>
              <w:t>(215</w:t>
            </w:r>
            <w:r w:rsidRPr="000E0C6B">
              <w:rPr>
                <w:sz w:val="20"/>
              </w:rPr>
              <w:t>)</w:t>
            </w:r>
          </w:p>
        </w:tc>
        <w:tc>
          <w:tcPr>
            <w:tcW w:w="1876" w:type="dxa"/>
            <w:shd w:val="clear" w:color="auto" w:fill="auto"/>
          </w:tcPr>
          <w:p w14:paraId="5F730CD5" w14:textId="77777777" w:rsidR="00DD4026" w:rsidRDefault="00DD4026" w:rsidP="00380865">
            <w:pPr>
              <w:suppressLineNumbers/>
              <w:spacing w:beforeLines="0" w:before="0" w:afterLines="0" w:after="0" w:line="360" w:lineRule="auto"/>
              <w:jc w:val="center"/>
            </w:pPr>
            <w:r>
              <w:t xml:space="preserve">66 </w:t>
            </w:r>
            <w:r>
              <w:rPr>
                <w:sz w:val="20"/>
              </w:rPr>
              <w:t>(37</w:t>
            </w:r>
            <w:r w:rsidRPr="000E0C6B">
              <w:rPr>
                <w:sz w:val="20"/>
              </w:rPr>
              <w:t>)</w:t>
            </w:r>
          </w:p>
        </w:tc>
        <w:tc>
          <w:tcPr>
            <w:tcW w:w="1745" w:type="dxa"/>
            <w:shd w:val="clear" w:color="auto" w:fill="auto"/>
          </w:tcPr>
          <w:p w14:paraId="5BC03419" w14:textId="77777777" w:rsidR="00DD4026" w:rsidRDefault="00DD4026" w:rsidP="00380865">
            <w:pPr>
              <w:suppressLineNumbers/>
              <w:spacing w:beforeLines="0" w:before="0" w:afterLines="0" w:after="0" w:line="360" w:lineRule="auto"/>
              <w:jc w:val="center"/>
            </w:pPr>
            <w:r>
              <w:t xml:space="preserve">43 </w:t>
            </w:r>
            <w:r>
              <w:rPr>
                <w:sz w:val="20"/>
              </w:rPr>
              <w:t>(178</w:t>
            </w:r>
            <w:r w:rsidRPr="000E0C6B">
              <w:rPr>
                <w:sz w:val="20"/>
              </w:rPr>
              <w:t>)</w:t>
            </w:r>
          </w:p>
        </w:tc>
        <w:tc>
          <w:tcPr>
            <w:tcW w:w="1151" w:type="dxa"/>
            <w:shd w:val="clear" w:color="auto" w:fill="auto"/>
          </w:tcPr>
          <w:p w14:paraId="779B926C" w14:textId="77777777" w:rsidR="00DD4026" w:rsidRPr="008A56A7" w:rsidRDefault="00DD4026" w:rsidP="00380865">
            <w:pPr>
              <w:suppressLineNumbers/>
              <w:spacing w:beforeLines="0" w:before="0" w:afterLines="0" w:after="0" w:line="360" w:lineRule="auto"/>
              <w:jc w:val="center"/>
              <w:rPr>
                <w:sz w:val="20"/>
              </w:rPr>
            </w:pPr>
            <w:r>
              <w:rPr>
                <w:sz w:val="20"/>
              </w:rPr>
              <w:t>0.001</w:t>
            </w:r>
          </w:p>
        </w:tc>
        <w:tc>
          <w:tcPr>
            <w:tcW w:w="865" w:type="dxa"/>
            <w:shd w:val="clear" w:color="auto" w:fill="auto"/>
          </w:tcPr>
          <w:p w14:paraId="264D364B" w14:textId="77777777" w:rsidR="00DD4026" w:rsidRPr="008A56A7" w:rsidRDefault="00DD4026" w:rsidP="00380865">
            <w:pPr>
              <w:suppressLineNumbers/>
              <w:spacing w:beforeLines="0" w:before="0" w:afterLines="0" w:after="0" w:line="360" w:lineRule="auto"/>
              <w:jc w:val="center"/>
              <w:rPr>
                <w:sz w:val="20"/>
              </w:rPr>
            </w:pPr>
            <w:r>
              <w:rPr>
                <w:sz w:val="20"/>
              </w:rPr>
              <w:t>0</w:t>
            </w:r>
          </w:p>
        </w:tc>
      </w:tr>
      <w:tr w:rsidR="00DD4026" w14:paraId="00D45D48" w14:textId="77777777" w:rsidTr="00380865">
        <w:trPr>
          <w:gridAfter w:val="1"/>
          <w:wAfter w:w="6" w:type="dxa"/>
        </w:trPr>
        <w:tc>
          <w:tcPr>
            <w:tcW w:w="2909" w:type="dxa"/>
            <w:shd w:val="clear" w:color="auto" w:fill="auto"/>
          </w:tcPr>
          <w:p w14:paraId="5EE3D646" w14:textId="77777777" w:rsidR="00DD4026" w:rsidRDefault="00DD4026" w:rsidP="00380865">
            <w:pPr>
              <w:suppressLineNumbers/>
              <w:spacing w:beforeLines="0" w:before="0" w:afterLines="0" w:line="276" w:lineRule="auto"/>
            </w:pPr>
            <w:r>
              <w:t xml:space="preserve">BP systolic </w:t>
            </w:r>
            <w:r w:rsidRPr="007508DE">
              <w:rPr>
                <w:sz w:val="20"/>
              </w:rPr>
              <w:t>(mmHg)</w:t>
            </w:r>
          </w:p>
        </w:tc>
        <w:tc>
          <w:tcPr>
            <w:tcW w:w="1853" w:type="dxa"/>
            <w:shd w:val="clear" w:color="auto" w:fill="auto"/>
          </w:tcPr>
          <w:p w14:paraId="65A01C29" w14:textId="77777777" w:rsidR="00DD4026" w:rsidRDefault="00DD4026" w:rsidP="00380865">
            <w:pPr>
              <w:suppressLineNumbers/>
              <w:spacing w:beforeLines="0" w:before="0" w:afterLines="0" w:line="276" w:lineRule="auto"/>
              <w:jc w:val="center"/>
            </w:pPr>
            <w:r>
              <w:t xml:space="preserve">139 </w:t>
            </w:r>
            <w:r>
              <w:rPr>
                <w:sz w:val="20"/>
              </w:rPr>
              <w:t>(126</w:t>
            </w:r>
            <w:r w:rsidRPr="008A56A7">
              <w:rPr>
                <w:sz w:val="20"/>
              </w:rPr>
              <w:t>-16</w:t>
            </w:r>
            <w:r>
              <w:rPr>
                <w:sz w:val="20"/>
              </w:rPr>
              <w:t>2</w:t>
            </w:r>
            <w:r w:rsidRPr="008A56A7">
              <w:rPr>
                <w:sz w:val="20"/>
              </w:rPr>
              <w:t>)</w:t>
            </w:r>
          </w:p>
        </w:tc>
        <w:tc>
          <w:tcPr>
            <w:tcW w:w="1876" w:type="dxa"/>
            <w:shd w:val="clear" w:color="auto" w:fill="auto"/>
          </w:tcPr>
          <w:p w14:paraId="4A653DD7" w14:textId="77777777" w:rsidR="00DD4026" w:rsidRDefault="00DD4026" w:rsidP="00380865">
            <w:pPr>
              <w:suppressLineNumbers/>
              <w:spacing w:beforeLines="0" w:before="0" w:afterLines="0" w:line="276" w:lineRule="auto"/>
              <w:jc w:val="center"/>
            </w:pPr>
            <w:r>
              <w:t xml:space="preserve">136 </w:t>
            </w:r>
            <w:r>
              <w:rPr>
                <w:sz w:val="20"/>
              </w:rPr>
              <w:t>(127-160</w:t>
            </w:r>
            <w:r w:rsidRPr="008A56A7">
              <w:rPr>
                <w:sz w:val="20"/>
              </w:rPr>
              <w:t>)</w:t>
            </w:r>
          </w:p>
        </w:tc>
        <w:tc>
          <w:tcPr>
            <w:tcW w:w="1745" w:type="dxa"/>
            <w:shd w:val="clear" w:color="auto" w:fill="auto"/>
          </w:tcPr>
          <w:p w14:paraId="29023EFE" w14:textId="77777777" w:rsidR="00DD4026" w:rsidRDefault="00DD4026" w:rsidP="00380865">
            <w:pPr>
              <w:suppressLineNumbers/>
              <w:spacing w:beforeLines="0" w:before="0" w:afterLines="0" w:line="276" w:lineRule="auto"/>
              <w:jc w:val="center"/>
            </w:pPr>
            <w:r>
              <w:t xml:space="preserve">140 </w:t>
            </w:r>
            <w:r w:rsidRPr="008A56A7">
              <w:rPr>
                <w:sz w:val="20"/>
              </w:rPr>
              <w:t>(125-162)</w:t>
            </w:r>
          </w:p>
        </w:tc>
        <w:tc>
          <w:tcPr>
            <w:tcW w:w="1151" w:type="dxa"/>
            <w:shd w:val="clear" w:color="auto" w:fill="auto"/>
          </w:tcPr>
          <w:p w14:paraId="5637609A" w14:textId="77777777" w:rsidR="00DD4026" w:rsidRPr="008A56A7" w:rsidRDefault="00DD4026" w:rsidP="00380865">
            <w:pPr>
              <w:suppressLineNumbers/>
              <w:spacing w:beforeLines="0" w:before="0" w:afterLines="0" w:line="276" w:lineRule="auto"/>
              <w:jc w:val="center"/>
              <w:rPr>
                <w:sz w:val="20"/>
              </w:rPr>
            </w:pPr>
            <w:r w:rsidRPr="008A56A7">
              <w:rPr>
                <w:sz w:val="20"/>
              </w:rPr>
              <w:t>0.</w:t>
            </w:r>
            <w:r>
              <w:rPr>
                <w:sz w:val="20"/>
              </w:rPr>
              <w:t>89</w:t>
            </w:r>
          </w:p>
        </w:tc>
        <w:tc>
          <w:tcPr>
            <w:tcW w:w="865" w:type="dxa"/>
            <w:shd w:val="clear" w:color="auto" w:fill="auto"/>
          </w:tcPr>
          <w:p w14:paraId="2581D4FB"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0BCA6320" w14:textId="77777777" w:rsidTr="00380865">
        <w:trPr>
          <w:gridAfter w:val="1"/>
          <w:wAfter w:w="6" w:type="dxa"/>
        </w:trPr>
        <w:tc>
          <w:tcPr>
            <w:tcW w:w="2909" w:type="dxa"/>
            <w:shd w:val="clear" w:color="auto" w:fill="auto"/>
          </w:tcPr>
          <w:p w14:paraId="6E0B3A31" w14:textId="77777777" w:rsidR="00DD4026" w:rsidRDefault="00DD4026" w:rsidP="00380865">
            <w:pPr>
              <w:suppressLineNumbers/>
              <w:spacing w:beforeLines="0" w:before="0" w:afterLines="0" w:line="276" w:lineRule="auto"/>
            </w:pPr>
            <w:r>
              <w:t xml:space="preserve">BP diastolic </w:t>
            </w:r>
            <w:r w:rsidRPr="007508DE">
              <w:rPr>
                <w:sz w:val="20"/>
              </w:rPr>
              <w:t>(mmHg)</w:t>
            </w:r>
          </w:p>
        </w:tc>
        <w:tc>
          <w:tcPr>
            <w:tcW w:w="1853" w:type="dxa"/>
            <w:shd w:val="clear" w:color="auto" w:fill="auto"/>
          </w:tcPr>
          <w:p w14:paraId="3FC45BFE" w14:textId="77777777" w:rsidR="00DD4026" w:rsidRDefault="00DD4026" w:rsidP="00380865">
            <w:pPr>
              <w:suppressLineNumbers/>
              <w:spacing w:beforeLines="0" w:before="0" w:afterLines="0" w:line="276" w:lineRule="auto"/>
              <w:jc w:val="center"/>
            </w:pPr>
            <w:r>
              <w:t xml:space="preserve">75 </w:t>
            </w:r>
            <w:r>
              <w:rPr>
                <w:sz w:val="20"/>
              </w:rPr>
              <w:t>(66-83</w:t>
            </w:r>
            <w:r w:rsidRPr="008A56A7">
              <w:rPr>
                <w:sz w:val="20"/>
              </w:rPr>
              <w:t>)</w:t>
            </w:r>
          </w:p>
        </w:tc>
        <w:tc>
          <w:tcPr>
            <w:tcW w:w="1876" w:type="dxa"/>
            <w:shd w:val="clear" w:color="auto" w:fill="auto"/>
          </w:tcPr>
          <w:p w14:paraId="6B09FDC1" w14:textId="77777777" w:rsidR="00DD4026" w:rsidRDefault="00DD4026" w:rsidP="00380865">
            <w:pPr>
              <w:suppressLineNumbers/>
              <w:spacing w:beforeLines="0" w:before="0" w:afterLines="0" w:line="276" w:lineRule="auto"/>
              <w:jc w:val="center"/>
            </w:pPr>
            <w:r>
              <w:t xml:space="preserve">74 </w:t>
            </w:r>
            <w:r>
              <w:rPr>
                <w:sz w:val="20"/>
              </w:rPr>
              <w:t>(66-83</w:t>
            </w:r>
            <w:r w:rsidRPr="008A56A7">
              <w:rPr>
                <w:sz w:val="20"/>
              </w:rPr>
              <w:t>)</w:t>
            </w:r>
          </w:p>
        </w:tc>
        <w:tc>
          <w:tcPr>
            <w:tcW w:w="1745" w:type="dxa"/>
            <w:shd w:val="clear" w:color="auto" w:fill="auto"/>
          </w:tcPr>
          <w:p w14:paraId="7958D730" w14:textId="77777777" w:rsidR="00DD4026" w:rsidRDefault="00DD4026" w:rsidP="00380865">
            <w:pPr>
              <w:suppressLineNumbers/>
              <w:spacing w:beforeLines="0" w:before="0" w:afterLines="0" w:line="276" w:lineRule="auto"/>
              <w:jc w:val="center"/>
            </w:pPr>
            <w:r>
              <w:t xml:space="preserve">75 </w:t>
            </w:r>
            <w:r>
              <w:rPr>
                <w:sz w:val="20"/>
              </w:rPr>
              <w:t>(66</w:t>
            </w:r>
            <w:r w:rsidRPr="008A56A7">
              <w:rPr>
                <w:sz w:val="20"/>
              </w:rPr>
              <w:t>-83)</w:t>
            </w:r>
          </w:p>
        </w:tc>
        <w:tc>
          <w:tcPr>
            <w:tcW w:w="1151" w:type="dxa"/>
            <w:shd w:val="clear" w:color="auto" w:fill="auto"/>
          </w:tcPr>
          <w:p w14:paraId="604432DD" w14:textId="77777777" w:rsidR="00DD4026" w:rsidRPr="008A56A7" w:rsidRDefault="00DD4026" w:rsidP="00380865">
            <w:pPr>
              <w:suppressLineNumbers/>
              <w:spacing w:beforeLines="0" w:before="0" w:afterLines="0" w:line="276" w:lineRule="auto"/>
              <w:jc w:val="center"/>
              <w:rPr>
                <w:sz w:val="20"/>
              </w:rPr>
            </w:pPr>
            <w:r w:rsidRPr="008A56A7">
              <w:rPr>
                <w:sz w:val="20"/>
              </w:rPr>
              <w:t>0.</w:t>
            </w:r>
            <w:r>
              <w:rPr>
                <w:sz w:val="20"/>
              </w:rPr>
              <w:t>63</w:t>
            </w:r>
          </w:p>
        </w:tc>
        <w:tc>
          <w:tcPr>
            <w:tcW w:w="865" w:type="dxa"/>
            <w:shd w:val="clear" w:color="auto" w:fill="auto"/>
          </w:tcPr>
          <w:p w14:paraId="33602DD0"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700A22E1" w14:textId="77777777" w:rsidTr="00380865">
        <w:trPr>
          <w:gridAfter w:val="1"/>
          <w:wAfter w:w="6" w:type="dxa"/>
        </w:trPr>
        <w:tc>
          <w:tcPr>
            <w:tcW w:w="2909" w:type="dxa"/>
            <w:shd w:val="clear" w:color="auto" w:fill="auto"/>
          </w:tcPr>
          <w:p w14:paraId="6E497EF1" w14:textId="77777777" w:rsidR="00DD4026" w:rsidRDefault="00DD4026" w:rsidP="00380865">
            <w:pPr>
              <w:suppressLineNumbers/>
              <w:spacing w:beforeLines="0" w:before="0" w:afterLines="0" w:line="276" w:lineRule="auto"/>
            </w:pPr>
            <w:r>
              <w:t xml:space="preserve">NYHA III/IV, </w:t>
            </w:r>
            <w:r w:rsidRPr="0020419F">
              <w:t>%</w:t>
            </w:r>
            <w:r>
              <w:rPr>
                <w:sz w:val="20"/>
              </w:rPr>
              <w:t xml:space="preserve"> (N)</w:t>
            </w:r>
          </w:p>
        </w:tc>
        <w:tc>
          <w:tcPr>
            <w:tcW w:w="1853" w:type="dxa"/>
            <w:shd w:val="clear" w:color="auto" w:fill="auto"/>
          </w:tcPr>
          <w:p w14:paraId="1497C5DC" w14:textId="77777777" w:rsidR="00DD4026" w:rsidRDefault="00DD4026" w:rsidP="00380865">
            <w:pPr>
              <w:suppressLineNumbers/>
              <w:spacing w:beforeLines="0" w:before="0" w:afterLines="0" w:line="276" w:lineRule="auto"/>
              <w:jc w:val="center"/>
            </w:pPr>
            <w:r>
              <w:t xml:space="preserve">22 </w:t>
            </w:r>
            <w:r>
              <w:rPr>
                <w:sz w:val="20"/>
              </w:rPr>
              <w:t>(103</w:t>
            </w:r>
            <w:r w:rsidRPr="008A56A7">
              <w:rPr>
                <w:sz w:val="20"/>
              </w:rPr>
              <w:t>)</w:t>
            </w:r>
          </w:p>
        </w:tc>
        <w:tc>
          <w:tcPr>
            <w:tcW w:w="1876" w:type="dxa"/>
            <w:shd w:val="clear" w:color="auto" w:fill="auto"/>
          </w:tcPr>
          <w:p w14:paraId="1D8E4863" w14:textId="77777777" w:rsidR="00DD4026" w:rsidRDefault="00DD4026" w:rsidP="00380865">
            <w:pPr>
              <w:suppressLineNumbers/>
              <w:spacing w:beforeLines="0" w:before="0" w:afterLines="0" w:line="276" w:lineRule="auto"/>
              <w:jc w:val="center"/>
            </w:pPr>
            <w:r>
              <w:t xml:space="preserve">43 </w:t>
            </w:r>
            <w:r>
              <w:rPr>
                <w:sz w:val="20"/>
              </w:rPr>
              <w:t>(24</w:t>
            </w:r>
            <w:r w:rsidRPr="008A56A7">
              <w:rPr>
                <w:sz w:val="20"/>
              </w:rPr>
              <w:t>)</w:t>
            </w:r>
          </w:p>
        </w:tc>
        <w:tc>
          <w:tcPr>
            <w:tcW w:w="1745" w:type="dxa"/>
            <w:shd w:val="clear" w:color="auto" w:fill="auto"/>
          </w:tcPr>
          <w:p w14:paraId="767BD208" w14:textId="77777777" w:rsidR="00DD4026" w:rsidRDefault="00DD4026" w:rsidP="00380865">
            <w:pPr>
              <w:suppressLineNumbers/>
              <w:spacing w:beforeLines="0" w:before="0" w:afterLines="0" w:line="276" w:lineRule="auto"/>
              <w:jc w:val="center"/>
            </w:pPr>
            <w:r>
              <w:t xml:space="preserve">19 </w:t>
            </w:r>
            <w:r>
              <w:rPr>
                <w:sz w:val="20"/>
              </w:rPr>
              <w:t>(79</w:t>
            </w:r>
            <w:r w:rsidRPr="008A56A7">
              <w:rPr>
                <w:sz w:val="20"/>
              </w:rPr>
              <w:t>)</w:t>
            </w:r>
          </w:p>
        </w:tc>
        <w:tc>
          <w:tcPr>
            <w:tcW w:w="1151" w:type="dxa"/>
            <w:shd w:val="clear" w:color="auto" w:fill="auto"/>
          </w:tcPr>
          <w:p w14:paraId="07357578" w14:textId="77777777" w:rsidR="00DD4026" w:rsidRPr="008A56A7" w:rsidRDefault="00DD4026" w:rsidP="00380865">
            <w:pPr>
              <w:suppressLineNumbers/>
              <w:spacing w:beforeLines="0" w:before="0" w:afterLines="0" w:line="276" w:lineRule="auto"/>
              <w:jc w:val="center"/>
              <w:rPr>
                <w:sz w:val="20"/>
              </w:rPr>
            </w:pPr>
            <w:r w:rsidRPr="008A56A7">
              <w:rPr>
                <w:sz w:val="20"/>
              </w:rPr>
              <w:t>&lt;0.001</w:t>
            </w:r>
          </w:p>
        </w:tc>
        <w:tc>
          <w:tcPr>
            <w:tcW w:w="865" w:type="dxa"/>
            <w:shd w:val="clear" w:color="auto" w:fill="auto"/>
          </w:tcPr>
          <w:p w14:paraId="28E83A1D"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7DE8BB8E" w14:textId="77777777" w:rsidTr="00380865">
        <w:trPr>
          <w:gridAfter w:val="1"/>
          <w:wAfter w:w="6" w:type="dxa"/>
        </w:trPr>
        <w:tc>
          <w:tcPr>
            <w:tcW w:w="2909" w:type="dxa"/>
            <w:shd w:val="clear" w:color="auto" w:fill="auto"/>
          </w:tcPr>
          <w:p w14:paraId="4FE9025B" w14:textId="77777777" w:rsidR="00DD4026" w:rsidRDefault="00DD4026" w:rsidP="00380865">
            <w:pPr>
              <w:suppressLineNumbers/>
              <w:spacing w:beforeLines="0" w:before="0" w:afterLines="0" w:line="276" w:lineRule="auto"/>
            </w:pPr>
            <w:proofErr w:type="spellStart"/>
            <w:r>
              <w:t>HeFREF</w:t>
            </w:r>
            <w:proofErr w:type="spellEnd"/>
            <w:r>
              <w:t xml:space="preserve">, </w:t>
            </w:r>
            <w:r w:rsidRPr="0020419F">
              <w:t>%</w:t>
            </w:r>
            <w:r>
              <w:rPr>
                <w:sz w:val="20"/>
              </w:rPr>
              <w:t xml:space="preserve"> (N)</w:t>
            </w:r>
          </w:p>
        </w:tc>
        <w:tc>
          <w:tcPr>
            <w:tcW w:w="1853" w:type="dxa"/>
            <w:shd w:val="clear" w:color="auto" w:fill="auto"/>
          </w:tcPr>
          <w:p w14:paraId="390C3733" w14:textId="77777777" w:rsidR="00DD4026" w:rsidRDefault="00DD4026" w:rsidP="00380865">
            <w:pPr>
              <w:suppressLineNumbers/>
              <w:spacing w:beforeLines="0" w:before="0" w:afterLines="0" w:line="276" w:lineRule="auto"/>
              <w:jc w:val="center"/>
            </w:pPr>
            <w:r>
              <w:t xml:space="preserve">62 </w:t>
            </w:r>
            <w:r>
              <w:rPr>
                <w:sz w:val="20"/>
              </w:rPr>
              <w:t>(291</w:t>
            </w:r>
            <w:r w:rsidRPr="008A56A7">
              <w:rPr>
                <w:sz w:val="20"/>
              </w:rPr>
              <w:t>)</w:t>
            </w:r>
          </w:p>
        </w:tc>
        <w:tc>
          <w:tcPr>
            <w:tcW w:w="1876" w:type="dxa"/>
            <w:shd w:val="clear" w:color="auto" w:fill="auto"/>
          </w:tcPr>
          <w:p w14:paraId="24AE66B6" w14:textId="77777777" w:rsidR="00DD4026" w:rsidRDefault="00DD4026" w:rsidP="00380865">
            <w:pPr>
              <w:suppressLineNumbers/>
              <w:spacing w:beforeLines="0" w:before="0" w:afterLines="0" w:line="276" w:lineRule="auto"/>
              <w:jc w:val="center"/>
            </w:pPr>
            <w:r>
              <w:t xml:space="preserve">63 </w:t>
            </w:r>
            <w:r>
              <w:rPr>
                <w:sz w:val="20"/>
              </w:rPr>
              <w:t>(35</w:t>
            </w:r>
            <w:r w:rsidRPr="008A56A7">
              <w:rPr>
                <w:sz w:val="20"/>
              </w:rPr>
              <w:t>)</w:t>
            </w:r>
          </w:p>
        </w:tc>
        <w:tc>
          <w:tcPr>
            <w:tcW w:w="1745" w:type="dxa"/>
            <w:shd w:val="clear" w:color="auto" w:fill="auto"/>
          </w:tcPr>
          <w:p w14:paraId="51A71D06" w14:textId="77777777" w:rsidR="00DD4026" w:rsidRDefault="00DD4026" w:rsidP="00380865">
            <w:pPr>
              <w:suppressLineNumbers/>
              <w:spacing w:beforeLines="0" w:before="0" w:afterLines="0" w:line="276" w:lineRule="auto"/>
              <w:jc w:val="center"/>
            </w:pPr>
            <w:r>
              <w:t xml:space="preserve">62 </w:t>
            </w:r>
            <w:r>
              <w:rPr>
                <w:sz w:val="20"/>
              </w:rPr>
              <w:t>(256</w:t>
            </w:r>
            <w:r w:rsidRPr="008A56A7">
              <w:rPr>
                <w:sz w:val="20"/>
              </w:rPr>
              <w:t>)</w:t>
            </w:r>
          </w:p>
        </w:tc>
        <w:tc>
          <w:tcPr>
            <w:tcW w:w="1151" w:type="dxa"/>
            <w:shd w:val="clear" w:color="auto" w:fill="auto"/>
          </w:tcPr>
          <w:p w14:paraId="13113EE8" w14:textId="77777777" w:rsidR="00DD4026" w:rsidRPr="008A56A7" w:rsidRDefault="00DD4026" w:rsidP="00380865">
            <w:pPr>
              <w:suppressLineNumbers/>
              <w:spacing w:beforeLines="0" w:before="0" w:afterLines="0" w:line="276" w:lineRule="auto"/>
              <w:jc w:val="center"/>
              <w:rPr>
                <w:sz w:val="20"/>
              </w:rPr>
            </w:pPr>
            <w:r w:rsidRPr="008A56A7">
              <w:rPr>
                <w:sz w:val="20"/>
              </w:rPr>
              <w:t>0.</w:t>
            </w:r>
            <w:r>
              <w:rPr>
                <w:sz w:val="20"/>
              </w:rPr>
              <w:t>37</w:t>
            </w:r>
          </w:p>
        </w:tc>
        <w:tc>
          <w:tcPr>
            <w:tcW w:w="865" w:type="dxa"/>
            <w:shd w:val="clear" w:color="auto" w:fill="auto"/>
          </w:tcPr>
          <w:p w14:paraId="17A707F3"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12A4CCE3" w14:textId="77777777" w:rsidTr="00380865">
        <w:trPr>
          <w:gridAfter w:val="1"/>
          <w:wAfter w:w="6" w:type="dxa"/>
        </w:trPr>
        <w:tc>
          <w:tcPr>
            <w:tcW w:w="2909" w:type="dxa"/>
            <w:shd w:val="clear" w:color="auto" w:fill="auto"/>
          </w:tcPr>
          <w:p w14:paraId="64704553" w14:textId="77777777" w:rsidR="00DD4026" w:rsidRDefault="00DD4026" w:rsidP="00380865">
            <w:pPr>
              <w:suppressLineNumbers/>
              <w:spacing w:beforeLines="0" w:before="0" w:afterLines="0" w:line="276" w:lineRule="auto"/>
            </w:pPr>
            <w:r>
              <w:t xml:space="preserve">LVEF </w:t>
            </w:r>
            <w:r w:rsidRPr="00FE578B">
              <w:rPr>
                <w:sz w:val="20"/>
              </w:rPr>
              <w:t>(%)</w:t>
            </w:r>
          </w:p>
        </w:tc>
        <w:tc>
          <w:tcPr>
            <w:tcW w:w="1853" w:type="dxa"/>
            <w:shd w:val="clear" w:color="auto" w:fill="auto"/>
          </w:tcPr>
          <w:p w14:paraId="42205C0A" w14:textId="77777777" w:rsidR="00DD4026" w:rsidRDefault="00DD4026" w:rsidP="00380865">
            <w:pPr>
              <w:suppressLineNumbers/>
              <w:spacing w:beforeLines="0" w:before="0" w:afterLines="0" w:line="276" w:lineRule="auto"/>
              <w:jc w:val="center"/>
            </w:pPr>
            <w:r>
              <w:t xml:space="preserve">45 </w:t>
            </w:r>
            <w:r>
              <w:rPr>
                <w:sz w:val="20"/>
              </w:rPr>
              <w:t>(35-54</w:t>
            </w:r>
            <w:r w:rsidRPr="008A56A7">
              <w:rPr>
                <w:sz w:val="20"/>
              </w:rPr>
              <w:t>)</w:t>
            </w:r>
          </w:p>
        </w:tc>
        <w:tc>
          <w:tcPr>
            <w:tcW w:w="1876" w:type="dxa"/>
            <w:shd w:val="clear" w:color="auto" w:fill="auto"/>
          </w:tcPr>
          <w:p w14:paraId="6E77D222" w14:textId="77777777" w:rsidR="00DD4026" w:rsidRDefault="00DD4026" w:rsidP="00380865">
            <w:pPr>
              <w:suppressLineNumbers/>
              <w:spacing w:beforeLines="0" w:before="0" w:afterLines="0" w:line="276" w:lineRule="auto"/>
              <w:jc w:val="center"/>
            </w:pPr>
            <w:r>
              <w:t xml:space="preserve">44 </w:t>
            </w:r>
            <w:r>
              <w:rPr>
                <w:sz w:val="20"/>
              </w:rPr>
              <w:t>(34-51</w:t>
            </w:r>
            <w:r w:rsidRPr="008A56A7">
              <w:rPr>
                <w:sz w:val="20"/>
              </w:rPr>
              <w:t>)</w:t>
            </w:r>
          </w:p>
        </w:tc>
        <w:tc>
          <w:tcPr>
            <w:tcW w:w="1745" w:type="dxa"/>
            <w:shd w:val="clear" w:color="auto" w:fill="auto"/>
          </w:tcPr>
          <w:p w14:paraId="05C54EC7" w14:textId="77777777" w:rsidR="00DD4026" w:rsidRDefault="00DD4026" w:rsidP="00380865">
            <w:pPr>
              <w:suppressLineNumbers/>
              <w:spacing w:beforeLines="0" w:before="0" w:afterLines="0" w:line="276" w:lineRule="auto"/>
              <w:jc w:val="center"/>
            </w:pPr>
            <w:r>
              <w:t xml:space="preserve">45 </w:t>
            </w:r>
            <w:r w:rsidRPr="008A56A7">
              <w:rPr>
                <w:sz w:val="20"/>
              </w:rPr>
              <w:t>(35-54)</w:t>
            </w:r>
          </w:p>
        </w:tc>
        <w:tc>
          <w:tcPr>
            <w:tcW w:w="1151" w:type="dxa"/>
            <w:shd w:val="clear" w:color="auto" w:fill="auto"/>
          </w:tcPr>
          <w:p w14:paraId="7D6BD579" w14:textId="77777777" w:rsidR="00DD4026" w:rsidRPr="008A56A7" w:rsidRDefault="00DD4026" w:rsidP="00380865">
            <w:pPr>
              <w:suppressLineNumbers/>
              <w:spacing w:beforeLines="0" w:before="0" w:afterLines="0" w:line="276" w:lineRule="auto"/>
              <w:jc w:val="center"/>
              <w:rPr>
                <w:sz w:val="20"/>
              </w:rPr>
            </w:pPr>
            <w:r w:rsidRPr="008A56A7">
              <w:rPr>
                <w:sz w:val="20"/>
              </w:rPr>
              <w:t>0.31</w:t>
            </w:r>
          </w:p>
        </w:tc>
        <w:tc>
          <w:tcPr>
            <w:tcW w:w="865" w:type="dxa"/>
            <w:shd w:val="clear" w:color="auto" w:fill="auto"/>
          </w:tcPr>
          <w:p w14:paraId="2CE9711A" w14:textId="77777777" w:rsidR="00DD4026" w:rsidRPr="008A56A7" w:rsidRDefault="00DD4026" w:rsidP="00380865">
            <w:pPr>
              <w:suppressLineNumbers/>
              <w:spacing w:beforeLines="0" w:before="0" w:afterLines="0" w:line="276" w:lineRule="auto"/>
              <w:jc w:val="center"/>
              <w:rPr>
                <w:sz w:val="20"/>
              </w:rPr>
            </w:pPr>
            <w:r w:rsidRPr="008A56A7">
              <w:rPr>
                <w:sz w:val="20"/>
              </w:rPr>
              <w:t>160</w:t>
            </w:r>
          </w:p>
        </w:tc>
      </w:tr>
      <w:tr w:rsidR="00DD4026" w14:paraId="6A7CDDC7" w14:textId="77777777" w:rsidTr="00380865">
        <w:trPr>
          <w:gridAfter w:val="1"/>
          <w:wAfter w:w="6" w:type="dxa"/>
        </w:trPr>
        <w:tc>
          <w:tcPr>
            <w:tcW w:w="2909" w:type="dxa"/>
            <w:shd w:val="clear" w:color="auto" w:fill="auto"/>
          </w:tcPr>
          <w:p w14:paraId="5754DD28" w14:textId="77777777" w:rsidR="00DD4026" w:rsidRDefault="00DD4026" w:rsidP="00380865">
            <w:pPr>
              <w:suppressLineNumbers/>
              <w:spacing w:beforeLines="0" w:before="0" w:afterLines="0" w:line="276" w:lineRule="auto"/>
            </w:pPr>
            <w:r>
              <w:t xml:space="preserve">Height </w:t>
            </w:r>
            <w:r w:rsidRPr="007508DE">
              <w:rPr>
                <w:sz w:val="20"/>
              </w:rPr>
              <w:t>(m)</w:t>
            </w:r>
          </w:p>
        </w:tc>
        <w:tc>
          <w:tcPr>
            <w:tcW w:w="1853" w:type="dxa"/>
            <w:shd w:val="clear" w:color="auto" w:fill="auto"/>
          </w:tcPr>
          <w:p w14:paraId="6DB52650" w14:textId="77777777" w:rsidR="00DD4026" w:rsidRDefault="00DD4026" w:rsidP="00380865">
            <w:pPr>
              <w:suppressLineNumbers/>
              <w:spacing w:beforeLines="0" w:before="0" w:afterLines="0" w:line="276" w:lineRule="auto"/>
              <w:jc w:val="center"/>
            </w:pPr>
            <w:r>
              <w:t xml:space="preserve">1.68 </w:t>
            </w:r>
            <w:r>
              <w:rPr>
                <w:sz w:val="20"/>
              </w:rPr>
              <w:t>(1.61-1.75</w:t>
            </w:r>
            <w:r w:rsidRPr="008A56A7">
              <w:rPr>
                <w:sz w:val="20"/>
              </w:rPr>
              <w:t>)</w:t>
            </w:r>
          </w:p>
        </w:tc>
        <w:tc>
          <w:tcPr>
            <w:tcW w:w="1876" w:type="dxa"/>
            <w:shd w:val="clear" w:color="auto" w:fill="auto"/>
          </w:tcPr>
          <w:p w14:paraId="598BC2A6" w14:textId="77777777" w:rsidR="00DD4026" w:rsidRDefault="00DD4026" w:rsidP="00380865">
            <w:pPr>
              <w:suppressLineNumbers/>
              <w:spacing w:beforeLines="0" w:before="0" w:afterLines="0" w:line="276" w:lineRule="auto"/>
              <w:jc w:val="center"/>
            </w:pPr>
            <w:r>
              <w:t xml:space="preserve">1.69 </w:t>
            </w:r>
            <w:r w:rsidRPr="008A56A7">
              <w:rPr>
                <w:sz w:val="20"/>
              </w:rPr>
              <w:t>(1.60-1.7</w:t>
            </w:r>
            <w:r>
              <w:rPr>
                <w:sz w:val="20"/>
              </w:rPr>
              <w:t>5</w:t>
            </w:r>
            <w:r w:rsidRPr="008A56A7">
              <w:rPr>
                <w:sz w:val="20"/>
              </w:rPr>
              <w:t>)</w:t>
            </w:r>
          </w:p>
        </w:tc>
        <w:tc>
          <w:tcPr>
            <w:tcW w:w="1745" w:type="dxa"/>
            <w:shd w:val="clear" w:color="auto" w:fill="auto"/>
          </w:tcPr>
          <w:p w14:paraId="61B7303F" w14:textId="77777777" w:rsidR="00DD4026" w:rsidRDefault="00DD4026" w:rsidP="00380865">
            <w:pPr>
              <w:suppressLineNumbers/>
              <w:spacing w:beforeLines="0" w:before="0" w:afterLines="0" w:line="276" w:lineRule="auto"/>
              <w:jc w:val="center"/>
            </w:pPr>
            <w:r>
              <w:t xml:space="preserve">1.68 </w:t>
            </w:r>
            <w:r w:rsidRPr="008A56A7">
              <w:rPr>
                <w:sz w:val="20"/>
              </w:rPr>
              <w:t>(1.61-1.75)</w:t>
            </w:r>
          </w:p>
        </w:tc>
        <w:tc>
          <w:tcPr>
            <w:tcW w:w="1151" w:type="dxa"/>
            <w:shd w:val="clear" w:color="auto" w:fill="auto"/>
          </w:tcPr>
          <w:p w14:paraId="4BC2C7D6" w14:textId="77777777" w:rsidR="00DD4026" w:rsidRPr="008A56A7" w:rsidRDefault="00DD4026" w:rsidP="00380865">
            <w:pPr>
              <w:suppressLineNumbers/>
              <w:spacing w:beforeLines="0" w:before="0" w:afterLines="0" w:line="276" w:lineRule="auto"/>
              <w:jc w:val="center"/>
              <w:rPr>
                <w:sz w:val="20"/>
              </w:rPr>
            </w:pPr>
            <w:r w:rsidRPr="008A56A7">
              <w:rPr>
                <w:sz w:val="20"/>
              </w:rPr>
              <w:t>0.</w:t>
            </w:r>
            <w:r>
              <w:rPr>
                <w:sz w:val="20"/>
              </w:rPr>
              <w:t>68</w:t>
            </w:r>
          </w:p>
        </w:tc>
        <w:tc>
          <w:tcPr>
            <w:tcW w:w="865" w:type="dxa"/>
            <w:shd w:val="clear" w:color="auto" w:fill="auto"/>
          </w:tcPr>
          <w:p w14:paraId="0A794C9D"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4D1D08E5" w14:textId="77777777" w:rsidTr="00380865">
        <w:trPr>
          <w:gridAfter w:val="1"/>
          <w:wAfter w:w="6" w:type="dxa"/>
        </w:trPr>
        <w:tc>
          <w:tcPr>
            <w:tcW w:w="2909" w:type="dxa"/>
            <w:shd w:val="clear" w:color="auto" w:fill="auto"/>
          </w:tcPr>
          <w:p w14:paraId="535504B7" w14:textId="77777777" w:rsidR="00DD4026" w:rsidRDefault="00DD4026" w:rsidP="00380865">
            <w:pPr>
              <w:suppressLineNumbers/>
              <w:spacing w:beforeLines="0" w:before="0" w:afterLines="0" w:line="276" w:lineRule="auto"/>
            </w:pPr>
            <w:r>
              <w:t xml:space="preserve">Weight </w:t>
            </w:r>
            <w:r w:rsidRPr="007508DE">
              <w:rPr>
                <w:sz w:val="20"/>
              </w:rPr>
              <w:t>(kg)</w:t>
            </w:r>
          </w:p>
        </w:tc>
        <w:tc>
          <w:tcPr>
            <w:tcW w:w="1853" w:type="dxa"/>
            <w:shd w:val="clear" w:color="auto" w:fill="auto"/>
          </w:tcPr>
          <w:p w14:paraId="7FA2D01F" w14:textId="77777777" w:rsidR="00DD4026" w:rsidRDefault="00DD4026" w:rsidP="00380865">
            <w:pPr>
              <w:suppressLineNumbers/>
              <w:spacing w:beforeLines="0" w:before="0" w:afterLines="0" w:line="276" w:lineRule="auto"/>
              <w:jc w:val="center"/>
            </w:pPr>
            <w:r>
              <w:t xml:space="preserve">83 </w:t>
            </w:r>
            <w:r>
              <w:rPr>
                <w:sz w:val="20"/>
              </w:rPr>
              <w:t>(69-99</w:t>
            </w:r>
            <w:r w:rsidRPr="008A56A7">
              <w:rPr>
                <w:sz w:val="20"/>
              </w:rPr>
              <w:t>)</w:t>
            </w:r>
          </w:p>
        </w:tc>
        <w:tc>
          <w:tcPr>
            <w:tcW w:w="1876" w:type="dxa"/>
            <w:shd w:val="clear" w:color="auto" w:fill="auto"/>
          </w:tcPr>
          <w:p w14:paraId="241727D4" w14:textId="77777777" w:rsidR="00DD4026" w:rsidRDefault="00DD4026" w:rsidP="00380865">
            <w:pPr>
              <w:suppressLineNumbers/>
              <w:spacing w:beforeLines="0" w:before="0" w:afterLines="0" w:line="276" w:lineRule="auto"/>
              <w:jc w:val="center"/>
            </w:pPr>
            <w:r>
              <w:t xml:space="preserve">77 </w:t>
            </w:r>
            <w:r>
              <w:rPr>
                <w:sz w:val="20"/>
              </w:rPr>
              <w:t>(66-89</w:t>
            </w:r>
            <w:r w:rsidRPr="008A56A7">
              <w:rPr>
                <w:sz w:val="20"/>
              </w:rPr>
              <w:t>)</w:t>
            </w:r>
          </w:p>
        </w:tc>
        <w:tc>
          <w:tcPr>
            <w:tcW w:w="1745" w:type="dxa"/>
            <w:shd w:val="clear" w:color="auto" w:fill="auto"/>
          </w:tcPr>
          <w:p w14:paraId="275FBF84" w14:textId="77777777" w:rsidR="00DD4026" w:rsidRDefault="00DD4026" w:rsidP="00380865">
            <w:pPr>
              <w:suppressLineNumbers/>
              <w:spacing w:beforeLines="0" w:before="0" w:afterLines="0" w:line="276" w:lineRule="auto"/>
              <w:jc w:val="center"/>
            </w:pPr>
            <w:r>
              <w:t xml:space="preserve">83 </w:t>
            </w:r>
            <w:r>
              <w:rPr>
                <w:sz w:val="20"/>
              </w:rPr>
              <w:t>(69</w:t>
            </w:r>
            <w:r w:rsidRPr="008A56A7">
              <w:rPr>
                <w:sz w:val="20"/>
              </w:rPr>
              <w:t>-100)</w:t>
            </w:r>
          </w:p>
        </w:tc>
        <w:tc>
          <w:tcPr>
            <w:tcW w:w="1151" w:type="dxa"/>
            <w:shd w:val="clear" w:color="auto" w:fill="auto"/>
          </w:tcPr>
          <w:p w14:paraId="1F42FA14" w14:textId="77777777" w:rsidR="00DD4026" w:rsidRPr="008A56A7" w:rsidRDefault="00DD4026" w:rsidP="00380865">
            <w:pPr>
              <w:suppressLineNumbers/>
              <w:spacing w:beforeLines="0" w:before="0" w:afterLines="0" w:line="276" w:lineRule="auto"/>
              <w:jc w:val="center"/>
              <w:rPr>
                <w:sz w:val="20"/>
              </w:rPr>
            </w:pPr>
            <w:r>
              <w:rPr>
                <w:sz w:val="20"/>
              </w:rPr>
              <w:t>0.009</w:t>
            </w:r>
          </w:p>
        </w:tc>
        <w:tc>
          <w:tcPr>
            <w:tcW w:w="865" w:type="dxa"/>
            <w:shd w:val="clear" w:color="auto" w:fill="auto"/>
          </w:tcPr>
          <w:p w14:paraId="6780A3E9"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382E4C04" w14:textId="77777777" w:rsidTr="00380865">
        <w:trPr>
          <w:gridAfter w:val="1"/>
          <w:wAfter w:w="6" w:type="dxa"/>
        </w:trPr>
        <w:tc>
          <w:tcPr>
            <w:tcW w:w="2909" w:type="dxa"/>
            <w:tcBorders>
              <w:bottom w:val="single" w:sz="4" w:space="0" w:color="auto"/>
            </w:tcBorders>
            <w:shd w:val="clear" w:color="auto" w:fill="auto"/>
          </w:tcPr>
          <w:p w14:paraId="6DEB1E91" w14:textId="77777777" w:rsidR="00DD4026" w:rsidRDefault="00DD4026" w:rsidP="00380865">
            <w:pPr>
              <w:suppressLineNumbers/>
              <w:spacing w:beforeLines="0" w:before="0" w:afterLines="0" w:line="276" w:lineRule="auto"/>
            </w:pPr>
            <w:r>
              <w:t xml:space="preserve">BMI </w:t>
            </w:r>
            <w:r w:rsidRPr="007508DE">
              <w:rPr>
                <w:sz w:val="20"/>
              </w:rPr>
              <w:t>(kg/m</w:t>
            </w:r>
            <w:r w:rsidRPr="007508DE">
              <w:rPr>
                <w:sz w:val="20"/>
                <w:vertAlign w:val="superscript"/>
              </w:rPr>
              <w:t>2</w:t>
            </w:r>
            <w:r w:rsidRPr="007508DE">
              <w:rPr>
                <w:sz w:val="20"/>
              </w:rPr>
              <w:t>)</w:t>
            </w:r>
          </w:p>
        </w:tc>
        <w:tc>
          <w:tcPr>
            <w:tcW w:w="1853" w:type="dxa"/>
            <w:tcBorders>
              <w:bottom w:val="single" w:sz="4" w:space="0" w:color="auto"/>
            </w:tcBorders>
            <w:shd w:val="clear" w:color="auto" w:fill="auto"/>
          </w:tcPr>
          <w:p w14:paraId="700097A9" w14:textId="77777777" w:rsidR="00DD4026" w:rsidRDefault="00DD4026" w:rsidP="00380865">
            <w:pPr>
              <w:suppressLineNumbers/>
              <w:spacing w:beforeLines="0" w:before="0" w:afterLines="0" w:line="276" w:lineRule="auto"/>
              <w:jc w:val="center"/>
            </w:pPr>
            <w:r>
              <w:t xml:space="preserve">29 </w:t>
            </w:r>
            <w:r w:rsidRPr="008A56A7">
              <w:rPr>
                <w:sz w:val="20"/>
              </w:rPr>
              <w:t>(2</w:t>
            </w:r>
            <w:r>
              <w:rPr>
                <w:sz w:val="20"/>
              </w:rPr>
              <w:t>5-33</w:t>
            </w:r>
            <w:r w:rsidRPr="008A56A7">
              <w:rPr>
                <w:sz w:val="20"/>
              </w:rPr>
              <w:t>)</w:t>
            </w:r>
          </w:p>
        </w:tc>
        <w:tc>
          <w:tcPr>
            <w:tcW w:w="1876" w:type="dxa"/>
            <w:tcBorders>
              <w:bottom w:val="single" w:sz="4" w:space="0" w:color="auto"/>
            </w:tcBorders>
            <w:shd w:val="clear" w:color="auto" w:fill="auto"/>
          </w:tcPr>
          <w:p w14:paraId="61C71951" w14:textId="77777777" w:rsidR="00DD4026" w:rsidRDefault="00DD4026" w:rsidP="00380865">
            <w:pPr>
              <w:suppressLineNumbers/>
              <w:spacing w:beforeLines="0" w:before="0" w:afterLines="0" w:line="276" w:lineRule="auto"/>
              <w:jc w:val="center"/>
            </w:pPr>
            <w:r>
              <w:t xml:space="preserve">27 </w:t>
            </w:r>
            <w:r w:rsidRPr="008A56A7">
              <w:rPr>
                <w:sz w:val="20"/>
              </w:rPr>
              <w:t>(2</w:t>
            </w:r>
            <w:r>
              <w:rPr>
                <w:sz w:val="20"/>
              </w:rPr>
              <w:t>3-30</w:t>
            </w:r>
            <w:r w:rsidRPr="008A56A7">
              <w:rPr>
                <w:sz w:val="20"/>
              </w:rPr>
              <w:t>)</w:t>
            </w:r>
          </w:p>
        </w:tc>
        <w:tc>
          <w:tcPr>
            <w:tcW w:w="1745" w:type="dxa"/>
            <w:tcBorders>
              <w:bottom w:val="single" w:sz="4" w:space="0" w:color="auto"/>
            </w:tcBorders>
            <w:shd w:val="clear" w:color="auto" w:fill="auto"/>
          </w:tcPr>
          <w:p w14:paraId="2E231A0F" w14:textId="77777777" w:rsidR="00DD4026" w:rsidRDefault="00DD4026" w:rsidP="00380865">
            <w:pPr>
              <w:suppressLineNumbers/>
              <w:spacing w:beforeLines="0" w:before="0" w:afterLines="0" w:line="276" w:lineRule="auto"/>
              <w:jc w:val="center"/>
            </w:pPr>
            <w:r>
              <w:t xml:space="preserve">29 </w:t>
            </w:r>
            <w:r w:rsidRPr="008A56A7">
              <w:rPr>
                <w:sz w:val="20"/>
              </w:rPr>
              <w:t>(26-33)</w:t>
            </w:r>
          </w:p>
        </w:tc>
        <w:tc>
          <w:tcPr>
            <w:tcW w:w="1151" w:type="dxa"/>
            <w:tcBorders>
              <w:bottom w:val="single" w:sz="4" w:space="0" w:color="auto"/>
            </w:tcBorders>
            <w:shd w:val="clear" w:color="auto" w:fill="auto"/>
          </w:tcPr>
          <w:p w14:paraId="13AB7EEE" w14:textId="77777777" w:rsidR="00DD4026" w:rsidRPr="008A56A7" w:rsidRDefault="00DD4026" w:rsidP="00380865">
            <w:pPr>
              <w:suppressLineNumbers/>
              <w:spacing w:beforeLines="0" w:before="0" w:afterLines="0" w:line="276" w:lineRule="auto"/>
              <w:jc w:val="center"/>
              <w:rPr>
                <w:sz w:val="20"/>
              </w:rPr>
            </w:pPr>
            <w:r>
              <w:rPr>
                <w:sz w:val="20"/>
              </w:rPr>
              <w:t>0.004</w:t>
            </w:r>
          </w:p>
        </w:tc>
        <w:tc>
          <w:tcPr>
            <w:tcW w:w="865" w:type="dxa"/>
            <w:tcBorders>
              <w:bottom w:val="single" w:sz="4" w:space="0" w:color="auto"/>
            </w:tcBorders>
            <w:shd w:val="clear" w:color="auto" w:fill="auto"/>
          </w:tcPr>
          <w:p w14:paraId="35311CE5"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6D00FC3A" w14:textId="77777777" w:rsidTr="00380865">
        <w:tc>
          <w:tcPr>
            <w:tcW w:w="10405" w:type="dxa"/>
            <w:gridSpan w:val="7"/>
            <w:tcBorders>
              <w:top w:val="single" w:sz="4" w:space="0" w:color="auto"/>
              <w:bottom w:val="single" w:sz="4" w:space="0" w:color="auto"/>
            </w:tcBorders>
            <w:shd w:val="clear" w:color="auto" w:fill="auto"/>
          </w:tcPr>
          <w:p w14:paraId="63271296" w14:textId="77777777" w:rsidR="00DD4026" w:rsidRPr="008A56A7" w:rsidRDefault="00DD4026" w:rsidP="00380865">
            <w:pPr>
              <w:suppressLineNumbers/>
              <w:spacing w:beforeLines="0" w:afterLines="0" w:line="276" w:lineRule="auto"/>
              <w:rPr>
                <w:sz w:val="20"/>
              </w:rPr>
            </w:pPr>
            <w:r>
              <w:t>Comorbidities</w:t>
            </w:r>
          </w:p>
        </w:tc>
      </w:tr>
      <w:tr w:rsidR="00DD4026" w14:paraId="1CF36CAE" w14:textId="77777777" w:rsidTr="00380865">
        <w:trPr>
          <w:gridAfter w:val="1"/>
          <w:wAfter w:w="6" w:type="dxa"/>
        </w:trPr>
        <w:tc>
          <w:tcPr>
            <w:tcW w:w="2909" w:type="dxa"/>
            <w:tcBorders>
              <w:top w:val="single" w:sz="4" w:space="0" w:color="auto"/>
            </w:tcBorders>
            <w:shd w:val="clear" w:color="auto" w:fill="auto"/>
          </w:tcPr>
          <w:p w14:paraId="59D920F3" w14:textId="77777777" w:rsidR="00DD4026" w:rsidRDefault="00DD4026" w:rsidP="00380865">
            <w:pPr>
              <w:suppressLineNumbers/>
              <w:spacing w:beforeLines="0" w:before="0" w:afterLines="0" w:line="276" w:lineRule="auto"/>
            </w:pPr>
            <w:proofErr w:type="spellStart"/>
            <w:r>
              <w:t>Charlson</w:t>
            </w:r>
            <w:proofErr w:type="spellEnd"/>
            <w:r>
              <w:t xml:space="preserve"> score</w:t>
            </w:r>
          </w:p>
        </w:tc>
        <w:tc>
          <w:tcPr>
            <w:tcW w:w="1853" w:type="dxa"/>
            <w:tcBorders>
              <w:top w:val="single" w:sz="4" w:space="0" w:color="auto"/>
            </w:tcBorders>
            <w:shd w:val="clear" w:color="auto" w:fill="auto"/>
          </w:tcPr>
          <w:p w14:paraId="79D1E90F" w14:textId="77777777" w:rsidR="00DD4026" w:rsidRDefault="00DD4026" w:rsidP="00380865">
            <w:pPr>
              <w:suppressLineNumbers/>
              <w:spacing w:beforeLines="0" w:before="0" w:afterLines="0" w:line="276" w:lineRule="auto"/>
              <w:jc w:val="center"/>
            </w:pPr>
            <w:r>
              <w:t xml:space="preserve">8 </w:t>
            </w:r>
            <w:r>
              <w:rPr>
                <w:sz w:val="20"/>
              </w:rPr>
              <w:t>(6-10</w:t>
            </w:r>
            <w:r w:rsidRPr="008A56A7">
              <w:rPr>
                <w:sz w:val="20"/>
              </w:rPr>
              <w:t>)</w:t>
            </w:r>
          </w:p>
        </w:tc>
        <w:tc>
          <w:tcPr>
            <w:tcW w:w="1876" w:type="dxa"/>
            <w:tcBorders>
              <w:top w:val="single" w:sz="4" w:space="0" w:color="auto"/>
            </w:tcBorders>
            <w:shd w:val="clear" w:color="auto" w:fill="auto"/>
          </w:tcPr>
          <w:p w14:paraId="04E6DC0A" w14:textId="77777777" w:rsidR="00DD4026" w:rsidRDefault="00DD4026" w:rsidP="00380865">
            <w:pPr>
              <w:suppressLineNumbers/>
              <w:spacing w:beforeLines="0" w:before="0" w:afterLines="0" w:line="276" w:lineRule="auto"/>
              <w:jc w:val="center"/>
            </w:pPr>
            <w:r>
              <w:t xml:space="preserve">10 </w:t>
            </w:r>
            <w:r>
              <w:rPr>
                <w:sz w:val="20"/>
              </w:rPr>
              <w:t>(9-12</w:t>
            </w:r>
            <w:r w:rsidRPr="008A56A7">
              <w:rPr>
                <w:sz w:val="20"/>
              </w:rPr>
              <w:t>)</w:t>
            </w:r>
          </w:p>
        </w:tc>
        <w:tc>
          <w:tcPr>
            <w:tcW w:w="1745" w:type="dxa"/>
            <w:tcBorders>
              <w:top w:val="single" w:sz="4" w:space="0" w:color="auto"/>
            </w:tcBorders>
            <w:shd w:val="clear" w:color="auto" w:fill="auto"/>
          </w:tcPr>
          <w:p w14:paraId="27941B37" w14:textId="77777777" w:rsidR="00DD4026" w:rsidRDefault="00DD4026" w:rsidP="00380865">
            <w:pPr>
              <w:suppressLineNumbers/>
              <w:spacing w:beforeLines="0" w:before="0" w:afterLines="0" w:line="276" w:lineRule="auto"/>
              <w:jc w:val="center"/>
            </w:pPr>
            <w:r>
              <w:t xml:space="preserve">8 </w:t>
            </w:r>
            <w:r w:rsidRPr="008A56A7">
              <w:rPr>
                <w:sz w:val="20"/>
              </w:rPr>
              <w:t>(6-10)</w:t>
            </w:r>
          </w:p>
        </w:tc>
        <w:tc>
          <w:tcPr>
            <w:tcW w:w="1151" w:type="dxa"/>
            <w:tcBorders>
              <w:top w:val="single" w:sz="4" w:space="0" w:color="auto"/>
            </w:tcBorders>
            <w:shd w:val="clear" w:color="auto" w:fill="auto"/>
          </w:tcPr>
          <w:p w14:paraId="77E4CD91" w14:textId="77777777" w:rsidR="00DD4026" w:rsidRPr="008A56A7" w:rsidRDefault="00DD4026" w:rsidP="00380865">
            <w:pPr>
              <w:suppressLineNumbers/>
              <w:spacing w:beforeLines="0" w:before="0" w:afterLines="0" w:line="276" w:lineRule="auto"/>
              <w:jc w:val="center"/>
              <w:rPr>
                <w:sz w:val="20"/>
              </w:rPr>
            </w:pPr>
            <w:r w:rsidRPr="008A56A7">
              <w:rPr>
                <w:sz w:val="20"/>
              </w:rPr>
              <w:t>&lt;0.001</w:t>
            </w:r>
          </w:p>
        </w:tc>
        <w:tc>
          <w:tcPr>
            <w:tcW w:w="865" w:type="dxa"/>
            <w:tcBorders>
              <w:top w:val="single" w:sz="4" w:space="0" w:color="auto"/>
            </w:tcBorders>
            <w:shd w:val="clear" w:color="auto" w:fill="auto"/>
          </w:tcPr>
          <w:p w14:paraId="1FAF238C"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032D39EE" w14:textId="77777777" w:rsidTr="00380865">
        <w:trPr>
          <w:gridAfter w:val="1"/>
          <w:wAfter w:w="6" w:type="dxa"/>
        </w:trPr>
        <w:tc>
          <w:tcPr>
            <w:tcW w:w="2909" w:type="dxa"/>
            <w:shd w:val="clear" w:color="auto" w:fill="auto"/>
          </w:tcPr>
          <w:p w14:paraId="419D193E" w14:textId="77777777" w:rsidR="00DD4026" w:rsidRDefault="00DD4026" w:rsidP="00380865">
            <w:pPr>
              <w:suppressLineNumbers/>
              <w:spacing w:beforeLines="0" w:before="0" w:afterLines="0" w:line="276" w:lineRule="auto"/>
            </w:pPr>
            <w:r>
              <w:t xml:space="preserve">MI, </w:t>
            </w:r>
            <w:r w:rsidRPr="0020419F">
              <w:t>%</w:t>
            </w:r>
            <w:r>
              <w:rPr>
                <w:sz w:val="20"/>
              </w:rPr>
              <w:t xml:space="preserve"> (N)</w:t>
            </w:r>
          </w:p>
        </w:tc>
        <w:tc>
          <w:tcPr>
            <w:tcW w:w="1853" w:type="dxa"/>
            <w:shd w:val="clear" w:color="auto" w:fill="auto"/>
          </w:tcPr>
          <w:p w14:paraId="42DE24AF" w14:textId="77777777" w:rsidR="00DD4026" w:rsidRDefault="00DD4026" w:rsidP="00380865">
            <w:pPr>
              <w:suppressLineNumbers/>
              <w:spacing w:beforeLines="0" w:before="0" w:afterLines="0" w:line="276" w:lineRule="auto"/>
              <w:jc w:val="center"/>
            </w:pPr>
            <w:r>
              <w:t xml:space="preserve">42 </w:t>
            </w:r>
            <w:r>
              <w:rPr>
                <w:sz w:val="20"/>
              </w:rPr>
              <w:t>(198</w:t>
            </w:r>
            <w:r w:rsidRPr="008A56A7">
              <w:rPr>
                <w:sz w:val="20"/>
              </w:rPr>
              <w:t>)</w:t>
            </w:r>
          </w:p>
        </w:tc>
        <w:tc>
          <w:tcPr>
            <w:tcW w:w="1876" w:type="dxa"/>
            <w:shd w:val="clear" w:color="auto" w:fill="auto"/>
          </w:tcPr>
          <w:p w14:paraId="5F321A26" w14:textId="77777777" w:rsidR="00DD4026" w:rsidRDefault="00DD4026" w:rsidP="00380865">
            <w:pPr>
              <w:suppressLineNumbers/>
              <w:spacing w:beforeLines="0" w:before="0" w:afterLines="0" w:line="276" w:lineRule="auto"/>
              <w:jc w:val="center"/>
            </w:pPr>
            <w:r>
              <w:t xml:space="preserve">38 </w:t>
            </w:r>
            <w:r>
              <w:rPr>
                <w:sz w:val="20"/>
              </w:rPr>
              <w:t>(21</w:t>
            </w:r>
            <w:r w:rsidRPr="008A56A7">
              <w:rPr>
                <w:sz w:val="20"/>
              </w:rPr>
              <w:t>)</w:t>
            </w:r>
          </w:p>
        </w:tc>
        <w:tc>
          <w:tcPr>
            <w:tcW w:w="1745" w:type="dxa"/>
            <w:shd w:val="clear" w:color="auto" w:fill="auto"/>
          </w:tcPr>
          <w:p w14:paraId="20221613" w14:textId="77777777" w:rsidR="00DD4026" w:rsidRDefault="00DD4026" w:rsidP="00380865">
            <w:pPr>
              <w:suppressLineNumbers/>
              <w:spacing w:beforeLines="0" w:before="0" w:afterLines="0" w:line="276" w:lineRule="auto"/>
              <w:jc w:val="center"/>
            </w:pPr>
            <w:r>
              <w:t xml:space="preserve">43 </w:t>
            </w:r>
            <w:r>
              <w:rPr>
                <w:sz w:val="20"/>
              </w:rPr>
              <w:t>(177</w:t>
            </w:r>
            <w:r w:rsidRPr="008A56A7">
              <w:rPr>
                <w:sz w:val="20"/>
              </w:rPr>
              <w:t>)</w:t>
            </w:r>
          </w:p>
        </w:tc>
        <w:tc>
          <w:tcPr>
            <w:tcW w:w="1151" w:type="dxa"/>
            <w:shd w:val="clear" w:color="auto" w:fill="auto"/>
          </w:tcPr>
          <w:p w14:paraId="56B58A74" w14:textId="77777777" w:rsidR="00DD4026" w:rsidRPr="008A56A7" w:rsidRDefault="00DD4026" w:rsidP="00380865">
            <w:pPr>
              <w:suppressLineNumbers/>
              <w:spacing w:beforeLines="0" w:before="0" w:afterLines="0" w:line="276" w:lineRule="auto"/>
              <w:jc w:val="center"/>
              <w:rPr>
                <w:sz w:val="20"/>
              </w:rPr>
            </w:pPr>
            <w:r w:rsidRPr="008A56A7">
              <w:rPr>
                <w:sz w:val="20"/>
              </w:rPr>
              <w:t>0.43</w:t>
            </w:r>
          </w:p>
        </w:tc>
        <w:tc>
          <w:tcPr>
            <w:tcW w:w="865" w:type="dxa"/>
            <w:shd w:val="clear" w:color="auto" w:fill="auto"/>
          </w:tcPr>
          <w:p w14:paraId="0D8D5CC9"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1CC33BF3" w14:textId="77777777" w:rsidTr="00380865">
        <w:trPr>
          <w:gridAfter w:val="1"/>
          <w:wAfter w:w="6" w:type="dxa"/>
        </w:trPr>
        <w:tc>
          <w:tcPr>
            <w:tcW w:w="2909" w:type="dxa"/>
            <w:shd w:val="clear" w:color="auto" w:fill="auto"/>
          </w:tcPr>
          <w:p w14:paraId="791407B2" w14:textId="77777777" w:rsidR="00DD4026" w:rsidRDefault="00DD4026" w:rsidP="00380865">
            <w:pPr>
              <w:suppressLineNumbers/>
              <w:spacing w:beforeLines="0" w:before="0" w:afterLines="0" w:line="276" w:lineRule="auto"/>
            </w:pPr>
            <w:r>
              <w:t xml:space="preserve">PVD, </w:t>
            </w:r>
            <w:r w:rsidRPr="0020419F">
              <w:t>%</w:t>
            </w:r>
            <w:r>
              <w:rPr>
                <w:sz w:val="20"/>
              </w:rPr>
              <w:t xml:space="preserve"> (N)</w:t>
            </w:r>
          </w:p>
        </w:tc>
        <w:tc>
          <w:tcPr>
            <w:tcW w:w="1853" w:type="dxa"/>
            <w:shd w:val="clear" w:color="auto" w:fill="auto"/>
          </w:tcPr>
          <w:p w14:paraId="10782644" w14:textId="77777777" w:rsidR="00DD4026" w:rsidRDefault="00DD4026" w:rsidP="00380865">
            <w:pPr>
              <w:suppressLineNumbers/>
              <w:spacing w:beforeLines="0" w:before="0" w:afterLines="0" w:line="276" w:lineRule="auto"/>
              <w:jc w:val="center"/>
            </w:pPr>
            <w:r>
              <w:t xml:space="preserve">15 </w:t>
            </w:r>
            <w:r>
              <w:rPr>
                <w:sz w:val="20"/>
              </w:rPr>
              <w:t>(72</w:t>
            </w:r>
            <w:r w:rsidRPr="008A56A7">
              <w:rPr>
                <w:sz w:val="20"/>
              </w:rPr>
              <w:t>)</w:t>
            </w:r>
          </w:p>
        </w:tc>
        <w:tc>
          <w:tcPr>
            <w:tcW w:w="1876" w:type="dxa"/>
            <w:shd w:val="clear" w:color="auto" w:fill="auto"/>
          </w:tcPr>
          <w:p w14:paraId="6C60A6CA" w14:textId="77777777" w:rsidR="00DD4026" w:rsidRDefault="00DD4026" w:rsidP="00380865">
            <w:pPr>
              <w:suppressLineNumbers/>
              <w:spacing w:beforeLines="0" w:before="0" w:afterLines="0" w:line="276" w:lineRule="auto"/>
              <w:jc w:val="center"/>
            </w:pPr>
            <w:r>
              <w:t xml:space="preserve">25 </w:t>
            </w:r>
            <w:r>
              <w:rPr>
                <w:sz w:val="20"/>
              </w:rPr>
              <w:t>(14</w:t>
            </w:r>
            <w:r w:rsidRPr="008A56A7">
              <w:rPr>
                <w:sz w:val="20"/>
              </w:rPr>
              <w:t>)</w:t>
            </w:r>
          </w:p>
        </w:tc>
        <w:tc>
          <w:tcPr>
            <w:tcW w:w="1745" w:type="dxa"/>
            <w:shd w:val="clear" w:color="auto" w:fill="auto"/>
          </w:tcPr>
          <w:p w14:paraId="52EB740A" w14:textId="77777777" w:rsidR="00DD4026" w:rsidRDefault="00DD4026" w:rsidP="00380865">
            <w:pPr>
              <w:suppressLineNumbers/>
              <w:spacing w:beforeLines="0" w:before="0" w:afterLines="0" w:line="276" w:lineRule="auto"/>
              <w:jc w:val="center"/>
            </w:pPr>
            <w:r>
              <w:t xml:space="preserve">14 </w:t>
            </w:r>
            <w:r>
              <w:rPr>
                <w:sz w:val="20"/>
              </w:rPr>
              <w:t>(58</w:t>
            </w:r>
            <w:r w:rsidRPr="008A56A7">
              <w:rPr>
                <w:sz w:val="20"/>
              </w:rPr>
              <w:t>)</w:t>
            </w:r>
          </w:p>
        </w:tc>
        <w:tc>
          <w:tcPr>
            <w:tcW w:w="1151" w:type="dxa"/>
            <w:shd w:val="clear" w:color="auto" w:fill="auto"/>
          </w:tcPr>
          <w:p w14:paraId="2DCF89C3" w14:textId="77777777" w:rsidR="00DD4026" w:rsidRPr="008A56A7" w:rsidRDefault="00DD4026" w:rsidP="00380865">
            <w:pPr>
              <w:suppressLineNumbers/>
              <w:spacing w:beforeLines="0" w:before="0" w:afterLines="0" w:line="276" w:lineRule="auto"/>
              <w:jc w:val="center"/>
              <w:rPr>
                <w:sz w:val="20"/>
              </w:rPr>
            </w:pPr>
            <w:r w:rsidRPr="008A56A7">
              <w:rPr>
                <w:sz w:val="20"/>
              </w:rPr>
              <w:t>0.0</w:t>
            </w:r>
            <w:r>
              <w:rPr>
                <w:sz w:val="20"/>
              </w:rPr>
              <w:t>3</w:t>
            </w:r>
          </w:p>
        </w:tc>
        <w:tc>
          <w:tcPr>
            <w:tcW w:w="865" w:type="dxa"/>
            <w:shd w:val="clear" w:color="auto" w:fill="auto"/>
          </w:tcPr>
          <w:p w14:paraId="0DE4C76C"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27B06EBA" w14:textId="77777777" w:rsidTr="00380865">
        <w:trPr>
          <w:gridAfter w:val="1"/>
          <w:wAfter w:w="6" w:type="dxa"/>
        </w:trPr>
        <w:tc>
          <w:tcPr>
            <w:tcW w:w="2909" w:type="dxa"/>
            <w:shd w:val="clear" w:color="auto" w:fill="auto"/>
          </w:tcPr>
          <w:p w14:paraId="08DF9839" w14:textId="77777777" w:rsidR="00DD4026" w:rsidRDefault="00DD4026" w:rsidP="00380865">
            <w:pPr>
              <w:suppressLineNumbers/>
              <w:spacing w:beforeLines="0" w:before="0" w:afterLines="0" w:line="276" w:lineRule="auto"/>
            </w:pPr>
            <w:r>
              <w:t xml:space="preserve">HTN, </w:t>
            </w:r>
            <w:r w:rsidRPr="0020419F">
              <w:t>%</w:t>
            </w:r>
            <w:r>
              <w:rPr>
                <w:sz w:val="20"/>
              </w:rPr>
              <w:t xml:space="preserve"> (N)</w:t>
            </w:r>
          </w:p>
        </w:tc>
        <w:tc>
          <w:tcPr>
            <w:tcW w:w="1853" w:type="dxa"/>
            <w:shd w:val="clear" w:color="auto" w:fill="auto"/>
          </w:tcPr>
          <w:p w14:paraId="04DF6601" w14:textId="77777777" w:rsidR="00DD4026" w:rsidRDefault="00DD4026" w:rsidP="00380865">
            <w:pPr>
              <w:suppressLineNumbers/>
              <w:spacing w:beforeLines="0" w:before="0" w:afterLines="0" w:line="276" w:lineRule="auto"/>
              <w:jc w:val="center"/>
            </w:pPr>
            <w:r>
              <w:t xml:space="preserve">67 </w:t>
            </w:r>
            <w:r>
              <w:rPr>
                <w:sz w:val="20"/>
              </w:rPr>
              <w:t>(313</w:t>
            </w:r>
            <w:r w:rsidRPr="008A56A7">
              <w:rPr>
                <w:sz w:val="20"/>
              </w:rPr>
              <w:t>)</w:t>
            </w:r>
          </w:p>
        </w:tc>
        <w:tc>
          <w:tcPr>
            <w:tcW w:w="1876" w:type="dxa"/>
            <w:shd w:val="clear" w:color="auto" w:fill="auto"/>
          </w:tcPr>
          <w:p w14:paraId="0958D6AF" w14:textId="77777777" w:rsidR="00DD4026" w:rsidRDefault="00DD4026" w:rsidP="00380865">
            <w:pPr>
              <w:suppressLineNumbers/>
              <w:spacing w:beforeLines="0" w:before="0" w:afterLines="0" w:line="276" w:lineRule="auto"/>
              <w:jc w:val="center"/>
            </w:pPr>
            <w:r>
              <w:t xml:space="preserve">66 </w:t>
            </w:r>
            <w:r>
              <w:rPr>
                <w:sz w:val="20"/>
              </w:rPr>
              <w:t>(37</w:t>
            </w:r>
            <w:r w:rsidRPr="008A56A7">
              <w:rPr>
                <w:sz w:val="20"/>
              </w:rPr>
              <w:t>)</w:t>
            </w:r>
          </w:p>
        </w:tc>
        <w:tc>
          <w:tcPr>
            <w:tcW w:w="1745" w:type="dxa"/>
            <w:shd w:val="clear" w:color="auto" w:fill="auto"/>
          </w:tcPr>
          <w:p w14:paraId="3030B265" w14:textId="77777777" w:rsidR="00DD4026" w:rsidRDefault="00DD4026" w:rsidP="00380865">
            <w:pPr>
              <w:suppressLineNumbers/>
              <w:spacing w:beforeLines="0" w:before="0" w:afterLines="0" w:line="276" w:lineRule="auto"/>
              <w:jc w:val="center"/>
            </w:pPr>
            <w:r>
              <w:t xml:space="preserve">67 </w:t>
            </w:r>
            <w:r>
              <w:rPr>
                <w:sz w:val="20"/>
              </w:rPr>
              <w:t>(276</w:t>
            </w:r>
            <w:r w:rsidRPr="008A56A7">
              <w:rPr>
                <w:sz w:val="20"/>
              </w:rPr>
              <w:t>)</w:t>
            </w:r>
          </w:p>
        </w:tc>
        <w:tc>
          <w:tcPr>
            <w:tcW w:w="1151" w:type="dxa"/>
            <w:shd w:val="clear" w:color="auto" w:fill="auto"/>
          </w:tcPr>
          <w:p w14:paraId="573896B8" w14:textId="77777777" w:rsidR="00DD4026" w:rsidRPr="008A56A7" w:rsidRDefault="00DD4026" w:rsidP="00380865">
            <w:pPr>
              <w:suppressLineNumbers/>
              <w:spacing w:beforeLines="0" w:before="0" w:afterLines="0" w:line="276" w:lineRule="auto"/>
              <w:jc w:val="center"/>
              <w:rPr>
                <w:sz w:val="20"/>
              </w:rPr>
            </w:pPr>
            <w:r w:rsidRPr="008A56A7">
              <w:rPr>
                <w:sz w:val="20"/>
              </w:rPr>
              <w:t>0</w:t>
            </w:r>
            <w:r>
              <w:rPr>
                <w:sz w:val="20"/>
              </w:rPr>
              <w:t>.87</w:t>
            </w:r>
          </w:p>
        </w:tc>
        <w:tc>
          <w:tcPr>
            <w:tcW w:w="865" w:type="dxa"/>
            <w:shd w:val="clear" w:color="auto" w:fill="auto"/>
          </w:tcPr>
          <w:p w14:paraId="30FAFC5E"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32A32CF9" w14:textId="77777777" w:rsidTr="00380865">
        <w:trPr>
          <w:gridAfter w:val="1"/>
          <w:wAfter w:w="6" w:type="dxa"/>
        </w:trPr>
        <w:tc>
          <w:tcPr>
            <w:tcW w:w="2909" w:type="dxa"/>
            <w:shd w:val="clear" w:color="auto" w:fill="auto"/>
          </w:tcPr>
          <w:p w14:paraId="3694A179" w14:textId="77777777" w:rsidR="00DD4026" w:rsidRDefault="00DD4026" w:rsidP="00380865">
            <w:pPr>
              <w:suppressLineNumbers/>
              <w:spacing w:beforeLines="0" w:before="0" w:afterLines="0" w:line="276" w:lineRule="auto"/>
            </w:pPr>
            <w:r>
              <w:t xml:space="preserve">CVA, </w:t>
            </w:r>
            <w:r w:rsidRPr="0020419F">
              <w:t>%</w:t>
            </w:r>
            <w:r>
              <w:rPr>
                <w:sz w:val="20"/>
              </w:rPr>
              <w:t xml:space="preserve"> (N)</w:t>
            </w:r>
          </w:p>
        </w:tc>
        <w:tc>
          <w:tcPr>
            <w:tcW w:w="1853" w:type="dxa"/>
            <w:shd w:val="clear" w:color="auto" w:fill="auto"/>
          </w:tcPr>
          <w:p w14:paraId="7F0378DE" w14:textId="77777777" w:rsidR="00DD4026" w:rsidRDefault="00DD4026" w:rsidP="00380865">
            <w:pPr>
              <w:suppressLineNumbers/>
              <w:spacing w:beforeLines="0" w:before="0" w:afterLines="0" w:line="276" w:lineRule="auto"/>
              <w:jc w:val="center"/>
            </w:pPr>
            <w:r>
              <w:t xml:space="preserve">15 </w:t>
            </w:r>
            <w:r>
              <w:rPr>
                <w:sz w:val="20"/>
              </w:rPr>
              <w:t>(71</w:t>
            </w:r>
            <w:r w:rsidRPr="008A56A7">
              <w:rPr>
                <w:sz w:val="20"/>
              </w:rPr>
              <w:t>)</w:t>
            </w:r>
          </w:p>
        </w:tc>
        <w:tc>
          <w:tcPr>
            <w:tcW w:w="1876" w:type="dxa"/>
            <w:shd w:val="clear" w:color="auto" w:fill="auto"/>
          </w:tcPr>
          <w:p w14:paraId="4340DBA7" w14:textId="77777777" w:rsidR="00DD4026" w:rsidRDefault="00DD4026" w:rsidP="00380865">
            <w:pPr>
              <w:suppressLineNumbers/>
              <w:spacing w:beforeLines="0" w:before="0" w:afterLines="0" w:line="276" w:lineRule="auto"/>
              <w:jc w:val="center"/>
            </w:pPr>
            <w:r>
              <w:t xml:space="preserve">23 </w:t>
            </w:r>
            <w:r>
              <w:rPr>
                <w:sz w:val="20"/>
              </w:rPr>
              <w:t>(13</w:t>
            </w:r>
            <w:r w:rsidRPr="008A56A7">
              <w:rPr>
                <w:sz w:val="20"/>
              </w:rPr>
              <w:t>)</w:t>
            </w:r>
          </w:p>
        </w:tc>
        <w:tc>
          <w:tcPr>
            <w:tcW w:w="1745" w:type="dxa"/>
            <w:shd w:val="clear" w:color="auto" w:fill="auto"/>
          </w:tcPr>
          <w:p w14:paraId="2A376B03" w14:textId="77777777" w:rsidR="00DD4026" w:rsidRDefault="00DD4026" w:rsidP="00380865">
            <w:pPr>
              <w:suppressLineNumbers/>
              <w:spacing w:beforeLines="0" w:before="0" w:afterLines="0" w:line="276" w:lineRule="auto"/>
              <w:jc w:val="center"/>
            </w:pPr>
            <w:r>
              <w:t xml:space="preserve">14 </w:t>
            </w:r>
            <w:r>
              <w:rPr>
                <w:sz w:val="20"/>
              </w:rPr>
              <w:t>(58</w:t>
            </w:r>
            <w:r w:rsidRPr="008A56A7">
              <w:rPr>
                <w:sz w:val="20"/>
              </w:rPr>
              <w:t>)</w:t>
            </w:r>
          </w:p>
        </w:tc>
        <w:tc>
          <w:tcPr>
            <w:tcW w:w="1151" w:type="dxa"/>
            <w:shd w:val="clear" w:color="auto" w:fill="auto"/>
          </w:tcPr>
          <w:p w14:paraId="2B1127A9" w14:textId="77777777" w:rsidR="00DD4026" w:rsidRPr="008A56A7" w:rsidRDefault="00DD4026" w:rsidP="00380865">
            <w:pPr>
              <w:suppressLineNumbers/>
              <w:spacing w:beforeLines="0" w:before="0" w:afterLines="0" w:line="276" w:lineRule="auto"/>
              <w:jc w:val="center"/>
              <w:rPr>
                <w:sz w:val="20"/>
              </w:rPr>
            </w:pPr>
            <w:r>
              <w:rPr>
                <w:sz w:val="20"/>
              </w:rPr>
              <w:t>0.08</w:t>
            </w:r>
          </w:p>
        </w:tc>
        <w:tc>
          <w:tcPr>
            <w:tcW w:w="865" w:type="dxa"/>
            <w:shd w:val="clear" w:color="auto" w:fill="auto"/>
          </w:tcPr>
          <w:p w14:paraId="4C2B4281"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42ABE0FE" w14:textId="77777777" w:rsidTr="00380865">
        <w:trPr>
          <w:gridAfter w:val="1"/>
          <w:wAfter w:w="6" w:type="dxa"/>
        </w:trPr>
        <w:tc>
          <w:tcPr>
            <w:tcW w:w="2909" w:type="dxa"/>
            <w:shd w:val="clear" w:color="auto" w:fill="auto"/>
          </w:tcPr>
          <w:p w14:paraId="39012BB1" w14:textId="77777777" w:rsidR="00DD4026" w:rsidRDefault="00DD4026" w:rsidP="00380865">
            <w:pPr>
              <w:suppressLineNumbers/>
              <w:spacing w:beforeLines="0" w:before="0" w:afterLines="0" w:line="276" w:lineRule="auto"/>
            </w:pPr>
            <w:r>
              <w:t xml:space="preserve">Diabetes, </w:t>
            </w:r>
            <w:r w:rsidRPr="0020419F">
              <w:t>%</w:t>
            </w:r>
            <w:r>
              <w:rPr>
                <w:sz w:val="20"/>
              </w:rPr>
              <w:t xml:space="preserve"> (N)</w:t>
            </w:r>
          </w:p>
        </w:tc>
        <w:tc>
          <w:tcPr>
            <w:tcW w:w="1853" w:type="dxa"/>
            <w:shd w:val="clear" w:color="auto" w:fill="auto"/>
          </w:tcPr>
          <w:p w14:paraId="7CF5F9F7" w14:textId="77777777" w:rsidR="00DD4026" w:rsidRDefault="00DD4026" w:rsidP="00380865">
            <w:pPr>
              <w:suppressLineNumbers/>
              <w:spacing w:beforeLines="0" w:before="0" w:afterLines="0" w:line="276" w:lineRule="auto"/>
              <w:jc w:val="center"/>
            </w:pPr>
            <w:r>
              <w:t xml:space="preserve">35 </w:t>
            </w:r>
            <w:r w:rsidRPr="008A56A7">
              <w:rPr>
                <w:sz w:val="20"/>
              </w:rPr>
              <w:t>(</w:t>
            </w:r>
            <w:r>
              <w:rPr>
                <w:sz w:val="20"/>
              </w:rPr>
              <w:t>163</w:t>
            </w:r>
            <w:r w:rsidRPr="008A56A7">
              <w:rPr>
                <w:sz w:val="20"/>
              </w:rPr>
              <w:t>)</w:t>
            </w:r>
          </w:p>
        </w:tc>
        <w:tc>
          <w:tcPr>
            <w:tcW w:w="1876" w:type="dxa"/>
            <w:shd w:val="clear" w:color="auto" w:fill="auto"/>
          </w:tcPr>
          <w:p w14:paraId="038382AD" w14:textId="77777777" w:rsidR="00DD4026" w:rsidRDefault="00DD4026" w:rsidP="00380865">
            <w:pPr>
              <w:suppressLineNumbers/>
              <w:spacing w:beforeLines="0" w:before="0" w:afterLines="0" w:line="276" w:lineRule="auto"/>
              <w:jc w:val="center"/>
            </w:pPr>
            <w:r>
              <w:t xml:space="preserve">39 </w:t>
            </w:r>
            <w:r>
              <w:rPr>
                <w:sz w:val="20"/>
              </w:rPr>
              <w:t>(22</w:t>
            </w:r>
            <w:r w:rsidRPr="008A56A7">
              <w:rPr>
                <w:sz w:val="20"/>
              </w:rPr>
              <w:t>)</w:t>
            </w:r>
          </w:p>
        </w:tc>
        <w:tc>
          <w:tcPr>
            <w:tcW w:w="1745" w:type="dxa"/>
            <w:shd w:val="clear" w:color="auto" w:fill="auto"/>
          </w:tcPr>
          <w:p w14:paraId="6738E9C2" w14:textId="77777777" w:rsidR="00DD4026" w:rsidRDefault="00DD4026" w:rsidP="00380865">
            <w:pPr>
              <w:suppressLineNumbers/>
              <w:spacing w:beforeLines="0" w:before="0" w:afterLines="0" w:line="276" w:lineRule="auto"/>
              <w:jc w:val="center"/>
            </w:pPr>
            <w:r>
              <w:t xml:space="preserve">34 </w:t>
            </w:r>
            <w:r>
              <w:rPr>
                <w:sz w:val="20"/>
              </w:rPr>
              <w:t>(141</w:t>
            </w:r>
            <w:r w:rsidRPr="008A56A7">
              <w:rPr>
                <w:sz w:val="20"/>
              </w:rPr>
              <w:t>)</w:t>
            </w:r>
          </w:p>
        </w:tc>
        <w:tc>
          <w:tcPr>
            <w:tcW w:w="1151" w:type="dxa"/>
            <w:shd w:val="clear" w:color="auto" w:fill="auto"/>
          </w:tcPr>
          <w:p w14:paraId="0D6C9930" w14:textId="77777777" w:rsidR="00DD4026" w:rsidRPr="008A56A7" w:rsidRDefault="00DD4026" w:rsidP="00380865">
            <w:pPr>
              <w:suppressLineNumbers/>
              <w:spacing w:beforeLines="0" w:before="0" w:afterLines="0" w:line="276" w:lineRule="auto"/>
              <w:jc w:val="center"/>
              <w:rPr>
                <w:sz w:val="20"/>
              </w:rPr>
            </w:pPr>
            <w:r w:rsidRPr="008A56A7">
              <w:rPr>
                <w:sz w:val="20"/>
              </w:rPr>
              <w:t>0.</w:t>
            </w:r>
            <w:r>
              <w:rPr>
                <w:sz w:val="20"/>
              </w:rPr>
              <w:t>46</w:t>
            </w:r>
          </w:p>
        </w:tc>
        <w:tc>
          <w:tcPr>
            <w:tcW w:w="865" w:type="dxa"/>
            <w:shd w:val="clear" w:color="auto" w:fill="auto"/>
          </w:tcPr>
          <w:p w14:paraId="1A3D7485"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2BCB3F25" w14:textId="77777777" w:rsidTr="00380865">
        <w:trPr>
          <w:gridAfter w:val="1"/>
          <w:wAfter w:w="6" w:type="dxa"/>
        </w:trPr>
        <w:tc>
          <w:tcPr>
            <w:tcW w:w="2909" w:type="dxa"/>
            <w:shd w:val="clear" w:color="auto" w:fill="auto"/>
          </w:tcPr>
          <w:p w14:paraId="56E33F79" w14:textId="77777777" w:rsidR="00DD4026" w:rsidRDefault="00DD4026" w:rsidP="00380865">
            <w:pPr>
              <w:suppressLineNumbers/>
              <w:spacing w:beforeLines="0" w:before="0" w:afterLines="0" w:line="276" w:lineRule="auto"/>
            </w:pPr>
            <w:r>
              <w:t xml:space="preserve">Dementia, </w:t>
            </w:r>
            <w:r w:rsidRPr="0020419F">
              <w:t>%</w:t>
            </w:r>
            <w:r>
              <w:rPr>
                <w:sz w:val="20"/>
              </w:rPr>
              <w:t xml:space="preserve"> (N)</w:t>
            </w:r>
          </w:p>
        </w:tc>
        <w:tc>
          <w:tcPr>
            <w:tcW w:w="1853" w:type="dxa"/>
            <w:shd w:val="clear" w:color="auto" w:fill="auto"/>
          </w:tcPr>
          <w:p w14:paraId="6706DE92" w14:textId="77777777" w:rsidR="00DD4026" w:rsidRDefault="00DD4026" w:rsidP="00380865">
            <w:pPr>
              <w:suppressLineNumbers/>
              <w:spacing w:beforeLines="0" w:before="0" w:afterLines="0" w:line="276" w:lineRule="auto"/>
              <w:jc w:val="center"/>
            </w:pPr>
            <w:r>
              <w:t xml:space="preserve">10 </w:t>
            </w:r>
            <w:r w:rsidRPr="008A56A7">
              <w:rPr>
                <w:sz w:val="20"/>
              </w:rPr>
              <w:t>(</w:t>
            </w:r>
            <w:r>
              <w:rPr>
                <w:sz w:val="20"/>
              </w:rPr>
              <w:t>48</w:t>
            </w:r>
            <w:r w:rsidRPr="008A56A7">
              <w:rPr>
                <w:sz w:val="20"/>
              </w:rPr>
              <w:t>)</w:t>
            </w:r>
          </w:p>
        </w:tc>
        <w:tc>
          <w:tcPr>
            <w:tcW w:w="1876" w:type="dxa"/>
            <w:shd w:val="clear" w:color="auto" w:fill="auto"/>
          </w:tcPr>
          <w:p w14:paraId="0D956A2C" w14:textId="77777777" w:rsidR="00DD4026" w:rsidRDefault="00DD4026" w:rsidP="00380865">
            <w:pPr>
              <w:suppressLineNumbers/>
              <w:spacing w:beforeLines="0" w:before="0" w:afterLines="0" w:line="276" w:lineRule="auto"/>
              <w:jc w:val="center"/>
            </w:pPr>
            <w:r>
              <w:t xml:space="preserve">36 </w:t>
            </w:r>
            <w:r>
              <w:rPr>
                <w:sz w:val="20"/>
              </w:rPr>
              <w:t>(20</w:t>
            </w:r>
            <w:r w:rsidRPr="008A56A7">
              <w:rPr>
                <w:sz w:val="20"/>
              </w:rPr>
              <w:t>)</w:t>
            </w:r>
          </w:p>
        </w:tc>
        <w:tc>
          <w:tcPr>
            <w:tcW w:w="1745" w:type="dxa"/>
            <w:shd w:val="clear" w:color="auto" w:fill="auto"/>
          </w:tcPr>
          <w:p w14:paraId="3816D960" w14:textId="77777777" w:rsidR="00DD4026" w:rsidRDefault="00DD4026" w:rsidP="00380865">
            <w:pPr>
              <w:suppressLineNumbers/>
              <w:spacing w:beforeLines="0" w:before="0" w:afterLines="0" w:line="276" w:lineRule="auto"/>
              <w:jc w:val="center"/>
            </w:pPr>
            <w:r>
              <w:t xml:space="preserve">7 </w:t>
            </w:r>
            <w:r>
              <w:rPr>
                <w:sz w:val="20"/>
              </w:rPr>
              <w:t>(28</w:t>
            </w:r>
            <w:r w:rsidRPr="008A56A7">
              <w:rPr>
                <w:sz w:val="20"/>
              </w:rPr>
              <w:t>)</w:t>
            </w:r>
          </w:p>
        </w:tc>
        <w:tc>
          <w:tcPr>
            <w:tcW w:w="1151" w:type="dxa"/>
            <w:shd w:val="clear" w:color="auto" w:fill="auto"/>
          </w:tcPr>
          <w:p w14:paraId="5F9E04FA" w14:textId="77777777" w:rsidR="00DD4026" w:rsidRPr="008A56A7" w:rsidRDefault="00DD4026" w:rsidP="00380865">
            <w:pPr>
              <w:suppressLineNumbers/>
              <w:spacing w:beforeLines="0" w:before="0" w:afterLines="0" w:line="276" w:lineRule="auto"/>
              <w:jc w:val="center"/>
              <w:rPr>
                <w:sz w:val="20"/>
              </w:rPr>
            </w:pPr>
            <w:r w:rsidRPr="008A56A7">
              <w:rPr>
                <w:sz w:val="20"/>
              </w:rPr>
              <w:t>&lt;0.001</w:t>
            </w:r>
          </w:p>
        </w:tc>
        <w:tc>
          <w:tcPr>
            <w:tcW w:w="865" w:type="dxa"/>
            <w:shd w:val="clear" w:color="auto" w:fill="auto"/>
          </w:tcPr>
          <w:p w14:paraId="4C31C123"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33F8DA36" w14:textId="77777777" w:rsidTr="00380865">
        <w:trPr>
          <w:gridAfter w:val="1"/>
          <w:wAfter w:w="6" w:type="dxa"/>
        </w:trPr>
        <w:tc>
          <w:tcPr>
            <w:tcW w:w="2909" w:type="dxa"/>
            <w:shd w:val="clear" w:color="auto" w:fill="auto"/>
          </w:tcPr>
          <w:p w14:paraId="2F4249B5" w14:textId="77777777" w:rsidR="00DD4026" w:rsidRDefault="00DD4026" w:rsidP="00380865">
            <w:pPr>
              <w:suppressLineNumbers/>
              <w:spacing w:beforeLines="0" w:before="0" w:afterLines="0" w:line="276" w:lineRule="auto"/>
            </w:pPr>
            <w:r>
              <w:t xml:space="preserve">COPD, </w:t>
            </w:r>
            <w:r w:rsidRPr="0020419F">
              <w:t>%</w:t>
            </w:r>
            <w:r>
              <w:rPr>
                <w:sz w:val="20"/>
              </w:rPr>
              <w:t xml:space="preserve"> (N)</w:t>
            </w:r>
          </w:p>
        </w:tc>
        <w:tc>
          <w:tcPr>
            <w:tcW w:w="1853" w:type="dxa"/>
            <w:shd w:val="clear" w:color="auto" w:fill="auto"/>
          </w:tcPr>
          <w:p w14:paraId="1D126160" w14:textId="77777777" w:rsidR="00DD4026" w:rsidRDefault="00DD4026" w:rsidP="00380865">
            <w:pPr>
              <w:suppressLineNumbers/>
              <w:spacing w:beforeLines="0" w:before="0" w:afterLines="0" w:line="276" w:lineRule="auto"/>
              <w:jc w:val="center"/>
            </w:pPr>
            <w:r>
              <w:t xml:space="preserve">30 </w:t>
            </w:r>
            <w:r>
              <w:rPr>
                <w:sz w:val="20"/>
              </w:rPr>
              <w:t>(140</w:t>
            </w:r>
            <w:r w:rsidRPr="008A56A7">
              <w:rPr>
                <w:sz w:val="20"/>
              </w:rPr>
              <w:t>)</w:t>
            </w:r>
          </w:p>
        </w:tc>
        <w:tc>
          <w:tcPr>
            <w:tcW w:w="1876" w:type="dxa"/>
            <w:shd w:val="clear" w:color="auto" w:fill="auto"/>
          </w:tcPr>
          <w:p w14:paraId="652E5153" w14:textId="77777777" w:rsidR="00DD4026" w:rsidRDefault="00DD4026" w:rsidP="00380865">
            <w:pPr>
              <w:suppressLineNumbers/>
              <w:spacing w:beforeLines="0" w:before="0" w:afterLines="0" w:line="276" w:lineRule="auto"/>
              <w:jc w:val="center"/>
            </w:pPr>
            <w:r>
              <w:t xml:space="preserve">41 </w:t>
            </w:r>
            <w:r>
              <w:rPr>
                <w:sz w:val="20"/>
              </w:rPr>
              <w:t>(23</w:t>
            </w:r>
            <w:r w:rsidRPr="008A56A7">
              <w:rPr>
                <w:sz w:val="20"/>
              </w:rPr>
              <w:t>)</w:t>
            </w:r>
          </w:p>
        </w:tc>
        <w:tc>
          <w:tcPr>
            <w:tcW w:w="1745" w:type="dxa"/>
            <w:shd w:val="clear" w:color="auto" w:fill="auto"/>
          </w:tcPr>
          <w:p w14:paraId="3CF2D8DC" w14:textId="77777777" w:rsidR="00DD4026" w:rsidRDefault="00DD4026" w:rsidP="00380865">
            <w:pPr>
              <w:suppressLineNumbers/>
              <w:spacing w:beforeLines="0" w:before="0" w:afterLines="0" w:line="276" w:lineRule="auto"/>
              <w:jc w:val="center"/>
            </w:pPr>
            <w:r>
              <w:t xml:space="preserve">29 </w:t>
            </w:r>
            <w:r>
              <w:rPr>
                <w:sz w:val="20"/>
              </w:rPr>
              <w:t>(117</w:t>
            </w:r>
            <w:r w:rsidRPr="008A56A7">
              <w:rPr>
                <w:sz w:val="20"/>
              </w:rPr>
              <w:t>)</w:t>
            </w:r>
          </w:p>
        </w:tc>
        <w:tc>
          <w:tcPr>
            <w:tcW w:w="1151" w:type="dxa"/>
            <w:shd w:val="clear" w:color="auto" w:fill="auto"/>
          </w:tcPr>
          <w:p w14:paraId="4B76457D" w14:textId="77777777" w:rsidR="00DD4026" w:rsidRPr="008A56A7" w:rsidRDefault="00DD4026" w:rsidP="00380865">
            <w:pPr>
              <w:suppressLineNumbers/>
              <w:spacing w:beforeLines="0" w:before="0" w:afterLines="0" w:line="276" w:lineRule="auto"/>
              <w:jc w:val="center"/>
              <w:rPr>
                <w:sz w:val="20"/>
              </w:rPr>
            </w:pPr>
            <w:r>
              <w:rPr>
                <w:sz w:val="20"/>
              </w:rPr>
              <w:t>0.05</w:t>
            </w:r>
          </w:p>
        </w:tc>
        <w:tc>
          <w:tcPr>
            <w:tcW w:w="865" w:type="dxa"/>
            <w:shd w:val="clear" w:color="auto" w:fill="auto"/>
          </w:tcPr>
          <w:p w14:paraId="1354B6E3"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3CA12867" w14:textId="77777777" w:rsidTr="00380865">
        <w:trPr>
          <w:gridAfter w:val="1"/>
          <w:wAfter w:w="6" w:type="dxa"/>
        </w:trPr>
        <w:tc>
          <w:tcPr>
            <w:tcW w:w="2909" w:type="dxa"/>
            <w:shd w:val="clear" w:color="auto" w:fill="auto"/>
          </w:tcPr>
          <w:p w14:paraId="6CD828D9" w14:textId="77777777" w:rsidR="00DD4026" w:rsidRDefault="00DD4026" w:rsidP="00380865">
            <w:pPr>
              <w:suppressLineNumbers/>
              <w:spacing w:beforeLines="0" w:before="0" w:afterLines="0" w:line="276" w:lineRule="auto"/>
            </w:pPr>
            <w:r>
              <w:t xml:space="preserve">Depression, </w:t>
            </w:r>
            <w:r w:rsidRPr="0020419F">
              <w:t>%</w:t>
            </w:r>
            <w:r>
              <w:rPr>
                <w:sz w:val="20"/>
              </w:rPr>
              <w:t xml:space="preserve"> (N)</w:t>
            </w:r>
          </w:p>
        </w:tc>
        <w:tc>
          <w:tcPr>
            <w:tcW w:w="1853" w:type="dxa"/>
            <w:shd w:val="clear" w:color="auto" w:fill="auto"/>
          </w:tcPr>
          <w:p w14:paraId="3BA407DD" w14:textId="77777777" w:rsidR="00DD4026" w:rsidRDefault="00DD4026" w:rsidP="00380865">
            <w:pPr>
              <w:suppressLineNumbers/>
              <w:spacing w:beforeLines="0" w:before="0" w:afterLines="0" w:line="276" w:lineRule="auto"/>
              <w:jc w:val="center"/>
            </w:pPr>
            <w:r>
              <w:t xml:space="preserve">20 </w:t>
            </w:r>
            <w:r>
              <w:rPr>
                <w:sz w:val="20"/>
              </w:rPr>
              <w:t>(93</w:t>
            </w:r>
            <w:r w:rsidRPr="008A56A7">
              <w:rPr>
                <w:sz w:val="20"/>
              </w:rPr>
              <w:t>)</w:t>
            </w:r>
          </w:p>
        </w:tc>
        <w:tc>
          <w:tcPr>
            <w:tcW w:w="1876" w:type="dxa"/>
            <w:shd w:val="clear" w:color="auto" w:fill="auto"/>
          </w:tcPr>
          <w:p w14:paraId="1ECE8D04" w14:textId="77777777" w:rsidR="00DD4026" w:rsidRDefault="00DD4026" w:rsidP="00380865">
            <w:pPr>
              <w:suppressLineNumbers/>
              <w:spacing w:beforeLines="0" w:before="0" w:afterLines="0" w:line="276" w:lineRule="auto"/>
              <w:jc w:val="center"/>
            </w:pPr>
            <w:r>
              <w:t xml:space="preserve">29 </w:t>
            </w:r>
            <w:r>
              <w:rPr>
                <w:sz w:val="20"/>
              </w:rPr>
              <w:t>(16</w:t>
            </w:r>
            <w:r w:rsidRPr="008A56A7">
              <w:rPr>
                <w:sz w:val="20"/>
              </w:rPr>
              <w:t>)</w:t>
            </w:r>
          </w:p>
        </w:tc>
        <w:tc>
          <w:tcPr>
            <w:tcW w:w="1745" w:type="dxa"/>
            <w:shd w:val="clear" w:color="auto" w:fill="auto"/>
          </w:tcPr>
          <w:p w14:paraId="7504A339" w14:textId="77777777" w:rsidR="00DD4026" w:rsidRDefault="00DD4026" w:rsidP="00380865">
            <w:pPr>
              <w:suppressLineNumbers/>
              <w:spacing w:beforeLines="0" w:before="0" w:afterLines="0" w:line="276" w:lineRule="auto"/>
              <w:jc w:val="center"/>
            </w:pPr>
            <w:r>
              <w:t xml:space="preserve">19 </w:t>
            </w:r>
            <w:r>
              <w:rPr>
                <w:sz w:val="20"/>
              </w:rPr>
              <w:t>(77</w:t>
            </w:r>
            <w:r w:rsidRPr="008A56A7">
              <w:rPr>
                <w:sz w:val="20"/>
              </w:rPr>
              <w:t>)</w:t>
            </w:r>
          </w:p>
        </w:tc>
        <w:tc>
          <w:tcPr>
            <w:tcW w:w="1151" w:type="dxa"/>
            <w:shd w:val="clear" w:color="auto" w:fill="auto"/>
          </w:tcPr>
          <w:p w14:paraId="4DF6BA91" w14:textId="77777777" w:rsidR="00DD4026" w:rsidRPr="008A56A7" w:rsidRDefault="00DD4026" w:rsidP="00380865">
            <w:pPr>
              <w:suppressLineNumbers/>
              <w:spacing w:beforeLines="0" w:before="0" w:afterLines="0" w:line="276" w:lineRule="auto"/>
              <w:jc w:val="center"/>
              <w:rPr>
                <w:sz w:val="20"/>
              </w:rPr>
            </w:pPr>
            <w:r w:rsidRPr="008A56A7">
              <w:rPr>
                <w:sz w:val="20"/>
              </w:rPr>
              <w:t>0.</w:t>
            </w:r>
            <w:r>
              <w:rPr>
                <w:sz w:val="20"/>
              </w:rPr>
              <w:t>08</w:t>
            </w:r>
          </w:p>
        </w:tc>
        <w:tc>
          <w:tcPr>
            <w:tcW w:w="865" w:type="dxa"/>
            <w:shd w:val="clear" w:color="auto" w:fill="auto"/>
          </w:tcPr>
          <w:p w14:paraId="0D602612"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45B8FAA7" w14:textId="77777777" w:rsidTr="00380865">
        <w:trPr>
          <w:gridAfter w:val="1"/>
          <w:wAfter w:w="6" w:type="dxa"/>
        </w:trPr>
        <w:tc>
          <w:tcPr>
            <w:tcW w:w="2909" w:type="dxa"/>
            <w:shd w:val="clear" w:color="auto" w:fill="auto"/>
          </w:tcPr>
          <w:p w14:paraId="0D97C32D" w14:textId="77777777" w:rsidR="00DD4026" w:rsidRDefault="00DD4026" w:rsidP="00380865">
            <w:pPr>
              <w:suppressLineNumbers/>
              <w:spacing w:beforeLines="0" w:before="0" w:afterLines="0" w:line="276" w:lineRule="auto"/>
            </w:pPr>
            <w:proofErr w:type="spellStart"/>
            <w:r>
              <w:t>Anemia</w:t>
            </w:r>
            <w:proofErr w:type="spellEnd"/>
            <w:r>
              <w:t xml:space="preserve">, </w:t>
            </w:r>
            <w:r w:rsidRPr="0020419F">
              <w:t>%</w:t>
            </w:r>
            <w:r>
              <w:rPr>
                <w:sz w:val="20"/>
              </w:rPr>
              <w:t xml:space="preserve"> (N)</w:t>
            </w:r>
          </w:p>
        </w:tc>
        <w:tc>
          <w:tcPr>
            <w:tcW w:w="1853" w:type="dxa"/>
            <w:shd w:val="clear" w:color="auto" w:fill="auto"/>
          </w:tcPr>
          <w:p w14:paraId="12273AF7" w14:textId="77777777" w:rsidR="00DD4026" w:rsidRDefault="00DD4026" w:rsidP="00380865">
            <w:pPr>
              <w:suppressLineNumbers/>
              <w:spacing w:beforeLines="0" w:before="0" w:afterLines="0" w:line="276" w:lineRule="auto"/>
              <w:jc w:val="center"/>
            </w:pPr>
            <w:r>
              <w:t xml:space="preserve">47 </w:t>
            </w:r>
            <w:r>
              <w:rPr>
                <w:sz w:val="20"/>
              </w:rPr>
              <w:t>(218</w:t>
            </w:r>
            <w:r w:rsidRPr="008A56A7">
              <w:rPr>
                <w:sz w:val="20"/>
              </w:rPr>
              <w:t>)</w:t>
            </w:r>
          </w:p>
        </w:tc>
        <w:tc>
          <w:tcPr>
            <w:tcW w:w="1876" w:type="dxa"/>
            <w:shd w:val="clear" w:color="auto" w:fill="auto"/>
          </w:tcPr>
          <w:p w14:paraId="060DD041" w14:textId="77777777" w:rsidR="00DD4026" w:rsidRDefault="00DD4026" w:rsidP="00380865">
            <w:pPr>
              <w:suppressLineNumbers/>
              <w:spacing w:beforeLines="0" w:before="0" w:afterLines="0" w:line="276" w:lineRule="auto"/>
              <w:jc w:val="center"/>
            </w:pPr>
            <w:r>
              <w:t xml:space="preserve">79 </w:t>
            </w:r>
            <w:r>
              <w:rPr>
                <w:sz w:val="20"/>
              </w:rPr>
              <w:t>(44</w:t>
            </w:r>
            <w:r w:rsidRPr="008A56A7">
              <w:rPr>
                <w:sz w:val="20"/>
              </w:rPr>
              <w:t>)</w:t>
            </w:r>
          </w:p>
        </w:tc>
        <w:tc>
          <w:tcPr>
            <w:tcW w:w="1745" w:type="dxa"/>
            <w:shd w:val="clear" w:color="auto" w:fill="auto"/>
          </w:tcPr>
          <w:p w14:paraId="5AFAFBC5" w14:textId="77777777" w:rsidR="00DD4026" w:rsidRDefault="00DD4026" w:rsidP="00380865">
            <w:pPr>
              <w:suppressLineNumbers/>
              <w:spacing w:beforeLines="0" w:before="0" w:afterLines="0" w:line="276" w:lineRule="auto"/>
              <w:jc w:val="center"/>
            </w:pPr>
            <w:r>
              <w:t xml:space="preserve">42 </w:t>
            </w:r>
            <w:r>
              <w:rPr>
                <w:sz w:val="20"/>
              </w:rPr>
              <w:t>(174</w:t>
            </w:r>
            <w:r w:rsidRPr="008A56A7">
              <w:rPr>
                <w:sz w:val="20"/>
              </w:rPr>
              <w:t>)</w:t>
            </w:r>
          </w:p>
        </w:tc>
        <w:tc>
          <w:tcPr>
            <w:tcW w:w="1151" w:type="dxa"/>
            <w:shd w:val="clear" w:color="auto" w:fill="auto"/>
          </w:tcPr>
          <w:p w14:paraId="69998A35" w14:textId="77777777" w:rsidR="00DD4026" w:rsidRPr="008A56A7" w:rsidRDefault="00DD4026" w:rsidP="00380865">
            <w:pPr>
              <w:suppressLineNumbers/>
              <w:spacing w:beforeLines="0" w:before="0" w:afterLines="0" w:line="276" w:lineRule="auto"/>
              <w:jc w:val="center"/>
              <w:rPr>
                <w:sz w:val="20"/>
              </w:rPr>
            </w:pPr>
            <w:r w:rsidRPr="008A56A7">
              <w:rPr>
                <w:sz w:val="20"/>
              </w:rPr>
              <w:t>&lt;0.001</w:t>
            </w:r>
          </w:p>
        </w:tc>
        <w:tc>
          <w:tcPr>
            <w:tcW w:w="865" w:type="dxa"/>
            <w:shd w:val="clear" w:color="auto" w:fill="auto"/>
          </w:tcPr>
          <w:p w14:paraId="425804B2"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2DA2833E" w14:textId="77777777" w:rsidTr="00380865">
        <w:trPr>
          <w:gridAfter w:val="1"/>
          <w:wAfter w:w="6" w:type="dxa"/>
        </w:trPr>
        <w:tc>
          <w:tcPr>
            <w:tcW w:w="2909" w:type="dxa"/>
            <w:shd w:val="clear" w:color="auto" w:fill="auto"/>
          </w:tcPr>
          <w:p w14:paraId="6474B846" w14:textId="77777777" w:rsidR="00DD4026" w:rsidRDefault="00DD4026" w:rsidP="00380865">
            <w:pPr>
              <w:suppressLineNumbers/>
              <w:spacing w:beforeLines="0" w:before="0" w:afterLines="0" w:line="276" w:lineRule="auto"/>
            </w:pPr>
            <w:r>
              <w:t xml:space="preserve">Recurrent falls, </w:t>
            </w:r>
            <w:r w:rsidRPr="0020419F">
              <w:t>%</w:t>
            </w:r>
            <w:r>
              <w:rPr>
                <w:sz w:val="20"/>
              </w:rPr>
              <w:t xml:space="preserve"> (N)</w:t>
            </w:r>
          </w:p>
        </w:tc>
        <w:tc>
          <w:tcPr>
            <w:tcW w:w="1853" w:type="dxa"/>
            <w:shd w:val="clear" w:color="auto" w:fill="auto"/>
          </w:tcPr>
          <w:p w14:paraId="6CCE4CF0" w14:textId="77777777" w:rsidR="00DD4026" w:rsidRDefault="00DD4026" w:rsidP="00380865">
            <w:pPr>
              <w:suppressLineNumbers/>
              <w:spacing w:beforeLines="0" w:before="0" w:afterLines="0" w:line="276" w:lineRule="auto"/>
              <w:jc w:val="center"/>
            </w:pPr>
            <w:r>
              <w:t xml:space="preserve">37 </w:t>
            </w:r>
            <w:r>
              <w:rPr>
                <w:sz w:val="20"/>
              </w:rPr>
              <w:t>(173</w:t>
            </w:r>
            <w:r w:rsidRPr="008A56A7">
              <w:rPr>
                <w:sz w:val="20"/>
              </w:rPr>
              <w:t>)</w:t>
            </w:r>
          </w:p>
        </w:tc>
        <w:tc>
          <w:tcPr>
            <w:tcW w:w="1876" w:type="dxa"/>
            <w:shd w:val="clear" w:color="auto" w:fill="auto"/>
          </w:tcPr>
          <w:p w14:paraId="416A8887" w14:textId="77777777" w:rsidR="00DD4026" w:rsidRDefault="00DD4026" w:rsidP="00380865">
            <w:pPr>
              <w:suppressLineNumbers/>
              <w:spacing w:beforeLines="0" w:before="0" w:afterLines="0" w:line="276" w:lineRule="auto"/>
              <w:jc w:val="center"/>
            </w:pPr>
            <w:r>
              <w:t xml:space="preserve">59 </w:t>
            </w:r>
            <w:r>
              <w:rPr>
                <w:sz w:val="20"/>
              </w:rPr>
              <w:t>(33</w:t>
            </w:r>
            <w:r w:rsidRPr="008A56A7">
              <w:rPr>
                <w:sz w:val="20"/>
              </w:rPr>
              <w:t>)</w:t>
            </w:r>
          </w:p>
        </w:tc>
        <w:tc>
          <w:tcPr>
            <w:tcW w:w="1745" w:type="dxa"/>
            <w:shd w:val="clear" w:color="auto" w:fill="auto"/>
          </w:tcPr>
          <w:p w14:paraId="2F0467E7" w14:textId="77777777" w:rsidR="00DD4026" w:rsidRDefault="00DD4026" w:rsidP="00380865">
            <w:pPr>
              <w:suppressLineNumbers/>
              <w:spacing w:beforeLines="0" w:before="0" w:afterLines="0" w:line="276" w:lineRule="auto"/>
              <w:jc w:val="center"/>
            </w:pPr>
            <w:r>
              <w:t xml:space="preserve">34 </w:t>
            </w:r>
            <w:r>
              <w:rPr>
                <w:sz w:val="20"/>
              </w:rPr>
              <w:t>(140</w:t>
            </w:r>
            <w:r w:rsidRPr="008A56A7">
              <w:rPr>
                <w:sz w:val="20"/>
              </w:rPr>
              <w:t>)</w:t>
            </w:r>
          </w:p>
        </w:tc>
        <w:tc>
          <w:tcPr>
            <w:tcW w:w="1151" w:type="dxa"/>
            <w:shd w:val="clear" w:color="auto" w:fill="auto"/>
          </w:tcPr>
          <w:p w14:paraId="5712DFFC" w14:textId="77777777" w:rsidR="00DD4026" w:rsidRPr="008A56A7" w:rsidRDefault="00DD4026" w:rsidP="00380865">
            <w:pPr>
              <w:suppressLineNumbers/>
              <w:spacing w:beforeLines="0" w:before="0" w:afterLines="0" w:line="276" w:lineRule="auto"/>
              <w:jc w:val="center"/>
              <w:rPr>
                <w:sz w:val="20"/>
              </w:rPr>
            </w:pPr>
            <w:r>
              <w:rPr>
                <w:sz w:val="20"/>
              </w:rPr>
              <w:t>&lt;0.001</w:t>
            </w:r>
          </w:p>
        </w:tc>
        <w:tc>
          <w:tcPr>
            <w:tcW w:w="865" w:type="dxa"/>
            <w:shd w:val="clear" w:color="auto" w:fill="auto"/>
          </w:tcPr>
          <w:p w14:paraId="0A27A2F0"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3C0BAFF6" w14:textId="77777777" w:rsidTr="00380865">
        <w:trPr>
          <w:gridAfter w:val="1"/>
          <w:wAfter w:w="6" w:type="dxa"/>
        </w:trPr>
        <w:tc>
          <w:tcPr>
            <w:tcW w:w="2909" w:type="dxa"/>
            <w:tcBorders>
              <w:bottom w:val="single" w:sz="4" w:space="0" w:color="auto"/>
            </w:tcBorders>
            <w:shd w:val="clear" w:color="auto" w:fill="auto"/>
          </w:tcPr>
          <w:p w14:paraId="4E91A1E3" w14:textId="77777777" w:rsidR="00DD4026" w:rsidRDefault="00DD4026" w:rsidP="00380865">
            <w:pPr>
              <w:suppressLineNumbers/>
              <w:spacing w:beforeLines="0" w:before="0" w:afterLines="0" w:line="276" w:lineRule="auto"/>
            </w:pPr>
            <w:r>
              <w:t xml:space="preserve">Urinary incontinence, </w:t>
            </w:r>
            <w:r w:rsidRPr="0020419F">
              <w:t>%</w:t>
            </w:r>
            <w:r>
              <w:rPr>
                <w:sz w:val="20"/>
              </w:rPr>
              <w:t xml:space="preserve"> (N)</w:t>
            </w:r>
          </w:p>
        </w:tc>
        <w:tc>
          <w:tcPr>
            <w:tcW w:w="1853" w:type="dxa"/>
            <w:tcBorders>
              <w:bottom w:val="single" w:sz="4" w:space="0" w:color="auto"/>
            </w:tcBorders>
            <w:shd w:val="clear" w:color="auto" w:fill="auto"/>
          </w:tcPr>
          <w:p w14:paraId="43FC5C6E" w14:textId="77777777" w:rsidR="00DD4026" w:rsidRDefault="00DD4026" w:rsidP="00380865">
            <w:pPr>
              <w:suppressLineNumbers/>
              <w:spacing w:beforeLines="0" w:before="0" w:afterLines="0" w:line="276" w:lineRule="auto"/>
              <w:jc w:val="center"/>
            </w:pPr>
            <w:r>
              <w:t xml:space="preserve">7 </w:t>
            </w:r>
            <w:r>
              <w:rPr>
                <w:sz w:val="20"/>
              </w:rPr>
              <w:t>(33</w:t>
            </w:r>
            <w:r w:rsidRPr="008A56A7">
              <w:rPr>
                <w:sz w:val="20"/>
              </w:rPr>
              <w:t>)</w:t>
            </w:r>
          </w:p>
        </w:tc>
        <w:tc>
          <w:tcPr>
            <w:tcW w:w="1876" w:type="dxa"/>
            <w:tcBorders>
              <w:bottom w:val="single" w:sz="4" w:space="0" w:color="auto"/>
            </w:tcBorders>
            <w:shd w:val="clear" w:color="auto" w:fill="auto"/>
          </w:tcPr>
          <w:p w14:paraId="4372AF11" w14:textId="77777777" w:rsidR="00DD4026" w:rsidRDefault="00DD4026" w:rsidP="00380865">
            <w:pPr>
              <w:suppressLineNumbers/>
              <w:spacing w:beforeLines="0" w:before="0" w:afterLines="0" w:line="276" w:lineRule="auto"/>
              <w:jc w:val="center"/>
            </w:pPr>
            <w:r>
              <w:t xml:space="preserve">14 </w:t>
            </w:r>
            <w:r>
              <w:rPr>
                <w:sz w:val="20"/>
              </w:rPr>
              <w:t>(8</w:t>
            </w:r>
            <w:r w:rsidRPr="008A56A7">
              <w:rPr>
                <w:sz w:val="20"/>
              </w:rPr>
              <w:t>)</w:t>
            </w:r>
          </w:p>
        </w:tc>
        <w:tc>
          <w:tcPr>
            <w:tcW w:w="1745" w:type="dxa"/>
            <w:tcBorders>
              <w:bottom w:val="single" w:sz="4" w:space="0" w:color="auto"/>
            </w:tcBorders>
            <w:shd w:val="clear" w:color="auto" w:fill="auto"/>
          </w:tcPr>
          <w:p w14:paraId="21B3077A" w14:textId="77777777" w:rsidR="00DD4026" w:rsidRDefault="00DD4026" w:rsidP="00380865">
            <w:pPr>
              <w:suppressLineNumbers/>
              <w:spacing w:beforeLines="0" w:before="0" w:afterLines="0" w:line="276" w:lineRule="auto"/>
              <w:jc w:val="center"/>
            </w:pPr>
            <w:r>
              <w:t xml:space="preserve">6 </w:t>
            </w:r>
            <w:r>
              <w:rPr>
                <w:sz w:val="20"/>
              </w:rPr>
              <w:t>(25</w:t>
            </w:r>
            <w:r w:rsidRPr="008A56A7">
              <w:rPr>
                <w:sz w:val="20"/>
              </w:rPr>
              <w:t>)</w:t>
            </w:r>
          </w:p>
        </w:tc>
        <w:tc>
          <w:tcPr>
            <w:tcW w:w="1151" w:type="dxa"/>
            <w:tcBorders>
              <w:bottom w:val="single" w:sz="4" w:space="0" w:color="auto"/>
            </w:tcBorders>
            <w:shd w:val="clear" w:color="auto" w:fill="auto"/>
          </w:tcPr>
          <w:p w14:paraId="6C32A72A" w14:textId="77777777" w:rsidR="00DD4026" w:rsidRPr="008A56A7" w:rsidRDefault="00DD4026" w:rsidP="00380865">
            <w:pPr>
              <w:suppressLineNumbers/>
              <w:spacing w:beforeLines="0" w:before="0" w:afterLines="0" w:line="276" w:lineRule="auto"/>
              <w:jc w:val="center"/>
              <w:rPr>
                <w:sz w:val="20"/>
              </w:rPr>
            </w:pPr>
            <w:r w:rsidRPr="008A56A7">
              <w:rPr>
                <w:sz w:val="20"/>
              </w:rPr>
              <w:t>0.0</w:t>
            </w:r>
            <w:r>
              <w:rPr>
                <w:sz w:val="20"/>
              </w:rPr>
              <w:t>3</w:t>
            </w:r>
          </w:p>
        </w:tc>
        <w:tc>
          <w:tcPr>
            <w:tcW w:w="865" w:type="dxa"/>
            <w:tcBorders>
              <w:bottom w:val="single" w:sz="4" w:space="0" w:color="auto"/>
            </w:tcBorders>
            <w:shd w:val="clear" w:color="auto" w:fill="auto"/>
          </w:tcPr>
          <w:p w14:paraId="6E43D9E9"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354B924E" w14:textId="77777777" w:rsidTr="00380865">
        <w:tc>
          <w:tcPr>
            <w:tcW w:w="10405" w:type="dxa"/>
            <w:gridSpan w:val="7"/>
            <w:tcBorders>
              <w:top w:val="single" w:sz="4" w:space="0" w:color="auto"/>
              <w:bottom w:val="single" w:sz="4" w:space="0" w:color="auto"/>
            </w:tcBorders>
            <w:shd w:val="clear" w:color="auto" w:fill="auto"/>
          </w:tcPr>
          <w:p w14:paraId="276A54FF" w14:textId="77777777" w:rsidR="00DD4026" w:rsidRPr="008A56A7" w:rsidRDefault="00DD4026" w:rsidP="00380865">
            <w:pPr>
              <w:suppressLineNumbers/>
              <w:spacing w:beforeLines="0" w:afterLines="0" w:line="276" w:lineRule="auto"/>
              <w:rPr>
                <w:sz w:val="20"/>
              </w:rPr>
            </w:pPr>
            <w:r>
              <w:lastRenderedPageBreak/>
              <w:t>Medications</w:t>
            </w:r>
          </w:p>
        </w:tc>
      </w:tr>
      <w:tr w:rsidR="00DD4026" w14:paraId="522E6AA5" w14:textId="77777777" w:rsidTr="00380865">
        <w:trPr>
          <w:gridAfter w:val="1"/>
          <w:wAfter w:w="6" w:type="dxa"/>
        </w:trPr>
        <w:tc>
          <w:tcPr>
            <w:tcW w:w="2909" w:type="dxa"/>
            <w:tcBorders>
              <w:top w:val="single" w:sz="4" w:space="0" w:color="auto"/>
            </w:tcBorders>
            <w:shd w:val="clear" w:color="auto" w:fill="auto"/>
          </w:tcPr>
          <w:p w14:paraId="2F3881BE" w14:textId="77777777" w:rsidR="00DD4026" w:rsidRDefault="00DD4026" w:rsidP="00380865">
            <w:pPr>
              <w:suppressLineNumbers/>
              <w:spacing w:beforeLines="0" w:before="0" w:afterLines="0" w:line="276" w:lineRule="auto"/>
            </w:pPr>
            <w:r>
              <w:t xml:space="preserve">BB, </w:t>
            </w:r>
            <w:r w:rsidRPr="0020419F">
              <w:t>%</w:t>
            </w:r>
            <w:r>
              <w:rPr>
                <w:sz w:val="20"/>
              </w:rPr>
              <w:t xml:space="preserve"> (N)</w:t>
            </w:r>
          </w:p>
        </w:tc>
        <w:tc>
          <w:tcPr>
            <w:tcW w:w="1853" w:type="dxa"/>
            <w:tcBorders>
              <w:top w:val="single" w:sz="4" w:space="0" w:color="auto"/>
            </w:tcBorders>
            <w:shd w:val="clear" w:color="auto" w:fill="auto"/>
          </w:tcPr>
          <w:p w14:paraId="25D633D6" w14:textId="77777777" w:rsidR="00DD4026" w:rsidRDefault="00DD4026" w:rsidP="00380865">
            <w:pPr>
              <w:suppressLineNumbers/>
              <w:spacing w:beforeLines="0" w:before="0" w:afterLines="0" w:line="276" w:lineRule="auto"/>
              <w:jc w:val="center"/>
            </w:pPr>
            <w:r>
              <w:t xml:space="preserve">84 </w:t>
            </w:r>
            <w:r>
              <w:rPr>
                <w:sz w:val="20"/>
              </w:rPr>
              <w:t>(392</w:t>
            </w:r>
            <w:r w:rsidRPr="008A56A7">
              <w:rPr>
                <w:sz w:val="20"/>
              </w:rPr>
              <w:t>)</w:t>
            </w:r>
          </w:p>
        </w:tc>
        <w:tc>
          <w:tcPr>
            <w:tcW w:w="1876" w:type="dxa"/>
            <w:tcBorders>
              <w:top w:val="single" w:sz="4" w:space="0" w:color="auto"/>
            </w:tcBorders>
            <w:shd w:val="clear" w:color="auto" w:fill="auto"/>
          </w:tcPr>
          <w:p w14:paraId="258F5C1B" w14:textId="77777777" w:rsidR="00DD4026" w:rsidRDefault="00DD4026" w:rsidP="00380865">
            <w:pPr>
              <w:suppressLineNumbers/>
              <w:spacing w:beforeLines="0" w:before="0" w:afterLines="0" w:line="276" w:lineRule="auto"/>
              <w:jc w:val="center"/>
            </w:pPr>
            <w:r>
              <w:t xml:space="preserve">79 </w:t>
            </w:r>
            <w:r>
              <w:rPr>
                <w:sz w:val="20"/>
              </w:rPr>
              <w:t>(44</w:t>
            </w:r>
            <w:r w:rsidRPr="008A56A7">
              <w:rPr>
                <w:sz w:val="20"/>
              </w:rPr>
              <w:t>)</w:t>
            </w:r>
          </w:p>
        </w:tc>
        <w:tc>
          <w:tcPr>
            <w:tcW w:w="1745" w:type="dxa"/>
            <w:tcBorders>
              <w:top w:val="single" w:sz="4" w:space="0" w:color="auto"/>
            </w:tcBorders>
            <w:shd w:val="clear" w:color="auto" w:fill="auto"/>
          </w:tcPr>
          <w:p w14:paraId="07CD369A" w14:textId="77777777" w:rsidR="00DD4026" w:rsidRDefault="00DD4026" w:rsidP="00380865">
            <w:pPr>
              <w:suppressLineNumbers/>
              <w:spacing w:beforeLines="0" w:before="0" w:afterLines="0" w:line="276" w:lineRule="auto"/>
              <w:jc w:val="center"/>
            </w:pPr>
            <w:r>
              <w:t xml:space="preserve">85 </w:t>
            </w:r>
            <w:r>
              <w:rPr>
                <w:sz w:val="20"/>
              </w:rPr>
              <w:t>(348</w:t>
            </w:r>
            <w:r w:rsidRPr="008A56A7">
              <w:rPr>
                <w:sz w:val="20"/>
              </w:rPr>
              <w:t>)</w:t>
            </w:r>
          </w:p>
        </w:tc>
        <w:tc>
          <w:tcPr>
            <w:tcW w:w="1151" w:type="dxa"/>
            <w:tcBorders>
              <w:top w:val="single" w:sz="4" w:space="0" w:color="auto"/>
            </w:tcBorders>
            <w:shd w:val="clear" w:color="auto" w:fill="auto"/>
          </w:tcPr>
          <w:p w14:paraId="66B46DA9" w14:textId="77777777" w:rsidR="00DD4026" w:rsidRPr="008A56A7" w:rsidRDefault="00DD4026" w:rsidP="00380865">
            <w:pPr>
              <w:suppressLineNumbers/>
              <w:spacing w:beforeLines="0" w:before="0" w:afterLines="0" w:line="276" w:lineRule="auto"/>
              <w:jc w:val="center"/>
              <w:rPr>
                <w:sz w:val="20"/>
              </w:rPr>
            </w:pPr>
            <w:r w:rsidRPr="008A56A7">
              <w:rPr>
                <w:sz w:val="20"/>
              </w:rPr>
              <w:t>0.</w:t>
            </w:r>
            <w:r>
              <w:rPr>
                <w:sz w:val="20"/>
              </w:rPr>
              <w:t>24</w:t>
            </w:r>
          </w:p>
        </w:tc>
        <w:tc>
          <w:tcPr>
            <w:tcW w:w="865" w:type="dxa"/>
            <w:tcBorders>
              <w:top w:val="single" w:sz="4" w:space="0" w:color="auto"/>
            </w:tcBorders>
            <w:shd w:val="clear" w:color="auto" w:fill="auto"/>
          </w:tcPr>
          <w:p w14:paraId="32DFE3AE"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5181D6B4" w14:textId="77777777" w:rsidTr="00380865">
        <w:trPr>
          <w:gridAfter w:val="1"/>
          <w:wAfter w:w="6" w:type="dxa"/>
        </w:trPr>
        <w:tc>
          <w:tcPr>
            <w:tcW w:w="2909" w:type="dxa"/>
            <w:shd w:val="clear" w:color="auto" w:fill="auto"/>
          </w:tcPr>
          <w:p w14:paraId="59BE0D03" w14:textId="77777777" w:rsidR="00DD4026" w:rsidRDefault="00DD4026" w:rsidP="00380865">
            <w:pPr>
              <w:suppressLineNumbers/>
              <w:spacing w:beforeLines="0" w:before="0" w:afterLines="0" w:line="276" w:lineRule="auto"/>
            </w:pPr>
            <w:proofErr w:type="spellStart"/>
            <w:r>
              <w:t>ACEi</w:t>
            </w:r>
            <w:proofErr w:type="spellEnd"/>
            <w:r>
              <w:t xml:space="preserve">/ARB, </w:t>
            </w:r>
            <w:r w:rsidRPr="0020419F">
              <w:t>%</w:t>
            </w:r>
            <w:r>
              <w:rPr>
                <w:sz w:val="20"/>
              </w:rPr>
              <w:t xml:space="preserve"> (N)</w:t>
            </w:r>
          </w:p>
        </w:tc>
        <w:tc>
          <w:tcPr>
            <w:tcW w:w="1853" w:type="dxa"/>
            <w:shd w:val="clear" w:color="auto" w:fill="auto"/>
          </w:tcPr>
          <w:p w14:paraId="6B061A75" w14:textId="77777777" w:rsidR="00DD4026" w:rsidRDefault="00DD4026" w:rsidP="00380865">
            <w:pPr>
              <w:suppressLineNumbers/>
              <w:spacing w:beforeLines="0" w:before="0" w:afterLines="0" w:line="276" w:lineRule="auto"/>
              <w:jc w:val="center"/>
            </w:pPr>
            <w:r>
              <w:t xml:space="preserve">83 </w:t>
            </w:r>
            <w:r>
              <w:rPr>
                <w:sz w:val="20"/>
              </w:rPr>
              <w:t>(389</w:t>
            </w:r>
            <w:r w:rsidRPr="008A56A7">
              <w:rPr>
                <w:sz w:val="20"/>
              </w:rPr>
              <w:t>)</w:t>
            </w:r>
          </w:p>
        </w:tc>
        <w:tc>
          <w:tcPr>
            <w:tcW w:w="1876" w:type="dxa"/>
            <w:shd w:val="clear" w:color="auto" w:fill="auto"/>
          </w:tcPr>
          <w:p w14:paraId="6431E9B2" w14:textId="77777777" w:rsidR="00DD4026" w:rsidRDefault="00DD4026" w:rsidP="00380865">
            <w:pPr>
              <w:suppressLineNumbers/>
              <w:spacing w:beforeLines="0" w:before="0" w:afterLines="0" w:line="276" w:lineRule="auto"/>
              <w:jc w:val="center"/>
            </w:pPr>
            <w:r>
              <w:t xml:space="preserve">63 </w:t>
            </w:r>
            <w:r>
              <w:rPr>
                <w:sz w:val="20"/>
              </w:rPr>
              <w:t>(35</w:t>
            </w:r>
            <w:r w:rsidRPr="008A56A7">
              <w:rPr>
                <w:sz w:val="20"/>
              </w:rPr>
              <w:t>)</w:t>
            </w:r>
          </w:p>
        </w:tc>
        <w:tc>
          <w:tcPr>
            <w:tcW w:w="1745" w:type="dxa"/>
            <w:shd w:val="clear" w:color="auto" w:fill="auto"/>
          </w:tcPr>
          <w:p w14:paraId="69DF40C8" w14:textId="77777777" w:rsidR="00DD4026" w:rsidRDefault="00DD4026" w:rsidP="00380865">
            <w:pPr>
              <w:suppressLineNumbers/>
              <w:spacing w:beforeLines="0" w:before="0" w:afterLines="0" w:line="276" w:lineRule="auto"/>
              <w:jc w:val="center"/>
            </w:pPr>
            <w:r>
              <w:t xml:space="preserve">86 </w:t>
            </w:r>
            <w:r>
              <w:rPr>
                <w:sz w:val="20"/>
              </w:rPr>
              <w:t>(354</w:t>
            </w:r>
            <w:r w:rsidRPr="008A56A7">
              <w:rPr>
                <w:sz w:val="20"/>
              </w:rPr>
              <w:t>)</w:t>
            </w:r>
          </w:p>
        </w:tc>
        <w:tc>
          <w:tcPr>
            <w:tcW w:w="1151" w:type="dxa"/>
            <w:shd w:val="clear" w:color="auto" w:fill="auto"/>
          </w:tcPr>
          <w:p w14:paraId="34C520CF" w14:textId="77777777" w:rsidR="00DD4026" w:rsidRPr="008A56A7" w:rsidRDefault="00DD4026" w:rsidP="00380865">
            <w:pPr>
              <w:suppressLineNumbers/>
              <w:spacing w:beforeLines="0" w:before="0" w:afterLines="0" w:line="276" w:lineRule="auto"/>
              <w:jc w:val="center"/>
              <w:rPr>
                <w:sz w:val="20"/>
              </w:rPr>
            </w:pPr>
            <w:r w:rsidRPr="008A56A7">
              <w:rPr>
                <w:sz w:val="20"/>
              </w:rPr>
              <w:t>&lt;0.001</w:t>
            </w:r>
          </w:p>
        </w:tc>
        <w:tc>
          <w:tcPr>
            <w:tcW w:w="865" w:type="dxa"/>
            <w:shd w:val="clear" w:color="auto" w:fill="auto"/>
          </w:tcPr>
          <w:p w14:paraId="09886B1C"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3548023B" w14:textId="77777777" w:rsidTr="00380865">
        <w:trPr>
          <w:gridAfter w:val="1"/>
          <w:wAfter w:w="6" w:type="dxa"/>
        </w:trPr>
        <w:tc>
          <w:tcPr>
            <w:tcW w:w="2909" w:type="dxa"/>
            <w:shd w:val="clear" w:color="auto" w:fill="auto"/>
          </w:tcPr>
          <w:p w14:paraId="7D16A6CE" w14:textId="77777777" w:rsidR="00DD4026" w:rsidRDefault="00DD4026" w:rsidP="00380865">
            <w:pPr>
              <w:suppressLineNumbers/>
              <w:spacing w:beforeLines="0" w:before="0" w:afterLines="0" w:line="276" w:lineRule="auto"/>
            </w:pPr>
            <w:r>
              <w:t xml:space="preserve">MRA, </w:t>
            </w:r>
            <w:r w:rsidRPr="0020419F">
              <w:t>%</w:t>
            </w:r>
            <w:r>
              <w:rPr>
                <w:sz w:val="20"/>
              </w:rPr>
              <w:t xml:space="preserve"> (N)</w:t>
            </w:r>
          </w:p>
        </w:tc>
        <w:tc>
          <w:tcPr>
            <w:tcW w:w="1853" w:type="dxa"/>
            <w:shd w:val="clear" w:color="auto" w:fill="auto"/>
          </w:tcPr>
          <w:p w14:paraId="690A30DB" w14:textId="77777777" w:rsidR="00DD4026" w:rsidRDefault="00DD4026" w:rsidP="00380865">
            <w:pPr>
              <w:suppressLineNumbers/>
              <w:spacing w:beforeLines="0" w:before="0" w:afterLines="0" w:line="276" w:lineRule="auto"/>
              <w:jc w:val="center"/>
            </w:pPr>
            <w:r>
              <w:t xml:space="preserve">46 </w:t>
            </w:r>
            <w:r>
              <w:rPr>
                <w:sz w:val="20"/>
              </w:rPr>
              <w:t>(214</w:t>
            </w:r>
            <w:r w:rsidRPr="008A56A7">
              <w:rPr>
                <w:sz w:val="20"/>
              </w:rPr>
              <w:t>)</w:t>
            </w:r>
          </w:p>
        </w:tc>
        <w:tc>
          <w:tcPr>
            <w:tcW w:w="1876" w:type="dxa"/>
            <w:shd w:val="clear" w:color="auto" w:fill="auto"/>
          </w:tcPr>
          <w:p w14:paraId="470143DC" w14:textId="77777777" w:rsidR="00DD4026" w:rsidRPr="002803FE" w:rsidRDefault="00DD4026" w:rsidP="00380865">
            <w:pPr>
              <w:suppressLineNumbers/>
              <w:spacing w:beforeLines="0" w:before="0" w:afterLines="0" w:line="276" w:lineRule="auto"/>
              <w:jc w:val="center"/>
            </w:pPr>
            <w:r>
              <w:t xml:space="preserve">41 </w:t>
            </w:r>
            <w:r>
              <w:rPr>
                <w:sz w:val="20"/>
              </w:rPr>
              <w:t>(23</w:t>
            </w:r>
            <w:r w:rsidRPr="002803FE">
              <w:rPr>
                <w:sz w:val="20"/>
              </w:rPr>
              <w:t>)</w:t>
            </w:r>
          </w:p>
        </w:tc>
        <w:tc>
          <w:tcPr>
            <w:tcW w:w="1745" w:type="dxa"/>
            <w:shd w:val="clear" w:color="auto" w:fill="auto"/>
          </w:tcPr>
          <w:p w14:paraId="169523E5" w14:textId="77777777" w:rsidR="00DD4026" w:rsidRPr="002803FE" w:rsidRDefault="00DD4026" w:rsidP="00380865">
            <w:pPr>
              <w:suppressLineNumbers/>
              <w:spacing w:beforeLines="0" w:before="0" w:afterLines="0" w:line="276" w:lineRule="auto"/>
              <w:jc w:val="center"/>
            </w:pPr>
            <w:r>
              <w:t>47</w:t>
            </w:r>
            <w:r w:rsidRPr="002803FE">
              <w:t xml:space="preserve"> </w:t>
            </w:r>
            <w:r>
              <w:rPr>
                <w:sz w:val="20"/>
              </w:rPr>
              <w:t>(191</w:t>
            </w:r>
            <w:r w:rsidRPr="002803FE">
              <w:rPr>
                <w:sz w:val="20"/>
              </w:rPr>
              <w:t>)</w:t>
            </w:r>
          </w:p>
        </w:tc>
        <w:tc>
          <w:tcPr>
            <w:tcW w:w="1151" w:type="dxa"/>
            <w:shd w:val="clear" w:color="auto" w:fill="auto"/>
          </w:tcPr>
          <w:p w14:paraId="728EBAEA" w14:textId="77777777" w:rsidR="00DD4026" w:rsidRPr="008A56A7" w:rsidRDefault="00DD4026" w:rsidP="00380865">
            <w:pPr>
              <w:suppressLineNumbers/>
              <w:spacing w:beforeLines="0" w:before="0" w:afterLines="0" w:line="276" w:lineRule="auto"/>
              <w:jc w:val="center"/>
              <w:rPr>
                <w:sz w:val="20"/>
              </w:rPr>
            </w:pPr>
            <w:r w:rsidRPr="008A56A7">
              <w:rPr>
                <w:sz w:val="20"/>
              </w:rPr>
              <w:t>0.</w:t>
            </w:r>
            <w:r>
              <w:rPr>
                <w:sz w:val="20"/>
              </w:rPr>
              <w:t>45</w:t>
            </w:r>
          </w:p>
        </w:tc>
        <w:tc>
          <w:tcPr>
            <w:tcW w:w="865" w:type="dxa"/>
            <w:shd w:val="clear" w:color="auto" w:fill="auto"/>
          </w:tcPr>
          <w:p w14:paraId="68A5A216"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5A40826B" w14:textId="77777777" w:rsidTr="00380865">
        <w:trPr>
          <w:gridAfter w:val="1"/>
          <w:wAfter w:w="6" w:type="dxa"/>
        </w:trPr>
        <w:tc>
          <w:tcPr>
            <w:tcW w:w="2909" w:type="dxa"/>
            <w:shd w:val="clear" w:color="auto" w:fill="auto"/>
          </w:tcPr>
          <w:p w14:paraId="268A5BEA" w14:textId="77777777" w:rsidR="00DD4026" w:rsidRDefault="00DD4026" w:rsidP="00380865">
            <w:pPr>
              <w:suppressLineNumbers/>
              <w:spacing w:beforeLines="0" w:before="0" w:afterLines="0" w:line="276" w:lineRule="auto"/>
            </w:pPr>
            <w:r>
              <w:t xml:space="preserve">Digoxin, </w:t>
            </w:r>
            <w:r w:rsidRPr="0020419F">
              <w:t>%</w:t>
            </w:r>
            <w:r>
              <w:rPr>
                <w:sz w:val="20"/>
              </w:rPr>
              <w:t xml:space="preserve"> (N)</w:t>
            </w:r>
          </w:p>
        </w:tc>
        <w:tc>
          <w:tcPr>
            <w:tcW w:w="1853" w:type="dxa"/>
            <w:shd w:val="clear" w:color="auto" w:fill="auto"/>
          </w:tcPr>
          <w:p w14:paraId="24F4E89E" w14:textId="77777777" w:rsidR="00DD4026" w:rsidRDefault="00DD4026" w:rsidP="00380865">
            <w:pPr>
              <w:suppressLineNumbers/>
              <w:spacing w:beforeLines="0" w:before="0" w:afterLines="0" w:line="276" w:lineRule="auto"/>
              <w:jc w:val="center"/>
            </w:pPr>
            <w:r>
              <w:t xml:space="preserve">21 </w:t>
            </w:r>
            <w:r>
              <w:rPr>
                <w:sz w:val="20"/>
              </w:rPr>
              <w:t>(100</w:t>
            </w:r>
            <w:r w:rsidRPr="008A56A7">
              <w:rPr>
                <w:sz w:val="20"/>
              </w:rPr>
              <w:t>)</w:t>
            </w:r>
          </w:p>
        </w:tc>
        <w:tc>
          <w:tcPr>
            <w:tcW w:w="1876" w:type="dxa"/>
            <w:shd w:val="clear" w:color="auto" w:fill="auto"/>
          </w:tcPr>
          <w:p w14:paraId="628CA93F" w14:textId="77777777" w:rsidR="00DD4026" w:rsidRDefault="00DD4026" w:rsidP="00380865">
            <w:pPr>
              <w:suppressLineNumbers/>
              <w:spacing w:beforeLines="0" w:before="0" w:afterLines="0" w:line="276" w:lineRule="auto"/>
              <w:jc w:val="center"/>
            </w:pPr>
            <w:r>
              <w:t xml:space="preserve">32 </w:t>
            </w:r>
            <w:r>
              <w:rPr>
                <w:sz w:val="20"/>
              </w:rPr>
              <w:t>(18</w:t>
            </w:r>
            <w:r w:rsidRPr="008A56A7">
              <w:rPr>
                <w:sz w:val="20"/>
              </w:rPr>
              <w:t>)</w:t>
            </w:r>
          </w:p>
        </w:tc>
        <w:tc>
          <w:tcPr>
            <w:tcW w:w="1745" w:type="dxa"/>
            <w:shd w:val="clear" w:color="auto" w:fill="auto"/>
          </w:tcPr>
          <w:p w14:paraId="4945CA66" w14:textId="77777777" w:rsidR="00DD4026" w:rsidRDefault="00DD4026" w:rsidP="00380865">
            <w:pPr>
              <w:suppressLineNumbers/>
              <w:spacing w:beforeLines="0" w:before="0" w:afterLines="0" w:line="276" w:lineRule="auto"/>
              <w:jc w:val="center"/>
            </w:pPr>
            <w:r>
              <w:t xml:space="preserve">20 </w:t>
            </w:r>
            <w:r>
              <w:rPr>
                <w:sz w:val="20"/>
              </w:rPr>
              <w:t>(82</w:t>
            </w:r>
            <w:r w:rsidRPr="008A56A7">
              <w:rPr>
                <w:sz w:val="20"/>
              </w:rPr>
              <w:t>)</w:t>
            </w:r>
          </w:p>
        </w:tc>
        <w:tc>
          <w:tcPr>
            <w:tcW w:w="1151" w:type="dxa"/>
            <w:shd w:val="clear" w:color="auto" w:fill="auto"/>
          </w:tcPr>
          <w:p w14:paraId="15729634" w14:textId="77777777" w:rsidR="00DD4026" w:rsidRPr="008A56A7" w:rsidRDefault="00DD4026" w:rsidP="00380865">
            <w:pPr>
              <w:suppressLineNumbers/>
              <w:spacing w:beforeLines="0" w:before="0" w:afterLines="0" w:line="276" w:lineRule="auto"/>
              <w:jc w:val="center"/>
              <w:rPr>
                <w:sz w:val="20"/>
              </w:rPr>
            </w:pPr>
            <w:r>
              <w:rPr>
                <w:sz w:val="20"/>
              </w:rPr>
              <w:t>0.04</w:t>
            </w:r>
          </w:p>
        </w:tc>
        <w:tc>
          <w:tcPr>
            <w:tcW w:w="865" w:type="dxa"/>
            <w:shd w:val="clear" w:color="auto" w:fill="auto"/>
          </w:tcPr>
          <w:p w14:paraId="67F918FD"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6D1F610C" w14:textId="77777777" w:rsidTr="00380865">
        <w:trPr>
          <w:gridAfter w:val="1"/>
          <w:wAfter w:w="6" w:type="dxa"/>
        </w:trPr>
        <w:tc>
          <w:tcPr>
            <w:tcW w:w="2909" w:type="dxa"/>
            <w:shd w:val="clear" w:color="auto" w:fill="auto"/>
          </w:tcPr>
          <w:p w14:paraId="77D81AE9" w14:textId="77777777" w:rsidR="00DD4026" w:rsidRDefault="00DD4026" w:rsidP="00380865">
            <w:pPr>
              <w:suppressLineNumbers/>
              <w:spacing w:beforeLines="0" w:before="0" w:afterLines="0" w:line="276" w:lineRule="auto"/>
            </w:pPr>
            <w:r>
              <w:t xml:space="preserve">Loop diuretic, </w:t>
            </w:r>
            <w:r w:rsidRPr="0020419F">
              <w:t>%</w:t>
            </w:r>
            <w:r>
              <w:rPr>
                <w:sz w:val="20"/>
              </w:rPr>
              <w:t xml:space="preserve"> (N)</w:t>
            </w:r>
          </w:p>
        </w:tc>
        <w:tc>
          <w:tcPr>
            <w:tcW w:w="1853" w:type="dxa"/>
            <w:shd w:val="clear" w:color="auto" w:fill="auto"/>
          </w:tcPr>
          <w:p w14:paraId="388D46E5" w14:textId="77777777" w:rsidR="00DD4026" w:rsidRDefault="00DD4026" w:rsidP="00380865">
            <w:pPr>
              <w:suppressLineNumbers/>
              <w:spacing w:beforeLines="0" w:before="0" w:afterLines="0" w:line="276" w:lineRule="auto"/>
              <w:jc w:val="center"/>
            </w:pPr>
            <w:r>
              <w:t xml:space="preserve">74 </w:t>
            </w:r>
            <w:r>
              <w:rPr>
                <w:sz w:val="20"/>
              </w:rPr>
              <w:t>(347</w:t>
            </w:r>
            <w:r w:rsidRPr="008A56A7">
              <w:rPr>
                <w:sz w:val="20"/>
              </w:rPr>
              <w:t>)</w:t>
            </w:r>
          </w:p>
        </w:tc>
        <w:tc>
          <w:tcPr>
            <w:tcW w:w="1876" w:type="dxa"/>
            <w:shd w:val="clear" w:color="auto" w:fill="auto"/>
          </w:tcPr>
          <w:p w14:paraId="1EE5888C" w14:textId="77777777" w:rsidR="00DD4026" w:rsidRDefault="00DD4026" w:rsidP="00380865">
            <w:pPr>
              <w:suppressLineNumbers/>
              <w:spacing w:beforeLines="0" w:before="0" w:afterLines="0" w:line="276" w:lineRule="auto"/>
              <w:jc w:val="center"/>
            </w:pPr>
            <w:r>
              <w:t xml:space="preserve">88 </w:t>
            </w:r>
            <w:r>
              <w:rPr>
                <w:sz w:val="20"/>
              </w:rPr>
              <w:t>(49</w:t>
            </w:r>
            <w:r w:rsidRPr="008A56A7">
              <w:rPr>
                <w:sz w:val="20"/>
              </w:rPr>
              <w:t>)</w:t>
            </w:r>
          </w:p>
        </w:tc>
        <w:tc>
          <w:tcPr>
            <w:tcW w:w="1745" w:type="dxa"/>
            <w:shd w:val="clear" w:color="auto" w:fill="auto"/>
          </w:tcPr>
          <w:p w14:paraId="66B43607" w14:textId="77777777" w:rsidR="00DD4026" w:rsidRDefault="00DD4026" w:rsidP="00380865">
            <w:pPr>
              <w:suppressLineNumbers/>
              <w:spacing w:beforeLines="0" w:before="0" w:afterLines="0" w:line="276" w:lineRule="auto"/>
              <w:jc w:val="center"/>
            </w:pPr>
            <w:r>
              <w:t xml:space="preserve">73 </w:t>
            </w:r>
            <w:r>
              <w:rPr>
                <w:sz w:val="20"/>
              </w:rPr>
              <w:t>(298</w:t>
            </w:r>
            <w:r w:rsidRPr="008A56A7">
              <w:rPr>
                <w:sz w:val="20"/>
              </w:rPr>
              <w:t>)</w:t>
            </w:r>
          </w:p>
        </w:tc>
        <w:tc>
          <w:tcPr>
            <w:tcW w:w="1151" w:type="dxa"/>
            <w:shd w:val="clear" w:color="auto" w:fill="auto"/>
          </w:tcPr>
          <w:p w14:paraId="2A899C36" w14:textId="77777777" w:rsidR="00DD4026" w:rsidRPr="008A56A7" w:rsidRDefault="00DD4026" w:rsidP="00380865">
            <w:pPr>
              <w:suppressLineNumbers/>
              <w:spacing w:beforeLines="0" w:before="0" w:afterLines="0" w:line="276" w:lineRule="auto"/>
              <w:jc w:val="center"/>
              <w:rPr>
                <w:sz w:val="20"/>
              </w:rPr>
            </w:pPr>
            <w:r w:rsidRPr="008A56A7">
              <w:rPr>
                <w:sz w:val="20"/>
              </w:rPr>
              <w:t>0.0</w:t>
            </w:r>
            <w:r>
              <w:rPr>
                <w:sz w:val="20"/>
              </w:rPr>
              <w:t>2</w:t>
            </w:r>
          </w:p>
        </w:tc>
        <w:tc>
          <w:tcPr>
            <w:tcW w:w="865" w:type="dxa"/>
            <w:shd w:val="clear" w:color="auto" w:fill="auto"/>
          </w:tcPr>
          <w:p w14:paraId="7C3A8C25"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225D94A9" w14:textId="77777777" w:rsidTr="00380865">
        <w:trPr>
          <w:gridAfter w:val="1"/>
          <w:wAfter w:w="6" w:type="dxa"/>
        </w:trPr>
        <w:tc>
          <w:tcPr>
            <w:tcW w:w="2909" w:type="dxa"/>
            <w:shd w:val="clear" w:color="auto" w:fill="auto"/>
          </w:tcPr>
          <w:p w14:paraId="67DB0211" w14:textId="77777777" w:rsidR="00DD4026" w:rsidRDefault="00DD4026" w:rsidP="00380865">
            <w:pPr>
              <w:suppressLineNumbers/>
              <w:spacing w:beforeLines="0" w:before="0" w:afterLines="0" w:line="276" w:lineRule="auto"/>
            </w:pPr>
            <w:r>
              <w:t xml:space="preserve">Thiazide, </w:t>
            </w:r>
            <w:r w:rsidRPr="0020419F">
              <w:t>%</w:t>
            </w:r>
            <w:r>
              <w:rPr>
                <w:sz w:val="20"/>
              </w:rPr>
              <w:t xml:space="preserve"> (N)</w:t>
            </w:r>
          </w:p>
        </w:tc>
        <w:tc>
          <w:tcPr>
            <w:tcW w:w="1853" w:type="dxa"/>
            <w:shd w:val="clear" w:color="auto" w:fill="auto"/>
          </w:tcPr>
          <w:p w14:paraId="57EB37FE" w14:textId="77777777" w:rsidR="00DD4026" w:rsidRDefault="00DD4026" w:rsidP="00380865">
            <w:pPr>
              <w:suppressLineNumbers/>
              <w:spacing w:beforeLines="0" w:before="0" w:afterLines="0" w:line="276" w:lineRule="auto"/>
              <w:jc w:val="center"/>
            </w:pPr>
            <w:r>
              <w:t xml:space="preserve">4 </w:t>
            </w:r>
            <w:r>
              <w:rPr>
                <w:sz w:val="20"/>
              </w:rPr>
              <w:t>(17</w:t>
            </w:r>
            <w:r w:rsidRPr="008A56A7">
              <w:rPr>
                <w:sz w:val="20"/>
              </w:rPr>
              <w:t>)</w:t>
            </w:r>
          </w:p>
        </w:tc>
        <w:tc>
          <w:tcPr>
            <w:tcW w:w="1876" w:type="dxa"/>
            <w:shd w:val="clear" w:color="auto" w:fill="auto"/>
          </w:tcPr>
          <w:p w14:paraId="75CFE1BD" w14:textId="77777777" w:rsidR="00DD4026" w:rsidRDefault="00DD4026" w:rsidP="00380865">
            <w:pPr>
              <w:suppressLineNumbers/>
              <w:spacing w:beforeLines="0" w:before="0" w:afterLines="0" w:line="276" w:lineRule="auto"/>
              <w:jc w:val="center"/>
            </w:pPr>
            <w:r>
              <w:t xml:space="preserve">4 </w:t>
            </w:r>
            <w:r w:rsidRPr="008A56A7">
              <w:rPr>
                <w:sz w:val="20"/>
              </w:rPr>
              <w:t>(</w:t>
            </w:r>
            <w:r>
              <w:rPr>
                <w:sz w:val="20"/>
              </w:rPr>
              <w:t>2</w:t>
            </w:r>
            <w:r w:rsidRPr="008A56A7">
              <w:rPr>
                <w:sz w:val="20"/>
              </w:rPr>
              <w:t>)</w:t>
            </w:r>
          </w:p>
        </w:tc>
        <w:tc>
          <w:tcPr>
            <w:tcW w:w="1745" w:type="dxa"/>
            <w:shd w:val="clear" w:color="auto" w:fill="auto"/>
          </w:tcPr>
          <w:p w14:paraId="43140107" w14:textId="77777777" w:rsidR="00DD4026" w:rsidRDefault="00DD4026" w:rsidP="00380865">
            <w:pPr>
              <w:suppressLineNumbers/>
              <w:spacing w:beforeLines="0" w:before="0" w:afterLines="0" w:line="276" w:lineRule="auto"/>
              <w:jc w:val="center"/>
            </w:pPr>
            <w:r>
              <w:t xml:space="preserve">4 </w:t>
            </w:r>
            <w:r>
              <w:rPr>
                <w:sz w:val="20"/>
              </w:rPr>
              <w:t>(15</w:t>
            </w:r>
            <w:r w:rsidRPr="008A56A7">
              <w:rPr>
                <w:sz w:val="20"/>
              </w:rPr>
              <w:t>)</w:t>
            </w:r>
          </w:p>
        </w:tc>
        <w:tc>
          <w:tcPr>
            <w:tcW w:w="1151" w:type="dxa"/>
            <w:shd w:val="clear" w:color="auto" w:fill="auto"/>
          </w:tcPr>
          <w:p w14:paraId="71783CA3" w14:textId="77777777" w:rsidR="00DD4026" w:rsidRPr="008A56A7" w:rsidRDefault="00DD4026" w:rsidP="00380865">
            <w:pPr>
              <w:suppressLineNumbers/>
              <w:spacing w:beforeLines="0" w:before="0" w:afterLines="0" w:line="276" w:lineRule="auto"/>
              <w:jc w:val="center"/>
              <w:rPr>
                <w:sz w:val="20"/>
              </w:rPr>
            </w:pPr>
            <w:r>
              <w:rPr>
                <w:sz w:val="20"/>
              </w:rPr>
              <w:t>0.98</w:t>
            </w:r>
          </w:p>
        </w:tc>
        <w:tc>
          <w:tcPr>
            <w:tcW w:w="865" w:type="dxa"/>
            <w:shd w:val="clear" w:color="auto" w:fill="auto"/>
          </w:tcPr>
          <w:p w14:paraId="2CBB23EA"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29EA601C" w14:textId="77777777" w:rsidTr="00380865">
        <w:trPr>
          <w:gridAfter w:val="1"/>
          <w:wAfter w:w="6" w:type="dxa"/>
        </w:trPr>
        <w:tc>
          <w:tcPr>
            <w:tcW w:w="2909" w:type="dxa"/>
            <w:tcBorders>
              <w:bottom w:val="single" w:sz="4" w:space="0" w:color="auto"/>
            </w:tcBorders>
            <w:shd w:val="clear" w:color="auto" w:fill="auto"/>
          </w:tcPr>
          <w:p w14:paraId="7B1CEA43" w14:textId="77777777" w:rsidR="00DD4026" w:rsidRDefault="00DD4026" w:rsidP="00380865">
            <w:pPr>
              <w:suppressLineNumbers/>
              <w:spacing w:beforeLines="0" w:before="0" w:afterLines="0" w:line="276" w:lineRule="auto"/>
            </w:pPr>
            <w:r>
              <w:t xml:space="preserve">≥ 5 medications, </w:t>
            </w:r>
            <w:r w:rsidRPr="0020419F">
              <w:t>%</w:t>
            </w:r>
            <w:r>
              <w:rPr>
                <w:sz w:val="20"/>
              </w:rPr>
              <w:t xml:space="preserve"> (N)</w:t>
            </w:r>
          </w:p>
        </w:tc>
        <w:tc>
          <w:tcPr>
            <w:tcW w:w="1853" w:type="dxa"/>
            <w:tcBorders>
              <w:bottom w:val="single" w:sz="4" w:space="0" w:color="auto"/>
            </w:tcBorders>
            <w:shd w:val="clear" w:color="auto" w:fill="auto"/>
          </w:tcPr>
          <w:p w14:paraId="1F540880" w14:textId="77777777" w:rsidR="00DD4026" w:rsidRDefault="00DD4026" w:rsidP="00380865">
            <w:pPr>
              <w:suppressLineNumbers/>
              <w:spacing w:beforeLines="0" w:before="0" w:afterLines="0" w:line="276" w:lineRule="auto"/>
              <w:jc w:val="center"/>
            </w:pPr>
            <w:r>
              <w:t xml:space="preserve">87 </w:t>
            </w:r>
            <w:r>
              <w:rPr>
                <w:sz w:val="20"/>
              </w:rPr>
              <w:t>(404</w:t>
            </w:r>
            <w:r w:rsidRPr="008A56A7">
              <w:rPr>
                <w:sz w:val="20"/>
              </w:rPr>
              <w:t>)</w:t>
            </w:r>
          </w:p>
        </w:tc>
        <w:tc>
          <w:tcPr>
            <w:tcW w:w="1876" w:type="dxa"/>
            <w:tcBorders>
              <w:bottom w:val="single" w:sz="4" w:space="0" w:color="auto"/>
            </w:tcBorders>
            <w:shd w:val="clear" w:color="auto" w:fill="auto"/>
          </w:tcPr>
          <w:p w14:paraId="75D6C939" w14:textId="77777777" w:rsidR="00DD4026" w:rsidRDefault="00DD4026" w:rsidP="00380865">
            <w:pPr>
              <w:suppressLineNumbers/>
              <w:spacing w:beforeLines="0" w:before="0" w:afterLines="0" w:line="276" w:lineRule="auto"/>
              <w:jc w:val="center"/>
            </w:pPr>
            <w:r>
              <w:t xml:space="preserve">95 </w:t>
            </w:r>
            <w:r>
              <w:rPr>
                <w:sz w:val="20"/>
              </w:rPr>
              <w:t>(53</w:t>
            </w:r>
            <w:r w:rsidRPr="008A56A7">
              <w:rPr>
                <w:sz w:val="20"/>
              </w:rPr>
              <w:t>)</w:t>
            </w:r>
          </w:p>
        </w:tc>
        <w:tc>
          <w:tcPr>
            <w:tcW w:w="1745" w:type="dxa"/>
            <w:tcBorders>
              <w:bottom w:val="single" w:sz="4" w:space="0" w:color="auto"/>
            </w:tcBorders>
            <w:shd w:val="clear" w:color="auto" w:fill="auto"/>
          </w:tcPr>
          <w:p w14:paraId="4BF28EC9" w14:textId="77777777" w:rsidR="00DD4026" w:rsidRDefault="00DD4026" w:rsidP="00380865">
            <w:pPr>
              <w:suppressLineNumbers/>
              <w:spacing w:beforeLines="0" w:before="0" w:afterLines="0" w:line="276" w:lineRule="auto"/>
              <w:jc w:val="center"/>
            </w:pPr>
            <w:r>
              <w:t xml:space="preserve">85 </w:t>
            </w:r>
            <w:r>
              <w:rPr>
                <w:sz w:val="20"/>
              </w:rPr>
              <w:t>(351</w:t>
            </w:r>
            <w:r w:rsidRPr="008A56A7">
              <w:rPr>
                <w:sz w:val="20"/>
              </w:rPr>
              <w:t>)</w:t>
            </w:r>
          </w:p>
        </w:tc>
        <w:tc>
          <w:tcPr>
            <w:tcW w:w="1151" w:type="dxa"/>
            <w:tcBorders>
              <w:bottom w:val="single" w:sz="4" w:space="0" w:color="auto"/>
            </w:tcBorders>
            <w:shd w:val="clear" w:color="auto" w:fill="auto"/>
          </w:tcPr>
          <w:p w14:paraId="335C9142" w14:textId="77777777" w:rsidR="00DD4026" w:rsidRPr="008A56A7" w:rsidRDefault="00DD4026" w:rsidP="00380865">
            <w:pPr>
              <w:suppressLineNumbers/>
              <w:spacing w:beforeLines="0" w:before="0" w:afterLines="0" w:line="276" w:lineRule="auto"/>
              <w:jc w:val="center"/>
              <w:rPr>
                <w:sz w:val="20"/>
              </w:rPr>
            </w:pPr>
            <w:r>
              <w:rPr>
                <w:sz w:val="20"/>
              </w:rPr>
              <w:t>0.06</w:t>
            </w:r>
          </w:p>
        </w:tc>
        <w:tc>
          <w:tcPr>
            <w:tcW w:w="865" w:type="dxa"/>
            <w:tcBorders>
              <w:bottom w:val="single" w:sz="4" w:space="0" w:color="auto"/>
            </w:tcBorders>
            <w:shd w:val="clear" w:color="auto" w:fill="auto"/>
          </w:tcPr>
          <w:p w14:paraId="013D5B76"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09FA6B9F" w14:textId="77777777" w:rsidTr="00380865">
        <w:tc>
          <w:tcPr>
            <w:tcW w:w="10405" w:type="dxa"/>
            <w:gridSpan w:val="7"/>
            <w:tcBorders>
              <w:top w:val="single" w:sz="4" w:space="0" w:color="auto"/>
              <w:bottom w:val="single" w:sz="4" w:space="0" w:color="auto"/>
            </w:tcBorders>
            <w:shd w:val="clear" w:color="auto" w:fill="auto"/>
          </w:tcPr>
          <w:p w14:paraId="1F75EC64" w14:textId="77777777" w:rsidR="00DD4026" w:rsidRPr="008A56A7" w:rsidRDefault="00DD4026" w:rsidP="00380865">
            <w:pPr>
              <w:suppressLineNumbers/>
              <w:spacing w:beforeLines="0" w:afterLines="0" w:line="276" w:lineRule="auto"/>
              <w:rPr>
                <w:sz w:val="20"/>
              </w:rPr>
            </w:pPr>
            <w:r>
              <w:t>Blood tests</w:t>
            </w:r>
          </w:p>
        </w:tc>
      </w:tr>
      <w:tr w:rsidR="00DD4026" w14:paraId="5F68D2AE" w14:textId="77777777" w:rsidTr="00380865">
        <w:trPr>
          <w:gridAfter w:val="1"/>
          <w:wAfter w:w="6" w:type="dxa"/>
        </w:trPr>
        <w:tc>
          <w:tcPr>
            <w:tcW w:w="2909" w:type="dxa"/>
            <w:tcBorders>
              <w:top w:val="single" w:sz="4" w:space="0" w:color="auto"/>
            </w:tcBorders>
            <w:shd w:val="clear" w:color="auto" w:fill="auto"/>
          </w:tcPr>
          <w:p w14:paraId="66FF5FD4" w14:textId="77777777" w:rsidR="00DD4026" w:rsidRDefault="00DD4026" w:rsidP="00380865">
            <w:pPr>
              <w:suppressLineNumbers/>
              <w:spacing w:beforeLines="0" w:before="0" w:afterLines="0" w:line="276" w:lineRule="auto"/>
            </w:pPr>
            <w:proofErr w:type="spellStart"/>
            <w:r>
              <w:t>NTproBNP</w:t>
            </w:r>
            <w:proofErr w:type="spellEnd"/>
            <w:r>
              <w:t xml:space="preserve"> </w:t>
            </w:r>
            <w:r w:rsidRPr="007508DE">
              <w:rPr>
                <w:sz w:val="20"/>
              </w:rPr>
              <w:t>(ng/L)</w:t>
            </w:r>
          </w:p>
        </w:tc>
        <w:tc>
          <w:tcPr>
            <w:tcW w:w="1853" w:type="dxa"/>
            <w:tcBorders>
              <w:top w:val="single" w:sz="4" w:space="0" w:color="auto"/>
            </w:tcBorders>
            <w:shd w:val="clear" w:color="auto" w:fill="auto"/>
          </w:tcPr>
          <w:p w14:paraId="6E0C3EE3" w14:textId="77777777" w:rsidR="00DD4026" w:rsidRDefault="00DD4026" w:rsidP="00380865">
            <w:pPr>
              <w:suppressLineNumbers/>
              <w:spacing w:beforeLines="0" w:before="0" w:afterLines="0" w:after="0" w:line="276" w:lineRule="auto"/>
              <w:jc w:val="center"/>
            </w:pPr>
            <w:r>
              <w:t xml:space="preserve">1156 </w:t>
            </w:r>
            <w:r>
              <w:rPr>
                <w:sz w:val="20"/>
              </w:rPr>
              <w:t>(496</w:t>
            </w:r>
            <w:r w:rsidRPr="008A56A7">
              <w:rPr>
                <w:sz w:val="20"/>
              </w:rPr>
              <w:t>-</w:t>
            </w:r>
            <w:r>
              <w:rPr>
                <w:sz w:val="20"/>
              </w:rPr>
              <w:t>2463</w:t>
            </w:r>
            <w:r w:rsidRPr="008A56A7">
              <w:rPr>
                <w:sz w:val="20"/>
              </w:rPr>
              <w:t>)</w:t>
            </w:r>
          </w:p>
        </w:tc>
        <w:tc>
          <w:tcPr>
            <w:tcW w:w="1876" w:type="dxa"/>
            <w:tcBorders>
              <w:top w:val="single" w:sz="4" w:space="0" w:color="auto"/>
            </w:tcBorders>
            <w:shd w:val="clear" w:color="auto" w:fill="auto"/>
          </w:tcPr>
          <w:p w14:paraId="66D57E27" w14:textId="77777777" w:rsidR="00DD4026" w:rsidRDefault="00DD4026" w:rsidP="00380865">
            <w:pPr>
              <w:suppressLineNumbers/>
              <w:spacing w:beforeLines="0" w:before="0" w:afterLines="0" w:line="276" w:lineRule="auto"/>
              <w:jc w:val="center"/>
            </w:pPr>
            <w:r>
              <w:t xml:space="preserve">2507 </w:t>
            </w:r>
            <w:r>
              <w:rPr>
                <w:sz w:val="20"/>
              </w:rPr>
              <w:t>(1434-5825</w:t>
            </w:r>
            <w:r w:rsidRPr="008A56A7">
              <w:rPr>
                <w:sz w:val="20"/>
              </w:rPr>
              <w:t>)</w:t>
            </w:r>
          </w:p>
        </w:tc>
        <w:tc>
          <w:tcPr>
            <w:tcW w:w="1745" w:type="dxa"/>
            <w:tcBorders>
              <w:top w:val="single" w:sz="4" w:space="0" w:color="auto"/>
            </w:tcBorders>
            <w:shd w:val="clear" w:color="auto" w:fill="auto"/>
          </w:tcPr>
          <w:p w14:paraId="27558964" w14:textId="77777777" w:rsidR="00DD4026" w:rsidRDefault="00DD4026" w:rsidP="00380865">
            <w:pPr>
              <w:suppressLineNumbers/>
              <w:spacing w:beforeLines="0" w:before="0" w:afterLines="0" w:line="276" w:lineRule="auto"/>
              <w:jc w:val="center"/>
            </w:pPr>
            <w:r>
              <w:t xml:space="preserve">1001 </w:t>
            </w:r>
            <w:r w:rsidRPr="008A56A7">
              <w:rPr>
                <w:sz w:val="20"/>
              </w:rPr>
              <w:t>(4</w:t>
            </w:r>
            <w:r>
              <w:rPr>
                <w:sz w:val="20"/>
              </w:rPr>
              <w:t>28</w:t>
            </w:r>
            <w:r w:rsidRPr="008A56A7">
              <w:rPr>
                <w:sz w:val="20"/>
              </w:rPr>
              <w:t>-2</w:t>
            </w:r>
            <w:r>
              <w:rPr>
                <w:sz w:val="20"/>
              </w:rPr>
              <w:t>150</w:t>
            </w:r>
            <w:r w:rsidRPr="008A56A7">
              <w:rPr>
                <w:sz w:val="20"/>
              </w:rPr>
              <w:t>)</w:t>
            </w:r>
          </w:p>
        </w:tc>
        <w:tc>
          <w:tcPr>
            <w:tcW w:w="1151" w:type="dxa"/>
            <w:tcBorders>
              <w:top w:val="single" w:sz="4" w:space="0" w:color="auto"/>
            </w:tcBorders>
            <w:shd w:val="clear" w:color="auto" w:fill="auto"/>
          </w:tcPr>
          <w:p w14:paraId="17849866" w14:textId="77777777" w:rsidR="00DD4026" w:rsidRPr="008A56A7" w:rsidRDefault="00DD4026" w:rsidP="00380865">
            <w:pPr>
              <w:suppressLineNumbers/>
              <w:spacing w:beforeLines="0" w:before="0" w:afterLines="0" w:line="276" w:lineRule="auto"/>
              <w:jc w:val="center"/>
              <w:rPr>
                <w:sz w:val="20"/>
              </w:rPr>
            </w:pPr>
            <w:r w:rsidRPr="008A56A7">
              <w:rPr>
                <w:sz w:val="20"/>
              </w:rPr>
              <w:t>&lt;0.001</w:t>
            </w:r>
          </w:p>
        </w:tc>
        <w:tc>
          <w:tcPr>
            <w:tcW w:w="865" w:type="dxa"/>
            <w:tcBorders>
              <w:top w:val="single" w:sz="4" w:space="0" w:color="auto"/>
            </w:tcBorders>
            <w:shd w:val="clear" w:color="auto" w:fill="auto"/>
          </w:tcPr>
          <w:p w14:paraId="54D73714"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55541315" w14:textId="77777777" w:rsidTr="00380865">
        <w:trPr>
          <w:gridAfter w:val="1"/>
          <w:wAfter w:w="6" w:type="dxa"/>
        </w:trPr>
        <w:tc>
          <w:tcPr>
            <w:tcW w:w="2909" w:type="dxa"/>
            <w:shd w:val="clear" w:color="auto" w:fill="auto"/>
          </w:tcPr>
          <w:p w14:paraId="536743F0" w14:textId="77777777" w:rsidR="00DD4026" w:rsidRDefault="00DD4026" w:rsidP="00380865">
            <w:pPr>
              <w:suppressLineNumbers/>
              <w:spacing w:beforeLines="0" w:before="0" w:afterLines="0" w:line="276" w:lineRule="auto"/>
            </w:pPr>
            <w:r>
              <w:t xml:space="preserve">Hb </w:t>
            </w:r>
            <w:r>
              <w:rPr>
                <w:sz w:val="20"/>
              </w:rPr>
              <w:t>(g/</w:t>
            </w:r>
            <w:r w:rsidRPr="008A56A7">
              <w:rPr>
                <w:sz w:val="20"/>
              </w:rPr>
              <w:t>L)</w:t>
            </w:r>
          </w:p>
        </w:tc>
        <w:tc>
          <w:tcPr>
            <w:tcW w:w="1853" w:type="dxa"/>
            <w:shd w:val="clear" w:color="auto" w:fill="auto"/>
          </w:tcPr>
          <w:p w14:paraId="3BA62927" w14:textId="77777777" w:rsidR="00DD4026" w:rsidRDefault="00DD4026" w:rsidP="00380865">
            <w:pPr>
              <w:suppressLineNumbers/>
              <w:spacing w:beforeLines="0" w:before="0" w:afterLines="0" w:after="0" w:line="276" w:lineRule="auto"/>
              <w:jc w:val="center"/>
            </w:pPr>
            <w:r>
              <w:t xml:space="preserve">131 </w:t>
            </w:r>
            <w:r w:rsidRPr="008A56A7">
              <w:rPr>
                <w:sz w:val="20"/>
              </w:rPr>
              <w:t>(1</w:t>
            </w:r>
            <w:r>
              <w:rPr>
                <w:sz w:val="20"/>
              </w:rPr>
              <w:t>18-142</w:t>
            </w:r>
            <w:r w:rsidRPr="008A56A7">
              <w:rPr>
                <w:sz w:val="20"/>
              </w:rPr>
              <w:t>)</w:t>
            </w:r>
          </w:p>
        </w:tc>
        <w:tc>
          <w:tcPr>
            <w:tcW w:w="1876" w:type="dxa"/>
            <w:shd w:val="clear" w:color="auto" w:fill="auto"/>
          </w:tcPr>
          <w:p w14:paraId="70858446" w14:textId="77777777" w:rsidR="00DD4026" w:rsidRDefault="00DD4026" w:rsidP="00380865">
            <w:pPr>
              <w:suppressLineNumbers/>
              <w:spacing w:beforeLines="0" w:before="0" w:afterLines="0" w:line="276" w:lineRule="auto"/>
              <w:jc w:val="center"/>
            </w:pPr>
            <w:r>
              <w:t xml:space="preserve">117 </w:t>
            </w:r>
            <w:r>
              <w:rPr>
                <w:sz w:val="20"/>
              </w:rPr>
              <w:t>(106-131</w:t>
            </w:r>
            <w:r w:rsidRPr="008A56A7">
              <w:rPr>
                <w:sz w:val="20"/>
              </w:rPr>
              <w:t>)</w:t>
            </w:r>
          </w:p>
        </w:tc>
        <w:tc>
          <w:tcPr>
            <w:tcW w:w="1745" w:type="dxa"/>
            <w:shd w:val="clear" w:color="auto" w:fill="auto"/>
          </w:tcPr>
          <w:p w14:paraId="4D3059BB" w14:textId="77777777" w:rsidR="00DD4026" w:rsidRDefault="00DD4026" w:rsidP="00380865">
            <w:pPr>
              <w:suppressLineNumbers/>
              <w:spacing w:beforeLines="0" w:before="0" w:afterLines="0" w:line="276" w:lineRule="auto"/>
              <w:jc w:val="center"/>
            </w:pPr>
            <w:r>
              <w:t xml:space="preserve">132 </w:t>
            </w:r>
            <w:r>
              <w:rPr>
                <w:sz w:val="20"/>
              </w:rPr>
              <w:t>(120-143</w:t>
            </w:r>
            <w:r w:rsidRPr="008A56A7">
              <w:rPr>
                <w:sz w:val="20"/>
              </w:rPr>
              <w:t>)</w:t>
            </w:r>
          </w:p>
        </w:tc>
        <w:tc>
          <w:tcPr>
            <w:tcW w:w="1151" w:type="dxa"/>
            <w:shd w:val="clear" w:color="auto" w:fill="auto"/>
          </w:tcPr>
          <w:p w14:paraId="52EF2EC7" w14:textId="77777777" w:rsidR="00DD4026" w:rsidRPr="008A56A7" w:rsidRDefault="00DD4026" w:rsidP="00380865">
            <w:pPr>
              <w:suppressLineNumbers/>
              <w:spacing w:beforeLines="0" w:before="0" w:afterLines="0" w:line="276" w:lineRule="auto"/>
              <w:jc w:val="center"/>
              <w:rPr>
                <w:sz w:val="20"/>
              </w:rPr>
            </w:pPr>
            <w:r w:rsidRPr="008A56A7">
              <w:rPr>
                <w:sz w:val="20"/>
              </w:rPr>
              <w:t>&lt;0.001</w:t>
            </w:r>
          </w:p>
        </w:tc>
        <w:tc>
          <w:tcPr>
            <w:tcW w:w="865" w:type="dxa"/>
            <w:shd w:val="clear" w:color="auto" w:fill="auto"/>
          </w:tcPr>
          <w:p w14:paraId="3CE26BF3"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6E92C352" w14:textId="77777777" w:rsidTr="00380865">
        <w:trPr>
          <w:gridAfter w:val="1"/>
          <w:wAfter w:w="6" w:type="dxa"/>
        </w:trPr>
        <w:tc>
          <w:tcPr>
            <w:tcW w:w="2909" w:type="dxa"/>
            <w:shd w:val="clear" w:color="auto" w:fill="auto"/>
          </w:tcPr>
          <w:p w14:paraId="156CE340" w14:textId="77777777" w:rsidR="00DD4026" w:rsidRDefault="00DD4026" w:rsidP="00380865">
            <w:pPr>
              <w:suppressLineNumbers/>
              <w:spacing w:beforeLines="0" w:before="0" w:afterLines="0" w:line="276" w:lineRule="auto"/>
            </w:pPr>
            <w:r>
              <w:t xml:space="preserve">Na </w:t>
            </w:r>
            <w:r w:rsidRPr="008A56A7">
              <w:rPr>
                <w:sz w:val="20"/>
              </w:rPr>
              <w:t>(mmol/L)</w:t>
            </w:r>
          </w:p>
        </w:tc>
        <w:tc>
          <w:tcPr>
            <w:tcW w:w="1853" w:type="dxa"/>
            <w:shd w:val="clear" w:color="auto" w:fill="auto"/>
          </w:tcPr>
          <w:p w14:paraId="0D56C0D4" w14:textId="77777777" w:rsidR="00DD4026" w:rsidRDefault="00DD4026" w:rsidP="00380865">
            <w:pPr>
              <w:suppressLineNumbers/>
              <w:spacing w:beforeLines="0" w:before="0" w:afterLines="0" w:line="276" w:lineRule="auto"/>
              <w:jc w:val="center"/>
            </w:pPr>
            <w:r>
              <w:t xml:space="preserve">137 </w:t>
            </w:r>
            <w:r>
              <w:rPr>
                <w:sz w:val="20"/>
              </w:rPr>
              <w:t>(135</w:t>
            </w:r>
            <w:r w:rsidRPr="008A56A7">
              <w:rPr>
                <w:sz w:val="20"/>
              </w:rPr>
              <w:t>-138)</w:t>
            </w:r>
          </w:p>
        </w:tc>
        <w:tc>
          <w:tcPr>
            <w:tcW w:w="1876" w:type="dxa"/>
            <w:shd w:val="clear" w:color="auto" w:fill="auto"/>
          </w:tcPr>
          <w:p w14:paraId="54304FCB" w14:textId="77777777" w:rsidR="00DD4026" w:rsidRDefault="00DD4026" w:rsidP="00380865">
            <w:pPr>
              <w:suppressLineNumbers/>
              <w:spacing w:beforeLines="0" w:before="0" w:afterLines="0" w:line="276" w:lineRule="auto"/>
              <w:jc w:val="center"/>
            </w:pPr>
            <w:r>
              <w:t xml:space="preserve">136 </w:t>
            </w:r>
            <w:r>
              <w:rPr>
                <w:sz w:val="20"/>
              </w:rPr>
              <w:t>(133</w:t>
            </w:r>
            <w:r w:rsidRPr="008A56A7">
              <w:rPr>
                <w:sz w:val="20"/>
              </w:rPr>
              <w:t>-138)</w:t>
            </w:r>
          </w:p>
        </w:tc>
        <w:tc>
          <w:tcPr>
            <w:tcW w:w="1745" w:type="dxa"/>
            <w:shd w:val="clear" w:color="auto" w:fill="auto"/>
          </w:tcPr>
          <w:p w14:paraId="5C720339" w14:textId="77777777" w:rsidR="00DD4026" w:rsidRDefault="00DD4026" w:rsidP="00380865">
            <w:pPr>
              <w:suppressLineNumbers/>
              <w:spacing w:beforeLines="0" w:before="0" w:afterLines="0" w:line="276" w:lineRule="auto"/>
              <w:jc w:val="center"/>
            </w:pPr>
            <w:r>
              <w:t xml:space="preserve">137 </w:t>
            </w:r>
            <w:r w:rsidRPr="008A56A7">
              <w:rPr>
                <w:sz w:val="20"/>
              </w:rPr>
              <w:t>(135-138)</w:t>
            </w:r>
          </w:p>
        </w:tc>
        <w:tc>
          <w:tcPr>
            <w:tcW w:w="1151" w:type="dxa"/>
            <w:shd w:val="clear" w:color="auto" w:fill="auto"/>
          </w:tcPr>
          <w:p w14:paraId="1CF291CD" w14:textId="77777777" w:rsidR="00DD4026" w:rsidRPr="008A56A7" w:rsidRDefault="00DD4026" w:rsidP="00380865">
            <w:pPr>
              <w:suppressLineNumbers/>
              <w:spacing w:beforeLines="0" w:before="0" w:afterLines="0" w:line="276" w:lineRule="auto"/>
              <w:jc w:val="center"/>
              <w:rPr>
                <w:sz w:val="20"/>
              </w:rPr>
            </w:pPr>
            <w:r>
              <w:rPr>
                <w:sz w:val="20"/>
              </w:rPr>
              <w:t>0.04</w:t>
            </w:r>
          </w:p>
        </w:tc>
        <w:tc>
          <w:tcPr>
            <w:tcW w:w="865" w:type="dxa"/>
            <w:shd w:val="clear" w:color="auto" w:fill="auto"/>
          </w:tcPr>
          <w:p w14:paraId="20D03520"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505003E1" w14:textId="77777777" w:rsidTr="00380865">
        <w:trPr>
          <w:gridAfter w:val="1"/>
          <w:wAfter w:w="6" w:type="dxa"/>
        </w:trPr>
        <w:tc>
          <w:tcPr>
            <w:tcW w:w="2909" w:type="dxa"/>
            <w:shd w:val="clear" w:color="auto" w:fill="auto"/>
          </w:tcPr>
          <w:p w14:paraId="0F5C118F" w14:textId="77777777" w:rsidR="00DD4026" w:rsidRDefault="00DD4026" w:rsidP="00380865">
            <w:pPr>
              <w:suppressLineNumbers/>
              <w:spacing w:beforeLines="0" w:before="0" w:afterLines="0" w:line="276" w:lineRule="auto"/>
            </w:pPr>
            <w:r>
              <w:t xml:space="preserve">K </w:t>
            </w:r>
            <w:r w:rsidRPr="008A56A7">
              <w:rPr>
                <w:sz w:val="20"/>
              </w:rPr>
              <w:t>(mmol/L)</w:t>
            </w:r>
          </w:p>
        </w:tc>
        <w:tc>
          <w:tcPr>
            <w:tcW w:w="1853" w:type="dxa"/>
            <w:shd w:val="clear" w:color="auto" w:fill="auto"/>
          </w:tcPr>
          <w:p w14:paraId="5A1A5CA9" w14:textId="77777777" w:rsidR="00DD4026" w:rsidRDefault="00DD4026" w:rsidP="00380865">
            <w:pPr>
              <w:suppressLineNumbers/>
              <w:spacing w:beforeLines="0" w:before="0" w:afterLines="0" w:line="276" w:lineRule="auto"/>
              <w:jc w:val="center"/>
            </w:pPr>
            <w:r>
              <w:t xml:space="preserve">4.4 </w:t>
            </w:r>
            <w:r>
              <w:rPr>
                <w:sz w:val="20"/>
              </w:rPr>
              <w:t>(4.2</w:t>
            </w:r>
            <w:r w:rsidRPr="008A56A7">
              <w:rPr>
                <w:sz w:val="20"/>
              </w:rPr>
              <w:t>-4.7)</w:t>
            </w:r>
          </w:p>
        </w:tc>
        <w:tc>
          <w:tcPr>
            <w:tcW w:w="1876" w:type="dxa"/>
            <w:shd w:val="clear" w:color="auto" w:fill="auto"/>
          </w:tcPr>
          <w:p w14:paraId="4061A4B3" w14:textId="77777777" w:rsidR="00DD4026" w:rsidRDefault="00DD4026" w:rsidP="00380865">
            <w:pPr>
              <w:suppressLineNumbers/>
              <w:spacing w:beforeLines="0" w:before="0" w:afterLines="0" w:line="276" w:lineRule="auto"/>
              <w:jc w:val="center"/>
            </w:pPr>
            <w:r>
              <w:t xml:space="preserve">4.4 </w:t>
            </w:r>
            <w:r w:rsidRPr="008A56A7">
              <w:rPr>
                <w:sz w:val="20"/>
              </w:rPr>
              <w:t>(4.1-4.7)</w:t>
            </w:r>
          </w:p>
        </w:tc>
        <w:tc>
          <w:tcPr>
            <w:tcW w:w="1745" w:type="dxa"/>
            <w:shd w:val="clear" w:color="auto" w:fill="auto"/>
          </w:tcPr>
          <w:p w14:paraId="7CF830AE" w14:textId="77777777" w:rsidR="00DD4026" w:rsidRDefault="00DD4026" w:rsidP="00380865">
            <w:pPr>
              <w:suppressLineNumbers/>
              <w:spacing w:beforeLines="0" w:before="0" w:afterLines="0" w:line="276" w:lineRule="auto"/>
              <w:jc w:val="center"/>
            </w:pPr>
            <w:r>
              <w:t xml:space="preserve">4.4 </w:t>
            </w:r>
            <w:r w:rsidRPr="008A56A7">
              <w:rPr>
                <w:sz w:val="20"/>
              </w:rPr>
              <w:t>(4.2-4.7)</w:t>
            </w:r>
          </w:p>
        </w:tc>
        <w:tc>
          <w:tcPr>
            <w:tcW w:w="1151" w:type="dxa"/>
            <w:shd w:val="clear" w:color="auto" w:fill="auto"/>
          </w:tcPr>
          <w:p w14:paraId="58707241" w14:textId="77777777" w:rsidR="00DD4026" w:rsidRPr="008A56A7" w:rsidRDefault="00DD4026" w:rsidP="00380865">
            <w:pPr>
              <w:suppressLineNumbers/>
              <w:spacing w:beforeLines="0" w:before="0" w:afterLines="0" w:line="276" w:lineRule="auto"/>
              <w:jc w:val="center"/>
              <w:rPr>
                <w:sz w:val="20"/>
              </w:rPr>
            </w:pPr>
            <w:r w:rsidRPr="008A56A7">
              <w:rPr>
                <w:sz w:val="20"/>
              </w:rPr>
              <w:t>0.</w:t>
            </w:r>
            <w:r>
              <w:rPr>
                <w:sz w:val="20"/>
              </w:rPr>
              <w:t>40</w:t>
            </w:r>
          </w:p>
        </w:tc>
        <w:tc>
          <w:tcPr>
            <w:tcW w:w="865" w:type="dxa"/>
            <w:shd w:val="clear" w:color="auto" w:fill="auto"/>
          </w:tcPr>
          <w:p w14:paraId="6CDC08F1"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0D6BB258" w14:textId="77777777" w:rsidTr="00380865">
        <w:trPr>
          <w:gridAfter w:val="1"/>
          <w:wAfter w:w="6" w:type="dxa"/>
        </w:trPr>
        <w:tc>
          <w:tcPr>
            <w:tcW w:w="2909" w:type="dxa"/>
            <w:tcBorders>
              <w:bottom w:val="single" w:sz="4" w:space="0" w:color="auto"/>
            </w:tcBorders>
            <w:shd w:val="clear" w:color="auto" w:fill="auto"/>
          </w:tcPr>
          <w:p w14:paraId="28B1B22B" w14:textId="77777777" w:rsidR="00DD4026" w:rsidRDefault="00DD4026" w:rsidP="00380865">
            <w:pPr>
              <w:suppressLineNumbers/>
              <w:spacing w:beforeLines="0" w:before="0" w:afterLines="0" w:line="276" w:lineRule="auto"/>
            </w:pPr>
            <w:r>
              <w:t xml:space="preserve">eGFR </w:t>
            </w:r>
            <w:r w:rsidRPr="008A56A7">
              <w:rPr>
                <w:sz w:val="20"/>
              </w:rPr>
              <w:t>(mL/min per 1.73m</w:t>
            </w:r>
            <w:r w:rsidRPr="008A56A7">
              <w:rPr>
                <w:sz w:val="20"/>
                <w:vertAlign w:val="superscript"/>
              </w:rPr>
              <w:t>2</w:t>
            </w:r>
            <w:r w:rsidRPr="008A56A7">
              <w:rPr>
                <w:sz w:val="20"/>
              </w:rPr>
              <w:t>)</w:t>
            </w:r>
          </w:p>
        </w:tc>
        <w:tc>
          <w:tcPr>
            <w:tcW w:w="1853" w:type="dxa"/>
            <w:tcBorders>
              <w:bottom w:val="single" w:sz="4" w:space="0" w:color="auto"/>
            </w:tcBorders>
            <w:shd w:val="clear" w:color="auto" w:fill="auto"/>
          </w:tcPr>
          <w:p w14:paraId="440CF6E2" w14:textId="77777777" w:rsidR="00DD4026" w:rsidRDefault="00DD4026" w:rsidP="00380865">
            <w:pPr>
              <w:suppressLineNumbers/>
              <w:spacing w:beforeLines="0" w:before="0" w:afterLines="0" w:after="0" w:line="276" w:lineRule="auto"/>
              <w:jc w:val="center"/>
            </w:pPr>
            <w:r>
              <w:t xml:space="preserve">55 </w:t>
            </w:r>
            <w:r>
              <w:rPr>
                <w:sz w:val="20"/>
              </w:rPr>
              <w:t>(40</w:t>
            </w:r>
            <w:r w:rsidRPr="008A56A7">
              <w:rPr>
                <w:sz w:val="20"/>
              </w:rPr>
              <w:t>-</w:t>
            </w:r>
            <w:r>
              <w:rPr>
                <w:sz w:val="20"/>
              </w:rPr>
              <w:t>73</w:t>
            </w:r>
            <w:r w:rsidRPr="008A56A7">
              <w:rPr>
                <w:sz w:val="20"/>
              </w:rPr>
              <w:t>)</w:t>
            </w:r>
          </w:p>
        </w:tc>
        <w:tc>
          <w:tcPr>
            <w:tcW w:w="1876" w:type="dxa"/>
            <w:tcBorders>
              <w:bottom w:val="single" w:sz="4" w:space="0" w:color="auto"/>
            </w:tcBorders>
            <w:shd w:val="clear" w:color="auto" w:fill="auto"/>
          </w:tcPr>
          <w:p w14:paraId="40681F15" w14:textId="77777777" w:rsidR="00DD4026" w:rsidRDefault="00DD4026" w:rsidP="00380865">
            <w:pPr>
              <w:suppressLineNumbers/>
              <w:spacing w:beforeLines="0" w:before="0" w:afterLines="0" w:line="276" w:lineRule="auto"/>
              <w:jc w:val="center"/>
            </w:pPr>
            <w:r>
              <w:t xml:space="preserve">39 </w:t>
            </w:r>
            <w:r>
              <w:rPr>
                <w:sz w:val="20"/>
              </w:rPr>
              <w:t>(28-58</w:t>
            </w:r>
            <w:r w:rsidRPr="008A56A7">
              <w:rPr>
                <w:sz w:val="20"/>
              </w:rPr>
              <w:t>)</w:t>
            </w:r>
          </w:p>
        </w:tc>
        <w:tc>
          <w:tcPr>
            <w:tcW w:w="1745" w:type="dxa"/>
            <w:tcBorders>
              <w:bottom w:val="single" w:sz="4" w:space="0" w:color="auto"/>
            </w:tcBorders>
            <w:shd w:val="clear" w:color="auto" w:fill="auto"/>
          </w:tcPr>
          <w:p w14:paraId="757D4071" w14:textId="77777777" w:rsidR="00DD4026" w:rsidRDefault="00DD4026" w:rsidP="00380865">
            <w:pPr>
              <w:suppressLineNumbers/>
              <w:spacing w:beforeLines="0" w:before="0" w:afterLines="0" w:line="276" w:lineRule="auto"/>
              <w:jc w:val="center"/>
            </w:pPr>
            <w:r>
              <w:t xml:space="preserve">58 </w:t>
            </w:r>
            <w:r>
              <w:rPr>
                <w:sz w:val="20"/>
              </w:rPr>
              <w:t>(42-74</w:t>
            </w:r>
            <w:r w:rsidRPr="008A56A7">
              <w:rPr>
                <w:sz w:val="20"/>
              </w:rPr>
              <w:t>)</w:t>
            </w:r>
          </w:p>
        </w:tc>
        <w:tc>
          <w:tcPr>
            <w:tcW w:w="1151" w:type="dxa"/>
            <w:tcBorders>
              <w:bottom w:val="single" w:sz="4" w:space="0" w:color="auto"/>
            </w:tcBorders>
            <w:shd w:val="clear" w:color="auto" w:fill="auto"/>
          </w:tcPr>
          <w:p w14:paraId="611E2AC1" w14:textId="77777777" w:rsidR="00DD4026" w:rsidRPr="008A56A7" w:rsidRDefault="00DD4026" w:rsidP="00380865">
            <w:pPr>
              <w:suppressLineNumbers/>
              <w:spacing w:beforeLines="0" w:before="0" w:afterLines="0" w:line="276" w:lineRule="auto"/>
              <w:jc w:val="center"/>
              <w:rPr>
                <w:sz w:val="20"/>
              </w:rPr>
            </w:pPr>
            <w:r w:rsidRPr="008A56A7">
              <w:rPr>
                <w:sz w:val="20"/>
              </w:rPr>
              <w:t>&lt;0.001</w:t>
            </w:r>
          </w:p>
        </w:tc>
        <w:tc>
          <w:tcPr>
            <w:tcW w:w="865" w:type="dxa"/>
            <w:tcBorders>
              <w:bottom w:val="single" w:sz="4" w:space="0" w:color="auto"/>
            </w:tcBorders>
            <w:shd w:val="clear" w:color="auto" w:fill="auto"/>
          </w:tcPr>
          <w:p w14:paraId="5D5B2A1E"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2535DFD4" w14:textId="77777777" w:rsidTr="00380865">
        <w:tc>
          <w:tcPr>
            <w:tcW w:w="10405" w:type="dxa"/>
            <w:gridSpan w:val="7"/>
            <w:tcBorders>
              <w:top w:val="single" w:sz="4" w:space="0" w:color="auto"/>
              <w:bottom w:val="single" w:sz="4" w:space="0" w:color="auto"/>
            </w:tcBorders>
            <w:shd w:val="clear" w:color="auto" w:fill="auto"/>
          </w:tcPr>
          <w:p w14:paraId="77A58D97" w14:textId="77777777" w:rsidR="00DD4026" w:rsidRDefault="00DD4026" w:rsidP="00380865">
            <w:pPr>
              <w:suppressLineNumbers/>
              <w:spacing w:beforeLines="0" w:afterLines="0" w:line="276" w:lineRule="auto"/>
            </w:pPr>
            <w:r>
              <w:t>Malnutrition tools</w:t>
            </w:r>
          </w:p>
        </w:tc>
      </w:tr>
      <w:tr w:rsidR="00DD4026" w14:paraId="0B2904EC" w14:textId="77777777" w:rsidTr="00380865">
        <w:trPr>
          <w:gridAfter w:val="1"/>
          <w:wAfter w:w="6" w:type="dxa"/>
        </w:trPr>
        <w:tc>
          <w:tcPr>
            <w:tcW w:w="2909" w:type="dxa"/>
            <w:tcBorders>
              <w:top w:val="single" w:sz="4" w:space="0" w:color="auto"/>
            </w:tcBorders>
            <w:shd w:val="clear" w:color="auto" w:fill="auto"/>
          </w:tcPr>
          <w:p w14:paraId="1ED8992A" w14:textId="77777777" w:rsidR="00DD4026" w:rsidRDefault="00DD4026" w:rsidP="00380865">
            <w:pPr>
              <w:suppressLineNumbers/>
              <w:spacing w:beforeLines="0" w:before="0" w:afterLines="0" w:line="276" w:lineRule="auto"/>
            </w:pPr>
            <w:r>
              <w:t xml:space="preserve">CONUT </w:t>
            </w:r>
            <w:r>
              <w:rPr>
                <w:sz w:val="20"/>
              </w:rPr>
              <w:t>(mal</w:t>
            </w:r>
            <w:r w:rsidRPr="008A56A7">
              <w:rPr>
                <w:sz w:val="20"/>
              </w:rPr>
              <w:t>)</w:t>
            </w:r>
            <w:r>
              <w:rPr>
                <w:sz w:val="20"/>
              </w:rPr>
              <w:t xml:space="preserve">, </w:t>
            </w:r>
            <w:r w:rsidRPr="0020419F">
              <w:t>%</w:t>
            </w:r>
            <w:r>
              <w:rPr>
                <w:sz w:val="20"/>
              </w:rPr>
              <w:t xml:space="preserve"> (N)</w:t>
            </w:r>
          </w:p>
        </w:tc>
        <w:tc>
          <w:tcPr>
            <w:tcW w:w="1853" w:type="dxa"/>
            <w:tcBorders>
              <w:top w:val="single" w:sz="4" w:space="0" w:color="auto"/>
            </w:tcBorders>
            <w:shd w:val="clear" w:color="auto" w:fill="auto"/>
          </w:tcPr>
          <w:p w14:paraId="7678AF3B" w14:textId="77777777" w:rsidR="00DD4026" w:rsidRDefault="00DD4026" w:rsidP="00380865">
            <w:pPr>
              <w:suppressLineNumbers/>
              <w:spacing w:beforeLines="0" w:before="0" w:afterLines="0" w:line="276" w:lineRule="auto"/>
              <w:jc w:val="center"/>
            </w:pPr>
            <w:r>
              <w:t xml:space="preserve">60 </w:t>
            </w:r>
            <w:r>
              <w:rPr>
                <w:sz w:val="20"/>
              </w:rPr>
              <w:t>(279</w:t>
            </w:r>
            <w:r w:rsidRPr="008A56A7">
              <w:rPr>
                <w:sz w:val="20"/>
              </w:rPr>
              <w:t>)</w:t>
            </w:r>
          </w:p>
        </w:tc>
        <w:tc>
          <w:tcPr>
            <w:tcW w:w="1876" w:type="dxa"/>
            <w:tcBorders>
              <w:top w:val="single" w:sz="4" w:space="0" w:color="auto"/>
            </w:tcBorders>
            <w:shd w:val="clear" w:color="auto" w:fill="auto"/>
          </w:tcPr>
          <w:p w14:paraId="0EE75582" w14:textId="77777777" w:rsidR="00DD4026" w:rsidRDefault="00DD4026" w:rsidP="00380865">
            <w:pPr>
              <w:suppressLineNumbers/>
              <w:spacing w:beforeLines="0" w:before="0" w:afterLines="0" w:line="276" w:lineRule="auto"/>
              <w:jc w:val="center"/>
            </w:pPr>
            <w:r>
              <w:t xml:space="preserve">93 </w:t>
            </w:r>
            <w:r>
              <w:rPr>
                <w:sz w:val="20"/>
              </w:rPr>
              <w:t>(52</w:t>
            </w:r>
            <w:r w:rsidRPr="008A56A7">
              <w:rPr>
                <w:sz w:val="20"/>
              </w:rPr>
              <w:t>)</w:t>
            </w:r>
          </w:p>
        </w:tc>
        <w:tc>
          <w:tcPr>
            <w:tcW w:w="1745" w:type="dxa"/>
            <w:tcBorders>
              <w:top w:val="single" w:sz="4" w:space="0" w:color="auto"/>
            </w:tcBorders>
            <w:shd w:val="clear" w:color="auto" w:fill="auto"/>
          </w:tcPr>
          <w:p w14:paraId="5BC8256E" w14:textId="77777777" w:rsidR="00DD4026" w:rsidRDefault="00DD4026" w:rsidP="00380865">
            <w:pPr>
              <w:suppressLineNumbers/>
              <w:spacing w:beforeLines="0" w:before="0" w:afterLines="0" w:line="276" w:lineRule="auto"/>
              <w:jc w:val="center"/>
            </w:pPr>
            <w:r>
              <w:t xml:space="preserve">55 </w:t>
            </w:r>
            <w:r>
              <w:rPr>
                <w:sz w:val="20"/>
              </w:rPr>
              <w:t>(227</w:t>
            </w:r>
            <w:r w:rsidRPr="008A56A7">
              <w:rPr>
                <w:sz w:val="20"/>
              </w:rPr>
              <w:t>)</w:t>
            </w:r>
          </w:p>
        </w:tc>
        <w:tc>
          <w:tcPr>
            <w:tcW w:w="1151" w:type="dxa"/>
            <w:tcBorders>
              <w:top w:val="single" w:sz="4" w:space="0" w:color="auto"/>
            </w:tcBorders>
            <w:shd w:val="clear" w:color="auto" w:fill="auto"/>
          </w:tcPr>
          <w:p w14:paraId="2850D88F" w14:textId="77777777" w:rsidR="00DD4026" w:rsidRPr="008A56A7" w:rsidRDefault="00DD4026" w:rsidP="00380865">
            <w:pPr>
              <w:suppressLineNumbers/>
              <w:spacing w:beforeLines="0" w:before="0" w:afterLines="0" w:line="276" w:lineRule="auto"/>
              <w:jc w:val="center"/>
              <w:rPr>
                <w:sz w:val="20"/>
              </w:rPr>
            </w:pPr>
            <w:r w:rsidRPr="008A56A7">
              <w:rPr>
                <w:sz w:val="20"/>
              </w:rPr>
              <w:t>&lt;0.001</w:t>
            </w:r>
          </w:p>
        </w:tc>
        <w:tc>
          <w:tcPr>
            <w:tcW w:w="865" w:type="dxa"/>
            <w:tcBorders>
              <w:top w:val="single" w:sz="4" w:space="0" w:color="auto"/>
            </w:tcBorders>
            <w:shd w:val="clear" w:color="auto" w:fill="auto"/>
          </w:tcPr>
          <w:p w14:paraId="4090B97F"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4FA46B72" w14:textId="77777777" w:rsidTr="00380865">
        <w:trPr>
          <w:gridAfter w:val="1"/>
          <w:wAfter w:w="6" w:type="dxa"/>
        </w:trPr>
        <w:tc>
          <w:tcPr>
            <w:tcW w:w="2909" w:type="dxa"/>
            <w:shd w:val="clear" w:color="auto" w:fill="auto"/>
          </w:tcPr>
          <w:p w14:paraId="3FAE85A9" w14:textId="77777777" w:rsidR="00DD4026" w:rsidRDefault="00DD4026" w:rsidP="00380865">
            <w:pPr>
              <w:suppressLineNumbers/>
              <w:spacing w:beforeLines="0" w:before="0" w:afterLines="0" w:line="276" w:lineRule="auto"/>
            </w:pPr>
            <w:r>
              <w:t xml:space="preserve">GNRI </w:t>
            </w:r>
            <w:r>
              <w:rPr>
                <w:sz w:val="20"/>
              </w:rPr>
              <w:t>(mal</w:t>
            </w:r>
            <w:r w:rsidRPr="008A56A7">
              <w:rPr>
                <w:sz w:val="20"/>
              </w:rPr>
              <w:t>)</w:t>
            </w:r>
            <w:r>
              <w:rPr>
                <w:sz w:val="20"/>
              </w:rPr>
              <w:t xml:space="preserve">, </w:t>
            </w:r>
            <w:r w:rsidRPr="0020419F">
              <w:t>%</w:t>
            </w:r>
            <w:r>
              <w:rPr>
                <w:sz w:val="20"/>
              </w:rPr>
              <w:t xml:space="preserve"> (N)</w:t>
            </w:r>
          </w:p>
        </w:tc>
        <w:tc>
          <w:tcPr>
            <w:tcW w:w="1853" w:type="dxa"/>
            <w:shd w:val="clear" w:color="auto" w:fill="auto"/>
          </w:tcPr>
          <w:p w14:paraId="254A7984" w14:textId="77777777" w:rsidR="00DD4026" w:rsidRDefault="00DD4026" w:rsidP="00380865">
            <w:pPr>
              <w:suppressLineNumbers/>
              <w:spacing w:beforeLines="0" w:before="0" w:afterLines="0" w:line="276" w:lineRule="auto"/>
              <w:jc w:val="center"/>
            </w:pPr>
            <w:r>
              <w:t xml:space="preserve">19 </w:t>
            </w:r>
            <w:r>
              <w:rPr>
                <w:sz w:val="20"/>
              </w:rPr>
              <w:t>(89</w:t>
            </w:r>
            <w:r w:rsidRPr="008A56A7">
              <w:rPr>
                <w:sz w:val="20"/>
              </w:rPr>
              <w:t>)</w:t>
            </w:r>
          </w:p>
        </w:tc>
        <w:tc>
          <w:tcPr>
            <w:tcW w:w="1876" w:type="dxa"/>
            <w:shd w:val="clear" w:color="auto" w:fill="auto"/>
          </w:tcPr>
          <w:p w14:paraId="35247D9E" w14:textId="77777777" w:rsidR="00DD4026" w:rsidRDefault="00DD4026" w:rsidP="00380865">
            <w:pPr>
              <w:suppressLineNumbers/>
              <w:spacing w:beforeLines="0" w:before="0" w:afterLines="0" w:line="276" w:lineRule="auto"/>
              <w:jc w:val="center"/>
            </w:pPr>
            <w:r>
              <w:t xml:space="preserve">36 </w:t>
            </w:r>
            <w:r>
              <w:rPr>
                <w:sz w:val="20"/>
              </w:rPr>
              <w:t>(20</w:t>
            </w:r>
            <w:r w:rsidRPr="008A56A7">
              <w:rPr>
                <w:sz w:val="20"/>
              </w:rPr>
              <w:t>)</w:t>
            </w:r>
          </w:p>
        </w:tc>
        <w:tc>
          <w:tcPr>
            <w:tcW w:w="1745" w:type="dxa"/>
            <w:shd w:val="clear" w:color="auto" w:fill="auto"/>
          </w:tcPr>
          <w:p w14:paraId="53F3E6DF" w14:textId="77777777" w:rsidR="00DD4026" w:rsidRDefault="00DD4026" w:rsidP="00380865">
            <w:pPr>
              <w:suppressLineNumbers/>
              <w:spacing w:beforeLines="0" w:before="0" w:afterLines="0" w:line="276" w:lineRule="auto"/>
              <w:jc w:val="center"/>
            </w:pPr>
            <w:r>
              <w:t xml:space="preserve">17 </w:t>
            </w:r>
            <w:r>
              <w:rPr>
                <w:sz w:val="20"/>
              </w:rPr>
              <w:t>(69</w:t>
            </w:r>
            <w:r w:rsidRPr="008A56A7">
              <w:rPr>
                <w:sz w:val="20"/>
              </w:rPr>
              <w:t>)</w:t>
            </w:r>
          </w:p>
        </w:tc>
        <w:tc>
          <w:tcPr>
            <w:tcW w:w="1151" w:type="dxa"/>
            <w:shd w:val="clear" w:color="auto" w:fill="auto"/>
          </w:tcPr>
          <w:p w14:paraId="4EECD5FF" w14:textId="77777777" w:rsidR="00DD4026" w:rsidRPr="008A56A7" w:rsidRDefault="00DD4026" w:rsidP="00380865">
            <w:pPr>
              <w:suppressLineNumbers/>
              <w:spacing w:beforeLines="0" w:before="0" w:afterLines="0" w:line="276" w:lineRule="auto"/>
              <w:jc w:val="center"/>
              <w:rPr>
                <w:sz w:val="20"/>
              </w:rPr>
            </w:pPr>
            <w:r w:rsidRPr="008A56A7">
              <w:rPr>
                <w:sz w:val="20"/>
              </w:rPr>
              <w:t>0.001</w:t>
            </w:r>
          </w:p>
        </w:tc>
        <w:tc>
          <w:tcPr>
            <w:tcW w:w="865" w:type="dxa"/>
            <w:shd w:val="clear" w:color="auto" w:fill="auto"/>
          </w:tcPr>
          <w:p w14:paraId="6EDA816F"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rsidRPr="00D87F4C" w14:paraId="7C36B3FA" w14:textId="77777777" w:rsidTr="00380865">
        <w:trPr>
          <w:gridAfter w:val="1"/>
          <w:wAfter w:w="6" w:type="dxa"/>
        </w:trPr>
        <w:tc>
          <w:tcPr>
            <w:tcW w:w="2909" w:type="dxa"/>
            <w:shd w:val="clear" w:color="auto" w:fill="auto"/>
          </w:tcPr>
          <w:p w14:paraId="71BAD272" w14:textId="77777777" w:rsidR="00DD4026" w:rsidRDefault="00DD4026" w:rsidP="00380865">
            <w:pPr>
              <w:suppressLineNumbers/>
              <w:spacing w:beforeLines="0" w:before="0" w:afterLines="0" w:line="276" w:lineRule="auto"/>
            </w:pPr>
            <w:r>
              <w:t xml:space="preserve">PNI </w:t>
            </w:r>
            <w:r>
              <w:rPr>
                <w:sz w:val="20"/>
              </w:rPr>
              <w:t>(mal</w:t>
            </w:r>
            <w:r w:rsidRPr="008A56A7">
              <w:rPr>
                <w:sz w:val="20"/>
              </w:rPr>
              <w:t>)</w:t>
            </w:r>
            <w:r>
              <w:rPr>
                <w:sz w:val="20"/>
                <w:vertAlign w:val="superscript"/>
              </w:rPr>
              <w:t>2</w:t>
            </w:r>
            <w:r>
              <w:rPr>
                <w:sz w:val="20"/>
              </w:rPr>
              <w:t xml:space="preserve">, </w:t>
            </w:r>
            <w:r w:rsidRPr="0020419F">
              <w:t>%</w:t>
            </w:r>
            <w:r>
              <w:rPr>
                <w:sz w:val="20"/>
              </w:rPr>
              <w:t xml:space="preserve"> (N)</w:t>
            </w:r>
          </w:p>
        </w:tc>
        <w:tc>
          <w:tcPr>
            <w:tcW w:w="1853" w:type="dxa"/>
            <w:shd w:val="clear" w:color="auto" w:fill="auto"/>
          </w:tcPr>
          <w:p w14:paraId="27285E0B" w14:textId="77777777" w:rsidR="00DD4026" w:rsidRDefault="00DD4026" w:rsidP="00380865">
            <w:pPr>
              <w:suppressLineNumbers/>
              <w:spacing w:beforeLines="0" w:before="0" w:afterLines="0" w:line="276" w:lineRule="auto"/>
              <w:jc w:val="center"/>
            </w:pPr>
            <w:r>
              <w:t xml:space="preserve">6 </w:t>
            </w:r>
            <w:r>
              <w:rPr>
                <w:sz w:val="20"/>
              </w:rPr>
              <w:t>(29</w:t>
            </w:r>
            <w:r w:rsidRPr="008A56A7">
              <w:rPr>
                <w:sz w:val="20"/>
              </w:rPr>
              <w:t>)</w:t>
            </w:r>
          </w:p>
        </w:tc>
        <w:tc>
          <w:tcPr>
            <w:tcW w:w="1876" w:type="dxa"/>
            <w:shd w:val="clear" w:color="auto" w:fill="auto"/>
          </w:tcPr>
          <w:p w14:paraId="52ACA4EF" w14:textId="77777777" w:rsidR="00DD4026" w:rsidRDefault="00DD4026" w:rsidP="00380865">
            <w:pPr>
              <w:suppressLineNumbers/>
              <w:spacing w:beforeLines="0" w:before="0" w:afterLines="0" w:line="276" w:lineRule="auto"/>
              <w:jc w:val="center"/>
            </w:pPr>
            <w:r>
              <w:t xml:space="preserve">14 </w:t>
            </w:r>
            <w:r w:rsidRPr="008A56A7">
              <w:rPr>
                <w:sz w:val="20"/>
              </w:rPr>
              <w:t>(</w:t>
            </w:r>
            <w:r>
              <w:rPr>
                <w:sz w:val="20"/>
              </w:rPr>
              <w:t>8</w:t>
            </w:r>
            <w:r w:rsidRPr="008A56A7">
              <w:rPr>
                <w:sz w:val="20"/>
              </w:rPr>
              <w:t>)</w:t>
            </w:r>
          </w:p>
        </w:tc>
        <w:tc>
          <w:tcPr>
            <w:tcW w:w="1745" w:type="dxa"/>
            <w:shd w:val="clear" w:color="auto" w:fill="auto"/>
          </w:tcPr>
          <w:p w14:paraId="444055F7" w14:textId="77777777" w:rsidR="00DD4026" w:rsidRDefault="00DD4026" w:rsidP="00380865">
            <w:pPr>
              <w:suppressLineNumbers/>
              <w:spacing w:beforeLines="0" w:before="0" w:afterLines="0" w:line="276" w:lineRule="auto"/>
              <w:jc w:val="center"/>
            </w:pPr>
            <w:r>
              <w:t xml:space="preserve">5 </w:t>
            </w:r>
            <w:r>
              <w:rPr>
                <w:sz w:val="20"/>
              </w:rPr>
              <w:t>(21</w:t>
            </w:r>
            <w:r w:rsidRPr="008A56A7">
              <w:rPr>
                <w:sz w:val="20"/>
              </w:rPr>
              <w:t>)</w:t>
            </w:r>
          </w:p>
        </w:tc>
        <w:tc>
          <w:tcPr>
            <w:tcW w:w="1151" w:type="dxa"/>
            <w:shd w:val="clear" w:color="auto" w:fill="auto"/>
          </w:tcPr>
          <w:p w14:paraId="732EC935" w14:textId="77777777" w:rsidR="00DD4026" w:rsidRPr="008A56A7" w:rsidRDefault="00DD4026" w:rsidP="00380865">
            <w:pPr>
              <w:suppressLineNumbers/>
              <w:spacing w:beforeLines="0" w:before="0" w:afterLines="0" w:line="276" w:lineRule="auto"/>
              <w:jc w:val="center"/>
              <w:rPr>
                <w:sz w:val="20"/>
              </w:rPr>
            </w:pPr>
            <w:r>
              <w:rPr>
                <w:sz w:val="20"/>
              </w:rPr>
              <w:t>0.008</w:t>
            </w:r>
          </w:p>
        </w:tc>
        <w:tc>
          <w:tcPr>
            <w:tcW w:w="865" w:type="dxa"/>
            <w:shd w:val="clear" w:color="auto" w:fill="auto"/>
          </w:tcPr>
          <w:p w14:paraId="64E9E658"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482EA3B1" w14:textId="77777777" w:rsidTr="00380865">
        <w:trPr>
          <w:gridAfter w:val="1"/>
          <w:wAfter w:w="6" w:type="dxa"/>
        </w:trPr>
        <w:tc>
          <w:tcPr>
            <w:tcW w:w="2909" w:type="dxa"/>
            <w:shd w:val="clear" w:color="auto" w:fill="auto"/>
          </w:tcPr>
          <w:p w14:paraId="59A3813E" w14:textId="77777777" w:rsidR="00DD4026" w:rsidRDefault="00DD4026" w:rsidP="00380865">
            <w:pPr>
              <w:suppressLineNumbers/>
              <w:spacing w:beforeLines="0" w:before="0" w:afterLines="0" w:line="276" w:lineRule="auto"/>
            </w:pPr>
            <w:r>
              <w:t xml:space="preserve">MUST </w:t>
            </w:r>
            <w:r w:rsidRPr="008A56A7">
              <w:rPr>
                <w:sz w:val="20"/>
              </w:rPr>
              <w:t>(</w:t>
            </w:r>
            <w:r>
              <w:rPr>
                <w:sz w:val="20"/>
              </w:rPr>
              <w:t>mal</w:t>
            </w:r>
            <w:r w:rsidRPr="008A56A7">
              <w:rPr>
                <w:sz w:val="20"/>
              </w:rPr>
              <w:t>)</w:t>
            </w:r>
            <w:r>
              <w:rPr>
                <w:sz w:val="20"/>
              </w:rPr>
              <w:t xml:space="preserve">, </w:t>
            </w:r>
            <w:r w:rsidRPr="0020419F">
              <w:t>%</w:t>
            </w:r>
            <w:r>
              <w:rPr>
                <w:sz w:val="20"/>
              </w:rPr>
              <w:t xml:space="preserve"> (N)</w:t>
            </w:r>
          </w:p>
        </w:tc>
        <w:tc>
          <w:tcPr>
            <w:tcW w:w="1853" w:type="dxa"/>
            <w:shd w:val="clear" w:color="auto" w:fill="auto"/>
          </w:tcPr>
          <w:p w14:paraId="70A21870" w14:textId="77777777" w:rsidR="00DD4026" w:rsidRDefault="00DD4026" w:rsidP="00380865">
            <w:pPr>
              <w:suppressLineNumbers/>
              <w:spacing w:beforeLines="0" w:before="0" w:afterLines="0" w:line="276" w:lineRule="auto"/>
              <w:jc w:val="center"/>
            </w:pPr>
            <w:r>
              <w:t xml:space="preserve">12 </w:t>
            </w:r>
            <w:r>
              <w:rPr>
                <w:sz w:val="20"/>
              </w:rPr>
              <w:t>(58</w:t>
            </w:r>
            <w:r w:rsidRPr="008A56A7">
              <w:rPr>
                <w:sz w:val="20"/>
              </w:rPr>
              <w:t>)</w:t>
            </w:r>
          </w:p>
        </w:tc>
        <w:tc>
          <w:tcPr>
            <w:tcW w:w="1876" w:type="dxa"/>
            <w:shd w:val="clear" w:color="auto" w:fill="auto"/>
          </w:tcPr>
          <w:p w14:paraId="159076A1" w14:textId="77777777" w:rsidR="00DD4026" w:rsidRDefault="00DD4026" w:rsidP="00380865">
            <w:pPr>
              <w:suppressLineNumbers/>
              <w:spacing w:beforeLines="0" w:before="0" w:afterLines="0" w:line="276" w:lineRule="auto"/>
              <w:jc w:val="center"/>
            </w:pPr>
            <w:r>
              <w:t xml:space="preserve">30 </w:t>
            </w:r>
            <w:r>
              <w:rPr>
                <w:sz w:val="20"/>
              </w:rPr>
              <w:t>(17</w:t>
            </w:r>
            <w:r w:rsidRPr="008A56A7">
              <w:rPr>
                <w:sz w:val="20"/>
              </w:rPr>
              <w:t>)</w:t>
            </w:r>
          </w:p>
        </w:tc>
        <w:tc>
          <w:tcPr>
            <w:tcW w:w="1745" w:type="dxa"/>
            <w:shd w:val="clear" w:color="auto" w:fill="auto"/>
          </w:tcPr>
          <w:p w14:paraId="6223AE5E" w14:textId="77777777" w:rsidR="00DD4026" w:rsidRDefault="00DD4026" w:rsidP="00380865">
            <w:pPr>
              <w:suppressLineNumbers/>
              <w:spacing w:beforeLines="0" w:before="0" w:afterLines="0" w:line="276" w:lineRule="auto"/>
              <w:jc w:val="center"/>
            </w:pPr>
            <w:r>
              <w:t xml:space="preserve">10 </w:t>
            </w:r>
            <w:r>
              <w:rPr>
                <w:sz w:val="20"/>
              </w:rPr>
              <w:t>(41</w:t>
            </w:r>
            <w:r w:rsidRPr="008A56A7">
              <w:rPr>
                <w:sz w:val="20"/>
              </w:rPr>
              <w:t>)</w:t>
            </w:r>
          </w:p>
        </w:tc>
        <w:tc>
          <w:tcPr>
            <w:tcW w:w="1151" w:type="dxa"/>
            <w:shd w:val="clear" w:color="auto" w:fill="auto"/>
          </w:tcPr>
          <w:p w14:paraId="0DE5289D" w14:textId="77777777" w:rsidR="00DD4026" w:rsidRPr="008A56A7" w:rsidRDefault="00DD4026" w:rsidP="00380865">
            <w:pPr>
              <w:suppressLineNumbers/>
              <w:spacing w:beforeLines="0" w:before="0" w:afterLines="0" w:line="276" w:lineRule="auto"/>
              <w:jc w:val="center"/>
              <w:rPr>
                <w:sz w:val="20"/>
              </w:rPr>
            </w:pPr>
            <w:r w:rsidRPr="008A56A7">
              <w:rPr>
                <w:sz w:val="20"/>
              </w:rPr>
              <w:t>&lt;0.001</w:t>
            </w:r>
          </w:p>
        </w:tc>
        <w:tc>
          <w:tcPr>
            <w:tcW w:w="865" w:type="dxa"/>
            <w:shd w:val="clear" w:color="auto" w:fill="auto"/>
          </w:tcPr>
          <w:p w14:paraId="2B53C80F"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613C0E00" w14:textId="77777777" w:rsidTr="00380865">
        <w:trPr>
          <w:gridAfter w:val="1"/>
          <w:wAfter w:w="6" w:type="dxa"/>
        </w:trPr>
        <w:tc>
          <w:tcPr>
            <w:tcW w:w="2909" w:type="dxa"/>
            <w:shd w:val="clear" w:color="auto" w:fill="auto"/>
          </w:tcPr>
          <w:p w14:paraId="404A98A4" w14:textId="77777777" w:rsidR="00DD4026" w:rsidRDefault="00DD4026" w:rsidP="00380865">
            <w:pPr>
              <w:suppressLineNumbers/>
              <w:spacing w:beforeLines="0" w:before="0" w:afterLines="0" w:line="276" w:lineRule="auto"/>
            </w:pPr>
            <w:r>
              <w:t xml:space="preserve">MNA-SF </w:t>
            </w:r>
            <w:r>
              <w:rPr>
                <w:sz w:val="20"/>
              </w:rPr>
              <w:t>(mal</w:t>
            </w:r>
            <w:r w:rsidRPr="008A56A7">
              <w:rPr>
                <w:sz w:val="20"/>
              </w:rPr>
              <w:t>)</w:t>
            </w:r>
            <w:r>
              <w:rPr>
                <w:sz w:val="20"/>
              </w:rPr>
              <w:t xml:space="preserve">, </w:t>
            </w:r>
            <w:r w:rsidRPr="0020419F">
              <w:t>%</w:t>
            </w:r>
            <w:r>
              <w:rPr>
                <w:sz w:val="20"/>
              </w:rPr>
              <w:t xml:space="preserve"> (N)</w:t>
            </w:r>
          </w:p>
        </w:tc>
        <w:tc>
          <w:tcPr>
            <w:tcW w:w="1853" w:type="dxa"/>
            <w:shd w:val="clear" w:color="auto" w:fill="auto"/>
          </w:tcPr>
          <w:p w14:paraId="08CE8F2B" w14:textId="77777777" w:rsidR="00DD4026" w:rsidRDefault="00DD4026" w:rsidP="00380865">
            <w:pPr>
              <w:suppressLineNumbers/>
              <w:spacing w:beforeLines="0" w:before="0" w:afterLines="0" w:line="276" w:lineRule="auto"/>
              <w:jc w:val="center"/>
            </w:pPr>
            <w:r>
              <w:t xml:space="preserve">29 </w:t>
            </w:r>
            <w:r>
              <w:rPr>
                <w:sz w:val="20"/>
              </w:rPr>
              <w:t>(137</w:t>
            </w:r>
            <w:r w:rsidRPr="008A56A7">
              <w:rPr>
                <w:sz w:val="20"/>
              </w:rPr>
              <w:t>)</w:t>
            </w:r>
          </w:p>
        </w:tc>
        <w:tc>
          <w:tcPr>
            <w:tcW w:w="1876" w:type="dxa"/>
            <w:shd w:val="clear" w:color="auto" w:fill="auto"/>
          </w:tcPr>
          <w:p w14:paraId="775711F3" w14:textId="77777777" w:rsidR="00DD4026" w:rsidRDefault="00DD4026" w:rsidP="00380865">
            <w:pPr>
              <w:suppressLineNumbers/>
              <w:spacing w:beforeLines="0" w:before="0" w:afterLines="0" w:line="276" w:lineRule="auto"/>
              <w:jc w:val="center"/>
            </w:pPr>
            <w:r>
              <w:t xml:space="preserve">66 </w:t>
            </w:r>
            <w:r>
              <w:rPr>
                <w:sz w:val="20"/>
              </w:rPr>
              <w:t>(37</w:t>
            </w:r>
            <w:r w:rsidRPr="008A56A7">
              <w:rPr>
                <w:sz w:val="20"/>
              </w:rPr>
              <w:t>)</w:t>
            </w:r>
          </w:p>
        </w:tc>
        <w:tc>
          <w:tcPr>
            <w:tcW w:w="1745" w:type="dxa"/>
            <w:shd w:val="clear" w:color="auto" w:fill="auto"/>
          </w:tcPr>
          <w:p w14:paraId="6258935B" w14:textId="77777777" w:rsidR="00DD4026" w:rsidRDefault="00DD4026" w:rsidP="00380865">
            <w:pPr>
              <w:suppressLineNumbers/>
              <w:spacing w:beforeLines="0" w:before="0" w:afterLines="0" w:line="276" w:lineRule="auto"/>
              <w:jc w:val="center"/>
            </w:pPr>
            <w:r>
              <w:t xml:space="preserve">24 </w:t>
            </w:r>
            <w:r w:rsidRPr="008A56A7">
              <w:rPr>
                <w:sz w:val="20"/>
              </w:rPr>
              <w:t>(</w:t>
            </w:r>
            <w:r>
              <w:rPr>
                <w:sz w:val="20"/>
              </w:rPr>
              <w:t>100</w:t>
            </w:r>
            <w:r w:rsidRPr="008A56A7">
              <w:rPr>
                <w:sz w:val="20"/>
              </w:rPr>
              <w:t>)</w:t>
            </w:r>
          </w:p>
        </w:tc>
        <w:tc>
          <w:tcPr>
            <w:tcW w:w="1151" w:type="dxa"/>
            <w:shd w:val="clear" w:color="auto" w:fill="auto"/>
          </w:tcPr>
          <w:p w14:paraId="7B1A0277" w14:textId="77777777" w:rsidR="00DD4026" w:rsidRPr="008A56A7" w:rsidRDefault="00DD4026" w:rsidP="00380865">
            <w:pPr>
              <w:suppressLineNumbers/>
              <w:spacing w:beforeLines="0" w:before="0" w:afterLines="0" w:line="276" w:lineRule="auto"/>
              <w:jc w:val="center"/>
              <w:rPr>
                <w:sz w:val="20"/>
              </w:rPr>
            </w:pPr>
            <w:r w:rsidRPr="008A56A7">
              <w:rPr>
                <w:sz w:val="20"/>
              </w:rPr>
              <w:t>&lt;0.001</w:t>
            </w:r>
          </w:p>
        </w:tc>
        <w:tc>
          <w:tcPr>
            <w:tcW w:w="865" w:type="dxa"/>
            <w:shd w:val="clear" w:color="auto" w:fill="auto"/>
          </w:tcPr>
          <w:p w14:paraId="2FDD8B77"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52E267DE" w14:textId="77777777" w:rsidTr="00380865">
        <w:trPr>
          <w:gridAfter w:val="1"/>
          <w:wAfter w:w="6" w:type="dxa"/>
        </w:trPr>
        <w:tc>
          <w:tcPr>
            <w:tcW w:w="2909" w:type="dxa"/>
            <w:shd w:val="clear" w:color="auto" w:fill="auto"/>
          </w:tcPr>
          <w:p w14:paraId="57F1F190" w14:textId="77777777" w:rsidR="00DD4026" w:rsidRDefault="00DD4026" w:rsidP="00380865">
            <w:pPr>
              <w:suppressLineNumbers/>
              <w:spacing w:beforeLines="0" w:before="0" w:afterLines="0" w:line="276" w:lineRule="auto"/>
            </w:pPr>
            <w:r>
              <w:t xml:space="preserve">SGA </w:t>
            </w:r>
            <w:r>
              <w:rPr>
                <w:sz w:val="20"/>
              </w:rPr>
              <w:t>(mal</w:t>
            </w:r>
            <w:r w:rsidRPr="008A56A7">
              <w:rPr>
                <w:sz w:val="20"/>
              </w:rPr>
              <w:t>)</w:t>
            </w:r>
            <w:r>
              <w:rPr>
                <w:sz w:val="20"/>
              </w:rPr>
              <w:t xml:space="preserve">, </w:t>
            </w:r>
            <w:r w:rsidRPr="0020419F">
              <w:t>%</w:t>
            </w:r>
            <w:r>
              <w:rPr>
                <w:sz w:val="20"/>
              </w:rPr>
              <w:t xml:space="preserve"> (N)</w:t>
            </w:r>
          </w:p>
        </w:tc>
        <w:tc>
          <w:tcPr>
            <w:tcW w:w="1853" w:type="dxa"/>
            <w:shd w:val="clear" w:color="auto" w:fill="auto"/>
          </w:tcPr>
          <w:p w14:paraId="77CCF9CD" w14:textId="77777777" w:rsidR="00DD4026" w:rsidRDefault="00DD4026" w:rsidP="00380865">
            <w:pPr>
              <w:suppressLineNumbers/>
              <w:spacing w:beforeLines="0" w:before="0" w:afterLines="0" w:after="0" w:line="276" w:lineRule="auto"/>
              <w:jc w:val="center"/>
            </w:pPr>
            <w:r>
              <w:t xml:space="preserve">21 </w:t>
            </w:r>
            <w:r w:rsidRPr="008A56A7">
              <w:rPr>
                <w:sz w:val="20"/>
              </w:rPr>
              <w:t>(</w:t>
            </w:r>
            <w:r>
              <w:rPr>
                <w:sz w:val="20"/>
              </w:rPr>
              <w:t>100</w:t>
            </w:r>
            <w:r w:rsidRPr="008A56A7">
              <w:rPr>
                <w:sz w:val="20"/>
              </w:rPr>
              <w:t>)</w:t>
            </w:r>
          </w:p>
        </w:tc>
        <w:tc>
          <w:tcPr>
            <w:tcW w:w="1876" w:type="dxa"/>
            <w:shd w:val="clear" w:color="auto" w:fill="auto"/>
          </w:tcPr>
          <w:p w14:paraId="0D981B2C" w14:textId="77777777" w:rsidR="00DD4026" w:rsidRDefault="00DD4026" w:rsidP="00380865">
            <w:pPr>
              <w:suppressLineNumbers/>
              <w:spacing w:beforeLines="0" w:before="0" w:afterLines="0" w:line="276" w:lineRule="auto"/>
              <w:jc w:val="center"/>
            </w:pPr>
            <w:r>
              <w:t xml:space="preserve">54 </w:t>
            </w:r>
            <w:r>
              <w:rPr>
                <w:sz w:val="20"/>
              </w:rPr>
              <w:t>(30</w:t>
            </w:r>
            <w:r w:rsidRPr="008A56A7">
              <w:rPr>
                <w:sz w:val="20"/>
              </w:rPr>
              <w:t>)</w:t>
            </w:r>
          </w:p>
        </w:tc>
        <w:tc>
          <w:tcPr>
            <w:tcW w:w="1745" w:type="dxa"/>
            <w:shd w:val="clear" w:color="auto" w:fill="auto"/>
          </w:tcPr>
          <w:p w14:paraId="1F571777" w14:textId="77777777" w:rsidR="00DD4026" w:rsidRDefault="00DD4026" w:rsidP="00380865">
            <w:pPr>
              <w:suppressLineNumbers/>
              <w:spacing w:beforeLines="0" w:before="0" w:afterLines="0" w:line="276" w:lineRule="auto"/>
              <w:jc w:val="center"/>
            </w:pPr>
            <w:r>
              <w:t xml:space="preserve">17 </w:t>
            </w:r>
            <w:r>
              <w:rPr>
                <w:sz w:val="20"/>
              </w:rPr>
              <w:t>(70</w:t>
            </w:r>
            <w:r w:rsidRPr="008A56A7">
              <w:rPr>
                <w:sz w:val="20"/>
              </w:rPr>
              <w:t>)</w:t>
            </w:r>
          </w:p>
        </w:tc>
        <w:tc>
          <w:tcPr>
            <w:tcW w:w="1151" w:type="dxa"/>
            <w:shd w:val="clear" w:color="auto" w:fill="auto"/>
          </w:tcPr>
          <w:p w14:paraId="6B2BF7B6" w14:textId="77777777" w:rsidR="00DD4026" w:rsidRPr="008A56A7" w:rsidRDefault="00DD4026" w:rsidP="00380865">
            <w:pPr>
              <w:suppressLineNumbers/>
              <w:spacing w:beforeLines="0" w:before="0" w:afterLines="0" w:line="276" w:lineRule="auto"/>
              <w:jc w:val="center"/>
              <w:rPr>
                <w:sz w:val="20"/>
              </w:rPr>
            </w:pPr>
            <w:r w:rsidRPr="008A56A7">
              <w:rPr>
                <w:sz w:val="20"/>
              </w:rPr>
              <w:t>&lt;0.001</w:t>
            </w:r>
          </w:p>
        </w:tc>
        <w:tc>
          <w:tcPr>
            <w:tcW w:w="865" w:type="dxa"/>
            <w:shd w:val="clear" w:color="auto" w:fill="auto"/>
          </w:tcPr>
          <w:p w14:paraId="10CAE5E6"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2094EBEA" w14:textId="77777777" w:rsidTr="00380865">
        <w:trPr>
          <w:gridAfter w:val="1"/>
          <w:wAfter w:w="6" w:type="dxa"/>
        </w:trPr>
        <w:tc>
          <w:tcPr>
            <w:tcW w:w="2909" w:type="dxa"/>
            <w:shd w:val="clear" w:color="auto" w:fill="auto"/>
          </w:tcPr>
          <w:p w14:paraId="52B79C25" w14:textId="77777777" w:rsidR="00DD4026" w:rsidRDefault="00DD4026" w:rsidP="00380865">
            <w:pPr>
              <w:suppressLineNumbers/>
              <w:spacing w:beforeLines="0" w:before="0" w:afterLines="0" w:line="276" w:lineRule="auto"/>
            </w:pPr>
            <w:r>
              <w:t xml:space="preserve">Cholesterol </w:t>
            </w:r>
            <w:r w:rsidRPr="008A56A7">
              <w:rPr>
                <w:sz w:val="20"/>
              </w:rPr>
              <w:t>(</w:t>
            </w:r>
            <w:r>
              <w:rPr>
                <w:sz w:val="20"/>
              </w:rPr>
              <w:t>mal</w:t>
            </w:r>
            <w:r w:rsidRPr="008A56A7">
              <w:rPr>
                <w:sz w:val="20"/>
              </w:rPr>
              <w:t>)</w:t>
            </w:r>
            <w:r>
              <w:rPr>
                <w:sz w:val="20"/>
              </w:rPr>
              <w:t xml:space="preserve">, </w:t>
            </w:r>
            <w:r w:rsidRPr="0020419F">
              <w:t>%</w:t>
            </w:r>
            <w:r>
              <w:rPr>
                <w:sz w:val="20"/>
              </w:rPr>
              <w:t xml:space="preserve"> (N)</w:t>
            </w:r>
          </w:p>
        </w:tc>
        <w:tc>
          <w:tcPr>
            <w:tcW w:w="1853" w:type="dxa"/>
            <w:shd w:val="clear" w:color="auto" w:fill="auto"/>
          </w:tcPr>
          <w:p w14:paraId="68EE11E1" w14:textId="77777777" w:rsidR="00DD4026" w:rsidRDefault="00DD4026" w:rsidP="00380865">
            <w:pPr>
              <w:suppressLineNumbers/>
              <w:spacing w:beforeLines="0" w:before="0" w:afterLines="0" w:line="276" w:lineRule="auto"/>
              <w:jc w:val="center"/>
            </w:pPr>
            <w:r>
              <w:t xml:space="preserve">60 </w:t>
            </w:r>
            <w:r>
              <w:rPr>
                <w:sz w:val="20"/>
              </w:rPr>
              <w:t>(282</w:t>
            </w:r>
            <w:r w:rsidRPr="008A56A7">
              <w:rPr>
                <w:sz w:val="20"/>
              </w:rPr>
              <w:t>)</w:t>
            </w:r>
          </w:p>
        </w:tc>
        <w:tc>
          <w:tcPr>
            <w:tcW w:w="1876" w:type="dxa"/>
            <w:shd w:val="clear" w:color="auto" w:fill="auto"/>
          </w:tcPr>
          <w:p w14:paraId="1030C7CC" w14:textId="77777777" w:rsidR="00DD4026" w:rsidRDefault="00DD4026" w:rsidP="00380865">
            <w:pPr>
              <w:suppressLineNumbers/>
              <w:spacing w:beforeLines="0" w:before="0" w:afterLines="0" w:line="276" w:lineRule="auto"/>
              <w:jc w:val="center"/>
            </w:pPr>
            <w:r>
              <w:t xml:space="preserve">71 </w:t>
            </w:r>
            <w:r>
              <w:rPr>
                <w:sz w:val="20"/>
              </w:rPr>
              <w:t>(40</w:t>
            </w:r>
            <w:r w:rsidRPr="008A56A7">
              <w:rPr>
                <w:sz w:val="20"/>
              </w:rPr>
              <w:t>)</w:t>
            </w:r>
          </w:p>
        </w:tc>
        <w:tc>
          <w:tcPr>
            <w:tcW w:w="1745" w:type="dxa"/>
            <w:shd w:val="clear" w:color="auto" w:fill="auto"/>
          </w:tcPr>
          <w:p w14:paraId="3A6D9588" w14:textId="77777777" w:rsidR="00DD4026" w:rsidRDefault="00DD4026" w:rsidP="00380865">
            <w:pPr>
              <w:suppressLineNumbers/>
              <w:spacing w:beforeLines="0" w:before="0" w:afterLines="0" w:line="276" w:lineRule="auto"/>
              <w:jc w:val="center"/>
            </w:pPr>
            <w:r>
              <w:t xml:space="preserve">59 </w:t>
            </w:r>
            <w:r>
              <w:rPr>
                <w:sz w:val="20"/>
              </w:rPr>
              <w:t>(242</w:t>
            </w:r>
            <w:r w:rsidRPr="008A56A7">
              <w:rPr>
                <w:sz w:val="20"/>
              </w:rPr>
              <w:t>)</w:t>
            </w:r>
          </w:p>
        </w:tc>
        <w:tc>
          <w:tcPr>
            <w:tcW w:w="1151" w:type="dxa"/>
            <w:shd w:val="clear" w:color="auto" w:fill="auto"/>
          </w:tcPr>
          <w:p w14:paraId="190E53A2" w14:textId="77777777" w:rsidR="00DD4026" w:rsidRPr="008A56A7" w:rsidRDefault="00DD4026" w:rsidP="00380865">
            <w:pPr>
              <w:suppressLineNumbers/>
              <w:spacing w:beforeLines="0" w:before="0" w:afterLines="0" w:line="276" w:lineRule="auto"/>
              <w:jc w:val="center"/>
              <w:rPr>
                <w:sz w:val="20"/>
              </w:rPr>
            </w:pPr>
            <w:r>
              <w:rPr>
                <w:sz w:val="20"/>
              </w:rPr>
              <w:t>0.07</w:t>
            </w:r>
          </w:p>
        </w:tc>
        <w:tc>
          <w:tcPr>
            <w:tcW w:w="865" w:type="dxa"/>
            <w:shd w:val="clear" w:color="auto" w:fill="auto"/>
          </w:tcPr>
          <w:p w14:paraId="55AB1D6E"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056B3CF9" w14:textId="77777777" w:rsidTr="00380865">
        <w:trPr>
          <w:gridAfter w:val="1"/>
          <w:wAfter w:w="6" w:type="dxa"/>
        </w:trPr>
        <w:tc>
          <w:tcPr>
            <w:tcW w:w="2909" w:type="dxa"/>
            <w:shd w:val="clear" w:color="auto" w:fill="auto"/>
          </w:tcPr>
          <w:p w14:paraId="0C2B3984" w14:textId="77777777" w:rsidR="00DD4026" w:rsidRDefault="00DD4026" w:rsidP="00380865">
            <w:pPr>
              <w:suppressLineNumbers/>
              <w:spacing w:beforeLines="0" w:before="0" w:afterLines="0" w:line="276" w:lineRule="auto"/>
            </w:pPr>
            <w:r>
              <w:t xml:space="preserve">Albumin </w:t>
            </w:r>
            <w:r>
              <w:rPr>
                <w:sz w:val="20"/>
              </w:rPr>
              <w:t>(mal</w:t>
            </w:r>
            <w:r w:rsidRPr="008A56A7">
              <w:rPr>
                <w:sz w:val="20"/>
              </w:rPr>
              <w:t>)</w:t>
            </w:r>
            <w:r>
              <w:rPr>
                <w:sz w:val="20"/>
              </w:rPr>
              <w:t xml:space="preserve">, </w:t>
            </w:r>
            <w:r w:rsidRPr="0020419F">
              <w:t>%</w:t>
            </w:r>
            <w:r>
              <w:rPr>
                <w:sz w:val="20"/>
              </w:rPr>
              <w:t xml:space="preserve"> (N)</w:t>
            </w:r>
          </w:p>
        </w:tc>
        <w:tc>
          <w:tcPr>
            <w:tcW w:w="1853" w:type="dxa"/>
            <w:shd w:val="clear" w:color="auto" w:fill="auto"/>
          </w:tcPr>
          <w:p w14:paraId="714A37B2" w14:textId="77777777" w:rsidR="00DD4026" w:rsidRDefault="00DD4026" w:rsidP="00380865">
            <w:pPr>
              <w:suppressLineNumbers/>
              <w:spacing w:beforeLines="0" w:before="0" w:afterLines="0" w:line="276" w:lineRule="auto"/>
              <w:jc w:val="center"/>
            </w:pPr>
            <w:r>
              <w:t xml:space="preserve">25 </w:t>
            </w:r>
            <w:r>
              <w:rPr>
                <w:sz w:val="20"/>
              </w:rPr>
              <w:t>(116</w:t>
            </w:r>
            <w:r w:rsidRPr="008A56A7">
              <w:rPr>
                <w:sz w:val="20"/>
              </w:rPr>
              <w:t>)</w:t>
            </w:r>
          </w:p>
        </w:tc>
        <w:tc>
          <w:tcPr>
            <w:tcW w:w="1876" w:type="dxa"/>
            <w:shd w:val="clear" w:color="auto" w:fill="auto"/>
          </w:tcPr>
          <w:p w14:paraId="47479117" w14:textId="77777777" w:rsidR="00DD4026" w:rsidRDefault="00DD4026" w:rsidP="00380865">
            <w:pPr>
              <w:suppressLineNumbers/>
              <w:spacing w:beforeLines="0" w:before="0" w:afterLines="0" w:line="276" w:lineRule="auto"/>
              <w:jc w:val="center"/>
            </w:pPr>
            <w:r>
              <w:t xml:space="preserve">59 </w:t>
            </w:r>
            <w:r>
              <w:rPr>
                <w:sz w:val="20"/>
              </w:rPr>
              <w:t>(33</w:t>
            </w:r>
            <w:r w:rsidRPr="008A56A7">
              <w:rPr>
                <w:sz w:val="20"/>
              </w:rPr>
              <w:t>)</w:t>
            </w:r>
          </w:p>
        </w:tc>
        <w:tc>
          <w:tcPr>
            <w:tcW w:w="1745" w:type="dxa"/>
            <w:shd w:val="clear" w:color="auto" w:fill="auto"/>
          </w:tcPr>
          <w:p w14:paraId="1F95E8B6" w14:textId="77777777" w:rsidR="00DD4026" w:rsidRDefault="00DD4026" w:rsidP="00380865">
            <w:pPr>
              <w:suppressLineNumbers/>
              <w:spacing w:beforeLines="0" w:before="0" w:afterLines="0" w:line="276" w:lineRule="auto"/>
              <w:jc w:val="center"/>
            </w:pPr>
            <w:r>
              <w:t xml:space="preserve">20 </w:t>
            </w:r>
            <w:r>
              <w:rPr>
                <w:sz w:val="20"/>
              </w:rPr>
              <w:t>(83</w:t>
            </w:r>
            <w:r w:rsidRPr="008A56A7">
              <w:rPr>
                <w:sz w:val="20"/>
              </w:rPr>
              <w:t>)</w:t>
            </w:r>
          </w:p>
        </w:tc>
        <w:tc>
          <w:tcPr>
            <w:tcW w:w="1151" w:type="dxa"/>
            <w:shd w:val="clear" w:color="auto" w:fill="auto"/>
          </w:tcPr>
          <w:p w14:paraId="550D6149" w14:textId="77777777" w:rsidR="00DD4026" w:rsidRPr="008A56A7" w:rsidRDefault="00DD4026" w:rsidP="00380865">
            <w:pPr>
              <w:suppressLineNumbers/>
              <w:spacing w:beforeLines="0" w:before="0" w:afterLines="0" w:line="276" w:lineRule="auto"/>
              <w:jc w:val="center"/>
              <w:rPr>
                <w:sz w:val="20"/>
              </w:rPr>
            </w:pPr>
            <w:r w:rsidRPr="008A56A7">
              <w:rPr>
                <w:sz w:val="20"/>
              </w:rPr>
              <w:t>&lt;0.001</w:t>
            </w:r>
          </w:p>
        </w:tc>
        <w:tc>
          <w:tcPr>
            <w:tcW w:w="865" w:type="dxa"/>
            <w:shd w:val="clear" w:color="auto" w:fill="auto"/>
          </w:tcPr>
          <w:p w14:paraId="7D5A1F2F"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r w:rsidR="00DD4026" w14:paraId="3D8227BB" w14:textId="77777777" w:rsidTr="00380865">
        <w:trPr>
          <w:gridAfter w:val="1"/>
          <w:wAfter w:w="6" w:type="dxa"/>
        </w:trPr>
        <w:tc>
          <w:tcPr>
            <w:tcW w:w="2909" w:type="dxa"/>
            <w:tcBorders>
              <w:bottom w:val="single" w:sz="4" w:space="0" w:color="auto"/>
            </w:tcBorders>
            <w:shd w:val="clear" w:color="auto" w:fill="auto"/>
          </w:tcPr>
          <w:p w14:paraId="7E0EC956" w14:textId="77777777" w:rsidR="00DD4026" w:rsidRDefault="00DD4026" w:rsidP="00380865">
            <w:pPr>
              <w:suppressLineNumbers/>
              <w:spacing w:beforeLines="0" w:before="0" w:afterLines="0" w:line="276" w:lineRule="auto"/>
            </w:pPr>
            <w:r>
              <w:t xml:space="preserve">Lymphocyte </w:t>
            </w:r>
            <w:r>
              <w:rPr>
                <w:sz w:val="20"/>
              </w:rPr>
              <w:t>(mal</w:t>
            </w:r>
            <w:r w:rsidRPr="008A56A7">
              <w:rPr>
                <w:sz w:val="20"/>
              </w:rPr>
              <w:t>)</w:t>
            </w:r>
            <w:r>
              <w:rPr>
                <w:sz w:val="20"/>
              </w:rPr>
              <w:t xml:space="preserve">, </w:t>
            </w:r>
            <w:r w:rsidRPr="0020419F">
              <w:t>%</w:t>
            </w:r>
            <w:r>
              <w:rPr>
                <w:sz w:val="20"/>
              </w:rPr>
              <w:t xml:space="preserve"> (N)</w:t>
            </w:r>
          </w:p>
        </w:tc>
        <w:tc>
          <w:tcPr>
            <w:tcW w:w="1853" w:type="dxa"/>
            <w:tcBorders>
              <w:bottom w:val="single" w:sz="4" w:space="0" w:color="auto"/>
            </w:tcBorders>
            <w:shd w:val="clear" w:color="auto" w:fill="auto"/>
          </w:tcPr>
          <w:p w14:paraId="184EE0E1" w14:textId="77777777" w:rsidR="00DD4026" w:rsidRDefault="00DD4026" w:rsidP="00380865">
            <w:pPr>
              <w:suppressLineNumbers/>
              <w:spacing w:beforeLines="0" w:before="0" w:afterLines="0" w:line="276" w:lineRule="auto"/>
              <w:jc w:val="center"/>
            </w:pPr>
            <w:r>
              <w:t xml:space="preserve">44 </w:t>
            </w:r>
            <w:r>
              <w:rPr>
                <w:sz w:val="20"/>
              </w:rPr>
              <w:t>(203</w:t>
            </w:r>
            <w:r w:rsidRPr="008A56A7">
              <w:rPr>
                <w:sz w:val="20"/>
              </w:rPr>
              <w:t>)</w:t>
            </w:r>
          </w:p>
        </w:tc>
        <w:tc>
          <w:tcPr>
            <w:tcW w:w="1876" w:type="dxa"/>
            <w:tcBorders>
              <w:bottom w:val="single" w:sz="4" w:space="0" w:color="auto"/>
            </w:tcBorders>
            <w:shd w:val="clear" w:color="auto" w:fill="auto"/>
          </w:tcPr>
          <w:p w14:paraId="2515DC4D" w14:textId="77777777" w:rsidR="00DD4026" w:rsidRDefault="00DD4026" w:rsidP="00380865">
            <w:pPr>
              <w:suppressLineNumbers/>
              <w:spacing w:beforeLines="0" w:before="0" w:afterLines="0" w:line="276" w:lineRule="auto"/>
              <w:jc w:val="center"/>
            </w:pPr>
            <w:r>
              <w:t xml:space="preserve">63 </w:t>
            </w:r>
            <w:r w:rsidRPr="008A56A7">
              <w:rPr>
                <w:sz w:val="20"/>
              </w:rPr>
              <w:t>(</w:t>
            </w:r>
            <w:r>
              <w:rPr>
                <w:sz w:val="20"/>
              </w:rPr>
              <w:t>35</w:t>
            </w:r>
            <w:r w:rsidRPr="008A56A7">
              <w:rPr>
                <w:sz w:val="20"/>
              </w:rPr>
              <w:t>)</w:t>
            </w:r>
          </w:p>
        </w:tc>
        <w:tc>
          <w:tcPr>
            <w:tcW w:w="1745" w:type="dxa"/>
            <w:tcBorders>
              <w:bottom w:val="single" w:sz="4" w:space="0" w:color="auto"/>
            </w:tcBorders>
            <w:shd w:val="clear" w:color="auto" w:fill="auto"/>
          </w:tcPr>
          <w:p w14:paraId="52B1312A" w14:textId="77777777" w:rsidR="00DD4026" w:rsidRDefault="00DD4026" w:rsidP="00380865">
            <w:pPr>
              <w:suppressLineNumbers/>
              <w:spacing w:beforeLines="0" w:before="0" w:afterLines="0" w:line="276" w:lineRule="auto"/>
              <w:jc w:val="center"/>
            </w:pPr>
            <w:r>
              <w:t xml:space="preserve">41 </w:t>
            </w:r>
            <w:r w:rsidRPr="008A56A7">
              <w:rPr>
                <w:sz w:val="20"/>
              </w:rPr>
              <w:t>(</w:t>
            </w:r>
            <w:r>
              <w:rPr>
                <w:sz w:val="20"/>
              </w:rPr>
              <w:t>168</w:t>
            </w:r>
            <w:r w:rsidRPr="008A56A7">
              <w:rPr>
                <w:sz w:val="20"/>
              </w:rPr>
              <w:t>)</w:t>
            </w:r>
          </w:p>
        </w:tc>
        <w:tc>
          <w:tcPr>
            <w:tcW w:w="1151" w:type="dxa"/>
            <w:tcBorders>
              <w:bottom w:val="single" w:sz="4" w:space="0" w:color="auto"/>
            </w:tcBorders>
            <w:shd w:val="clear" w:color="auto" w:fill="auto"/>
          </w:tcPr>
          <w:p w14:paraId="72B80520" w14:textId="77777777" w:rsidR="00DD4026" w:rsidRPr="008A56A7" w:rsidRDefault="00DD4026" w:rsidP="00380865">
            <w:pPr>
              <w:suppressLineNumbers/>
              <w:spacing w:beforeLines="0" w:before="0" w:afterLines="0" w:line="276" w:lineRule="auto"/>
              <w:jc w:val="center"/>
              <w:rPr>
                <w:sz w:val="20"/>
              </w:rPr>
            </w:pPr>
            <w:r>
              <w:rPr>
                <w:sz w:val="20"/>
              </w:rPr>
              <w:t>0.002</w:t>
            </w:r>
          </w:p>
        </w:tc>
        <w:tc>
          <w:tcPr>
            <w:tcW w:w="865" w:type="dxa"/>
            <w:tcBorders>
              <w:bottom w:val="single" w:sz="4" w:space="0" w:color="auto"/>
            </w:tcBorders>
            <w:shd w:val="clear" w:color="auto" w:fill="auto"/>
          </w:tcPr>
          <w:p w14:paraId="18A999E8" w14:textId="77777777" w:rsidR="00DD4026" w:rsidRPr="008A56A7" w:rsidRDefault="00DD4026" w:rsidP="00380865">
            <w:pPr>
              <w:suppressLineNumbers/>
              <w:spacing w:beforeLines="0" w:before="0" w:afterLines="0" w:line="276" w:lineRule="auto"/>
              <w:jc w:val="center"/>
              <w:rPr>
                <w:sz w:val="20"/>
              </w:rPr>
            </w:pPr>
            <w:r w:rsidRPr="008A56A7">
              <w:rPr>
                <w:sz w:val="20"/>
              </w:rPr>
              <w:t>0</w:t>
            </w:r>
          </w:p>
        </w:tc>
      </w:tr>
    </w:tbl>
    <w:p w14:paraId="453B1197" w14:textId="77777777" w:rsidR="00DD4026" w:rsidRPr="0017735A" w:rsidRDefault="00DD4026" w:rsidP="00DD4026">
      <w:pPr>
        <w:suppressLineNumbers/>
        <w:spacing w:line="276" w:lineRule="auto"/>
        <w:rPr>
          <w:sz w:val="16"/>
          <w:szCs w:val="16"/>
          <w:shd w:val="clear" w:color="auto" w:fill="FFFFFF"/>
        </w:rPr>
      </w:pPr>
      <w:r w:rsidRPr="0017735A">
        <w:rPr>
          <w:sz w:val="16"/>
          <w:szCs w:val="16"/>
        </w:rPr>
        <w:t xml:space="preserve">HF= heart failure, HR= heart rate, AF= atrial fibrillation, BP= blood pressure, NYHA= new York heart association, </w:t>
      </w:r>
      <w:proofErr w:type="spellStart"/>
      <w:r w:rsidRPr="0017735A">
        <w:rPr>
          <w:sz w:val="16"/>
          <w:szCs w:val="16"/>
        </w:rPr>
        <w:t>HeFREF</w:t>
      </w:r>
      <w:proofErr w:type="spellEnd"/>
      <w:r w:rsidRPr="0017735A">
        <w:rPr>
          <w:sz w:val="16"/>
          <w:szCs w:val="16"/>
        </w:rPr>
        <w:t xml:space="preserve">= heart failure with reduced ejection fraction, LVEF= left ventricular ejection fraction, BMI= body mass index, MI= myocardial infarction, PVD= peripheral vascular disease, HTN= hypertension, CVA= cerebrovascular accident, COPD= chronic obstructive pulmonary disease, BB= beta-blocker, </w:t>
      </w:r>
      <w:proofErr w:type="spellStart"/>
      <w:r w:rsidRPr="0017735A">
        <w:rPr>
          <w:sz w:val="16"/>
          <w:szCs w:val="16"/>
        </w:rPr>
        <w:t>ACEi</w:t>
      </w:r>
      <w:proofErr w:type="spellEnd"/>
      <w:r w:rsidRPr="0017735A">
        <w:rPr>
          <w:sz w:val="16"/>
          <w:szCs w:val="16"/>
        </w:rPr>
        <w:t xml:space="preserve">= angiotensin converting enzyme inhibitor, ARB= angiotensin receptor blocker, MRA= mineralocorticoid receptor antagonist, </w:t>
      </w:r>
      <w:proofErr w:type="spellStart"/>
      <w:r w:rsidRPr="0017735A">
        <w:rPr>
          <w:sz w:val="16"/>
          <w:szCs w:val="16"/>
        </w:rPr>
        <w:t>NTproBNP</w:t>
      </w:r>
      <w:proofErr w:type="spellEnd"/>
      <w:r w:rsidRPr="0017735A">
        <w:rPr>
          <w:sz w:val="16"/>
          <w:szCs w:val="16"/>
        </w:rPr>
        <w:t xml:space="preserve">= </w:t>
      </w:r>
      <w:r w:rsidRPr="0017735A">
        <w:rPr>
          <w:sz w:val="16"/>
          <w:szCs w:val="16"/>
          <w:shd w:val="clear" w:color="auto" w:fill="FFFFFF"/>
        </w:rPr>
        <w:t xml:space="preserve">N-terminal pro-B-type natriuretic peptide, Hb= </w:t>
      </w:r>
      <w:proofErr w:type="spellStart"/>
      <w:r w:rsidRPr="0017735A">
        <w:rPr>
          <w:sz w:val="16"/>
          <w:szCs w:val="16"/>
          <w:shd w:val="clear" w:color="auto" w:fill="FFFFFF"/>
        </w:rPr>
        <w:t>hemoglobin</w:t>
      </w:r>
      <w:proofErr w:type="spellEnd"/>
      <w:r w:rsidRPr="0017735A">
        <w:rPr>
          <w:sz w:val="16"/>
          <w:szCs w:val="16"/>
          <w:shd w:val="clear" w:color="auto" w:fill="FFFFFF"/>
        </w:rPr>
        <w:t xml:space="preserve">, Na= sodium, K= potassium, eGFR = estimated glomerular filtration rate, Mal= malnourished, CONUT = Controlling nutritional status score, GNRI = geriatric nutritional risk index, PNI = prognostic nutritional index, MUST= malnutrition universal screening tool, MNA-SF= mini nutritional assessment –short form, SGA = subjective global assessment. </w:t>
      </w:r>
    </w:p>
    <w:p w14:paraId="061EB3D6" w14:textId="77777777" w:rsidR="00DD4026" w:rsidRPr="0038152F" w:rsidRDefault="00DD4026" w:rsidP="00DD4026">
      <w:pPr>
        <w:spacing w:before="0" w:after="0" w:line="240" w:lineRule="auto"/>
        <w:rPr>
          <w:rStyle w:val="normalchar"/>
          <w:sz w:val="16"/>
          <w:szCs w:val="16"/>
        </w:rPr>
      </w:pPr>
      <w:r w:rsidRPr="00CE61F9">
        <w:rPr>
          <w:rStyle w:val="normalchar"/>
          <w:sz w:val="16"/>
          <w:szCs w:val="16"/>
          <w:vertAlign w:val="superscript"/>
        </w:rPr>
        <w:t>1</w:t>
      </w:r>
      <w:r>
        <w:rPr>
          <w:rStyle w:val="normalchar"/>
          <w:sz w:val="16"/>
          <w:szCs w:val="16"/>
          <w:vertAlign w:val="superscript"/>
        </w:rPr>
        <w:t xml:space="preserve"> </w:t>
      </w:r>
      <w:r w:rsidRPr="00186A7F">
        <w:rPr>
          <w:rStyle w:val="normalchar"/>
          <w:sz w:val="16"/>
        </w:rPr>
        <w:t>Continuous data are expressed as a median with interquartile range (IQR) (25</w:t>
      </w:r>
      <w:r w:rsidRPr="00186A7F">
        <w:rPr>
          <w:rStyle w:val="normalchar"/>
          <w:sz w:val="16"/>
          <w:vertAlign w:val="superscript"/>
        </w:rPr>
        <w:t>th</w:t>
      </w:r>
      <w:r w:rsidRPr="00186A7F">
        <w:rPr>
          <w:rStyle w:val="normalchar"/>
          <w:sz w:val="16"/>
        </w:rPr>
        <w:t xml:space="preserve"> to 75</w:t>
      </w:r>
      <w:r w:rsidRPr="00186A7F">
        <w:rPr>
          <w:rStyle w:val="normalchar"/>
          <w:sz w:val="16"/>
          <w:vertAlign w:val="superscript"/>
        </w:rPr>
        <w:t>th</w:t>
      </w:r>
      <w:r w:rsidRPr="00186A7F">
        <w:rPr>
          <w:rStyle w:val="apple-converted-space"/>
          <w:sz w:val="16"/>
        </w:rPr>
        <w:t> </w:t>
      </w:r>
      <w:r w:rsidRPr="00186A7F">
        <w:rPr>
          <w:rStyle w:val="normalchar"/>
          <w:sz w:val="16"/>
        </w:rPr>
        <w:t>centiles) and categorical data are expressed as % (N). </w:t>
      </w:r>
      <w:r w:rsidRPr="0038152F">
        <w:rPr>
          <w:rStyle w:val="normalchar"/>
          <w:sz w:val="16"/>
          <w:szCs w:val="16"/>
        </w:rPr>
        <w:t xml:space="preserve">Independent t tests and Mann-Whitney U tests were used to compare two continuous variables for normally and non-normally distributed data. The chi-squared test was used to compare proportions between groups.  </w:t>
      </w:r>
    </w:p>
    <w:p w14:paraId="62E5D462" w14:textId="7ED4A9B8" w:rsidR="00DD4026" w:rsidRDefault="00DD4026" w:rsidP="00DD4026">
      <w:pPr>
        <w:suppressLineNumbers/>
        <w:spacing w:line="276" w:lineRule="auto"/>
        <w:rPr>
          <w:sz w:val="16"/>
          <w:szCs w:val="16"/>
          <w:shd w:val="clear" w:color="auto" w:fill="FFFFFF"/>
        </w:rPr>
      </w:pPr>
      <w:r>
        <w:rPr>
          <w:sz w:val="16"/>
          <w:szCs w:val="16"/>
          <w:shd w:val="clear" w:color="auto" w:fill="FFFFFF"/>
          <w:vertAlign w:val="superscript"/>
        </w:rPr>
        <w:t>2</w:t>
      </w:r>
      <w:r w:rsidRPr="0017735A">
        <w:rPr>
          <w:sz w:val="16"/>
          <w:szCs w:val="16"/>
          <w:shd w:val="clear" w:color="auto" w:fill="FFFFFF"/>
        </w:rPr>
        <w:t>moderate malnutrition vs no malnutrition (PNI classifies patients as non-malnourished, moderately or severely malnourished)</w:t>
      </w:r>
    </w:p>
    <w:p w14:paraId="77068730" w14:textId="77777777" w:rsidR="00DD4026" w:rsidRDefault="00DD4026" w:rsidP="00DD4026">
      <w:pPr>
        <w:pStyle w:val="Heading1"/>
      </w:pPr>
      <w:r>
        <w:lastRenderedPageBreak/>
        <w:t>Table 2</w:t>
      </w:r>
    </w:p>
    <w:p w14:paraId="4FBD8426" w14:textId="0E8811F8" w:rsidR="00DD4026" w:rsidRDefault="00DD4026" w:rsidP="00DD4026">
      <w:pPr>
        <w:pStyle w:val="BodyTextIndent"/>
        <w:suppressLineNumbers/>
        <w:spacing w:line="276" w:lineRule="auto"/>
        <w:ind w:left="0"/>
      </w:pPr>
      <w:r>
        <w:t>Multivariable Cox proportional hazards regression analyses of malnutrition tools predicting all-cause mortality and combined outcome.</w:t>
      </w:r>
      <w:r w:rsidRPr="00CE61F9">
        <w:rPr>
          <w:vertAlign w:val="superscript"/>
        </w:rPr>
        <w:t>1</w:t>
      </w:r>
    </w:p>
    <w:tbl>
      <w:tblPr>
        <w:tblW w:w="10061" w:type="dxa"/>
        <w:tblLook w:val="04A0" w:firstRow="1" w:lastRow="0" w:firstColumn="1" w:lastColumn="0" w:noHBand="0" w:noVBand="1"/>
      </w:tblPr>
      <w:tblGrid>
        <w:gridCol w:w="506"/>
        <w:gridCol w:w="2784"/>
        <w:gridCol w:w="1625"/>
        <w:gridCol w:w="870"/>
        <w:gridCol w:w="894"/>
        <w:gridCol w:w="1625"/>
        <w:gridCol w:w="861"/>
        <w:gridCol w:w="896"/>
      </w:tblGrid>
      <w:tr w:rsidR="00DD4026" w:rsidRPr="002D0748" w14:paraId="09EBA112" w14:textId="77777777" w:rsidTr="00380865">
        <w:trPr>
          <w:trHeight w:val="414"/>
        </w:trPr>
        <w:tc>
          <w:tcPr>
            <w:tcW w:w="3288" w:type="dxa"/>
            <w:gridSpan w:val="2"/>
            <w:vMerge w:val="restart"/>
            <w:tcBorders>
              <w:top w:val="single" w:sz="4" w:space="0" w:color="auto"/>
            </w:tcBorders>
            <w:shd w:val="clear" w:color="auto" w:fill="auto"/>
          </w:tcPr>
          <w:p w14:paraId="3483911A" w14:textId="77777777" w:rsidR="00DD4026" w:rsidRPr="002D0748" w:rsidRDefault="00DD4026" w:rsidP="00380865">
            <w:pPr>
              <w:suppressLineNumbers/>
              <w:spacing w:before="0" w:after="0" w:line="360" w:lineRule="auto"/>
              <w:contextualSpacing/>
              <w:rPr>
                <w:rFonts w:eastAsiaTheme="minorHAnsi"/>
                <w:b/>
                <w:color w:val="000000"/>
              </w:rPr>
            </w:pPr>
            <w:r w:rsidRPr="00C57EAA">
              <w:rPr>
                <w:rFonts w:eastAsiaTheme="minorHAnsi"/>
                <w:color w:val="000000"/>
              </w:rPr>
              <w:t>Worse outcome per unitary increase</w:t>
            </w:r>
          </w:p>
        </w:tc>
        <w:tc>
          <w:tcPr>
            <w:tcW w:w="3390" w:type="dxa"/>
            <w:gridSpan w:val="3"/>
            <w:tcBorders>
              <w:top w:val="single" w:sz="4" w:space="0" w:color="auto"/>
              <w:bottom w:val="single" w:sz="4" w:space="0" w:color="auto"/>
            </w:tcBorders>
            <w:shd w:val="clear" w:color="auto" w:fill="auto"/>
          </w:tcPr>
          <w:p w14:paraId="3662707B" w14:textId="77777777" w:rsidR="00DD4026" w:rsidRDefault="00DD4026" w:rsidP="00380865">
            <w:pPr>
              <w:keepNext/>
              <w:suppressLineNumbers/>
              <w:spacing w:before="60" w:after="60"/>
              <w:contextualSpacing/>
              <w:jc w:val="center"/>
              <w:outlineLvl w:val="1"/>
              <w:rPr>
                <w:rFonts w:eastAsiaTheme="minorHAnsi"/>
                <w:b/>
                <w:color w:val="000000"/>
              </w:rPr>
            </w:pPr>
            <w:r>
              <w:rPr>
                <w:rFonts w:eastAsiaTheme="minorHAnsi"/>
                <w:b/>
                <w:color w:val="000000"/>
              </w:rPr>
              <w:t>All-cause mortality</w:t>
            </w:r>
            <w:r>
              <w:rPr>
                <w:rFonts w:eastAsiaTheme="minorHAnsi"/>
                <w:b/>
                <w:color w:val="000000"/>
                <w:vertAlign w:val="superscript"/>
              </w:rPr>
              <w:t>3</w:t>
            </w:r>
          </w:p>
        </w:tc>
        <w:tc>
          <w:tcPr>
            <w:tcW w:w="3383" w:type="dxa"/>
            <w:gridSpan w:val="3"/>
            <w:tcBorders>
              <w:top w:val="single" w:sz="4" w:space="0" w:color="auto"/>
              <w:bottom w:val="single" w:sz="4" w:space="0" w:color="auto"/>
            </w:tcBorders>
            <w:shd w:val="clear" w:color="auto" w:fill="auto"/>
          </w:tcPr>
          <w:p w14:paraId="7981F6F2" w14:textId="77777777" w:rsidR="00DD4026" w:rsidRDefault="00DD4026" w:rsidP="00380865">
            <w:pPr>
              <w:keepNext/>
              <w:suppressLineNumbers/>
              <w:spacing w:before="60" w:after="60"/>
              <w:contextualSpacing/>
              <w:jc w:val="center"/>
              <w:outlineLvl w:val="1"/>
              <w:rPr>
                <w:rFonts w:eastAsiaTheme="minorHAnsi"/>
                <w:b/>
                <w:color w:val="000000"/>
              </w:rPr>
            </w:pPr>
            <w:r>
              <w:rPr>
                <w:rFonts w:eastAsiaTheme="minorHAnsi"/>
                <w:b/>
                <w:color w:val="000000"/>
              </w:rPr>
              <w:t>Combined outcome</w:t>
            </w:r>
            <w:r>
              <w:rPr>
                <w:rFonts w:eastAsiaTheme="minorHAnsi"/>
                <w:b/>
                <w:color w:val="000000"/>
                <w:vertAlign w:val="superscript"/>
              </w:rPr>
              <w:t>4</w:t>
            </w:r>
          </w:p>
        </w:tc>
      </w:tr>
      <w:tr w:rsidR="00DD4026" w:rsidRPr="002D0748" w14:paraId="706E250B" w14:textId="77777777" w:rsidTr="00380865">
        <w:trPr>
          <w:trHeight w:val="280"/>
        </w:trPr>
        <w:tc>
          <w:tcPr>
            <w:tcW w:w="3288" w:type="dxa"/>
            <w:gridSpan w:val="2"/>
            <w:vMerge/>
            <w:tcBorders>
              <w:bottom w:val="single" w:sz="4" w:space="0" w:color="auto"/>
            </w:tcBorders>
            <w:shd w:val="clear" w:color="auto" w:fill="auto"/>
          </w:tcPr>
          <w:p w14:paraId="2F8EEC75" w14:textId="77777777" w:rsidR="00DD4026" w:rsidRPr="00C57EAA" w:rsidRDefault="00DD4026" w:rsidP="00380865">
            <w:pPr>
              <w:suppressLineNumbers/>
              <w:spacing w:before="0" w:after="0" w:line="360" w:lineRule="auto"/>
              <w:contextualSpacing/>
              <w:rPr>
                <w:rFonts w:eastAsiaTheme="minorHAnsi"/>
              </w:rPr>
            </w:pPr>
          </w:p>
        </w:tc>
        <w:tc>
          <w:tcPr>
            <w:tcW w:w="1626" w:type="dxa"/>
            <w:tcBorders>
              <w:top w:val="single" w:sz="4" w:space="0" w:color="auto"/>
              <w:bottom w:val="single" w:sz="4" w:space="0" w:color="auto"/>
            </w:tcBorders>
            <w:shd w:val="clear" w:color="auto" w:fill="auto"/>
          </w:tcPr>
          <w:p w14:paraId="191211D5" w14:textId="77777777" w:rsidR="00DD4026" w:rsidRPr="00C57EAA" w:rsidRDefault="00DD4026" w:rsidP="00380865">
            <w:pPr>
              <w:keepNext/>
              <w:suppressLineNumbers/>
              <w:spacing w:before="160" w:after="0"/>
              <w:contextualSpacing/>
              <w:jc w:val="center"/>
              <w:outlineLvl w:val="1"/>
              <w:rPr>
                <w:rFonts w:eastAsiaTheme="minorHAnsi"/>
                <w:color w:val="000000"/>
                <w:lang w:eastAsia="en-GB"/>
              </w:rPr>
            </w:pPr>
            <w:r w:rsidRPr="00C57EAA">
              <w:rPr>
                <w:rFonts w:eastAsiaTheme="minorHAnsi"/>
                <w:color w:val="000000"/>
              </w:rPr>
              <w:t>HR</w:t>
            </w:r>
            <w:r>
              <w:rPr>
                <w:rFonts w:eastAsiaTheme="minorHAnsi"/>
                <w:color w:val="000000"/>
              </w:rPr>
              <w:t xml:space="preserve"> </w:t>
            </w:r>
            <w:r w:rsidRPr="00C57EAA">
              <w:rPr>
                <w:rFonts w:eastAsiaTheme="minorHAnsi"/>
                <w:color w:val="000000"/>
              </w:rPr>
              <w:t>(95%</w:t>
            </w:r>
            <w:r>
              <w:rPr>
                <w:rFonts w:eastAsiaTheme="minorHAnsi"/>
                <w:color w:val="000000"/>
              </w:rPr>
              <w:t xml:space="preserve"> </w:t>
            </w:r>
            <w:r w:rsidRPr="00C57EAA">
              <w:rPr>
                <w:rFonts w:eastAsiaTheme="minorHAnsi"/>
                <w:color w:val="000000"/>
              </w:rPr>
              <w:t>CI)</w:t>
            </w:r>
          </w:p>
        </w:tc>
        <w:tc>
          <w:tcPr>
            <w:tcW w:w="870" w:type="dxa"/>
            <w:tcBorders>
              <w:top w:val="single" w:sz="4" w:space="0" w:color="auto"/>
              <w:bottom w:val="single" w:sz="4" w:space="0" w:color="auto"/>
            </w:tcBorders>
            <w:shd w:val="clear" w:color="auto" w:fill="auto"/>
          </w:tcPr>
          <w:p w14:paraId="6542DD3C" w14:textId="77777777" w:rsidR="00DD4026" w:rsidRPr="006B287A" w:rsidRDefault="00DD4026" w:rsidP="00380865">
            <w:pPr>
              <w:keepNext/>
              <w:suppressLineNumbers/>
              <w:spacing w:before="160" w:after="0"/>
              <w:contextualSpacing/>
              <w:jc w:val="center"/>
              <w:outlineLvl w:val="1"/>
              <w:rPr>
                <w:rFonts w:eastAsiaTheme="minorHAnsi"/>
                <w:lang w:eastAsia="en-GB"/>
              </w:rPr>
            </w:pPr>
            <w:r w:rsidRPr="006B287A">
              <w:rPr>
                <w:rFonts w:eastAsiaTheme="minorHAnsi"/>
              </w:rPr>
              <w:t xml:space="preserve">Wald </w:t>
            </w:r>
            <w:r w:rsidRPr="006B287A">
              <w:rPr>
                <w:rFonts w:eastAsia="Times New Roman"/>
                <w:lang w:eastAsia="en-GB"/>
              </w:rPr>
              <w:t>χ2</w:t>
            </w:r>
          </w:p>
        </w:tc>
        <w:tc>
          <w:tcPr>
            <w:tcW w:w="894" w:type="dxa"/>
            <w:tcBorders>
              <w:top w:val="single" w:sz="4" w:space="0" w:color="auto"/>
              <w:bottom w:val="single" w:sz="4" w:space="0" w:color="auto"/>
            </w:tcBorders>
            <w:shd w:val="clear" w:color="auto" w:fill="auto"/>
          </w:tcPr>
          <w:p w14:paraId="512E443A" w14:textId="77777777" w:rsidR="00DD4026" w:rsidRPr="006B287A" w:rsidRDefault="00DD4026" w:rsidP="00380865">
            <w:pPr>
              <w:keepNext/>
              <w:suppressLineNumbers/>
              <w:spacing w:before="160" w:after="60"/>
              <w:contextualSpacing/>
              <w:jc w:val="center"/>
              <w:outlineLvl w:val="1"/>
              <w:rPr>
                <w:rFonts w:eastAsiaTheme="minorHAnsi"/>
              </w:rPr>
            </w:pPr>
            <w:r w:rsidRPr="006B287A">
              <w:rPr>
                <w:rFonts w:eastAsiaTheme="minorHAnsi"/>
              </w:rPr>
              <w:t>P</w:t>
            </w:r>
          </w:p>
        </w:tc>
        <w:tc>
          <w:tcPr>
            <w:tcW w:w="1626" w:type="dxa"/>
            <w:tcBorders>
              <w:top w:val="single" w:sz="4" w:space="0" w:color="auto"/>
              <w:bottom w:val="single" w:sz="4" w:space="0" w:color="auto"/>
            </w:tcBorders>
            <w:shd w:val="clear" w:color="auto" w:fill="auto"/>
          </w:tcPr>
          <w:p w14:paraId="76FC4174" w14:textId="77777777" w:rsidR="00DD4026" w:rsidRPr="006B287A" w:rsidRDefault="00DD4026" w:rsidP="00380865">
            <w:pPr>
              <w:keepNext/>
              <w:suppressLineNumbers/>
              <w:spacing w:before="160" w:after="60"/>
              <w:contextualSpacing/>
              <w:jc w:val="center"/>
              <w:outlineLvl w:val="1"/>
              <w:rPr>
                <w:rFonts w:eastAsiaTheme="minorHAnsi"/>
                <w:lang w:eastAsia="en-GB"/>
              </w:rPr>
            </w:pPr>
            <w:r w:rsidRPr="006B287A">
              <w:rPr>
                <w:rFonts w:eastAsiaTheme="minorHAnsi"/>
              </w:rPr>
              <w:t>HR</w:t>
            </w:r>
            <w:r>
              <w:rPr>
                <w:rFonts w:eastAsiaTheme="minorHAnsi"/>
              </w:rPr>
              <w:t xml:space="preserve"> </w:t>
            </w:r>
            <w:r w:rsidRPr="006B287A">
              <w:rPr>
                <w:rFonts w:eastAsiaTheme="minorHAnsi"/>
              </w:rPr>
              <w:t>(95%</w:t>
            </w:r>
            <w:r>
              <w:rPr>
                <w:rFonts w:eastAsiaTheme="minorHAnsi"/>
              </w:rPr>
              <w:t xml:space="preserve"> </w:t>
            </w:r>
            <w:r w:rsidRPr="006B287A">
              <w:rPr>
                <w:rFonts w:eastAsiaTheme="minorHAnsi"/>
              </w:rPr>
              <w:t>CI)</w:t>
            </w:r>
          </w:p>
        </w:tc>
        <w:tc>
          <w:tcPr>
            <w:tcW w:w="861" w:type="dxa"/>
            <w:tcBorders>
              <w:top w:val="single" w:sz="4" w:space="0" w:color="auto"/>
              <w:bottom w:val="single" w:sz="4" w:space="0" w:color="auto"/>
            </w:tcBorders>
            <w:shd w:val="clear" w:color="auto" w:fill="auto"/>
          </w:tcPr>
          <w:p w14:paraId="4667FDEB" w14:textId="77777777" w:rsidR="00DD4026" w:rsidRPr="006B287A" w:rsidRDefault="00DD4026" w:rsidP="00380865">
            <w:pPr>
              <w:keepNext/>
              <w:suppressLineNumbers/>
              <w:spacing w:before="160" w:after="60"/>
              <w:contextualSpacing/>
              <w:jc w:val="center"/>
              <w:outlineLvl w:val="1"/>
              <w:rPr>
                <w:rFonts w:eastAsiaTheme="minorHAnsi"/>
                <w:lang w:eastAsia="en-GB"/>
              </w:rPr>
            </w:pPr>
            <w:r w:rsidRPr="006B287A">
              <w:rPr>
                <w:rFonts w:eastAsiaTheme="minorHAnsi"/>
              </w:rPr>
              <w:t xml:space="preserve">Wald </w:t>
            </w:r>
            <w:r w:rsidRPr="006B287A">
              <w:rPr>
                <w:rFonts w:eastAsia="Times New Roman"/>
                <w:lang w:eastAsia="en-GB"/>
              </w:rPr>
              <w:t>χ2</w:t>
            </w:r>
          </w:p>
        </w:tc>
        <w:tc>
          <w:tcPr>
            <w:tcW w:w="896" w:type="dxa"/>
            <w:tcBorders>
              <w:top w:val="single" w:sz="4" w:space="0" w:color="auto"/>
              <w:bottom w:val="single" w:sz="4" w:space="0" w:color="auto"/>
            </w:tcBorders>
            <w:shd w:val="clear" w:color="auto" w:fill="auto"/>
          </w:tcPr>
          <w:p w14:paraId="1E85071A" w14:textId="77777777" w:rsidR="00DD4026" w:rsidRPr="00C57EAA" w:rsidRDefault="00DD4026" w:rsidP="00380865">
            <w:pPr>
              <w:keepNext/>
              <w:suppressLineNumbers/>
              <w:spacing w:before="160" w:after="60"/>
              <w:contextualSpacing/>
              <w:jc w:val="center"/>
              <w:outlineLvl w:val="1"/>
              <w:rPr>
                <w:rFonts w:eastAsiaTheme="minorHAnsi"/>
                <w:color w:val="000000"/>
              </w:rPr>
            </w:pPr>
            <w:r>
              <w:rPr>
                <w:rFonts w:eastAsiaTheme="minorHAnsi"/>
                <w:color w:val="000000"/>
              </w:rPr>
              <w:t>P</w:t>
            </w:r>
          </w:p>
        </w:tc>
      </w:tr>
      <w:tr w:rsidR="00DD4026" w:rsidRPr="002D0748" w14:paraId="497C5244" w14:textId="77777777" w:rsidTr="00380865">
        <w:trPr>
          <w:trHeight w:val="262"/>
        </w:trPr>
        <w:tc>
          <w:tcPr>
            <w:tcW w:w="0" w:type="auto"/>
            <w:vMerge w:val="restart"/>
            <w:tcBorders>
              <w:top w:val="single" w:sz="4" w:space="0" w:color="auto"/>
            </w:tcBorders>
            <w:shd w:val="clear" w:color="auto" w:fill="auto"/>
            <w:textDirection w:val="btLr"/>
          </w:tcPr>
          <w:p w14:paraId="4C900477" w14:textId="77777777" w:rsidR="00DD4026" w:rsidRPr="00C57EAA" w:rsidRDefault="00DD4026" w:rsidP="00380865">
            <w:pPr>
              <w:suppressLineNumbers/>
              <w:spacing w:before="0" w:after="0" w:line="240" w:lineRule="auto"/>
              <w:ind w:left="113" w:right="113"/>
              <w:contextualSpacing/>
              <w:jc w:val="center"/>
              <w:rPr>
                <w:rFonts w:eastAsiaTheme="minorHAnsi"/>
                <w:b/>
              </w:rPr>
            </w:pPr>
            <w:r>
              <w:rPr>
                <w:b/>
              </w:rPr>
              <w:t>Laboratory</w:t>
            </w:r>
            <w:r w:rsidRPr="00C57EAA">
              <w:rPr>
                <w:b/>
              </w:rPr>
              <w:t xml:space="preserve"> tests</w:t>
            </w:r>
          </w:p>
        </w:tc>
        <w:tc>
          <w:tcPr>
            <w:tcW w:w="2788" w:type="dxa"/>
            <w:tcBorders>
              <w:top w:val="single" w:sz="4" w:space="0" w:color="auto"/>
            </w:tcBorders>
            <w:shd w:val="clear" w:color="auto" w:fill="auto"/>
          </w:tcPr>
          <w:p w14:paraId="4C08319B" w14:textId="77777777" w:rsidR="00DD4026" w:rsidRPr="002D0748" w:rsidRDefault="00DD4026" w:rsidP="00380865">
            <w:pPr>
              <w:suppressLineNumbers/>
              <w:spacing w:before="0" w:after="0"/>
              <w:rPr>
                <w:rFonts w:eastAsiaTheme="minorHAnsi"/>
              </w:rPr>
            </w:pPr>
            <w:r>
              <w:rPr>
                <w:rFonts w:eastAsiaTheme="minorHAnsi"/>
              </w:rPr>
              <w:t xml:space="preserve">Albumin </w:t>
            </w:r>
            <w:r w:rsidRPr="005F7408">
              <w:rPr>
                <w:sz w:val="18"/>
              </w:rPr>
              <w:t>(</w:t>
            </w:r>
            <w:r>
              <w:rPr>
                <w:sz w:val="18"/>
              </w:rPr>
              <w:t>g/L</w:t>
            </w:r>
            <w:r w:rsidRPr="005F7408">
              <w:rPr>
                <w:sz w:val="18"/>
              </w:rPr>
              <w:t>)</w:t>
            </w:r>
          </w:p>
        </w:tc>
        <w:tc>
          <w:tcPr>
            <w:tcW w:w="1626" w:type="dxa"/>
            <w:tcBorders>
              <w:top w:val="single" w:sz="4" w:space="0" w:color="auto"/>
            </w:tcBorders>
            <w:shd w:val="clear" w:color="auto" w:fill="auto"/>
          </w:tcPr>
          <w:p w14:paraId="7163E21E" w14:textId="77777777" w:rsidR="00DD4026" w:rsidRPr="00CF43A5" w:rsidRDefault="00DD4026" w:rsidP="00380865">
            <w:pPr>
              <w:keepNext/>
              <w:suppressLineNumbers/>
              <w:spacing w:before="0" w:after="0" w:line="360" w:lineRule="auto"/>
              <w:jc w:val="center"/>
              <w:outlineLvl w:val="1"/>
            </w:pPr>
            <w:r w:rsidRPr="00CF43A5">
              <w:t xml:space="preserve">0.87 </w:t>
            </w:r>
            <w:r w:rsidRPr="00CF43A5">
              <w:rPr>
                <w:sz w:val="18"/>
              </w:rPr>
              <w:t>(0.81</w:t>
            </w:r>
            <w:r>
              <w:rPr>
                <w:sz w:val="18"/>
              </w:rPr>
              <w:t>,</w:t>
            </w:r>
            <w:r w:rsidRPr="00CF43A5">
              <w:rPr>
                <w:sz w:val="18"/>
              </w:rPr>
              <w:t>0.93)</w:t>
            </w:r>
          </w:p>
        </w:tc>
        <w:tc>
          <w:tcPr>
            <w:tcW w:w="870" w:type="dxa"/>
            <w:tcBorders>
              <w:top w:val="single" w:sz="4" w:space="0" w:color="auto"/>
            </w:tcBorders>
            <w:shd w:val="clear" w:color="auto" w:fill="auto"/>
          </w:tcPr>
          <w:p w14:paraId="1FE69ECC" w14:textId="77777777" w:rsidR="00DD4026" w:rsidRPr="00CF43A5" w:rsidRDefault="00DD4026" w:rsidP="00380865">
            <w:pPr>
              <w:keepNext/>
              <w:suppressLineNumbers/>
              <w:spacing w:before="0" w:after="0" w:line="360" w:lineRule="auto"/>
              <w:jc w:val="center"/>
              <w:outlineLvl w:val="1"/>
            </w:pPr>
            <w:r w:rsidRPr="00CF43A5">
              <w:t>14.7</w:t>
            </w:r>
          </w:p>
        </w:tc>
        <w:tc>
          <w:tcPr>
            <w:tcW w:w="894" w:type="dxa"/>
            <w:tcBorders>
              <w:top w:val="single" w:sz="4" w:space="0" w:color="auto"/>
            </w:tcBorders>
            <w:shd w:val="clear" w:color="auto" w:fill="auto"/>
          </w:tcPr>
          <w:p w14:paraId="6D66C25C" w14:textId="77777777" w:rsidR="00DD4026" w:rsidRPr="00CF43A5" w:rsidRDefault="00DD4026" w:rsidP="00380865">
            <w:pPr>
              <w:keepNext/>
              <w:suppressLineNumbers/>
              <w:spacing w:before="0" w:after="0" w:line="360" w:lineRule="auto"/>
              <w:jc w:val="center"/>
              <w:outlineLvl w:val="1"/>
            </w:pPr>
            <w:r w:rsidRPr="00CF43A5">
              <w:t>&lt;0.001</w:t>
            </w:r>
          </w:p>
        </w:tc>
        <w:tc>
          <w:tcPr>
            <w:tcW w:w="1626" w:type="dxa"/>
            <w:tcBorders>
              <w:top w:val="single" w:sz="4" w:space="0" w:color="auto"/>
            </w:tcBorders>
            <w:shd w:val="clear" w:color="auto" w:fill="auto"/>
          </w:tcPr>
          <w:p w14:paraId="1A3B43DA" w14:textId="77777777" w:rsidR="00DD4026" w:rsidRPr="00382AB4" w:rsidRDefault="00DD4026" w:rsidP="00380865">
            <w:pPr>
              <w:keepNext/>
              <w:suppressLineNumbers/>
              <w:spacing w:before="0" w:after="0"/>
              <w:jc w:val="center"/>
              <w:outlineLvl w:val="1"/>
            </w:pPr>
            <w:r w:rsidRPr="00382AB4">
              <w:t xml:space="preserve">0.90 </w:t>
            </w:r>
            <w:r w:rsidRPr="00382AB4">
              <w:rPr>
                <w:sz w:val="18"/>
              </w:rPr>
              <w:t>(0.86</w:t>
            </w:r>
            <w:r>
              <w:rPr>
                <w:sz w:val="18"/>
              </w:rPr>
              <w:t>,</w:t>
            </w:r>
            <w:r w:rsidRPr="00382AB4">
              <w:rPr>
                <w:sz w:val="18"/>
              </w:rPr>
              <w:t>0.95)</w:t>
            </w:r>
          </w:p>
        </w:tc>
        <w:tc>
          <w:tcPr>
            <w:tcW w:w="861" w:type="dxa"/>
            <w:tcBorders>
              <w:top w:val="single" w:sz="4" w:space="0" w:color="auto"/>
            </w:tcBorders>
            <w:shd w:val="clear" w:color="auto" w:fill="auto"/>
          </w:tcPr>
          <w:p w14:paraId="6EA6C28E" w14:textId="77777777" w:rsidR="00DD4026" w:rsidRPr="00382AB4" w:rsidRDefault="00DD4026" w:rsidP="00380865">
            <w:pPr>
              <w:keepNext/>
              <w:suppressLineNumbers/>
              <w:spacing w:before="0" w:after="0"/>
              <w:jc w:val="center"/>
              <w:outlineLvl w:val="1"/>
            </w:pPr>
            <w:r w:rsidRPr="00382AB4">
              <w:t>18.5</w:t>
            </w:r>
          </w:p>
        </w:tc>
        <w:tc>
          <w:tcPr>
            <w:tcW w:w="896" w:type="dxa"/>
            <w:tcBorders>
              <w:top w:val="single" w:sz="4" w:space="0" w:color="auto"/>
            </w:tcBorders>
            <w:shd w:val="clear" w:color="auto" w:fill="auto"/>
          </w:tcPr>
          <w:p w14:paraId="0E82C2EA" w14:textId="77777777" w:rsidR="00DD4026" w:rsidRPr="00382AB4" w:rsidRDefault="00DD4026" w:rsidP="00380865">
            <w:pPr>
              <w:keepNext/>
              <w:suppressLineNumbers/>
              <w:spacing w:before="0" w:after="0"/>
              <w:jc w:val="center"/>
              <w:outlineLvl w:val="1"/>
            </w:pPr>
            <w:r w:rsidRPr="00382AB4">
              <w:t>&lt;0.001</w:t>
            </w:r>
          </w:p>
        </w:tc>
      </w:tr>
      <w:tr w:rsidR="00DD4026" w:rsidRPr="002D0748" w14:paraId="77E154BA" w14:textId="77777777" w:rsidTr="00380865">
        <w:trPr>
          <w:cantSplit/>
          <w:trHeight w:val="104"/>
        </w:trPr>
        <w:tc>
          <w:tcPr>
            <w:tcW w:w="0" w:type="auto"/>
            <w:vMerge/>
            <w:shd w:val="clear" w:color="auto" w:fill="auto"/>
            <w:textDirection w:val="btLr"/>
          </w:tcPr>
          <w:p w14:paraId="416CCA94" w14:textId="77777777" w:rsidR="00DD4026" w:rsidRPr="00C57EAA" w:rsidRDefault="00DD4026" w:rsidP="00380865">
            <w:pPr>
              <w:suppressLineNumbers/>
              <w:spacing w:before="0" w:after="0" w:line="240" w:lineRule="auto"/>
              <w:ind w:left="113" w:right="113"/>
              <w:contextualSpacing/>
              <w:jc w:val="center"/>
              <w:rPr>
                <w:b/>
              </w:rPr>
            </w:pPr>
          </w:p>
        </w:tc>
        <w:tc>
          <w:tcPr>
            <w:tcW w:w="2788" w:type="dxa"/>
            <w:shd w:val="clear" w:color="auto" w:fill="auto"/>
          </w:tcPr>
          <w:p w14:paraId="05A45B5F" w14:textId="77777777" w:rsidR="00DD4026" w:rsidRPr="00011E90" w:rsidRDefault="00DD4026" w:rsidP="00380865">
            <w:pPr>
              <w:suppressLineNumbers/>
              <w:spacing w:before="0" w:after="0"/>
              <w:rPr>
                <w:lang w:val="fr-FR"/>
              </w:rPr>
            </w:pPr>
            <w:proofErr w:type="spellStart"/>
            <w:r w:rsidRPr="00011E90">
              <w:rPr>
                <w:lang w:val="fr-FR"/>
              </w:rPr>
              <w:t>Albumin</w:t>
            </w:r>
            <w:proofErr w:type="spellEnd"/>
            <w:r w:rsidRPr="00011E90">
              <w:rPr>
                <w:lang w:val="fr-FR"/>
              </w:rPr>
              <w:t xml:space="preserve"> </w:t>
            </w:r>
            <w:r w:rsidRPr="00011E90">
              <w:rPr>
                <w:sz w:val="18"/>
                <w:lang w:val="fr-FR"/>
              </w:rPr>
              <w:t>(Mal vs not mal)</w:t>
            </w:r>
          </w:p>
        </w:tc>
        <w:tc>
          <w:tcPr>
            <w:tcW w:w="1626" w:type="dxa"/>
            <w:shd w:val="clear" w:color="auto" w:fill="auto"/>
          </w:tcPr>
          <w:p w14:paraId="0D52098E" w14:textId="77777777" w:rsidR="00DD4026" w:rsidRPr="001E23F3" w:rsidRDefault="00DD4026" w:rsidP="00380865">
            <w:pPr>
              <w:keepNext/>
              <w:suppressLineNumbers/>
              <w:spacing w:before="0" w:after="0"/>
              <w:jc w:val="center"/>
              <w:outlineLvl w:val="1"/>
              <w:rPr>
                <w:color w:val="000000"/>
              </w:rPr>
            </w:pPr>
            <w:r>
              <w:rPr>
                <w:rFonts w:eastAsiaTheme="minorHAnsi"/>
                <w:color w:val="000000"/>
              </w:rPr>
              <w:t>2.05</w:t>
            </w:r>
            <w:r w:rsidRPr="002D0748">
              <w:rPr>
                <w:rFonts w:eastAsiaTheme="minorHAnsi"/>
                <w:color w:val="000000"/>
              </w:rPr>
              <w:t xml:space="preserve"> </w:t>
            </w:r>
            <w:r>
              <w:rPr>
                <w:rFonts w:eastAsiaTheme="minorHAnsi"/>
                <w:color w:val="000000"/>
                <w:sz w:val="18"/>
              </w:rPr>
              <w:t>(1.28,3.28</w:t>
            </w:r>
            <w:r w:rsidRPr="002D0748">
              <w:rPr>
                <w:rFonts w:eastAsiaTheme="minorHAnsi"/>
                <w:color w:val="000000"/>
                <w:sz w:val="18"/>
              </w:rPr>
              <w:t>)</w:t>
            </w:r>
          </w:p>
        </w:tc>
        <w:tc>
          <w:tcPr>
            <w:tcW w:w="870" w:type="dxa"/>
            <w:shd w:val="clear" w:color="auto" w:fill="auto"/>
          </w:tcPr>
          <w:p w14:paraId="1F454F59" w14:textId="77777777" w:rsidR="00DD4026" w:rsidRPr="001E23F3" w:rsidRDefault="00DD4026" w:rsidP="00380865">
            <w:pPr>
              <w:keepNext/>
              <w:suppressLineNumbers/>
              <w:spacing w:before="0" w:after="0"/>
              <w:jc w:val="center"/>
              <w:outlineLvl w:val="1"/>
              <w:rPr>
                <w:color w:val="000000"/>
              </w:rPr>
            </w:pPr>
            <w:r>
              <w:rPr>
                <w:color w:val="000000"/>
              </w:rPr>
              <w:t>9.0</w:t>
            </w:r>
          </w:p>
        </w:tc>
        <w:tc>
          <w:tcPr>
            <w:tcW w:w="894" w:type="dxa"/>
            <w:shd w:val="clear" w:color="auto" w:fill="auto"/>
          </w:tcPr>
          <w:p w14:paraId="4101DD1A" w14:textId="77777777" w:rsidR="00DD4026" w:rsidRPr="001E23F3" w:rsidRDefault="00DD4026" w:rsidP="00380865">
            <w:pPr>
              <w:keepNext/>
              <w:suppressLineNumbers/>
              <w:spacing w:before="0" w:after="0"/>
              <w:jc w:val="center"/>
              <w:outlineLvl w:val="1"/>
              <w:rPr>
                <w:color w:val="000000"/>
              </w:rPr>
            </w:pPr>
            <w:r>
              <w:rPr>
                <w:color w:val="000000"/>
              </w:rPr>
              <w:t>0.003</w:t>
            </w:r>
          </w:p>
        </w:tc>
        <w:tc>
          <w:tcPr>
            <w:tcW w:w="1626" w:type="dxa"/>
            <w:shd w:val="clear" w:color="auto" w:fill="auto"/>
          </w:tcPr>
          <w:p w14:paraId="7F8C0B21" w14:textId="77777777" w:rsidR="00DD4026" w:rsidRPr="001E23F3" w:rsidRDefault="00DD4026" w:rsidP="00380865">
            <w:pPr>
              <w:keepNext/>
              <w:suppressLineNumbers/>
              <w:spacing w:before="0" w:after="0"/>
              <w:jc w:val="center"/>
              <w:outlineLvl w:val="1"/>
              <w:rPr>
                <w:color w:val="000000"/>
              </w:rPr>
            </w:pPr>
            <w:r>
              <w:rPr>
                <w:rFonts w:eastAsiaTheme="minorHAnsi"/>
                <w:color w:val="000000"/>
              </w:rPr>
              <w:t>1.96</w:t>
            </w:r>
            <w:r w:rsidRPr="002D0748">
              <w:rPr>
                <w:rFonts w:eastAsiaTheme="minorHAnsi"/>
                <w:color w:val="000000"/>
              </w:rPr>
              <w:t xml:space="preserve"> </w:t>
            </w:r>
            <w:r>
              <w:rPr>
                <w:rFonts w:eastAsiaTheme="minorHAnsi"/>
                <w:color w:val="000000"/>
                <w:sz w:val="18"/>
              </w:rPr>
              <w:t>(1.45,2.65</w:t>
            </w:r>
            <w:r w:rsidRPr="002D0748">
              <w:rPr>
                <w:rFonts w:eastAsiaTheme="minorHAnsi"/>
                <w:color w:val="000000"/>
                <w:sz w:val="18"/>
              </w:rPr>
              <w:t>)</w:t>
            </w:r>
          </w:p>
        </w:tc>
        <w:tc>
          <w:tcPr>
            <w:tcW w:w="861" w:type="dxa"/>
            <w:shd w:val="clear" w:color="auto" w:fill="auto"/>
          </w:tcPr>
          <w:p w14:paraId="3A93E547" w14:textId="77777777" w:rsidR="00DD4026" w:rsidRPr="001E23F3" w:rsidRDefault="00DD4026" w:rsidP="00380865">
            <w:pPr>
              <w:keepNext/>
              <w:suppressLineNumbers/>
              <w:spacing w:before="0" w:after="0"/>
              <w:jc w:val="center"/>
              <w:outlineLvl w:val="1"/>
              <w:rPr>
                <w:color w:val="000000"/>
              </w:rPr>
            </w:pPr>
            <w:r>
              <w:rPr>
                <w:color w:val="000000"/>
              </w:rPr>
              <w:t>18.9</w:t>
            </w:r>
          </w:p>
        </w:tc>
        <w:tc>
          <w:tcPr>
            <w:tcW w:w="896" w:type="dxa"/>
            <w:shd w:val="clear" w:color="auto" w:fill="auto"/>
          </w:tcPr>
          <w:p w14:paraId="56CFAB09" w14:textId="77777777" w:rsidR="00DD4026" w:rsidRPr="001E23F3" w:rsidRDefault="00DD4026" w:rsidP="00380865">
            <w:pPr>
              <w:keepNext/>
              <w:suppressLineNumbers/>
              <w:spacing w:before="0" w:after="0"/>
              <w:jc w:val="center"/>
              <w:outlineLvl w:val="1"/>
              <w:rPr>
                <w:color w:val="000000"/>
              </w:rPr>
            </w:pPr>
            <w:r>
              <w:rPr>
                <w:color w:val="000000"/>
              </w:rPr>
              <w:t>&lt;0.001</w:t>
            </w:r>
          </w:p>
        </w:tc>
      </w:tr>
      <w:tr w:rsidR="00DD4026" w:rsidRPr="002D0748" w14:paraId="10CD4E52" w14:textId="77777777" w:rsidTr="00380865">
        <w:trPr>
          <w:trHeight w:val="136"/>
        </w:trPr>
        <w:tc>
          <w:tcPr>
            <w:tcW w:w="0" w:type="auto"/>
            <w:vMerge/>
            <w:shd w:val="clear" w:color="auto" w:fill="auto"/>
          </w:tcPr>
          <w:p w14:paraId="1A7C6952" w14:textId="77777777" w:rsidR="00DD4026" w:rsidRPr="00C57EAA" w:rsidRDefault="00DD4026" w:rsidP="00380865">
            <w:pPr>
              <w:suppressLineNumbers/>
              <w:spacing w:before="0" w:after="0" w:line="240" w:lineRule="auto"/>
              <w:contextualSpacing/>
              <w:jc w:val="center"/>
              <w:rPr>
                <w:rFonts w:eastAsiaTheme="minorHAnsi"/>
                <w:b/>
              </w:rPr>
            </w:pPr>
          </w:p>
        </w:tc>
        <w:tc>
          <w:tcPr>
            <w:tcW w:w="2788" w:type="dxa"/>
            <w:shd w:val="clear" w:color="auto" w:fill="auto"/>
          </w:tcPr>
          <w:p w14:paraId="31E12B1C" w14:textId="77777777" w:rsidR="00DD4026" w:rsidRPr="002D0748" w:rsidRDefault="00DD4026" w:rsidP="00380865">
            <w:pPr>
              <w:suppressLineNumbers/>
              <w:spacing w:before="0" w:after="0"/>
              <w:rPr>
                <w:rFonts w:eastAsiaTheme="minorHAnsi"/>
              </w:rPr>
            </w:pPr>
            <w:r>
              <w:rPr>
                <w:rFonts w:eastAsiaTheme="minorHAnsi"/>
              </w:rPr>
              <w:t xml:space="preserve">Cholesterol </w:t>
            </w:r>
            <w:r w:rsidRPr="005F7408">
              <w:rPr>
                <w:sz w:val="18"/>
              </w:rPr>
              <w:t>(</w:t>
            </w:r>
            <w:r>
              <w:rPr>
                <w:sz w:val="18"/>
              </w:rPr>
              <w:t>mmol/L</w:t>
            </w:r>
            <w:r w:rsidRPr="005F7408">
              <w:rPr>
                <w:sz w:val="18"/>
              </w:rPr>
              <w:t>)</w:t>
            </w:r>
          </w:p>
        </w:tc>
        <w:tc>
          <w:tcPr>
            <w:tcW w:w="1626" w:type="dxa"/>
            <w:shd w:val="clear" w:color="auto" w:fill="auto"/>
          </w:tcPr>
          <w:p w14:paraId="263F8D1E" w14:textId="77777777" w:rsidR="00DD4026" w:rsidRPr="002D0748" w:rsidRDefault="00DD4026" w:rsidP="00380865">
            <w:pPr>
              <w:keepNext/>
              <w:suppressLineNumbers/>
              <w:spacing w:before="0" w:after="0"/>
              <w:jc w:val="center"/>
              <w:outlineLvl w:val="1"/>
              <w:rPr>
                <w:rFonts w:eastAsiaTheme="minorHAnsi"/>
                <w:color w:val="000000"/>
              </w:rPr>
            </w:pPr>
            <w:r>
              <w:rPr>
                <w:rFonts w:eastAsiaTheme="minorHAnsi"/>
                <w:color w:val="000000"/>
              </w:rPr>
              <w:t>0.72</w:t>
            </w:r>
            <w:r w:rsidRPr="002D0748">
              <w:rPr>
                <w:rFonts w:eastAsiaTheme="minorHAnsi"/>
                <w:color w:val="000000"/>
              </w:rPr>
              <w:t xml:space="preserve"> </w:t>
            </w:r>
            <w:r w:rsidRPr="002D0748">
              <w:rPr>
                <w:rFonts w:eastAsiaTheme="minorHAnsi"/>
                <w:color w:val="000000"/>
                <w:sz w:val="18"/>
              </w:rPr>
              <w:t>(</w:t>
            </w:r>
            <w:r>
              <w:rPr>
                <w:rFonts w:eastAsiaTheme="minorHAnsi"/>
                <w:color w:val="000000"/>
                <w:sz w:val="18"/>
              </w:rPr>
              <w:t>0.58,0.90</w:t>
            </w:r>
            <w:r w:rsidRPr="002D0748">
              <w:rPr>
                <w:rFonts w:eastAsiaTheme="minorHAnsi"/>
                <w:color w:val="000000"/>
                <w:sz w:val="18"/>
              </w:rPr>
              <w:t>)</w:t>
            </w:r>
          </w:p>
        </w:tc>
        <w:tc>
          <w:tcPr>
            <w:tcW w:w="870" w:type="dxa"/>
            <w:shd w:val="clear" w:color="auto" w:fill="auto"/>
          </w:tcPr>
          <w:p w14:paraId="6F15775C" w14:textId="77777777" w:rsidR="00DD4026" w:rsidRPr="002D0748" w:rsidRDefault="00DD4026" w:rsidP="00380865">
            <w:pPr>
              <w:keepNext/>
              <w:suppressLineNumbers/>
              <w:spacing w:before="0" w:after="0"/>
              <w:jc w:val="center"/>
              <w:outlineLvl w:val="1"/>
              <w:rPr>
                <w:rFonts w:eastAsiaTheme="minorHAnsi"/>
                <w:color w:val="000000"/>
              </w:rPr>
            </w:pPr>
            <w:r>
              <w:rPr>
                <w:rFonts w:eastAsiaTheme="minorHAnsi"/>
                <w:color w:val="000000"/>
              </w:rPr>
              <w:t>8.0</w:t>
            </w:r>
          </w:p>
        </w:tc>
        <w:tc>
          <w:tcPr>
            <w:tcW w:w="894" w:type="dxa"/>
            <w:shd w:val="clear" w:color="auto" w:fill="auto"/>
          </w:tcPr>
          <w:p w14:paraId="2590FEDB" w14:textId="77777777" w:rsidR="00DD4026" w:rsidRPr="002D0748" w:rsidRDefault="00DD4026" w:rsidP="00380865">
            <w:pPr>
              <w:keepNext/>
              <w:suppressLineNumbers/>
              <w:spacing w:before="0" w:after="0"/>
              <w:jc w:val="center"/>
              <w:outlineLvl w:val="1"/>
              <w:rPr>
                <w:rFonts w:eastAsiaTheme="minorHAnsi"/>
                <w:color w:val="000000"/>
              </w:rPr>
            </w:pPr>
            <w:r>
              <w:rPr>
                <w:rFonts w:eastAsiaTheme="minorHAnsi"/>
                <w:color w:val="000000"/>
              </w:rPr>
              <w:t>0.005</w:t>
            </w:r>
          </w:p>
        </w:tc>
        <w:tc>
          <w:tcPr>
            <w:tcW w:w="1626" w:type="dxa"/>
            <w:shd w:val="clear" w:color="auto" w:fill="auto"/>
          </w:tcPr>
          <w:p w14:paraId="468DE9E8" w14:textId="77777777" w:rsidR="00DD4026" w:rsidRPr="002D0748" w:rsidRDefault="00DD4026" w:rsidP="00380865">
            <w:pPr>
              <w:keepNext/>
              <w:suppressLineNumbers/>
              <w:spacing w:before="0" w:after="0"/>
              <w:jc w:val="center"/>
              <w:outlineLvl w:val="1"/>
              <w:rPr>
                <w:rFonts w:eastAsiaTheme="minorHAnsi"/>
                <w:color w:val="000000"/>
              </w:rPr>
            </w:pPr>
            <w:r>
              <w:rPr>
                <w:rFonts w:eastAsiaTheme="minorHAnsi"/>
                <w:color w:val="000000"/>
              </w:rPr>
              <w:t>0.91</w:t>
            </w:r>
            <w:r w:rsidRPr="002D0748">
              <w:rPr>
                <w:rFonts w:eastAsiaTheme="minorHAnsi"/>
                <w:color w:val="000000"/>
              </w:rPr>
              <w:t xml:space="preserve"> </w:t>
            </w:r>
            <w:r w:rsidRPr="002D0748">
              <w:rPr>
                <w:rFonts w:eastAsiaTheme="minorHAnsi"/>
                <w:color w:val="000000"/>
                <w:sz w:val="18"/>
              </w:rPr>
              <w:t>(</w:t>
            </w:r>
            <w:r>
              <w:rPr>
                <w:rFonts w:eastAsiaTheme="minorHAnsi"/>
                <w:color w:val="000000"/>
                <w:sz w:val="18"/>
              </w:rPr>
              <w:t>0.80,1.03</w:t>
            </w:r>
            <w:r w:rsidRPr="002D0748">
              <w:rPr>
                <w:rFonts w:eastAsiaTheme="minorHAnsi"/>
                <w:color w:val="000000"/>
                <w:sz w:val="18"/>
              </w:rPr>
              <w:t>)</w:t>
            </w:r>
          </w:p>
        </w:tc>
        <w:tc>
          <w:tcPr>
            <w:tcW w:w="861" w:type="dxa"/>
            <w:shd w:val="clear" w:color="auto" w:fill="auto"/>
          </w:tcPr>
          <w:p w14:paraId="4D5334A9" w14:textId="77777777" w:rsidR="00DD4026" w:rsidRPr="002D0748" w:rsidRDefault="00DD4026" w:rsidP="00380865">
            <w:pPr>
              <w:keepNext/>
              <w:suppressLineNumbers/>
              <w:spacing w:before="0" w:after="0"/>
              <w:jc w:val="center"/>
              <w:outlineLvl w:val="1"/>
              <w:rPr>
                <w:rFonts w:eastAsiaTheme="minorHAnsi"/>
                <w:color w:val="000000"/>
              </w:rPr>
            </w:pPr>
            <w:r>
              <w:rPr>
                <w:rFonts w:eastAsiaTheme="minorHAnsi"/>
                <w:color w:val="000000"/>
              </w:rPr>
              <w:t>2.1</w:t>
            </w:r>
          </w:p>
        </w:tc>
        <w:tc>
          <w:tcPr>
            <w:tcW w:w="896" w:type="dxa"/>
            <w:shd w:val="clear" w:color="auto" w:fill="auto"/>
          </w:tcPr>
          <w:p w14:paraId="0C1806E6" w14:textId="77777777" w:rsidR="00DD4026" w:rsidRPr="002D0748" w:rsidRDefault="00DD4026" w:rsidP="00380865">
            <w:pPr>
              <w:keepNext/>
              <w:suppressLineNumbers/>
              <w:spacing w:before="0" w:after="0"/>
              <w:jc w:val="center"/>
              <w:outlineLvl w:val="1"/>
              <w:rPr>
                <w:rFonts w:eastAsiaTheme="minorHAnsi"/>
                <w:color w:val="000000"/>
              </w:rPr>
            </w:pPr>
            <w:r>
              <w:rPr>
                <w:rFonts w:eastAsiaTheme="minorHAnsi"/>
                <w:color w:val="000000"/>
              </w:rPr>
              <w:t>0.15</w:t>
            </w:r>
          </w:p>
        </w:tc>
      </w:tr>
      <w:tr w:rsidR="00DD4026" w:rsidRPr="002D0748" w14:paraId="1D5483ED" w14:textId="77777777" w:rsidTr="00380865">
        <w:trPr>
          <w:trHeight w:val="282"/>
        </w:trPr>
        <w:tc>
          <w:tcPr>
            <w:tcW w:w="0" w:type="auto"/>
            <w:vMerge/>
            <w:shd w:val="clear" w:color="auto" w:fill="auto"/>
          </w:tcPr>
          <w:p w14:paraId="2F424C13" w14:textId="77777777" w:rsidR="00DD4026" w:rsidRPr="00C57EAA" w:rsidRDefault="00DD4026" w:rsidP="00380865">
            <w:pPr>
              <w:suppressLineNumbers/>
              <w:spacing w:before="0" w:after="0" w:line="240" w:lineRule="auto"/>
              <w:contextualSpacing/>
              <w:jc w:val="center"/>
              <w:rPr>
                <w:b/>
              </w:rPr>
            </w:pPr>
          </w:p>
        </w:tc>
        <w:tc>
          <w:tcPr>
            <w:tcW w:w="2788" w:type="dxa"/>
            <w:shd w:val="clear" w:color="auto" w:fill="auto"/>
          </w:tcPr>
          <w:p w14:paraId="1D6D35CB" w14:textId="77777777" w:rsidR="00DD4026" w:rsidRPr="001E23F3" w:rsidRDefault="00DD4026" w:rsidP="00380865">
            <w:pPr>
              <w:suppressLineNumbers/>
              <w:spacing w:before="0" w:after="0"/>
            </w:pPr>
            <w:r>
              <w:t>Cholesterol</w:t>
            </w:r>
            <w:r w:rsidRPr="001E23F3">
              <w:t xml:space="preserve"> </w:t>
            </w:r>
            <w:r w:rsidRPr="005F7408">
              <w:rPr>
                <w:sz w:val="18"/>
              </w:rPr>
              <w:t>(</w:t>
            </w:r>
            <w:r>
              <w:rPr>
                <w:sz w:val="18"/>
              </w:rPr>
              <w:t>Mal vs not mal</w:t>
            </w:r>
            <w:r w:rsidRPr="005F7408">
              <w:rPr>
                <w:sz w:val="18"/>
              </w:rPr>
              <w:t>)</w:t>
            </w:r>
          </w:p>
        </w:tc>
        <w:tc>
          <w:tcPr>
            <w:tcW w:w="1626" w:type="dxa"/>
            <w:shd w:val="clear" w:color="auto" w:fill="auto"/>
          </w:tcPr>
          <w:p w14:paraId="01B56BC4" w14:textId="77777777" w:rsidR="00DD4026" w:rsidRPr="001E23F3" w:rsidRDefault="00DD4026" w:rsidP="00380865">
            <w:pPr>
              <w:keepNext/>
              <w:suppressLineNumbers/>
              <w:spacing w:before="0" w:after="0"/>
              <w:jc w:val="center"/>
              <w:outlineLvl w:val="1"/>
              <w:rPr>
                <w:color w:val="000000"/>
              </w:rPr>
            </w:pPr>
            <w:r>
              <w:rPr>
                <w:color w:val="000000"/>
              </w:rPr>
              <w:t>1.64</w:t>
            </w:r>
            <w:r w:rsidRPr="001E23F3">
              <w:rPr>
                <w:color w:val="000000"/>
              </w:rPr>
              <w:t xml:space="preserve"> </w:t>
            </w:r>
            <w:r>
              <w:rPr>
                <w:color w:val="000000"/>
                <w:sz w:val="18"/>
              </w:rPr>
              <w:t>(1.00,2.69</w:t>
            </w:r>
            <w:r w:rsidRPr="00CF755D">
              <w:rPr>
                <w:color w:val="000000"/>
                <w:sz w:val="18"/>
              </w:rPr>
              <w:t>)</w:t>
            </w:r>
          </w:p>
        </w:tc>
        <w:tc>
          <w:tcPr>
            <w:tcW w:w="870" w:type="dxa"/>
            <w:shd w:val="clear" w:color="auto" w:fill="auto"/>
          </w:tcPr>
          <w:p w14:paraId="27F3E877" w14:textId="77777777" w:rsidR="00DD4026" w:rsidRPr="001E23F3" w:rsidRDefault="00DD4026" w:rsidP="00380865">
            <w:pPr>
              <w:keepNext/>
              <w:suppressLineNumbers/>
              <w:spacing w:before="0" w:after="0"/>
              <w:jc w:val="center"/>
              <w:outlineLvl w:val="1"/>
              <w:rPr>
                <w:color w:val="000000"/>
              </w:rPr>
            </w:pPr>
            <w:r>
              <w:rPr>
                <w:color w:val="000000"/>
              </w:rPr>
              <w:t>3.9</w:t>
            </w:r>
          </w:p>
        </w:tc>
        <w:tc>
          <w:tcPr>
            <w:tcW w:w="894" w:type="dxa"/>
            <w:shd w:val="clear" w:color="auto" w:fill="auto"/>
          </w:tcPr>
          <w:p w14:paraId="5329E1CB" w14:textId="77777777" w:rsidR="00DD4026" w:rsidRPr="001E23F3" w:rsidRDefault="00DD4026" w:rsidP="00380865">
            <w:pPr>
              <w:keepNext/>
              <w:suppressLineNumbers/>
              <w:spacing w:before="0" w:after="0"/>
              <w:jc w:val="center"/>
              <w:outlineLvl w:val="1"/>
              <w:rPr>
                <w:color w:val="000000"/>
              </w:rPr>
            </w:pPr>
            <w:r>
              <w:rPr>
                <w:color w:val="000000"/>
              </w:rPr>
              <w:t>0.05</w:t>
            </w:r>
          </w:p>
        </w:tc>
        <w:tc>
          <w:tcPr>
            <w:tcW w:w="1626" w:type="dxa"/>
            <w:shd w:val="clear" w:color="auto" w:fill="auto"/>
          </w:tcPr>
          <w:p w14:paraId="08C7FAF2" w14:textId="77777777" w:rsidR="00DD4026" w:rsidRPr="001E23F3" w:rsidRDefault="00DD4026" w:rsidP="00380865">
            <w:pPr>
              <w:keepNext/>
              <w:suppressLineNumbers/>
              <w:spacing w:before="0" w:after="0"/>
              <w:jc w:val="center"/>
              <w:outlineLvl w:val="1"/>
              <w:rPr>
                <w:color w:val="000000"/>
              </w:rPr>
            </w:pPr>
            <w:r>
              <w:rPr>
                <w:color w:val="000000"/>
              </w:rPr>
              <w:t>1.27</w:t>
            </w:r>
            <w:r w:rsidRPr="001E23F3">
              <w:rPr>
                <w:color w:val="000000"/>
              </w:rPr>
              <w:t xml:space="preserve"> </w:t>
            </w:r>
            <w:r>
              <w:rPr>
                <w:color w:val="000000"/>
                <w:sz w:val="18"/>
              </w:rPr>
              <w:t>(0.95,1.70</w:t>
            </w:r>
            <w:r w:rsidRPr="00CF755D">
              <w:rPr>
                <w:color w:val="000000"/>
                <w:sz w:val="18"/>
              </w:rPr>
              <w:t>)</w:t>
            </w:r>
          </w:p>
        </w:tc>
        <w:tc>
          <w:tcPr>
            <w:tcW w:w="861" w:type="dxa"/>
            <w:shd w:val="clear" w:color="auto" w:fill="auto"/>
          </w:tcPr>
          <w:p w14:paraId="7AF2D35A" w14:textId="77777777" w:rsidR="00DD4026" w:rsidRPr="001E23F3" w:rsidRDefault="00DD4026" w:rsidP="00380865">
            <w:pPr>
              <w:keepNext/>
              <w:suppressLineNumbers/>
              <w:spacing w:before="0" w:after="0"/>
              <w:jc w:val="center"/>
              <w:outlineLvl w:val="1"/>
              <w:rPr>
                <w:color w:val="000000"/>
              </w:rPr>
            </w:pPr>
            <w:r>
              <w:rPr>
                <w:color w:val="000000"/>
              </w:rPr>
              <w:t>2.5</w:t>
            </w:r>
          </w:p>
        </w:tc>
        <w:tc>
          <w:tcPr>
            <w:tcW w:w="896" w:type="dxa"/>
            <w:shd w:val="clear" w:color="auto" w:fill="auto"/>
          </w:tcPr>
          <w:p w14:paraId="50A321CD" w14:textId="77777777" w:rsidR="00DD4026" w:rsidRPr="001E23F3" w:rsidRDefault="00DD4026" w:rsidP="00380865">
            <w:pPr>
              <w:keepNext/>
              <w:suppressLineNumbers/>
              <w:spacing w:before="0" w:after="0"/>
              <w:jc w:val="center"/>
              <w:outlineLvl w:val="1"/>
              <w:rPr>
                <w:color w:val="000000"/>
              </w:rPr>
            </w:pPr>
            <w:r>
              <w:rPr>
                <w:color w:val="000000"/>
              </w:rPr>
              <w:t>0.11</w:t>
            </w:r>
          </w:p>
        </w:tc>
      </w:tr>
      <w:tr w:rsidR="00DD4026" w:rsidRPr="002D0748" w14:paraId="5F6E6679" w14:textId="77777777" w:rsidTr="00380865">
        <w:trPr>
          <w:trHeight w:val="285"/>
        </w:trPr>
        <w:tc>
          <w:tcPr>
            <w:tcW w:w="0" w:type="auto"/>
            <w:vMerge/>
            <w:shd w:val="clear" w:color="auto" w:fill="auto"/>
          </w:tcPr>
          <w:p w14:paraId="4E55D564" w14:textId="77777777" w:rsidR="00DD4026" w:rsidRPr="00C57EAA" w:rsidRDefault="00DD4026" w:rsidP="00380865">
            <w:pPr>
              <w:suppressLineNumbers/>
              <w:spacing w:before="0" w:after="0" w:line="240" w:lineRule="auto"/>
              <w:contextualSpacing/>
              <w:jc w:val="center"/>
              <w:rPr>
                <w:rFonts w:eastAsiaTheme="minorHAnsi"/>
                <w:b/>
              </w:rPr>
            </w:pPr>
          </w:p>
        </w:tc>
        <w:tc>
          <w:tcPr>
            <w:tcW w:w="2788" w:type="dxa"/>
            <w:shd w:val="clear" w:color="auto" w:fill="auto"/>
          </w:tcPr>
          <w:p w14:paraId="4DE8434E" w14:textId="77777777" w:rsidR="00DD4026" w:rsidRPr="002D0748" w:rsidRDefault="00DD4026" w:rsidP="00380865">
            <w:pPr>
              <w:suppressLineNumbers/>
              <w:spacing w:before="0" w:after="0"/>
              <w:rPr>
                <w:rFonts w:eastAsiaTheme="minorHAnsi"/>
              </w:rPr>
            </w:pPr>
            <w:r>
              <w:rPr>
                <w:rFonts w:eastAsiaTheme="minorHAnsi"/>
              </w:rPr>
              <w:t xml:space="preserve">Lymphocyte </w:t>
            </w:r>
            <w:r w:rsidRPr="00806EFC">
              <w:rPr>
                <w:rFonts w:eastAsia="Times New Roman"/>
                <w:sz w:val="18"/>
                <w:lang w:eastAsia="en-GB"/>
              </w:rPr>
              <w:t>(x10</w:t>
            </w:r>
            <w:r w:rsidRPr="00806EFC">
              <w:rPr>
                <w:rFonts w:eastAsia="Times New Roman"/>
                <w:sz w:val="18"/>
                <w:vertAlign w:val="superscript"/>
                <w:lang w:eastAsia="en-GB"/>
              </w:rPr>
              <w:t>9</w:t>
            </w:r>
            <w:r w:rsidRPr="00806EFC">
              <w:rPr>
                <w:rFonts w:eastAsia="Times New Roman"/>
                <w:sz w:val="18"/>
                <w:lang w:eastAsia="en-GB"/>
              </w:rPr>
              <w:t>/L)</w:t>
            </w:r>
          </w:p>
        </w:tc>
        <w:tc>
          <w:tcPr>
            <w:tcW w:w="1626" w:type="dxa"/>
            <w:shd w:val="clear" w:color="auto" w:fill="auto"/>
          </w:tcPr>
          <w:p w14:paraId="626AE957" w14:textId="77777777" w:rsidR="00DD4026" w:rsidRPr="002D0748" w:rsidRDefault="00DD4026" w:rsidP="00380865">
            <w:pPr>
              <w:keepNext/>
              <w:suppressLineNumbers/>
              <w:spacing w:before="0" w:after="0"/>
              <w:jc w:val="center"/>
              <w:outlineLvl w:val="1"/>
              <w:rPr>
                <w:rFonts w:eastAsiaTheme="minorHAnsi"/>
                <w:color w:val="000000"/>
              </w:rPr>
            </w:pPr>
            <w:r>
              <w:rPr>
                <w:rFonts w:eastAsiaTheme="minorHAnsi"/>
                <w:color w:val="000000"/>
              </w:rPr>
              <w:t>0.89</w:t>
            </w:r>
            <w:r w:rsidRPr="002D0748">
              <w:rPr>
                <w:rFonts w:eastAsiaTheme="minorHAnsi"/>
                <w:color w:val="000000"/>
              </w:rPr>
              <w:t xml:space="preserve"> </w:t>
            </w:r>
            <w:r w:rsidRPr="002D0748">
              <w:rPr>
                <w:rFonts w:eastAsiaTheme="minorHAnsi"/>
                <w:color w:val="000000"/>
                <w:sz w:val="18"/>
              </w:rPr>
              <w:t>(</w:t>
            </w:r>
            <w:r>
              <w:rPr>
                <w:rFonts w:eastAsiaTheme="minorHAnsi"/>
                <w:color w:val="000000"/>
                <w:sz w:val="18"/>
              </w:rPr>
              <w:t>0.61,1.30</w:t>
            </w:r>
            <w:r w:rsidRPr="002D0748">
              <w:rPr>
                <w:rFonts w:eastAsiaTheme="minorHAnsi"/>
                <w:color w:val="000000"/>
                <w:sz w:val="18"/>
              </w:rPr>
              <w:t>)</w:t>
            </w:r>
          </w:p>
        </w:tc>
        <w:tc>
          <w:tcPr>
            <w:tcW w:w="870" w:type="dxa"/>
            <w:shd w:val="clear" w:color="auto" w:fill="auto"/>
          </w:tcPr>
          <w:p w14:paraId="3A869EEC" w14:textId="77777777" w:rsidR="00DD4026" w:rsidRPr="002D0748" w:rsidRDefault="00DD4026" w:rsidP="00380865">
            <w:pPr>
              <w:keepNext/>
              <w:suppressLineNumbers/>
              <w:spacing w:before="0" w:after="0"/>
              <w:jc w:val="center"/>
              <w:outlineLvl w:val="1"/>
              <w:rPr>
                <w:rFonts w:eastAsiaTheme="minorHAnsi"/>
                <w:color w:val="000000"/>
              </w:rPr>
            </w:pPr>
            <w:r>
              <w:rPr>
                <w:rFonts w:eastAsiaTheme="minorHAnsi"/>
                <w:color w:val="000000"/>
              </w:rPr>
              <w:t>0.4</w:t>
            </w:r>
          </w:p>
        </w:tc>
        <w:tc>
          <w:tcPr>
            <w:tcW w:w="894" w:type="dxa"/>
            <w:shd w:val="clear" w:color="auto" w:fill="auto"/>
          </w:tcPr>
          <w:p w14:paraId="598BA849" w14:textId="77777777" w:rsidR="00DD4026" w:rsidRPr="002D0748" w:rsidRDefault="00DD4026" w:rsidP="00380865">
            <w:pPr>
              <w:keepNext/>
              <w:suppressLineNumbers/>
              <w:spacing w:before="0" w:after="0"/>
              <w:jc w:val="center"/>
              <w:outlineLvl w:val="1"/>
              <w:rPr>
                <w:rFonts w:eastAsiaTheme="minorHAnsi"/>
                <w:color w:val="000000"/>
              </w:rPr>
            </w:pPr>
            <w:r>
              <w:rPr>
                <w:rFonts w:eastAsiaTheme="minorHAnsi"/>
                <w:color w:val="000000"/>
              </w:rPr>
              <w:t>0.55</w:t>
            </w:r>
          </w:p>
        </w:tc>
        <w:tc>
          <w:tcPr>
            <w:tcW w:w="1626" w:type="dxa"/>
            <w:shd w:val="clear" w:color="auto" w:fill="auto"/>
          </w:tcPr>
          <w:p w14:paraId="5DC3EF94" w14:textId="77777777" w:rsidR="00DD4026" w:rsidRPr="002D0748" w:rsidRDefault="00DD4026" w:rsidP="00380865">
            <w:pPr>
              <w:keepNext/>
              <w:suppressLineNumbers/>
              <w:spacing w:before="0" w:after="0"/>
              <w:jc w:val="center"/>
              <w:outlineLvl w:val="1"/>
              <w:rPr>
                <w:rFonts w:eastAsiaTheme="minorHAnsi"/>
                <w:color w:val="000000"/>
              </w:rPr>
            </w:pPr>
            <w:r>
              <w:rPr>
                <w:rFonts w:eastAsiaTheme="minorHAnsi"/>
                <w:color w:val="000000"/>
              </w:rPr>
              <w:t>0.91</w:t>
            </w:r>
            <w:r w:rsidRPr="002D0748">
              <w:rPr>
                <w:rFonts w:eastAsiaTheme="minorHAnsi"/>
                <w:color w:val="000000"/>
              </w:rPr>
              <w:t xml:space="preserve"> </w:t>
            </w:r>
            <w:r w:rsidRPr="002D0748">
              <w:rPr>
                <w:rFonts w:eastAsiaTheme="minorHAnsi"/>
                <w:color w:val="000000"/>
                <w:sz w:val="18"/>
              </w:rPr>
              <w:t>(</w:t>
            </w:r>
            <w:r>
              <w:rPr>
                <w:rFonts w:eastAsiaTheme="minorHAnsi"/>
                <w:color w:val="000000"/>
                <w:sz w:val="18"/>
              </w:rPr>
              <w:t>0.73,1.14</w:t>
            </w:r>
            <w:r w:rsidRPr="002D0748">
              <w:rPr>
                <w:rFonts w:eastAsiaTheme="minorHAnsi"/>
                <w:color w:val="000000"/>
                <w:sz w:val="18"/>
              </w:rPr>
              <w:t>)</w:t>
            </w:r>
          </w:p>
        </w:tc>
        <w:tc>
          <w:tcPr>
            <w:tcW w:w="861" w:type="dxa"/>
            <w:shd w:val="clear" w:color="auto" w:fill="auto"/>
          </w:tcPr>
          <w:p w14:paraId="40CAF2A8" w14:textId="77777777" w:rsidR="00DD4026" w:rsidRPr="002D0748" w:rsidRDefault="00DD4026" w:rsidP="00380865">
            <w:pPr>
              <w:keepNext/>
              <w:suppressLineNumbers/>
              <w:spacing w:before="0" w:after="0"/>
              <w:jc w:val="center"/>
              <w:outlineLvl w:val="1"/>
              <w:rPr>
                <w:rFonts w:eastAsiaTheme="minorHAnsi"/>
                <w:color w:val="000000"/>
              </w:rPr>
            </w:pPr>
            <w:r>
              <w:rPr>
                <w:rFonts w:eastAsiaTheme="minorHAnsi"/>
                <w:color w:val="000000"/>
              </w:rPr>
              <w:t>0.7</w:t>
            </w:r>
          </w:p>
        </w:tc>
        <w:tc>
          <w:tcPr>
            <w:tcW w:w="896" w:type="dxa"/>
            <w:shd w:val="clear" w:color="auto" w:fill="auto"/>
          </w:tcPr>
          <w:p w14:paraId="44CBF478" w14:textId="77777777" w:rsidR="00DD4026" w:rsidRPr="002D0748" w:rsidRDefault="00DD4026" w:rsidP="00380865">
            <w:pPr>
              <w:keepNext/>
              <w:suppressLineNumbers/>
              <w:spacing w:before="0" w:after="0"/>
              <w:jc w:val="center"/>
              <w:outlineLvl w:val="1"/>
              <w:rPr>
                <w:rFonts w:eastAsiaTheme="minorHAnsi"/>
                <w:color w:val="000000"/>
              </w:rPr>
            </w:pPr>
            <w:r>
              <w:rPr>
                <w:rFonts w:eastAsiaTheme="minorHAnsi"/>
                <w:color w:val="000000"/>
              </w:rPr>
              <w:t>0.41</w:t>
            </w:r>
          </w:p>
        </w:tc>
      </w:tr>
      <w:tr w:rsidR="00DD4026" w:rsidRPr="002D0748" w14:paraId="7467EBE4" w14:textId="77777777" w:rsidTr="00380865">
        <w:trPr>
          <w:trHeight w:val="285"/>
        </w:trPr>
        <w:tc>
          <w:tcPr>
            <w:tcW w:w="0" w:type="auto"/>
            <w:vMerge/>
            <w:tcBorders>
              <w:bottom w:val="single" w:sz="4" w:space="0" w:color="auto"/>
            </w:tcBorders>
            <w:shd w:val="clear" w:color="auto" w:fill="auto"/>
          </w:tcPr>
          <w:p w14:paraId="295E29B8" w14:textId="77777777" w:rsidR="00DD4026" w:rsidRPr="00C57EAA" w:rsidRDefault="00DD4026" w:rsidP="00380865">
            <w:pPr>
              <w:suppressLineNumbers/>
              <w:spacing w:before="0" w:after="0" w:line="240" w:lineRule="auto"/>
              <w:contextualSpacing/>
              <w:jc w:val="center"/>
              <w:rPr>
                <w:b/>
              </w:rPr>
            </w:pPr>
          </w:p>
        </w:tc>
        <w:tc>
          <w:tcPr>
            <w:tcW w:w="2788" w:type="dxa"/>
            <w:tcBorders>
              <w:bottom w:val="single" w:sz="4" w:space="0" w:color="auto"/>
            </w:tcBorders>
            <w:shd w:val="clear" w:color="auto" w:fill="auto"/>
          </w:tcPr>
          <w:p w14:paraId="1C7331B1" w14:textId="77777777" w:rsidR="00DD4026" w:rsidRPr="00011E90" w:rsidRDefault="00DD4026" w:rsidP="00380865">
            <w:pPr>
              <w:suppressLineNumbers/>
              <w:spacing w:before="0" w:after="0"/>
              <w:rPr>
                <w:lang w:val="fr-FR"/>
              </w:rPr>
            </w:pPr>
            <w:r w:rsidRPr="00011E90">
              <w:rPr>
                <w:lang w:val="fr-FR"/>
              </w:rPr>
              <w:t xml:space="preserve">Lymphocyte </w:t>
            </w:r>
            <w:r w:rsidRPr="00011E90">
              <w:rPr>
                <w:sz w:val="18"/>
                <w:lang w:val="fr-FR"/>
              </w:rPr>
              <w:t>(Mal vs not mal)</w:t>
            </w:r>
          </w:p>
        </w:tc>
        <w:tc>
          <w:tcPr>
            <w:tcW w:w="1626" w:type="dxa"/>
            <w:tcBorders>
              <w:bottom w:val="single" w:sz="4" w:space="0" w:color="auto"/>
            </w:tcBorders>
            <w:shd w:val="clear" w:color="auto" w:fill="auto"/>
          </w:tcPr>
          <w:p w14:paraId="0A460F79" w14:textId="77777777" w:rsidR="00DD4026" w:rsidRPr="001E23F3" w:rsidRDefault="00DD4026" w:rsidP="00380865">
            <w:pPr>
              <w:keepNext/>
              <w:suppressLineNumbers/>
              <w:spacing w:before="0" w:after="0"/>
              <w:jc w:val="center"/>
              <w:outlineLvl w:val="1"/>
              <w:rPr>
                <w:color w:val="000000"/>
              </w:rPr>
            </w:pPr>
            <w:r>
              <w:rPr>
                <w:color w:val="000000"/>
              </w:rPr>
              <w:t>0.99</w:t>
            </w:r>
            <w:r w:rsidRPr="001E23F3">
              <w:rPr>
                <w:color w:val="000000"/>
              </w:rPr>
              <w:t xml:space="preserve"> </w:t>
            </w:r>
            <w:r>
              <w:rPr>
                <w:color w:val="000000"/>
                <w:sz w:val="18"/>
              </w:rPr>
              <w:t>(0.62,1.58</w:t>
            </w:r>
            <w:r w:rsidRPr="00CF755D">
              <w:rPr>
                <w:color w:val="000000"/>
                <w:sz w:val="18"/>
              </w:rPr>
              <w:t>)</w:t>
            </w:r>
          </w:p>
        </w:tc>
        <w:tc>
          <w:tcPr>
            <w:tcW w:w="870" w:type="dxa"/>
            <w:tcBorders>
              <w:bottom w:val="single" w:sz="4" w:space="0" w:color="auto"/>
            </w:tcBorders>
            <w:shd w:val="clear" w:color="auto" w:fill="auto"/>
          </w:tcPr>
          <w:p w14:paraId="3CCC42F7" w14:textId="77777777" w:rsidR="00DD4026" w:rsidRPr="001E23F3" w:rsidRDefault="00DD4026" w:rsidP="00380865">
            <w:pPr>
              <w:keepNext/>
              <w:suppressLineNumbers/>
              <w:spacing w:before="0" w:after="0"/>
              <w:jc w:val="center"/>
              <w:outlineLvl w:val="1"/>
              <w:rPr>
                <w:color w:val="000000"/>
              </w:rPr>
            </w:pPr>
            <w:r>
              <w:rPr>
                <w:color w:val="000000"/>
              </w:rPr>
              <w:t>0.001</w:t>
            </w:r>
          </w:p>
        </w:tc>
        <w:tc>
          <w:tcPr>
            <w:tcW w:w="894" w:type="dxa"/>
            <w:tcBorders>
              <w:bottom w:val="single" w:sz="4" w:space="0" w:color="auto"/>
            </w:tcBorders>
            <w:shd w:val="clear" w:color="auto" w:fill="auto"/>
          </w:tcPr>
          <w:p w14:paraId="0331C571" w14:textId="77777777" w:rsidR="00DD4026" w:rsidRPr="001E23F3" w:rsidRDefault="00DD4026" w:rsidP="00380865">
            <w:pPr>
              <w:keepNext/>
              <w:suppressLineNumbers/>
              <w:spacing w:before="0" w:after="0"/>
              <w:jc w:val="center"/>
              <w:outlineLvl w:val="1"/>
              <w:rPr>
                <w:color w:val="000000"/>
              </w:rPr>
            </w:pPr>
            <w:r>
              <w:rPr>
                <w:color w:val="000000"/>
              </w:rPr>
              <w:t>0.97</w:t>
            </w:r>
          </w:p>
        </w:tc>
        <w:tc>
          <w:tcPr>
            <w:tcW w:w="1626" w:type="dxa"/>
            <w:tcBorders>
              <w:bottom w:val="single" w:sz="4" w:space="0" w:color="auto"/>
            </w:tcBorders>
            <w:shd w:val="clear" w:color="auto" w:fill="auto"/>
          </w:tcPr>
          <w:p w14:paraId="27702D02" w14:textId="77777777" w:rsidR="00DD4026" w:rsidRPr="001E23F3" w:rsidRDefault="00DD4026" w:rsidP="00380865">
            <w:pPr>
              <w:keepNext/>
              <w:suppressLineNumbers/>
              <w:spacing w:before="0" w:after="0"/>
              <w:jc w:val="center"/>
              <w:outlineLvl w:val="1"/>
              <w:rPr>
                <w:color w:val="000000"/>
              </w:rPr>
            </w:pPr>
            <w:r>
              <w:rPr>
                <w:color w:val="000000"/>
              </w:rPr>
              <w:t>0.94</w:t>
            </w:r>
            <w:r w:rsidRPr="001E23F3">
              <w:rPr>
                <w:color w:val="000000"/>
              </w:rPr>
              <w:t xml:space="preserve"> </w:t>
            </w:r>
            <w:r>
              <w:rPr>
                <w:color w:val="000000"/>
                <w:sz w:val="18"/>
              </w:rPr>
              <w:t>(0.70,1.25</w:t>
            </w:r>
            <w:r w:rsidRPr="00CF755D">
              <w:rPr>
                <w:color w:val="000000"/>
                <w:sz w:val="18"/>
              </w:rPr>
              <w:t>)</w:t>
            </w:r>
          </w:p>
        </w:tc>
        <w:tc>
          <w:tcPr>
            <w:tcW w:w="861" w:type="dxa"/>
            <w:tcBorders>
              <w:bottom w:val="single" w:sz="4" w:space="0" w:color="auto"/>
            </w:tcBorders>
            <w:shd w:val="clear" w:color="auto" w:fill="auto"/>
          </w:tcPr>
          <w:p w14:paraId="157B7EF9" w14:textId="77777777" w:rsidR="00DD4026" w:rsidRPr="001E23F3" w:rsidRDefault="00DD4026" w:rsidP="00380865">
            <w:pPr>
              <w:keepNext/>
              <w:suppressLineNumbers/>
              <w:spacing w:before="0" w:after="0"/>
              <w:jc w:val="center"/>
              <w:outlineLvl w:val="1"/>
              <w:rPr>
                <w:color w:val="000000"/>
              </w:rPr>
            </w:pPr>
            <w:r>
              <w:rPr>
                <w:color w:val="000000"/>
              </w:rPr>
              <w:t>0.2</w:t>
            </w:r>
          </w:p>
        </w:tc>
        <w:tc>
          <w:tcPr>
            <w:tcW w:w="896" w:type="dxa"/>
            <w:tcBorders>
              <w:bottom w:val="single" w:sz="4" w:space="0" w:color="auto"/>
            </w:tcBorders>
            <w:shd w:val="clear" w:color="auto" w:fill="auto"/>
          </w:tcPr>
          <w:p w14:paraId="3DC2C763" w14:textId="77777777" w:rsidR="00DD4026" w:rsidRPr="001E23F3" w:rsidRDefault="00DD4026" w:rsidP="00380865">
            <w:pPr>
              <w:keepNext/>
              <w:suppressLineNumbers/>
              <w:spacing w:before="0" w:after="0"/>
              <w:jc w:val="center"/>
              <w:outlineLvl w:val="1"/>
              <w:rPr>
                <w:color w:val="000000"/>
              </w:rPr>
            </w:pPr>
            <w:r>
              <w:rPr>
                <w:color w:val="000000"/>
              </w:rPr>
              <w:t>0.66</w:t>
            </w:r>
          </w:p>
        </w:tc>
      </w:tr>
      <w:tr w:rsidR="00DD4026" w:rsidRPr="002D0748" w14:paraId="6B6EC548" w14:textId="77777777" w:rsidTr="00380865">
        <w:trPr>
          <w:trHeight w:val="173"/>
        </w:trPr>
        <w:tc>
          <w:tcPr>
            <w:tcW w:w="0" w:type="auto"/>
            <w:vMerge w:val="restart"/>
            <w:tcBorders>
              <w:top w:val="single" w:sz="4" w:space="0" w:color="auto"/>
            </w:tcBorders>
            <w:shd w:val="clear" w:color="auto" w:fill="auto"/>
            <w:textDirection w:val="btLr"/>
          </w:tcPr>
          <w:p w14:paraId="51D17C3E" w14:textId="77777777" w:rsidR="00DD4026" w:rsidRPr="00C57EAA" w:rsidRDefault="00DD4026" w:rsidP="00380865">
            <w:pPr>
              <w:suppressLineNumbers/>
              <w:spacing w:before="0" w:after="0" w:line="240" w:lineRule="auto"/>
              <w:ind w:left="113" w:right="113"/>
              <w:contextualSpacing/>
              <w:jc w:val="center"/>
              <w:rPr>
                <w:b/>
              </w:rPr>
            </w:pPr>
            <w:r w:rsidRPr="00C57EAA">
              <w:rPr>
                <w:b/>
              </w:rPr>
              <w:t>S</w:t>
            </w:r>
            <w:r>
              <w:rPr>
                <w:b/>
              </w:rPr>
              <w:t>imple</w:t>
            </w:r>
          </w:p>
        </w:tc>
        <w:tc>
          <w:tcPr>
            <w:tcW w:w="2788" w:type="dxa"/>
            <w:tcBorders>
              <w:top w:val="single" w:sz="4" w:space="0" w:color="auto"/>
            </w:tcBorders>
            <w:shd w:val="clear" w:color="auto" w:fill="auto"/>
          </w:tcPr>
          <w:p w14:paraId="6C983E72" w14:textId="77777777" w:rsidR="00DD4026" w:rsidRPr="001E23F3" w:rsidRDefault="00DD4026" w:rsidP="00380865">
            <w:pPr>
              <w:suppressLineNumbers/>
              <w:spacing w:before="0" w:after="0"/>
            </w:pPr>
            <w:r>
              <w:t>CONUT</w:t>
            </w:r>
          </w:p>
        </w:tc>
        <w:tc>
          <w:tcPr>
            <w:tcW w:w="1626" w:type="dxa"/>
            <w:tcBorders>
              <w:top w:val="single" w:sz="4" w:space="0" w:color="auto"/>
            </w:tcBorders>
            <w:shd w:val="clear" w:color="auto" w:fill="auto"/>
          </w:tcPr>
          <w:p w14:paraId="27A09925" w14:textId="77777777" w:rsidR="00DD4026" w:rsidRPr="00CF43A5" w:rsidRDefault="00DD4026" w:rsidP="00380865">
            <w:pPr>
              <w:keepNext/>
              <w:suppressLineNumbers/>
              <w:spacing w:before="0" w:after="0" w:line="360" w:lineRule="auto"/>
              <w:jc w:val="center"/>
              <w:outlineLvl w:val="1"/>
            </w:pPr>
            <w:r w:rsidRPr="00CF43A5">
              <w:t xml:space="preserve">1.28 </w:t>
            </w:r>
            <w:r w:rsidRPr="00CF43A5">
              <w:rPr>
                <w:sz w:val="18"/>
              </w:rPr>
              <w:t>(1.13</w:t>
            </w:r>
            <w:r>
              <w:rPr>
                <w:sz w:val="18"/>
              </w:rPr>
              <w:t>,</w:t>
            </w:r>
            <w:r w:rsidRPr="00CF43A5">
              <w:rPr>
                <w:sz w:val="18"/>
              </w:rPr>
              <w:t>1.45)</w:t>
            </w:r>
          </w:p>
        </w:tc>
        <w:tc>
          <w:tcPr>
            <w:tcW w:w="870" w:type="dxa"/>
            <w:tcBorders>
              <w:top w:val="single" w:sz="4" w:space="0" w:color="auto"/>
            </w:tcBorders>
            <w:shd w:val="clear" w:color="auto" w:fill="auto"/>
          </w:tcPr>
          <w:p w14:paraId="571FF27D" w14:textId="77777777" w:rsidR="00DD4026" w:rsidRPr="00CF43A5" w:rsidRDefault="00DD4026" w:rsidP="00380865">
            <w:pPr>
              <w:keepNext/>
              <w:suppressLineNumbers/>
              <w:spacing w:before="0" w:after="0" w:line="360" w:lineRule="auto"/>
              <w:jc w:val="center"/>
              <w:outlineLvl w:val="1"/>
            </w:pPr>
            <w:r>
              <w:t>15.4</w:t>
            </w:r>
          </w:p>
        </w:tc>
        <w:tc>
          <w:tcPr>
            <w:tcW w:w="894" w:type="dxa"/>
            <w:tcBorders>
              <w:top w:val="single" w:sz="4" w:space="0" w:color="auto"/>
            </w:tcBorders>
            <w:shd w:val="clear" w:color="auto" w:fill="auto"/>
          </w:tcPr>
          <w:p w14:paraId="7FA67B46" w14:textId="77777777" w:rsidR="00DD4026" w:rsidRPr="00CF43A5" w:rsidRDefault="00DD4026" w:rsidP="00380865">
            <w:pPr>
              <w:keepNext/>
              <w:suppressLineNumbers/>
              <w:spacing w:before="0" w:after="0" w:line="360" w:lineRule="auto"/>
              <w:jc w:val="center"/>
              <w:outlineLvl w:val="1"/>
            </w:pPr>
            <w:r w:rsidRPr="00CF43A5">
              <w:t>&lt;0.001</w:t>
            </w:r>
          </w:p>
        </w:tc>
        <w:tc>
          <w:tcPr>
            <w:tcW w:w="1626" w:type="dxa"/>
            <w:tcBorders>
              <w:top w:val="single" w:sz="4" w:space="0" w:color="auto"/>
            </w:tcBorders>
            <w:shd w:val="clear" w:color="auto" w:fill="auto"/>
          </w:tcPr>
          <w:p w14:paraId="30D432C7" w14:textId="77777777" w:rsidR="00DD4026" w:rsidRPr="0017045B" w:rsidRDefault="00DD4026" w:rsidP="00380865">
            <w:pPr>
              <w:keepNext/>
              <w:suppressLineNumbers/>
              <w:spacing w:before="0" w:after="0"/>
              <w:jc w:val="center"/>
              <w:outlineLvl w:val="1"/>
            </w:pPr>
            <w:r w:rsidRPr="0017045B">
              <w:t xml:space="preserve">1.23 </w:t>
            </w:r>
            <w:r w:rsidRPr="0017045B">
              <w:rPr>
                <w:sz w:val="18"/>
              </w:rPr>
              <w:t>(1.13</w:t>
            </w:r>
            <w:r>
              <w:rPr>
                <w:sz w:val="18"/>
              </w:rPr>
              <w:t>,</w:t>
            </w:r>
            <w:r w:rsidRPr="0017045B">
              <w:rPr>
                <w:sz w:val="18"/>
              </w:rPr>
              <w:t>1.34)</w:t>
            </w:r>
          </w:p>
        </w:tc>
        <w:tc>
          <w:tcPr>
            <w:tcW w:w="861" w:type="dxa"/>
            <w:tcBorders>
              <w:top w:val="single" w:sz="4" w:space="0" w:color="auto"/>
            </w:tcBorders>
            <w:shd w:val="clear" w:color="auto" w:fill="auto"/>
          </w:tcPr>
          <w:p w14:paraId="57ACC9FE" w14:textId="77777777" w:rsidR="00DD4026" w:rsidRPr="0017045B" w:rsidRDefault="00DD4026" w:rsidP="00380865">
            <w:pPr>
              <w:keepNext/>
              <w:suppressLineNumbers/>
              <w:spacing w:before="0" w:after="0"/>
              <w:jc w:val="center"/>
              <w:outlineLvl w:val="1"/>
            </w:pPr>
            <w:r w:rsidRPr="0017045B">
              <w:t>23.5</w:t>
            </w:r>
          </w:p>
        </w:tc>
        <w:tc>
          <w:tcPr>
            <w:tcW w:w="896" w:type="dxa"/>
            <w:tcBorders>
              <w:top w:val="single" w:sz="4" w:space="0" w:color="auto"/>
            </w:tcBorders>
            <w:shd w:val="clear" w:color="auto" w:fill="auto"/>
          </w:tcPr>
          <w:p w14:paraId="1ACDFCFA" w14:textId="77777777" w:rsidR="00DD4026" w:rsidRPr="0017045B" w:rsidRDefault="00DD4026" w:rsidP="00380865">
            <w:pPr>
              <w:keepNext/>
              <w:suppressLineNumbers/>
              <w:spacing w:before="0" w:after="0"/>
              <w:jc w:val="center"/>
              <w:outlineLvl w:val="1"/>
            </w:pPr>
            <w:r w:rsidRPr="0017045B">
              <w:t>&lt;0.001</w:t>
            </w:r>
          </w:p>
        </w:tc>
      </w:tr>
      <w:tr w:rsidR="00DD4026" w:rsidRPr="002D0748" w14:paraId="61CBFA9A" w14:textId="77777777" w:rsidTr="00380865">
        <w:trPr>
          <w:trHeight w:val="283"/>
        </w:trPr>
        <w:tc>
          <w:tcPr>
            <w:tcW w:w="0" w:type="auto"/>
            <w:vMerge/>
            <w:shd w:val="clear" w:color="auto" w:fill="auto"/>
          </w:tcPr>
          <w:p w14:paraId="1393396B" w14:textId="77777777" w:rsidR="00DD4026" w:rsidRPr="00C57EAA" w:rsidRDefault="00DD4026" w:rsidP="00380865">
            <w:pPr>
              <w:suppressLineNumbers/>
              <w:spacing w:before="0" w:after="0" w:line="240" w:lineRule="auto"/>
              <w:contextualSpacing/>
              <w:jc w:val="center"/>
              <w:rPr>
                <w:b/>
              </w:rPr>
            </w:pPr>
          </w:p>
        </w:tc>
        <w:tc>
          <w:tcPr>
            <w:tcW w:w="2788" w:type="dxa"/>
            <w:shd w:val="clear" w:color="auto" w:fill="auto"/>
          </w:tcPr>
          <w:p w14:paraId="120E84D5" w14:textId="77777777" w:rsidR="00DD4026" w:rsidRPr="00011E90" w:rsidRDefault="00DD4026" w:rsidP="00380865">
            <w:pPr>
              <w:suppressLineNumbers/>
              <w:spacing w:before="0" w:after="0"/>
              <w:rPr>
                <w:lang w:val="fr-FR"/>
              </w:rPr>
            </w:pPr>
            <w:r w:rsidRPr="00011E90">
              <w:rPr>
                <w:lang w:val="fr-FR"/>
              </w:rPr>
              <w:t xml:space="preserve">CONUT </w:t>
            </w:r>
            <w:r w:rsidRPr="00011E90">
              <w:rPr>
                <w:sz w:val="18"/>
                <w:lang w:val="fr-FR"/>
              </w:rPr>
              <w:t>(Mal vs not mal)</w:t>
            </w:r>
          </w:p>
        </w:tc>
        <w:tc>
          <w:tcPr>
            <w:tcW w:w="1626" w:type="dxa"/>
            <w:shd w:val="clear" w:color="auto" w:fill="auto"/>
          </w:tcPr>
          <w:p w14:paraId="520A9361" w14:textId="77777777" w:rsidR="00DD4026" w:rsidRPr="001E23F3" w:rsidRDefault="00DD4026" w:rsidP="00380865">
            <w:pPr>
              <w:keepNext/>
              <w:suppressLineNumbers/>
              <w:spacing w:before="0" w:after="0"/>
              <w:jc w:val="center"/>
              <w:outlineLvl w:val="1"/>
              <w:rPr>
                <w:color w:val="000000"/>
              </w:rPr>
            </w:pPr>
            <w:r>
              <w:rPr>
                <w:color w:val="000000"/>
              </w:rPr>
              <w:t>3.05</w:t>
            </w:r>
            <w:r w:rsidRPr="001E23F3">
              <w:rPr>
                <w:color w:val="000000"/>
              </w:rPr>
              <w:t xml:space="preserve"> </w:t>
            </w:r>
            <w:r>
              <w:rPr>
                <w:color w:val="000000"/>
                <w:sz w:val="18"/>
              </w:rPr>
              <w:t>(1.58,5.85</w:t>
            </w:r>
            <w:r w:rsidRPr="00CF755D">
              <w:rPr>
                <w:color w:val="000000"/>
                <w:sz w:val="18"/>
              </w:rPr>
              <w:t>)</w:t>
            </w:r>
          </w:p>
        </w:tc>
        <w:tc>
          <w:tcPr>
            <w:tcW w:w="870" w:type="dxa"/>
            <w:shd w:val="clear" w:color="auto" w:fill="auto"/>
          </w:tcPr>
          <w:p w14:paraId="7AC4CC52" w14:textId="77777777" w:rsidR="00DD4026" w:rsidRPr="001E23F3" w:rsidRDefault="00DD4026" w:rsidP="00380865">
            <w:pPr>
              <w:keepNext/>
              <w:suppressLineNumbers/>
              <w:spacing w:before="0" w:after="0"/>
              <w:jc w:val="center"/>
              <w:outlineLvl w:val="1"/>
              <w:rPr>
                <w:color w:val="000000"/>
              </w:rPr>
            </w:pPr>
            <w:r>
              <w:rPr>
                <w:color w:val="000000"/>
              </w:rPr>
              <w:t>11.2</w:t>
            </w:r>
          </w:p>
        </w:tc>
        <w:tc>
          <w:tcPr>
            <w:tcW w:w="894" w:type="dxa"/>
            <w:shd w:val="clear" w:color="auto" w:fill="auto"/>
          </w:tcPr>
          <w:p w14:paraId="6ADF6F0E" w14:textId="77777777" w:rsidR="00DD4026" w:rsidRPr="001E23F3" w:rsidRDefault="00DD4026" w:rsidP="00380865">
            <w:pPr>
              <w:keepNext/>
              <w:suppressLineNumbers/>
              <w:spacing w:before="0" w:after="0"/>
              <w:jc w:val="center"/>
              <w:outlineLvl w:val="1"/>
              <w:rPr>
                <w:color w:val="000000"/>
              </w:rPr>
            </w:pPr>
            <w:r>
              <w:rPr>
                <w:color w:val="000000"/>
              </w:rPr>
              <w:t>0.001</w:t>
            </w:r>
          </w:p>
        </w:tc>
        <w:tc>
          <w:tcPr>
            <w:tcW w:w="1626" w:type="dxa"/>
            <w:shd w:val="clear" w:color="auto" w:fill="auto"/>
          </w:tcPr>
          <w:p w14:paraId="18B4634D" w14:textId="77777777" w:rsidR="00DD4026" w:rsidRPr="001E23F3" w:rsidRDefault="00DD4026" w:rsidP="00380865">
            <w:pPr>
              <w:keepNext/>
              <w:suppressLineNumbers/>
              <w:spacing w:before="0" w:after="0"/>
              <w:jc w:val="center"/>
              <w:outlineLvl w:val="1"/>
              <w:rPr>
                <w:color w:val="000000"/>
              </w:rPr>
            </w:pPr>
            <w:r>
              <w:rPr>
                <w:color w:val="000000"/>
              </w:rPr>
              <w:t>1.52</w:t>
            </w:r>
            <w:r w:rsidRPr="001E23F3">
              <w:rPr>
                <w:color w:val="000000"/>
              </w:rPr>
              <w:t xml:space="preserve"> </w:t>
            </w:r>
            <w:r>
              <w:rPr>
                <w:color w:val="000000"/>
                <w:sz w:val="18"/>
              </w:rPr>
              <w:t>(1.10,2.11</w:t>
            </w:r>
            <w:r w:rsidRPr="00CF755D">
              <w:rPr>
                <w:color w:val="000000"/>
                <w:sz w:val="18"/>
              </w:rPr>
              <w:t>)</w:t>
            </w:r>
          </w:p>
        </w:tc>
        <w:tc>
          <w:tcPr>
            <w:tcW w:w="861" w:type="dxa"/>
            <w:shd w:val="clear" w:color="auto" w:fill="auto"/>
          </w:tcPr>
          <w:p w14:paraId="5B523426" w14:textId="77777777" w:rsidR="00DD4026" w:rsidRPr="001E23F3" w:rsidRDefault="00DD4026" w:rsidP="00380865">
            <w:pPr>
              <w:keepNext/>
              <w:suppressLineNumbers/>
              <w:spacing w:before="0" w:after="0"/>
              <w:jc w:val="center"/>
              <w:outlineLvl w:val="1"/>
              <w:rPr>
                <w:color w:val="000000"/>
              </w:rPr>
            </w:pPr>
            <w:r>
              <w:rPr>
                <w:color w:val="000000"/>
              </w:rPr>
              <w:t>6.3</w:t>
            </w:r>
          </w:p>
        </w:tc>
        <w:tc>
          <w:tcPr>
            <w:tcW w:w="896" w:type="dxa"/>
            <w:shd w:val="clear" w:color="auto" w:fill="auto"/>
          </w:tcPr>
          <w:p w14:paraId="7BA771F7" w14:textId="77777777" w:rsidR="00DD4026" w:rsidRPr="001E23F3" w:rsidRDefault="00DD4026" w:rsidP="00380865">
            <w:pPr>
              <w:keepNext/>
              <w:suppressLineNumbers/>
              <w:spacing w:before="0" w:after="0"/>
              <w:jc w:val="center"/>
              <w:outlineLvl w:val="1"/>
              <w:rPr>
                <w:color w:val="000000"/>
              </w:rPr>
            </w:pPr>
            <w:r>
              <w:rPr>
                <w:color w:val="000000"/>
              </w:rPr>
              <w:t>0.01</w:t>
            </w:r>
          </w:p>
        </w:tc>
      </w:tr>
      <w:tr w:rsidR="00DD4026" w:rsidRPr="002D0748" w14:paraId="2518103E" w14:textId="77777777" w:rsidTr="00380865">
        <w:trPr>
          <w:trHeight w:val="277"/>
        </w:trPr>
        <w:tc>
          <w:tcPr>
            <w:tcW w:w="0" w:type="auto"/>
            <w:vMerge/>
            <w:shd w:val="clear" w:color="auto" w:fill="auto"/>
          </w:tcPr>
          <w:p w14:paraId="6959D91C" w14:textId="77777777" w:rsidR="00DD4026" w:rsidRPr="00C57EAA" w:rsidRDefault="00DD4026" w:rsidP="00380865">
            <w:pPr>
              <w:suppressLineNumbers/>
              <w:spacing w:before="0" w:after="0" w:line="240" w:lineRule="auto"/>
              <w:contextualSpacing/>
              <w:jc w:val="center"/>
              <w:rPr>
                <w:b/>
              </w:rPr>
            </w:pPr>
          </w:p>
        </w:tc>
        <w:tc>
          <w:tcPr>
            <w:tcW w:w="2788" w:type="dxa"/>
            <w:shd w:val="clear" w:color="auto" w:fill="auto"/>
          </w:tcPr>
          <w:p w14:paraId="36EAE7FB" w14:textId="77777777" w:rsidR="00DD4026" w:rsidRDefault="00DD4026" w:rsidP="00380865">
            <w:pPr>
              <w:suppressLineNumbers/>
              <w:spacing w:before="0" w:after="0"/>
            </w:pPr>
            <w:r>
              <w:t xml:space="preserve">GNRI </w:t>
            </w:r>
          </w:p>
        </w:tc>
        <w:tc>
          <w:tcPr>
            <w:tcW w:w="1626" w:type="dxa"/>
            <w:shd w:val="clear" w:color="auto" w:fill="auto"/>
          </w:tcPr>
          <w:p w14:paraId="6CD255BB" w14:textId="77777777" w:rsidR="00DD4026" w:rsidRPr="001E23F3" w:rsidRDefault="00DD4026" w:rsidP="00380865">
            <w:pPr>
              <w:keepNext/>
              <w:suppressLineNumbers/>
              <w:spacing w:before="0" w:after="0"/>
              <w:jc w:val="center"/>
              <w:outlineLvl w:val="1"/>
              <w:rPr>
                <w:color w:val="000000"/>
              </w:rPr>
            </w:pPr>
            <w:r>
              <w:rPr>
                <w:color w:val="000000"/>
              </w:rPr>
              <w:t>0.98</w:t>
            </w:r>
            <w:r w:rsidRPr="001E23F3">
              <w:rPr>
                <w:color w:val="000000"/>
              </w:rPr>
              <w:t xml:space="preserve"> </w:t>
            </w:r>
            <w:r>
              <w:rPr>
                <w:color w:val="000000"/>
                <w:sz w:val="18"/>
              </w:rPr>
              <w:t>(0.96,1.00</w:t>
            </w:r>
            <w:r w:rsidRPr="00CF755D">
              <w:rPr>
                <w:color w:val="000000"/>
                <w:sz w:val="18"/>
              </w:rPr>
              <w:t>)</w:t>
            </w:r>
          </w:p>
        </w:tc>
        <w:tc>
          <w:tcPr>
            <w:tcW w:w="870" w:type="dxa"/>
            <w:shd w:val="clear" w:color="auto" w:fill="auto"/>
          </w:tcPr>
          <w:p w14:paraId="5C2FE70F" w14:textId="77777777" w:rsidR="00DD4026" w:rsidRPr="001E23F3" w:rsidRDefault="00DD4026" w:rsidP="00380865">
            <w:pPr>
              <w:keepNext/>
              <w:suppressLineNumbers/>
              <w:spacing w:before="0" w:after="0"/>
              <w:jc w:val="center"/>
              <w:outlineLvl w:val="1"/>
              <w:rPr>
                <w:color w:val="000000"/>
              </w:rPr>
            </w:pPr>
            <w:r>
              <w:rPr>
                <w:color w:val="000000"/>
              </w:rPr>
              <w:t>4.9</w:t>
            </w:r>
          </w:p>
        </w:tc>
        <w:tc>
          <w:tcPr>
            <w:tcW w:w="894" w:type="dxa"/>
            <w:shd w:val="clear" w:color="auto" w:fill="auto"/>
          </w:tcPr>
          <w:p w14:paraId="34C01BAB" w14:textId="77777777" w:rsidR="00DD4026" w:rsidRPr="001E23F3" w:rsidRDefault="00DD4026" w:rsidP="00380865">
            <w:pPr>
              <w:keepNext/>
              <w:suppressLineNumbers/>
              <w:spacing w:before="0" w:after="0"/>
              <w:jc w:val="center"/>
              <w:outlineLvl w:val="1"/>
              <w:rPr>
                <w:color w:val="000000"/>
              </w:rPr>
            </w:pPr>
            <w:r>
              <w:rPr>
                <w:color w:val="000000"/>
              </w:rPr>
              <w:t>0.03</w:t>
            </w:r>
          </w:p>
        </w:tc>
        <w:tc>
          <w:tcPr>
            <w:tcW w:w="1626" w:type="dxa"/>
            <w:shd w:val="clear" w:color="auto" w:fill="auto"/>
          </w:tcPr>
          <w:p w14:paraId="48F23434" w14:textId="77777777" w:rsidR="00DD4026" w:rsidRPr="001E23F3" w:rsidRDefault="00DD4026" w:rsidP="00380865">
            <w:pPr>
              <w:keepNext/>
              <w:suppressLineNumbers/>
              <w:spacing w:before="0" w:after="0"/>
              <w:jc w:val="center"/>
              <w:outlineLvl w:val="1"/>
              <w:rPr>
                <w:color w:val="000000"/>
              </w:rPr>
            </w:pPr>
            <w:r>
              <w:rPr>
                <w:color w:val="000000"/>
              </w:rPr>
              <w:t>0.99</w:t>
            </w:r>
            <w:r w:rsidRPr="001E23F3">
              <w:rPr>
                <w:color w:val="000000"/>
              </w:rPr>
              <w:t xml:space="preserve"> </w:t>
            </w:r>
            <w:r>
              <w:rPr>
                <w:color w:val="000000"/>
                <w:sz w:val="18"/>
              </w:rPr>
              <w:t>(0.97,1.00)</w:t>
            </w:r>
          </w:p>
        </w:tc>
        <w:tc>
          <w:tcPr>
            <w:tcW w:w="861" w:type="dxa"/>
            <w:shd w:val="clear" w:color="auto" w:fill="auto"/>
          </w:tcPr>
          <w:p w14:paraId="0EC99ADE" w14:textId="77777777" w:rsidR="00DD4026" w:rsidRPr="001E23F3" w:rsidRDefault="00DD4026" w:rsidP="00380865">
            <w:pPr>
              <w:keepNext/>
              <w:suppressLineNumbers/>
              <w:spacing w:before="0" w:after="0"/>
              <w:jc w:val="center"/>
              <w:outlineLvl w:val="1"/>
              <w:rPr>
                <w:color w:val="000000"/>
              </w:rPr>
            </w:pPr>
            <w:r>
              <w:rPr>
                <w:color w:val="000000"/>
              </w:rPr>
              <w:t>5.9</w:t>
            </w:r>
          </w:p>
        </w:tc>
        <w:tc>
          <w:tcPr>
            <w:tcW w:w="896" w:type="dxa"/>
            <w:shd w:val="clear" w:color="auto" w:fill="auto"/>
          </w:tcPr>
          <w:p w14:paraId="6746E04E" w14:textId="77777777" w:rsidR="00DD4026" w:rsidRPr="001E23F3" w:rsidRDefault="00DD4026" w:rsidP="00380865">
            <w:pPr>
              <w:keepNext/>
              <w:suppressLineNumbers/>
              <w:spacing w:before="0" w:after="0"/>
              <w:jc w:val="center"/>
              <w:outlineLvl w:val="1"/>
              <w:rPr>
                <w:color w:val="000000"/>
              </w:rPr>
            </w:pPr>
            <w:r>
              <w:rPr>
                <w:color w:val="000000"/>
              </w:rPr>
              <w:t>0.02</w:t>
            </w:r>
          </w:p>
        </w:tc>
      </w:tr>
      <w:tr w:rsidR="00DD4026" w:rsidRPr="002D0748" w14:paraId="5CAF2628" w14:textId="77777777" w:rsidTr="00380865">
        <w:trPr>
          <w:trHeight w:val="291"/>
        </w:trPr>
        <w:tc>
          <w:tcPr>
            <w:tcW w:w="0" w:type="auto"/>
            <w:vMerge/>
            <w:shd w:val="clear" w:color="auto" w:fill="auto"/>
          </w:tcPr>
          <w:p w14:paraId="2733D053" w14:textId="77777777" w:rsidR="00DD4026" w:rsidRPr="00C57EAA" w:rsidRDefault="00DD4026" w:rsidP="00380865">
            <w:pPr>
              <w:suppressLineNumbers/>
              <w:spacing w:before="0" w:after="0" w:line="240" w:lineRule="auto"/>
              <w:contextualSpacing/>
              <w:jc w:val="center"/>
              <w:rPr>
                <w:b/>
              </w:rPr>
            </w:pPr>
          </w:p>
        </w:tc>
        <w:tc>
          <w:tcPr>
            <w:tcW w:w="2788" w:type="dxa"/>
            <w:shd w:val="clear" w:color="auto" w:fill="auto"/>
          </w:tcPr>
          <w:p w14:paraId="09CBC3AB" w14:textId="77777777" w:rsidR="00DD4026" w:rsidRPr="00011E90" w:rsidRDefault="00DD4026" w:rsidP="00380865">
            <w:pPr>
              <w:suppressLineNumbers/>
              <w:spacing w:before="0" w:after="0"/>
              <w:rPr>
                <w:lang w:val="fr-FR"/>
              </w:rPr>
            </w:pPr>
            <w:r w:rsidRPr="00011E90">
              <w:rPr>
                <w:lang w:val="fr-FR"/>
              </w:rPr>
              <w:t xml:space="preserve">GNRI </w:t>
            </w:r>
            <w:r w:rsidRPr="00011E90">
              <w:rPr>
                <w:sz w:val="18"/>
                <w:lang w:val="fr-FR"/>
              </w:rPr>
              <w:t>(Mal vs not mal)</w:t>
            </w:r>
          </w:p>
        </w:tc>
        <w:tc>
          <w:tcPr>
            <w:tcW w:w="1626" w:type="dxa"/>
            <w:shd w:val="clear" w:color="auto" w:fill="auto"/>
          </w:tcPr>
          <w:p w14:paraId="691E1D7B" w14:textId="77777777" w:rsidR="00DD4026" w:rsidRPr="001E23F3" w:rsidRDefault="00DD4026" w:rsidP="00380865">
            <w:pPr>
              <w:keepNext/>
              <w:suppressLineNumbers/>
              <w:spacing w:before="0" w:after="0"/>
              <w:jc w:val="center"/>
              <w:outlineLvl w:val="1"/>
              <w:rPr>
                <w:color w:val="000000"/>
              </w:rPr>
            </w:pPr>
            <w:r>
              <w:rPr>
                <w:color w:val="000000"/>
              </w:rPr>
              <w:t>1.18</w:t>
            </w:r>
            <w:r w:rsidRPr="001E23F3">
              <w:rPr>
                <w:color w:val="000000"/>
              </w:rPr>
              <w:t xml:space="preserve"> </w:t>
            </w:r>
            <w:r>
              <w:rPr>
                <w:color w:val="000000"/>
                <w:sz w:val="18"/>
              </w:rPr>
              <w:t>(0.69,2.02</w:t>
            </w:r>
            <w:r w:rsidRPr="00CF755D">
              <w:rPr>
                <w:color w:val="000000"/>
                <w:sz w:val="18"/>
              </w:rPr>
              <w:t>)</w:t>
            </w:r>
          </w:p>
        </w:tc>
        <w:tc>
          <w:tcPr>
            <w:tcW w:w="870" w:type="dxa"/>
            <w:shd w:val="clear" w:color="auto" w:fill="auto"/>
          </w:tcPr>
          <w:p w14:paraId="435DF7E3" w14:textId="77777777" w:rsidR="00DD4026" w:rsidRPr="001E23F3" w:rsidRDefault="00DD4026" w:rsidP="00380865">
            <w:pPr>
              <w:keepNext/>
              <w:suppressLineNumbers/>
              <w:spacing w:before="0" w:after="0"/>
              <w:jc w:val="center"/>
              <w:outlineLvl w:val="1"/>
              <w:rPr>
                <w:color w:val="000000"/>
              </w:rPr>
            </w:pPr>
            <w:r>
              <w:rPr>
                <w:color w:val="000000"/>
              </w:rPr>
              <w:t>0.4</w:t>
            </w:r>
          </w:p>
        </w:tc>
        <w:tc>
          <w:tcPr>
            <w:tcW w:w="894" w:type="dxa"/>
            <w:shd w:val="clear" w:color="auto" w:fill="auto"/>
          </w:tcPr>
          <w:p w14:paraId="06FB9124" w14:textId="77777777" w:rsidR="00DD4026" w:rsidRPr="001E23F3" w:rsidRDefault="00DD4026" w:rsidP="00380865">
            <w:pPr>
              <w:keepNext/>
              <w:suppressLineNumbers/>
              <w:spacing w:before="0" w:after="0"/>
              <w:jc w:val="center"/>
              <w:outlineLvl w:val="1"/>
              <w:rPr>
                <w:color w:val="000000"/>
              </w:rPr>
            </w:pPr>
            <w:r>
              <w:rPr>
                <w:color w:val="000000"/>
              </w:rPr>
              <w:t>0.55</w:t>
            </w:r>
          </w:p>
        </w:tc>
        <w:tc>
          <w:tcPr>
            <w:tcW w:w="1626" w:type="dxa"/>
            <w:shd w:val="clear" w:color="auto" w:fill="auto"/>
          </w:tcPr>
          <w:p w14:paraId="7BFBC51A" w14:textId="77777777" w:rsidR="00DD4026" w:rsidRPr="001E23F3" w:rsidRDefault="00DD4026" w:rsidP="00380865">
            <w:pPr>
              <w:keepNext/>
              <w:suppressLineNumbers/>
              <w:spacing w:before="0" w:after="0"/>
              <w:jc w:val="center"/>
              <w:outlineLvl w:val="1"/>
              <w:rPr>
                <w:color w:val="000000"/>
              </w:rPr>
            </w:pPr>
            <w:r>
              <w:rPr>
                <w:color w:val="000000"/>
              </w:rPr>
              <w:t>1.84</w:t>
            </w:r>
            <w:r w:rsidRPr="001E23F3">
              <w:rPr>
                <w:color w:val="000000"/>
              </w:rPr>
              <w:t xml:space="preserve"> </w:t>
            </w:r>
            <w:r>
              <w:rPr>
                <w:color w:val="000000"/>
                <w:sz w:val="18"/>
              </w:rPr>
              <w:t>(1.31,2.59</w:t>
            </w:r>
            <w:r w:rsidRPr="00CF755D">
              <w:rPr>
                <w:color w:val="000000"/>
                <w:sz w:val="18"/>
              </w:rPr>
              <w:t>)</w:t>
            </w:r>
          </w:p>
        </w:tc>
        <w:tc>
          <w:tcPr>
            <w:tcW w:w="861" w:type="dxa"/>
            <w:shd w:val="clear" w:color="auto" w:fill="auto"/>
          </w:tcPr>
          <w:p w14:paraId="04C56B0A" w14:textId="77777777" w:rsidR="00DD4026" w:rsidRPr="001E23F3" w:rsidRDefault="00DD4026" w:rsidP="00380865">
            <w:pPr>
              <w:keepNext/>
              <w:suppressLineNumbers/>
              <w:spacing w:before="0" w:after="0"/>
              <w:jc w:val="center"/>
              <w:outlineLvl w:val="1"/>
              <w:rPr>
                <w:color w:val="000000"/>
              </w:rPr>
            </w:pPr>
            <w:r>
              <w:rPr>
                <w:color w:val="000000"/>
              </w:rPr>
              <w:t>12.4</w:t>
            </w:r>
          </w:p>
        </w:tc>
        <w:tc>
          <w:tcPr>
            <w:tcW w:w="896" w:type="dxa"/>
            <w:shd w:val="clear" w:color="auto" w:fill="auto"/>
          </w:tcPr>
          <w:p w14:paraId="24A80406" w14:textId="77777777" w:rsidR="00DD4026" w:rsidRPr="001E23F3" w:rsidRDefault="00DD4026" w:rsidP="00380865">
            <w:pPr>
              <w:keepNext/>
              <w:suppressLineNumbers/>
              <w:spacing w:before="0" w:after="0"/>
              <w:jc w:val="center"/>
              <w:outlineLvl w:val="1"/>
              <w:rPr>
                <w:color w:val="000000"/>
              </w:rPr>
            </w:pPr>
            <w:r w:rsidRPr="001E23F3">
              <w:rPr>
                <w:color w:val="000000"/>
              </w:rPr>
              <w:t>&lt;0.001</w:t>
            </w:r>
          </w:p>
        </w:tc>
      </w:tr>
      <w:tr w:rsidR="00DD4026" w:rsidRPr="002D0748" w14:paraId="6CFA3F5E" w14:textId="77777777" w:rsidTr="00380865">
        <w:trPr>
          <w:trHeight w:val="291"/>
        </w:trPr>
        <w:tc>
          <w:tcPr>
            <w:tcW w:w="0" w:type="auto"/>
            <w:vMerge/>
            <w:shd w:val="clear" w:color="auto" w:fill="auto"/>
          </w:tcPr>
          <w:p w14:paraId="4657AD6A" w14:textId="77777777" w:rsidR="00DD4026" w:rsidRPr="00C57EAA" w:rsidRDefault="00DD4026" w:rsidP="00380865">
            <w:pPr>
              <w:suppressLineNumbers/>
              <w:spacing w:before="0" w:after="0" w:line="240" w:lineRule="auto"/>
              <w:contextualSpacing/>
              <w:jc w:val="center"/>
              <w:rPr>
                <w:b/>
              </w:rPr>
            </w:pPr>
          </w:p>
        </w:tc>
        <w:tc>
          <w:tcPr>
            <w:tcW w:w="2788" w:type="dxa"/>
            <w:shd w:val="clear" w:color="auto" w:fill="auto"/>
          </w:tcPr>
          <w:p w14:paraId="2CA49007" w14:textId="77777777" w:rsidR="00DD4026" w:rsidRPr="001E23F3" w:rsidRDefault="00DD4026" w:rsidP="00380865">
            <w:pPr>
              <w:suppressLineNumbers/>
              <w:spacing w:before="0" w:after="0"/>
            </w:pPr>
            <w:r>
              <w:t xml:space="preserve">PNI </w:t>
            </w:r>
          </w:p>
        </w:tc>
        <w:tc>
          <w:tcPr>
            <w:tcW w:w="1626" w:type="dxa"/>
            <w:shd w:val="clear" w:color="auto" w:fill="auto"/>
          </w:tcPr>
          <w:p w14:paraId="40363230" w14:textId="77777777" w:rsidR="00DD4026" w:rsidRPr="001E23F3" w:rsidRDefault="00DD4026" w:rsidP="00380865">
            <w:pPr>
              <w:keepNext/>
              <w:suppressLineNumbers/>
              <w:spacing w:before="0" w:after="0"/>
              <w:jc w:val="center"/>
              <w:outlineLvl w:val="1"/>
              <w:rPr>
                <w:color w:val="000000"/>
              </w:rPr>
            </w:pPr>
            <w:r>
              <w:rPr>
                <w:color w:val="000000"/>
              </w:rPr>
              <w:t>0.92</w:t>
            </w:r>
            <w:r w:rsidRPr="001E23F3">
              <w:rPr>
                <w:color w:val="000000"/>
              </w:rPr>
              <w:t xml:space="preserve"> </w:t>
            </w:r>
            <w:r>
              <w:rPr>
                <w:color w:val="000000"/>
                <w:sz w:val="18"/>
              </w:rPr>
              <w:t>(0.88,0.98)</w:t>
            </w:r>
          </w:p>
        </w:tc>
        <w:tc>
          <w:tcPr>
            <w:tcW w:w="870" w:type="dxa"/>
            <w:shd w:val="clear" w:color="auto" w:fill="auto"/>
          </w:tcPr>
          <w:p w14:paraId="7A302683" w14:textId="77777777" w:rsidR="00DD4026" w:rsidRPr="001E23F3" w:rsidRDefault="00DD4026" w:rsidP="00380865">
            <w:pPr>
              <w:keepNext/>
              <w:suppressLineNumbers/>
              <w:spacing w:before="0" w:after="0"/>
              <w:jc w:val="center"/>
              <w:outlineLvl w:val="1"/>
              <w:rPr>
                <w:color w:val="000000"/>
              </w:rPr>
            </w:pPr>
            <w:r>
              <w:rPr>
                <w:color w:val="000000"/>
              </w:rPr>
              <w:t>8.4</w:t>
            </w:r>
          </w:p>
        </w:tc>
        <w:tc>
          <w:tcPr>
            <w:tcW w:w="894" w:type="dxa"/>
            <w:shd w:val="clear" w:color="auto" w:fill="auto"/>
          </w:tcPr>
          <w:p w14:paraId="24426FF2" w14:textId="77777777" w:rsidR="00DD4026" w:rsidRPr="001E23F3" w:rsidRDefault="00DD4026" w:rsidP="00380865">
            <w:pPr>
              <w:keepNext/>
              <w:suppressLineNumbers/>
              <w:spacing w:before="0" w:after="0"/>
              <w:jc w:val="center"/>
              <w:outlineLvl w:val="1"/>
              <w:rPr>
                <w:color w:val="000000"/>
              </w:rPr>
            </w:pPr>
            <w:r>
              <w:rPr>
                <w:color w:val="000000"/>
              </w:rPr>
              <w:t>0.004</w:t>
            </w:r>
          </w:p>
        </w:tc>
        <w:tc>
          <w:tcPr>
            <w:tcW w:w="1626" w:type="dxa"/>
            <w:shd w:val="clear" w:color="auto" w:fill="auto"/>
          </w:tcPr>
          <w:p w14:paraId="23CD503C" w14:textId="77777777" w:rsidR="00DD4026" w:rsidRPr="001E23F3" w:rsidRDefault="00DD4026" w:rsidP="00380865">
            <w:pPr>
              <w:keepNext/>
              <w:suppressLineNumbers/>
              <w:spacing w:before="0" w:after="0"/>
              <w:jc w:val="center"/>
              <w:outlineLvl w:val="1"/>
              <w:rPr>
                <w:color w:val="000000"/>
              </w:rPr>
            </w:pPr>
            <w:r>
              <w:rPr>
                <w:color w:val="000000"/>
              </w:rPr>
              <w:t>0.95</w:t>
            </w:r>
            <w:r w:rsidRPr="001E23F3">
              <w:rPr>
                <w:color w:val="000000"/>
              </w:rPr>
              <w:t xml:space="preserve"> </w:t>
            </w:r>
            <w:r>
              <w:rPr>
                <w:color w:val="000000"/>
                <w:sz w:val="18"/>
              </w:rPr>
              <w:t>(0.92,0.98</w:t>
            </w:r>
            <w:r w:rsidRPr="00CF755D">
              <w:rPr>
                <w:color w:val="000000"/>
                <w:sz w:val="18"/>
              </w:rPr>
              <w:t>)</w:t>
            </w:r>
          </w:p>
        </w:tc>
        <w:tc>
          <w:tcPr>
            <w:tcW w:w="861" w:type="dxa"/>
            <w:shd w:val="clear" w:color="auto" w:fill="auto"/>
          </w:tcPr>
          <w:p w14:paraId="168BE5EA" w14:textId="77777777" w:rsidR="00DD4026" w:rsidRPr="001E23F3" w:rsidRDefault="00DD4026" w:rsidP="00380865">
            <w:pPr>
              <w:keepNext/>
              <w:suppressLineNumbers/>
              <w:spacing w:before="0" w:after="0"/>
              <w:jc w:val="center"/>
              <w:outlineLvl w:val="1"/>
              <w:rPr>
                <w:color w:val="000000"/>
              </w:rPr>
            </w:pPr>
            <w:r>
              <w:rPr>
                <w:color w:val="000000"/>
              </w:rPr>
              <w:t>10.7</w:t>
            </w:r>
          </w:p>
        </w:tc>
        <w:tc>
          <w:tcPr>
            <w:tcW w:w="896" w:type="dxa"/>
            <w:shd w:val="clear" w:color="auto" w:fill="auto"/>
          </w:tcPr>
          <w:p w14:paraId="10000CDD" w14:textId="77777777" w:rsidR="00DD4026" w:rsidRPr="001E23F3" w:rsidRDefault="00DD4026" w:rsidP="00380865">
            <w:pPr>
              <w:keepNext/>
              <w:suppressLineNumbers/>
              <w:spacing w:before="0" w:after="0"/>
              <w:jc w:val="center"/>
              <w:outlineLvl w:val="1"/>
              <w:rPr>
                <w:color w:val="000000"/>
              </w:rPr>
            </w:pPr>
            <w:r>
              <w:rPr>
                <w:color w:val="000000"/>
              </w:rPr>
              <w:t>0.001</w:t>
            </w:r>
          </w:p>
        </w:tc>
      </w:tr>
      <w:tr w:rsidR="00DD4026" w:rsidRPr="002D0748" w14:paraId="59E7D589" w14:textId="77777777" w:rsidTr="00380865">
        <w:trPr>
          <w:trHeight w:val="291"/>
        </w:trPr>
        <w:tc>
          <w:tcPr>
            <w:tcW w:w="0" w:type="auto"/>
            <w:vMerge/>
            <w:tcBorders>
              <w:bottom w:val="single" w:sz="4" w:space="0" w:color="auto"/>
            </w:tcBorders>
            <w:shd w:val="clear" w:color="auto" w:fill="auto"/>
          </w:tcPr>
          <w:p w14:paraId="575DE51E" w14:textId="77777777" w:rsidR="00DD4026" w:rsidRPr="00C57EAA" w:rsidRDefault="00DD4026" w:rsidP="00380865">
            <w:pPr>
              <w:suppressLineNumbers/>
              <w:spacing w:before="0" w:after="0" w:line="240" w:lineRule="auto"/>
              <w:contextualSpacing/>
              <w:jc w:val="center"/>
              <w:rPr>
                <w:b/>
              </w:rPr>
            </w:pPr>
          </w:p>
        </w:tc>
        <w:tc>
          <w:tcPr>
            <w:tcW w:w="2788" w:type="dxa"/>
            <w:tcBorders>
              <w:bottom w:val="single" w:sz="4" w:space="0" w:color="auto"/>
            </w:tcBorders>
            <w:shd w:val="clear" w:color="auto" w:fill="auto"/>
          </w:tcPr>
          <w:p w14:paraId="482BA65C" w14:textId="77777777" w:rsidR="00DD4026" w:rsidRPr="00011E90" w:rsidRDefault="00DD4026" w:rsidP="00380865">
            <w:pPr>
              <w:suppressLineNumbers/>
              <w:spacing w:before="0" w:after="0"/>
              <w:rPr>
                <w:lang w:val="fr-FR"/>
              </w:rPr>
            </w:pPr>
            <w:r w:rsidRPr="00011E90">
              <w:rPr>
                <w:lang w:val="fr-FR"/>
              </w:rPr>
              <w:t xml:space="preserve">PNI </w:t>
            </w:r>
            <w:r w:rsidRPr="00011E90">
              <w:rPr>
                <w:sz w:val="18"/>
                <w:lang w:val="fr-FR"/>
              </w:rPr>
              <w:t>(Mal vs not mal)</w:t>
            </w:r>
            <w:r>
              <w:rPr>
                <w:sz w:val="18"/>
                <w:vertAlign w:val="superscript"/>
                <w:lang w:val="fr-FR"/>
              </w:rPr>
              <w:t>2</w:t>
            </w:r>
          </w:p>
        </w:tc>
        <w:tc>
          <w:tcPr>
            <w:tcW w:w="1626" w:type="dxa"/>
            <w:tcBorders>
              <w:bottom w:val="single" w:sz="4" w:space="0" w:color="auto"/>
            </w:tcBorders>
            <w:shd w:val="clear" w:color="auto" w:fill="auto"/>
          </w:tcPr>
          <w:p w14:paraId="4D99F7EE" w14:textId="77777777" w:rsidR="00DD4026" w:rsidRPr="001E23F3" w:rsidRDefault="00DD4026" w:rsidP="00380865">
            <w:pPr>
              <w:keepNext/>
              <w:suppressLineNumbers/>
              <w:spacing w:before="0" w:after="0"/>
              <w:jc w:val="center"/>
              <w:outlineLvl w:val="1"/>
              <w:rPr>
                <w:color w:val="000000"/>
              </w:rPr>
            </w:pPr>
            <w:r>
              <w:rPr>
                <w:color w:val="000000"/>
              </w:rPr>
              <w:t>1.45</w:t>
            </w:r>
            <w:r w:rsidRPr="001E23F3">
              <w:rPr>
                <w:color w:val="000000"/>
              </w:rPr>
              <w:t xml:space="preserve"> </w:t>
            </w:r>
            <w:r>
              <w:rPr>
                <w:color w:val="000000"/>
                <w:sz w:val="18"/>
              </w:rPr>
              <w:t>(0.73,2.88</w:t>
            </w:r>
            <w:r w:rsidRPr="00CF755D">
              <w:rPr>
                <w:color w:val="000000"/>
                <w:sz w:val="18"/>
              </w:rPr>
              <w:t>)</w:t>
            </w:r>
          </w:p>
        </w:tc>
        <w:tc>
          <w:tcPr>
            <w:tcW w:w="870" w:type="dxa"/>
            <w:tcBorders>
              <w:bottom w:val="single" w:sz="4" w:space="0" w:color="auto"/>
            </w:tcBorders>
            <w:shd w:val="clear" w:color="auto" w:fill="auto"/>
          </w:tcPr>
          <w:p w14:paraId="26C93D81" w14:textId="77777777" w:rsidR="00DD4026" w:rsidRPr="001E23F3" w:rsidRDefault="00DD4026" w:rsidP="00380865">
            <w:pPr>
              <w:keepNext/>
              <w:suppressLineNumbers/>
              <w:spacing w:before="0" w:after="0"/>
              <w:jc w:val="center"/>
              <w:outlineLvl w:val="1"/>
              <w:rPr>
                <w:color w:val="000000"/>
              </w:rPr>
            </w:pPr>
            <w:r>
              <w:rPr>
                <w:color w:val="000000"/>
              </w:rPr>
              <w:t>1.1</w:t>
            </w:r>
          </w:p>
        </w:tc>
        <w:tc>
          <w:tcPr>
            <w:tcW w:w="894" w:type="dxa"/>
            <w:tcBorders>
              <w:bottom w:val="single" w:sz="4" w:space="0" w:color="auto"/>
            </w:tcBorders>
            <w:shd w:val="clear" w:color="auto" w:fill="auto"/>
          </w:tcPr>
          <w:p w14:paraId="114941C0" w14:textId="77777777" w:rsidR="00DD4026" w:rsidRPr="001E23F3" w:rsidRDefault="00DD4026" w:rsidP="00380865">
            <w:pPr>
              <w:keepNext/>
              <w:suppressLineNumbers/>
              <w:spacing w:before="0" w:after="0"/>
              <w:jc w:val="center"/>
              <w:outlineLvl w:val="1"/>
              <w:rPr>
                <w:color w:val="000000"/>
              </w:rPr>
            </w:pPr>
            <w:r>
              <w:rPr>
                <w:color w:val="000000"/>
              </w:rPr>
              <w:t>0.29</w:t>
            </w:r>
          </w:p>
        </w:tc>
        <w:tc>
          <w:tcPr>
            <w:tcW w:w="1626" w:type="dxa"/>
            <w:tcBorders>
              <w:bottom w:val="single" w:sz="4" w:space="0" w:color="auto"/>
            </w:tcBorders>
            <w:shd w:val="clear" w:color="auto" w:fill="auto"/>
          </w:tcPr>
          <w:p w14:paraId="426C2BF5" w14:textId="77777777" w:rsidR="00DD4026" w:rsidRPr="001E23F3" w:rsidRDefault="00DD4026" w:rsidP="00380865">
            <w:pPr>
              <w:keepNext/>
              <w:suppressLineNumbers/>
              <w:spacing w:before="0" w:after="0"/>
              <w:jc w:val="center"/>
              <w:outlineLvl w:val="1"/>
              <w:rPr>
                <w:color w:val="000000"/>
              </w:rPr>
            </w:pPr>
            <w:r>
              <w:rPr>
                <w:color w:val="000000"/>
              </w:rPr>
              <w:t>2.18</w:t>
            </w:r>
            <w:r w:rsidRPr="001E23F3">
              <w:rPr>
                <w:color w:val="000000"/>
              </w:rPr>
              <w:t xml:space="preserve"> </w:t>
            </w:r>
            <w:r>
              <w:rPr>
                <w:color w:val="000000"/>
                <w:sz w:val="18"/>
              </w:rPr>
              <w:t>(1.36,3.48</w:t>
            </w:r>
            <w:r w:rsidRPr="00CF755D">
              <w:rPr>
                <w:color w:val="000000"/>
                <w:sz w:val="18"/>
              </w:rPr>
              <w:t>)</w:t>
            </w:r>
          </w:p>
        </w:tc>
        <w:tc>
          <w:tcPr>
            <w:tcW w:w="861" w:type="dxa"/>
            <w:tcBorders>
              <w:bottom w:val="single" w:sz="4" w:space="0" w:color="auto"/>
            </w:tcBorders>
            <w:shd w:val="clear" w:color="auto" w:fill="auto"/>
          </w:tcPr>
          <w:p w14:paraId="4ADF1B3D" w14:textId="77777777" w:rsidR="00DD4026" w:rsidRPr="001E23F3" w:rsidRDefault="00DD4026" w:rsidP="00380865">
            <w:pPr>
              <w:keepNext/>
              <w:suppressLineNumbers/>
              <w:spacing w:before="0" w:after="0"/>
              <w:jc w:val="center"/>
              <w:outlineLvl w:val="1"/>
              <w:rPr>
                <w:color w:val="000000"/>
              </w:rPr>
            </w:pPr>
            <w:r>
              <w:rPr>
                <w:color w:val="000000"/>
              </w:rPr>
              <w:t>10.6</w:t>
            </w:r>
          </w:p>
        </w:tc>
        <w:tc>
          <w:tcPr>
            <w:tcW w:w="896" w:type="dxa"/>
            <w:tcBorders>
              <w:bottom w:val="single" w:sz="4" w:space="0" w:color="auto"/>
            </w:tcBorders>
            <w:shd w:val="clear" w:color="auto" w:fill="auto"/>
          </w:tcPr>
          <w:p w14:paraId="6C24C6B4" w14:textId="77777777" w:rsidR="00DD4026" w:rsidRPr="001E23F3" w:rsidRDefault="00DD4026" w:rsidP="00380865">
            <w:pPr>
              <w:keepNext/>
              <w:suppressLineNumbers/>
              <w:spacing w:before="0" w:after="0"/>
              <w:jc w:val="center"/>
              <w:outlineLvl w:val="1"/>
              <w:rPr>
                <w:color w:val="000000"/>
              </w:rPr>
            </w:pPr>
            <w:r>
              <w:rPr>
                <w:color w:val="000000"/>
              </w:rPr>
              <w:t>0.001</w:t>
            </w:r>
          </w:p>
        </w:tc>
      </w:tr>
      <w:tr w:rsidR="00DD4026" w:rsidRPr="002D0748" w14:paraId="3232F6EB" w14:textId="77777777" w:rsidTr="00380865">
        <w:trPr>
          <w:trHeight w:val="255"/>
        </w:trPr>
        <w:tc>
          <w:tcPr>
            <w:tcW w:w="0" w:type="auto"/>
            <w:vMerge w:val="restart"/>
            <w:tcBorders>
              <w:top w:val="single" w:sz="4" w:space="0" w:color="auto"/>
            </w:tcBorders>
            <w:shd w:val="clear" w:color="auto" w:fill="auto"/>
            <w:textDirection w:val="btLr"/>
          </w:tcPr>
          <w:p w14:paraId="2DF7C336" w14:textId="77777777" w:rsidR="00DD4026" w:rsidRPr="00C57EAA" w:rsidRDefault="00DD4026" w:rsidP="00380865">
            <w:pPr>
              <w:suppressLineNumbers/>
              <w:spacing w:before="0" w:after="0" w:line="240" w:lineRule="auto"/>
              <w:ind w:left="113" w:right="113"/>
              <w:contextualSpacing/>
              <w:jc w:val="center"/>
              <w:rPr>
                <w:b/>
              </w:rPr>
            </w:pPr>
            <w:r>
              <w:rPr>
                <w:b/>
              </w:rPr>
              <w:t>Multi-dimensional</w:t>
            </w:r>
          </w:p>
        </w:tc>
        <w:tc>
          <w:tcPr>
            <w:tcW w:w="2788" w:type="dxa"/>
            <w:tcBorders>
              <w:top w:val="single" w:sz="4" w:space="0" w:color="auto"/>
            </w:tcBorders>
            <w:shd w:val="clear" w:color="auto" w:fill="auto"/>
          </w:tcPr>
          <w:p w14:paraId="1508AB50" w14:textId="77777777" w:rsidR="00DD4026" w:rsidRPr="001E23F3" w:rsidRDefault="00DD4026" w:rsidP="00380865">
            <w:pPr>
              <w:suppressLineNumbers/>
              <w:spacing w:before="0" w:after="0"/>
            </w:pPr>
            <w:r>
              <w:t>MUST</w:t>
            </w:r>
          </w:p>
        </w:tc>
        <w:tc>
          <w:tcPr>
            <w:tcW w:w="1626" w:type="dxa"/>
            <w:tcBorders>
              <w:top w:val="single" w:sz="4" w:space="0" w:color="auto"/>
            </w:tcBorders>
            <w:shd w:val="clear" w:color="auto" w:fill="auto"/>
          </w:tcPr>
          <w:p w14:paraId="08A0D47D" w14:textId="77777777" w:rsidR="00DD4026" w:rsidRPr="001E23F3" w:rsidRDefault="00DD4026" w:rsidP="00380865">
            <w:pPr>
              <w:keepNext/>
              <w:suppressLineNumbers/>
              <w:spacing w:before="0" w:after="0"/>
              <w:jc w:val="center"/>
              <w:outlineLvl w:val="1"/>
              <w:rPr>
                <w:color w:val="000000"/>
              </w:rPr>
            </w:pPr>
            <w:r>
              <w:rPr>
                <w:color w:val="000000"/>
              </w:rPr>
              <w:t>1.38</w:t>
            </w:r>
            <w:r w:rsidRPr="001E23F3">
              <w:rPr>
                <w:color w:val="000000"/>
              </w:rPr>
              <w:t xml:space="preserve"> </w:t>
            </w:r>
            <w:r>
              <w:rPr>
                <w:color w:val="000000"/>
                <w:sz w:val="18"/>
              </w:rPr>
              <w:t>(1.03,1.84</w:t>
            </w:r>
            <w:r w:rsidRPr="00CF755D">
              <w:rPr>
                <w:color w:val="000000"/>
                <w:sz w:val="18"/>
              </w:rPr>
              <w:t>)</w:t>
            </w:r>
          </w:p>
        </w:tc>
        <w:tc>
          <w:tcPr>
            <w:tcW w:w="870" w:type="dxa"/>
            <w:tcBorders>
              <w:top w:val="single" w:sz="4" w:space="0" w:color="auto"/>
            </w:tcBorders>
            <w:shd w:val="clear" w:color="auto" w:fill="auto"/>
          </w:tcPr>
          <w:p w14:paraId="1D046A46" w14:textId="77777777" w:rsidR="00DD4026" w:rsidRPr="001E23F3" w:rsidRDefault="00DD4026" w:rsidP="00380865">
            <w:pPr>
              <w:keepNext/>
              <w:suppressLineNumbers/>
              <w:spacing w:before="0" w:after="0"/>
              <w:jc w:val="center"/>
              <w:outlineLvl w:val="1"/>
              <w:rPr>
                <w:color w:val="000000"/>
              </w:rPr>
            </w:pPr>
            <w:r>
              <w:rPr>
                <w:color w:val="000000"/>
              </w:rPr>
              <w:t>4.6</w:t>
            </w:r>
          </w:p>
        </w:tc>
        <w:tc>
          <w:tcPr>
            <w:tcW w:w="894" w:type="dxa"/>
            <w:tcBorders>
              <w:top w:val="single" w:sz="4" w:space="0" w:color="auto"/>
            </w:tcBorders>
            <w:shd w:val="clear" w:color="auto" w:fill="auto"/>
          </w:tcPr>
          <w:p w14:paraId="4D6DAF02" w14:textId="77777777" w:rsidR="00DD4026" w:rsidRPr="001E23F3" w:rsidRDefault="00DD4026" w:rsidP="00380865">
            <w:pPr>
              <w:keepNext/>
              <w:suppressLineNumbers/>
              <w:spacing w:before="0" w:after="0"/>
              <w:jc w:val="center"/>
              <w:outlineLvl w:val="1"/>
              <w:rPr>
                <w:color w:val="000000"/>
              </w:rPr>
            </w:pPr>
            <w:r>
              <w:rPr>
                <w:color w:val="000000"/>
              </w:rPr>
              <w:t>0.03</w:t>
            </w:r>
          </w:p>
        </w:tc>
        <w:tc>
          <w:tcPr>
            <w:tcW w:w="1626" w:type="dxa"/>
            <w:tcBorders>
              <w:top w:val="single" w:sz="4" w:space="0" w:color="auto"/>
            </w:tcBorders>
            <w:shd w:val="clear" w:color="auto" w:fill="auto"/>
          </w:tcPr>
          <w:p w14:paraId="03DFC6AF" w14:textId="77777777" w:rsidR="00DD4026" w:rsidRPr="001E23F3" w:rsidRDefault="00DD4026" w:rsidP="00380865">
            <w:pPr>
              <w:keepNext/>
              <w:suppressLineNumbers/>
              <w:spacing w:before="0" w:after="0"/>
              <w:jc w:val="center"/>
              <w:outlineLvl w:val="1"/>
              <w:rPr>
                <w:color w:val="000000"/>
              </w:rPr>
            </w:pPr>
            <w:r>
              <w:rPr>
                <w:color w:val="000000"/>
              </w:rPr>
              <w:t>1.27</w:t>
            </w:r>
            <w:r w:rsidRPr="001E23F3">
              <w:rPr>
                <w:color w:val="000000"/>
              </w:rPr>
              <w:t xml:space="preserve"> </w:t>
            </w:r>
            <w:r>
              <w:rPr>
                <w:color w:val="000000"/>
                <w:sz w:val="18"/>
              </w:rPr>
              <w:t>(1.05,1.53</w:t>
            </w:r>
            <w:r w:rsidRPr="00CF755D">
              <w:rPr>
                <w:color w:val="000000"/>
                <w:sz w:val="18"/>
              </w:rPr>
              <w:t>)</w:t>
            </w:r>
          </w:p>
        </w:tc>
        <w:tc>
          <w:tcPr>
            <w:tcW w:w="861" w:type="dxa"/>
            <w:tcBorders>
              <w:top w:val="single" w:sz="4" w:space="0" w:color="auto"/>
            </w:tcBorders>
            <w:shd w:val="clear" w:color="auto" w:fill="auto"/>
          </w:tcPr>
          <w:p w14:paraId="3AD5CAB7" w14:textId="77777777" w:rsidR="00DD4026" w:rsidRPr="001E23F3" w:rsidRDefault="00DD4026" w:rsidP="00380865">
            <w:pPr>
              <w:keepNext/>
              <w:suppressLineNumbers/>
              <w:spacing w:before="0" w:after="0"/>
              <w:jc w:val="center"/>
              <w:outlineLvl w:val="1"/>
              <w:rPr>
                <w:color w:val="000000"/>
              </w:rPr>
            </w:pPr>
            <w:r>
              <w:rPr>
                <w:color w:val="000000"/>
              </w:rPr>
              <w:t>5.8</w:t>
            </w:r>
          </w:p>
        </w:tc>
        <w:tc>
          <w:tcPr>
            <w:tcW w:w="896" w:type="dxa"/>
            <w:tcBorders>
              <w:top w:val="single" w:sz="4" w:space="0" w:color="auto"/>
            </w:tcBorders>
            <w:shd w:val="clear" w:color="auto" w:fill="auto"/>
          </w:tcPr>
          <w:p w14:paraId="36CEAF97" w14:textId="77777777" w:rsidR="00DD4026" w:rsidRPr="001E23F3" w:rsidRDefault="00DD4026" w:rsidP="00380865">
            <w:pPr>
              <w:keepNext/>
              <w:suppressLineNumbers/>
              <w:spacing w:before="0" w:after="0"/>
              <w:jc w:val="center"/>
              <w:outlineLvl w:val="1"/>
              <w:rPr>
                <w:color w:val="000000"/>
              </w:rPr>
            </w:pPr>
            <w:r>
              <w:rPr>
                <w:color w:val="000000"/>
              </w:rPr>
              <w:t>0.02</w:t>
            </w:r>
          </w:p>
        </w:tc>
      </w:tr>
      <w:tr w:rsidR="00DD4026" w:rsidRPr="002D0748" w14:paraId="70F1BB6E" w14:textId="77777777" w:rsidTr="00380865">
        <w:trPr>
          <w:trHeight w:val="286"/>
        </w:trPr>
        <w:tc>
          <w:tcPr>
            <w:tcW w:w="0" w:type="auto"/>
            <w:vMerge/>
            <w:shd w:val="clear" w:color="auto" w:fill="auto"/>
          </w:tcPr>
          <w:p w14:paraId="68375EA6" w14:textId="77777777" w:rsidR="00DD4026" w:rsidRDefault="00DD4026" w:rsidP="00380865">
            <w:pPr>
              <w:suppressLineNumbers/>
              <w:spacing w:before="0" w:after="0" w:line="240" w:lineRule="auto"/>
              <w:contextualSpacing/>
            </w:pPr>
          </w:p>
        </w:tc>
        <w:tc>
          <w:tcPr>
            <w:tcW w:w="2788" w:type="dxa"/>
            <w:shd w:val="clear" w:color="auto" w:fill="auto"/>
          </w:tcPr>
          <w:p w14:paraId="2F36F8DF" w14:textId="77777777" w:rsidR="00DD4026" w:rsidRDefault="00DD4026" w:rsidP="00380865">
            <w:pPr>
              <w:suppressLineNumbers/>
              <w:spacing w:before="0" w:after="0"/>
            </w:pPr>
            <w:r>
              <w:t xml:space="preserve">MUST </w:t>
            </w:r>
            <w:r w:rsidRPr="005F7408">
              <w:rPr>
                <w:sz w:val="18"/>
              </w:rPr>
              <w:t>(</w:t>
            </w:r>
            <w:r>
              <w:rPr>
                <w:sz w:val="18"/>
              </w:rPr>
              <w:t>Mal vs not mal</w:t>
            </w:r>
            <w:r w:rsidRPr="005F7408">
              <w:rPr>
                <w:sz w:val="18"/>
              </w:rPr>
              <w:t>)</w:t>
            </w:r>
          </w:p>
        </w:tc>
        <w:tc>
          <w:tcPr>
            <w:tcW w:w="1626" w:type="dxa"/>
            <w:shd w:val="clear" w:color="auto" w:fill="auto"/>
          </w:tcPr>
          <w:p w14:paraId="6AF6526F" w14:textId="77777777" w:rsidR="00DD4026" w:rsidRPr="001E23F3" w:rsidRDefault="00DD4026" w:rsidP="00380865">
            <w:pPr>
              <w:keepNext/>
              <w:suppressLineNumbers/>
              <w:spacing w:before="0" w:after="0"/>
              <w:jc w:val="center"/>
              <w:outlineLvl w:val="1"/>
              <w:rPr>
                <w:color w:val="000000"/>
              </w:rPr>
            </w:pPr>
            <w:r>
              <w:rPr>
                <w:color w:val="000000"/>
              </w:rPr>
              <w:t>1.32</w:t>
            </w:r>
            <w:r w:rsidRPr="001E23F3">
              <w:rPr>
                <w:color w:val="000000"/>
              </w:rPr>
              <w:t xml:space="preserve"> </w:t>
            </w:r>
            <w:r>
              <w:rPr>
                <w:color w:val="000000"/>
                <w:sz w:val="18"/>
              </w:rPr>
              <w:t>(0.74,2.33)</w:t>
            </w:r>
          </w:p>
        </w:tc>
        <w:tc>
          <w:tcPr>
            <w:tcW w:w="870" w:type="dxa"/>
            <w:shd w:val="clear" w:color="auto" w:fill="auto"/>
          </w:tcPr>
          <w:p w14:paraId="06C55AD9" w14:textId="77777777" w:rsidR="00DD4026" w:rsidRPr="001E23F3" w:rsidRDefault="00DD4026" w:rsidP="00380865">
            <w:pPr>
              <w:keepNext/>
              <w:suppressLineNumbers/>
              <w:spacing w:before="0" w:after="0"/>
              <w:jc w:val="center"/>
              <w:outlineLvl w:val="1"/>
              <w:rPr>
                <w:color w:val="000000"/>
              </w:rPr>
            </w:pPr>
            <w:r>
              <w:rPr>
                <w:color w:val="000000"/>
              </w:rPr>
              <w:t>0.9</w:t>
            </w:r>
          </w:p>
        </w:tc>
        <w:tc>
          <w:tcPr>
            <w:tcW w:w="894" w:type="dxa"/>
            <w:shd w:val="clear" w:color="auto" w:fill="auto"/>
          </w:tcPr>
          <w:p w14:paraId="5C3AE74F" w14:textId="77777777" w:rsidR="00DD4026" w:rsidRPr="001E23F3" w:rsidRDefault="00DD4026" w:rsidP="00380865">
            <w:pPr>
              <w:keepNext/>
              <w:suppressLineNumbers/>
              <w:spacing w:before="0" w:after="0"/>
              <w:jc w:val="center"/>
              <w:outlineLvl w:val="1"/>
              <w:rPr>
                <w:color w:val="000000"/>
              </w:rPr>
            </w:pPr>
            <w:r>
              <w:rPr>
                <w:color w:val="000000"/>
              </w:rPr>
              <w:t>0.35</w:t>
            </w:r>
          </w:p>
        </w:tc>
        <w:tc>
          <w:tcPr>
            <w:tcW w:w="1626" w:type="dxa"/>
            <w:shd w:val="clear" w:color="auto" w:fill="auto"/>
          </w:tcPr>
          <w:p w14:paraId="5AC8AF8B" w14:textId="77777777" w:rsidR="00DD4026" w:rsidRPr="001E23F3" w:rsidRDefault="00DD4026" w:rsidP="00380865">
            <w:pPr>
              <w:keepNext/>
              <w:suppressLineNumbers/>
              <w:spacing w:before="0" w:after="0"/>
              <w:jc w:val="center"/>
              <w:outlineLvl w:val="1"/>
              <w:rPr>
                <w:color w:val="000000"/>
              </w:rPr>
            </w:pPr>
            <w:r>
              <w:rPr>
                <w:color w:val="000000"/>
              </w:rPr>
              <w:t>2.01</w:t>
            </w:r>
            <w:r w:rsidRPr="001E23F3">
              <w:rPr>
                <w:color w:val="000000"/>
              </w:rPr>
              <w:t xml:space="preserve"> </w:t>
            </w:r>
            <w:r w:rsidRPr="00CF755D">
              <w:rPr>
                <w:color w:val="000000"/>
                <w:sz w:val="18"/>
              </w:rPr>
              <w:t>(</w:t>
            </w:r>
            <w:r>
              <w:rPr>
                <w:color w:val="000000"/>
                <w:sz w:val="18"/>
              </w:rPr>
              <w:t>1.38,2.95</w:t>
            </w:r>
            <w:r w:rsidRPr="00CF755D">
              <w:rPr>
                <w:color w:val="000000"/>
                <w:sz w:val="18"/>
              </w:rPr>
              <w:t>)</w:t>
            </w:r>
          </w:p>
        </w:tc>
        <w:tc>
          <w:tcPr>
            <w:tcW w:w="861" w:type="dxa"/>
            <w:shd w:val="clear" w:color="auto" w:fill="auto"/>
          </w:tcPr>
          <w:p w14:paraId="60034C46" w14:textId="77777777" w:rsidR="00DD4026" w:rsidRDefault="00DD4026" w:rsidP="00380865">
            <w:pPr>
              <w:keepNext/>
              <w:suppressLineNumbers/>
              <w:spacing w:before="0" w:after="0"/>
              <w:jc w:val="center"/>
              <w:outlineLvl w:val="1"/>
              <w:rPr>
                <w:color w:val="000000"/>
              </w:rPr>
            </w:pPr>
            <w:r>
              <w:rPr>
                <w:color w:val="000000"/>
              </w:rPr>
              <w:t>13.0</w:t>
            </w:r>
          </w:p>
        </w:tc>
        <w:tc>
          <w:tcPr>
            <w:tcW w:w="896" w:type="dxa"/>
            <w:shd w:val="clear" w:color="auto" w:fill="auto"/>
          </w:tcPr>
          <w:p w14:paraId="7991FF07" w14:textId="77777777" w:rsidR="00DD4026" w:rsidRPr="001E23F3" w:rsidRDefault="00DD4026" w:rsidP="00380865">
            <w:pPr>
              <w:keepNext/>
              <w:suppressLineNumbers/>
              <w:spacing w:before="0" w:after="0"/>
              <w:jc w:val="center"/>
              <w:outlineLvl w:val="1"/>
              <w:rPr>
                <w:color w:val="000000"/>
              </w:rPr>
            </w:pPr>
            <w:r>
              <w:rPr>
                <w:color w:val="000000"/>
              </w:rPr>
              <w:t>&lt;0.001</w:t>
            </w:r>
          </w:p>
        </w:tc>
      </w:tr>
      <w:tr w:rsidR="00DD4026" w:rsidRPr="002D0748" w14:paraId="06193FA4" w14:textId="77777777" w:rsidTr="00380865">
        <w:trPr>
          <w:trHeight w:val="291"/>
        </w:trPr>
        <w:tc>
          <w:tcPr>
            <w:tcW w:w="0" w:type="auto"/>
            <w:vMerge/>
            <w:shd w:val="clear" w:color="auto" w:fill="auto"/>
          </w:tcPr>
          <w:p w14:paraId="04B06FF6" w14:textId="77777777" w:rsidR="00DD4026" w:rsidRDefault="00DD4026" w:rsidP="00380865">
            <w:pPr>
              <w:suppressLineNumbers/>
              <w:spacing w:before="0" w:after="0" w:line="240" w:lineRule="auto"/>
              <w:contextualSpacing/>
            </w:pPr>
          </w:p>
        </w:tc>
        <w:tc>
          <w:tcPr>
            <w:tcW w:w="2788" w:type="dxa"/>
            <w:shd w:val="clear" w:color="auto" w:fill="auto"/>
          </w:tcPr>
          <w:p w14:paraId="7FC3F3B9" w14:textId="77777777" w:rsidR="00DD4026" w:rsidRPr="001E23F3" w:rsidRDefault="00DD4026" w:rsidP="00380865">
            <w:pPr>
              <w:suppressLineNumbers/>
              <w:spacing w:before="0" w:after="0"/>
            </w:pPr>
            <w:r>
              <w:t xml:space="preserve">MNA-SF </w:t>
            </w:r>
          </w:p>
        </w:tc>
        <w:tc>
          <w:tcPr>
            <w:tcW w:w="1626" w:type="dxa"/>
            <w:shd w:val="clear" w:color="auto" w:fill="auto"/>
          </w:tcPr>
          <w:p w14:paraId="1B6A0BBA" w14:textId="77777777" w:rsidR="00DD4026" w:rsidRPr="00CF43A5" w:rsidRDefault="00DD4026" w:rsidP="00380865">
            <w:pPr>
              <w:keepNext/>
              <w:suppressLineNumbers/>
              <w:spacing w:before="0" w:after="0" w:line="360" w:lineRule="auto"/>
              <w:jc w:val="center"/>
              <w:outlineLvl w:val="1"/>
            </w:pPr>
            <w:r w:rsidRPr="00CF43A5">
              <w:t xml:space="preserve">0.84 </w:t>
            </w:r>
            <w:r w:rsidRPr="00CF43A5">
              <w:rPr>
                <w:sz w:val="18"/>
              </w:rPr>
              <w:t>(0.75</w:t>
            </w:r>
            <w:r>
              <w:rPr>
                <w:sz w:val="18"/>
              </w:rPr>
              <w:t>,</w:t>
            </w:r>
            <w:r w:rsidRPr="00CF43A5">
              <w:rPr>
                <w:sz w:val="18"/>
              </w:rPr>
              <w:t>0.93)</w:t>
            </w:r>
          </w:p>
        </w:tc>
        <w:tc>
          <w:tcPr>
            <w:tcW w:w="870" w:type="dxa"/>
            <w:shd w:val="clear" w:color="auto" w:fill="auto"/>
          </w:tcPr>
          <w:p w14:paraId="4E509A70" w14:textId="77777777" w:rsidR="00DD4026" w:rsidRPr="00CF43A5" w:rsidRDefault="00DD4026" w:rsidP="00380865">
            <w:pPr>
              <w:keepNext/>
              <w:suppressLineNumbers/>
              <w:spacing w:before="0" w:after="0" w:line="360" w:lineRule="auto"/>
              <w:jc w:val="center"/>
              <w:outlineLvl w:val="1"/>
            </w:pPr>
            <w:r w:rsidRPr="00CF43A5">
              <w:t>10.</w:t>
            </w:r>
            <w:r>
              <w:t>2</w:t>
            </w:r>
          </w:p>
        </w:tc>
        <w:tc>
          <w:tcPr>
            <w:tcW w:w="894" w:type="dxa"/>
            <w:shd w:val="clear" w:color="auto" w:fill="auto"/>
          </w:tcPr>
          <w:p w14:paraId="0541998D" w14:textId="77777777" w:rsidR="00DD4026" w:rsidRPr="00CF43A5" w:rsidRDefault="00DD4026" w:rsidP="00380865">
            <w:pPr>
              <w:keepNext/>
              <w:suppressLineNumbers/>
              <w:spacing w:before="0" w:after="0" w:line="360" w:lineRule="auto"/>
              <w:jc w:val="center"/>
              <w:outlineLvl w:val="1"/>
            </w:pPr>
            <w:r w:rsidRPr="00CF43A5">
              <w:t>0.001</w:t>
            </w:r>
          </w:p>
        </w:tc>
        <w:tc>
          <w:tcPr>
            <w:tcW w:w="1626" w:type="dxa"/>
            <w:shd w:val="clear" w:color="auto" w:fill="auto"/>
          </w:tcPr>
          <w:p w14:paraId="40AC680D" w14:textId="77777777" w:rsidR="00DD4026" w:rsidRPr="00AD5AAC" w:rsidRDefault="00DD4026" w:rsidP="00380865">
            <w:pPr>
              <w:keepNext/>
              <w:suppressLineNumbers/>
              <w:spacing w:before="0" w:after="0"/>
              <w:jc w:val="center"/>
              <w:outlineLvl w:val="1"/>
            </w:pPr>
            <w:r w:rsidRPr="00AD5AAC">
              <w:t xml:space="preserve">0.85 </w:t>
            </w:r>
            <w:r w:rsidRPr="00AD5AAC">
              <w:rPr>
                <w:sz w:val="18"/>
              </w:rPr>
              <w:t>(0.79</w:t>
            </w:r>
            <w:r>
              <w:rPr>
                <w:sz w:val="18"/>
              </w:rPr>
              <w:t>,</w:t>
            </w:r>
            <w:r w:rsidRPr="00AD5AAC">
              <w:rPr>
                <w:sz w:val="18"/>
              </w:rPr>
              <w:t>0.91)</w:t>
            </w:r>
          </w:p>
        </w:tc>
        <w:tc>
          <w:tcPr>
            <w:tcW w:w="861" w:type="dxa"/>
            <w:shd w:val="clear" w:color="auto" w:fill="auto"/>
          </w:tcPr>
          <w:p w14:paraId="31208C8C" w14:textId="77777777" w:rsidR="00DD4026" w:rsidRPr="00AD5AAC" w:rsidRDefault="00DD4026" w:rsidP="00380865">
            <w:pPr>
              <w:keepNext/>
              <w:suppressLineNumbers/>
              <w:spacing w:before="0" w:after="0"/>
              <w:jc w:val="center"/>
              <w:outlineLvl w:val="1"/>
            </w:pPr>
            <w:r w:rsidRPr="00AD5AAC">
              <w:t>21.2</w:t>
            </w:r>
          </w:p>
        </w:tc>
        <w:tc>
          <w:tcPr>
            <w:tcW w:w="896" w:type="dxa"/>
            <w:shd w:val="clear" w:color="auto" w:fill="auto"/>
          </w:tcPr>
          <w:p w14:paraId="48BC97D2" w14:textId="77777777" w:rsidR="00DD4026" w:rsidRPr="00AD5AAC" w:rsidRDefault="00DD4026" w:rsidP="00380865">
            <w:pPr>
              <w:keepNext/>
              <w:suppressLineNumbers/>
              <w:spacing w:before="0" w:after="0"/>
              <w:jc w:val="center"/>
              <w:outlineLvl w:val="1"/>
            </w:pPr>
            <w:r w:rsidRPr="00AD5AAC">
              <w:t>&lt;0.001</w:t>
            </w:r>
          </w:p>
        </w:tc>
      </w:tr>
      <w:tr w:rsidR="00DD4026" w:rsidRPr="002D0748" w14:paraId="25712288" w14:textId="77777777" w:rsidTr="00380865">
        <w:trPr>
          <w:trHeight w:val="295"/>
        </w:trPr>
        <w:tc>
          <w:tcPr>
            <w:tcW w:w="0" w:type="auto"/>
            <w:vMerge/>
            <w:shd w:val="clear" w:color="auto" w:fill="auto"/>
          </w:tcPr>
          <w:p w14:paraId="11AB1CB8" w14:textId="77777777" w:rsidR="00DD4026" w:rsidRDefault="00DD4026" w:rsidP="00380865">
            <w:pPr>
              <w:suppressLineNumbers/>
              <w:spacing w:before="0" w:after="0" w:line="240" w:lineRule="auto"/>
              <w:contextualSpacing/>
            </w:pPr>
          </w:p>
        </w:tc>
        <w:tc>
          <w:tcPr>
            <w:tcW w:w="2788" w:type="dxa"/>
            <w:shd w:val="clear" w:color="auto" w:fill="auto"/>
          </w:tcPr>
          <w:p w14:paraId="6C7983C7" w14:textId="77777777" w:rsidR="00DD4026" w:rsidRPr="00011E90" w:rsidRDefault="00DD4026" w:rsidP="00380865">
            <w:pPr>
              <w:suppressLineNumbers/>
              <w:spacing w:before="0" w:after="0"/>
              <w:rPr>
                <w:lang w:val="fr-FR"/>
              </w:rPr>
            </w:pPr>
            <w:r w:rsidRPr="00011E90">
              <w:rPr>
                <w:lang w:val="fr-FR"/>
              </w:rPr>
              <w:t xml:space="preserve">MNA-SF </w:t>
            </w:r>
            <w:r w:rsidRPr="00011E90">
              <w:rPr>
                <w:sz w:val="18"/>
                <w:lang w:val="fr-FR"/>
              </w:rPr>
              <w:t>(Mal vs not mal)</w:t>
            </w:r>
          </w:p>
        </w:tc>
        <w:tc>
          <w:tcPr>
            <w:tcW w:w="1626" w:type="dxa"/>
            <w:shd w:val="clear" w:color="auto" w:fill="auto"/>
          </w:tcPr>
          <w:p w14:paraId="0CC14755" w14:textId="77777777" w:rsidR="00DD4026" w:rsidRPr="001E23F3" w:rsidRDefault="00DD4026" w:rsidP="00380865">
            <w:pPr>
              <w:keepNext/>
              <w:suppressLineNumbers/>
              <w:spacing w:before="0" w:after="0"/>
              <w:jc w:val="center"/>
              <w:outlineLvl w:val="1"/>
              <w:rPr>
                <w:color w:val="000000"/>
              </w:rPr>
            </w:pPr>
            <w:r>
              <w:rPr>
                <w:color w:val="000000"/>
              </w:rPr>
              <w:t>2.09</w:t>
            </w:r>
            <w:r w:rsidRPr="001E23F3">
              <w:rPr>
                <w:color w:val="000000"/>
              </w:rPr>
              <w:t xml:space="preserve"> </w:t>
            </w:r>
            <w:r>
              <w:rPr>
                <w:color w:val="000000"/>
                <w:sz w:val="18"/>
              </w:rPr>
              <w:t>(1.26,3.47</w:t>
            </w:r>
            <w:r w:rsidRPr="00CF755D">
              <w:rPr>
                <w:color w:val="000000"/>
                <w:sz w:val="18"/>
              </w:rPr>
              <w:t>)</w:t>
            </w:r>
          </w:p>
        </w:tc>
        <w:tc>
          <w:tcPr>
            <w:tcW w:w="870" w:type="dxa"/>
            <w:shd w:val="clear" w:color="auto" w:fill="auto"/>
          </w:tcPr>
          <w:p w14:paraId="6DDA39DB" w14:textId="77777777" w:rsidR="00DD4026" w:rsidRPr="001E23F3" w:rsidRDefault="00DD4026" w:rsidP="00380865">
            <w:pPr>
              <w:keepNext/>
              <w:suppressLineNumbers/>
              <w:spacing w:before="0" w:after="0"/>
              <w:jc w:val="center"/>
              <w:outlineLvl w:val="1"/>
              <w:rPr>
                <w:color w:val="000000"/>
              </w:rPr>
            </w:pPr>
            <w:r>
              <w:rPr>
                <w:color w:val="000000"/>
              </w:rPr>
              <w:t>8.2</w:t>
            </w:r>
          </w:p>
        </w:tc>
        <w:tc>
          <w:tcPr>
            <w:tcW w:w="894" w:type="dxa"/>
            <w:shd w:val="clear" w:color="auto" w:fill="auto"/>
          </w:tcPr>
          <w:p w14:paraId="67EA6651" w14:textId="77777777" w:rsidR="00DD4026" w:rsidRPr="001E23F3" w:rsidRDefault="00DD4026" w:rsidP="00380865">
            <w:pPr>
              <w:keepNext/>
              <w:suppressLineNumbers/>
              <w:spacing w:before="0" w:after="0"/>
              <w:jc w:val="center"/>
              <w:outlineLvl w:val="1"/>
              <w:rPr>
                <w:color w:val="000000"/>
              </w:rPr>
            </w:pPr>
            <w:r>
              <w:rPr>
                <w:color w:val="000000"/>
              </w:rPr>
              <w:t>0.004</w:t>
            </w:r>
          </w:p>
        </w:tc>
        <w:tc>
          <w:tcPr>
            <w:tcW w:w="1626" w:type="dxa"/>
            <w:shd w:val="clear" w:color="auto" w:fill="auto"/>
          </w:tcPr>
          <w:p w14:paraId="266410A9" w14:textId="77777777" w:rsidR="00DD4026" w:rsidRPr="001E23F3" w:rsidRDefault="00DD4026" w:rsidP="00380865">
            <w:pPr>
              <w:keepNext/>
              <w:suppressLineNumbers/>
              <w:spacing w:before="0" w:after="0"/>
              <w:jc w:val="center"/>
              <w:outlineLvl w:val="1"/>
              <w:rPr>
                <w:color w:val="000000"/>
              </w:rPr>
            </w:pPr>
            <w:r>
              <w:rPr>
                <w:color w:val="000000"/>
              </w:rPr>
              <w:t>2.12</w:t>
            </w:r>
            <w:r w:rsidRPr="001E23F3">
              <w:rPr>
                <w:color w:val="000000"/>
              </w:rPr>
              <w:t xml:space="preserve"> </w:t>
            </w:r>
            <w:r>
              <w:rPr>
                <w:color w:val="000000"/>
                <w:sz w:val="18"/>
              </w:rPr>
              <w:t>(1.55,2.90</w:t>
            </w:r>
            <w:r w:rsidRPr="00CF755D">
              <w:rPr>
                <w:color w:val="000000"/>
                <w:sz w:val="18"/>
              </w:rPr>
              <w:t>)</w:t>
            </w:r>
          </w:p>
        </w:tc>
        <w:tc>
          <w:tcPr>
            <w:tcW w:w="861" w:type="dxa"/>
            <w:shd w:val="clear" w:color="auto" w:fill="auto"/>
          </w:tcPr>
          <w:p w14:paraId="67DFF810" w14:textId="77777777" w:rsidR="00DD4026" w:rsidRPr="001E23F3" w:rsidRDefault="00DD4026" w:rsidP="00380865">
            <w:pPr>
              <w:keepNext/>
              <w:suppressLineNumbers/>
              <w:spacing w:before="0" w:after="0"/>
              <w:jc w:val="center"/>
              <w:outlineLvl w:val="1"/>
              <w:rPr>
                <w:color w:val="000000"/>
              </w:rPr>
            </w:pPr>
            <w:r>
              <w:rPr>
                <w:color w:val="000000"/>
              </w:rPr>
              <w:t>21.9</w:t>
            </w:r>
          </w:p>
        </w:tc>
        <w:tc>
          <w:tcPr>
            <w:tcW w:w="896" w:type="dxa"/>
            <w:shd w:val="clear" w:color="auto" w:fill="auto"/>
          </w:tcPr>
          <w:p w14:paraId="163C6165" w14:textId="77777777" w:rsidR="00DD4026" w:rsidRPr="001E23F3" w:rsidRDefault="00DD4026" w:rsidP="00380865">
            <w:pPr>
              <w:keepNext/>
              <w:suppressLineNumbers/>
              <w:spacing w:before="0" w:after="0"/>
              <w:jc w:val="center"/>
              <w:outlineLvl w:val="1"/>
              <w:rPr>
                <w:color w:val="000000"/>
              </w:rPr>
            </w:pPr>
            <w:r w:rsidRPr="001E23F3">
              <w:rPr>
                <w:color w:val="000000"/>
              </w:rPr>
              <w:t>&lt;0.001</w:t>
            </w:r>
          </w:p>
        </w:tc>
      </w:tr>
      <w:tr w:rsidR="00DD4026" w:rsidRPr="002D0748" w14:paraId="103B8A7F" w14:textId="77777777" w:rsidTr="00380865">
        <w:trPr>
          <w:trHeight w:val="285"/>
        </w:trPr>
        <w:tc>
          <w:tcPr>
            <w:tcW w:w="0" w:type="auto"/>
            <w:vMerge/>
            <w:shd w:val="clear" w:color="auto" w:fill="auto"/>
          </w:tcPr>
          <w:p w14:paraId="00466FC9" w14:textId="77777777" w:rsidR="00DD4026" w:rsidRDefault="00DD4026" w:rsidP="00380865">
            <w:pPr>
              <w:suppressLineNumbers/>
              <w:spacing w:before="0" w:after="0" w:line="240" w:lineRule="auto"/>
              <w:contextualSpacing/>
            </w:pPr>
          </w:p>
        </w:tc>
        <w:tc>
          <w:tcPr>
            <w:tcW w:w="2788" w:type="dxa"/>
            <w:shd w:val="clear" w:color="auto" w:fill="auto"/>
          </w:tcPr>
          <w:p w14:paraId="293B2439" w14:textId="77777777" w:rsidR="00DD4026" w:rsidRPr="001E23F3" w:rsidRDefault="00DD4026" w:rsidP="00380865">
            <w:pPr>
              <w:suppressLineNumbers/>
              <w:spacing w:before="0" w:after="0"/>
            </w:pPr>
            <w:r>
              <w:t xml:space="preserve">SGA </w:t>
            </w:r>
          </w:p>
        </w:tc>
        <w:tc>
          <w:tcPr>
            <w:tcW w:w="1626" w:type="dxa"/>
            <w:shd w:val="clear" w:color="auto" w:fill="auto"/>
          </w:tcPr>
          <w:p w14:paraId="5CE96D02" w14:textId="77777777" w:rsidR="00DD4026" w:rsidRPr="001E23F3" w:rsidRDefault="00DD4026" w:rsidP="00380865">
            <w:pPr>
              <w:keepNext/>
              <w:suppressLineNumbers/>
              <w:spacing w:before="0" w:after="0"/>
              <w:jc w:val="center"/>
              <w:outlineLvl w:val="1"/>
              <w:rPr>
                <w:color w:val="000000"/>
              </w:rPr>
            </w:pPr>
            <w:r>
              <w:rPr>
                <w:color w:val="000000"/>
              </w:rPr>
              <w:t>1.83</w:t>
            </w:r>
            <w:r w:rsidRPr="001E23F3">
              <w:rPr>
                <w:color w:val="000000"/>
              </w:rPr>
              <w:t xml:space="preserve"> </w:t>
            </w:r>
            <w:r>
              <w:rPr>
                <w:color w:val="000000"/>
                <w:sz w:val="18"/>
              </w:rPr>
              <w:t>(1.12,3.00)</w:t>
            </w:r>
          </w:p>
        </w:tc>
        <w:tc>
          <w:tcPr>
            <w:tcW w:w="870" w:type="dxa"/>
            <w:shd w:val="clear" w:color="auto" w:fill="auto"/>
          </w:tcPr>
          <w:p w14:paraId="0207C6D6" w14:textId="77777777" w:rsidR="00DD4026" w:rsidRPr="001E23F3" w:rsidRDefault="00DD4026" w:rsidP="00380865">
            <w:pPr>
              <w:keepNext/>
              <w:suppressLineNumbers/>
              <w:spacing w:before="0" w:after="0"/>
              <w:jc w:val="center"/>
              <w:outlineLvl w:val="1"/>
              <w:rPr>
                <w:color w:val="000000"/>
              </w:rPr>
            </w:pPr>
            <w:r>
              <w:rPr>
                <w:color w:val="000000"/>
              </w:rPr>
              <w:t>5.8</w:t>
            </w:r>
          </w:p>
        </w:tc>
        <w:tc>
          <w:tcPr>
            <w:tcW w:w="894" w:type="dxa"/>
            <w:shd w:val="clear" w:color="auto" w:fill="auto"/>
          </w:tcPr>
          <w:p w14:paraId="7F63C2CD" w14:textId="77777777" w:rsidR="00DD4026" w:rsidRPr="001E23F3" w:rsidRDefault="00DD4026" w:rsidP="00380865">
            <w:pPr>
              <w:keepNext/>
              <w:suppressLineNumbers/>
              <w:spacing w:before="0" w:after="0"/>
              <w:jc w:val="center"/>
              <w:outlineLvl w:val="1"/>
              <w:rPr>
                <w:color w:val="000000"/>
              </w:rPr>
            </w:pPr>
            <w:r>
              <w:rPr>
                <w:color w:val="000000"/>
              </w:rPr>
              <w:t>0.02</w:t>
            </w:r>
          </w:p>
        </w:tc>
        <w:tc>
          <w:tcPr>
            <w:tcW w:w="1626" w:type="dxa"/>
            <w:shd w:val="clear" w:color="auto" w:fill="auto"/>
          </w:tcPr>
          <w:p w14:paraId="3135221F" w14:textId="77777777" w:rsidR="00DD4026" w:rsidRPr="001E23F3" w:rsidRDefault="00DD4026" w:rsidP="00380865">
            <w:pPr>
              <w:keepNext/>
              <w:suppressLineNumbers/>
              <w:spacing w:before="0" w:after="0"/>
              <w:jc w:val="center"/>
              <w:outlineLvl w:val="1"/>
              <w:rPr>
                <w:color w:val="000000"/>
              </w:rPr>
            </w:pPr>
            <w:r>
              <w:rPr>
                <w:color w:val="000000"/>
              </w:rPr>
              <w:t>1.97</w:t>
            </w:r>
            <w:r w:rsidRPr="001E23F3">
              <w:rPr>
                <w:color w:val="000000"/>
              </w:rPr>
              <w:t xml:space="preserve"> </w:t>
            </w:r>
            <w:r>
              <w:rPr>
                <w:color w:val="000000"/>
                <w:sz w:val="18"/>
              </w:rPr>
              <w:t>(1.41,2.76</w:t>
            </w:r>
            <w:r w:rsidRPr="00CF755D">
              <w:rPr>
                <w:color w:val="000000"/>
                <w:sz w:val="18"/>
              </w:rPr>
              <w:t>)</w:t>
            </w:r>
          </w:p>
        </w:tc>
        <w:tc>
          <w:tcPr>
            <w:tcW w:w="861" w:type="dxa"/>
            <w:shd w:val="clear" w:color="auto" w:fill="auto"/>
          </w:tcPr>
          <w:p w14:paraId="5E6ABC2D" w14:textId="77777777" w:rsidR="00DD4026" w:rsidRPr="001E23F3" w:rsidRDefault="00DD4026" w:rsidP="00380865">
            <w:pPr>
              <w:keepNext/>
              <w:suppressLineNumbers/>
              <w:spacing w:before="0" w:after="0"/>
              <w:jc w:val="center"/>
              <w:outlineLvl w:val="1"/>
              <w:rPr>
                <w:color w:val="000000"/>
              </w:rPr>
            </w:pPr>
            <w:r>
              <w:rPr>
                <w:color w:val="000000"/>
              </w:rPr>
              <w:t>15.9</w:t>
            </w:r>
          </w:p>
        </w:tc>
        <w:tc>
          <w:tcPr>
            <w:tcW w:w="896" w:type="dxa"/>
            <w:shd w:val="clear" w:color="auto" w:fill="auto"/>
          </w:tcPr>
          <w:p w14:paraId="3FC1FE0A" w14:textId="77777777" w:rsidR="00DD4026" w:rsidRPr="001E23F3" w:rsidRDefault="00DD4026" w:rsidP="00380865">
            <w:pPr>
              <w:keepNext/>
              <w:suppressLineNumbers/>
              <w:spacing w:before="0" w:after="0"/>
              <w:jc w:val="center"/>
              <w:outlineLvl w:val="1"/>
              <w:rPr>
                <w:color w:val="000000"/>
              </w:rPr>
            </w:pPr>
            <w:r w:rsidRPr="001E23F3">
              <w:rPr>
                <w:color w:val="000000"/>
              </w:rPr>
              <w:t>&lt;0.001</w:t>
            </w:r>
          </w:p>
        </w:tc>
      </w:tr>
      <w:tr w:rsidR="00DD4026" w:rsidRPr="002D0748" w14:paraId="2F7665A5" w14:textId="77777777" w:rsidTr="00380865">
        <w:trPr>
          <w:trHeight w:val="205"/>
        </w:trPr>
        <w:tc>
          <w:tcPr>
            <w:tcW w:w="0" w:type="auto"/>
            <w:vMerge/>
            <w:tcBorders>
              <w:bottom w:val="single" w:sz="4" w:space="0" w:color="auto"/>
            </w:tcBorders>
            <w:shd w:val="clear" w:color="auto" w:fill="auto"/>
          </w:tcPr>
          <w:p w14:paraId="573CDAD7" w14:textId="77777777" w:rsidR="00DD4026" w:rsidRDefault="00DD4026" w:rsidP="00380865">
            <w:pPr>
              <w:suppressLineNumbers/>
              <w:spacing w:before="0" w:after="0" w:line="240" w:lineRule="auto"/>
              <w:contextualSpacing/>
            </w:pPr>
          </w:p>
        </w:tc>
        <w:tc>
          <w:tcPr>
            <w:tcW w:w="2788" w:type="dxa"/>
            <w:tcBorders>
              <w:bottom w:val="single" w:sz="4" w:space="0" w:color="auto"/>
            </w:tcBorders>
            <w:shd w:val="clear" w:color="auto" w:fill="auto"/>
          </w:tcPr>
          <w:p w14:paraId="54A4467E" w14:textId="77777777" w:rsidR="00DD4026" w:rsidRPr="00011E90" w:rsidRDefault="00DD4026" w:rsidP="00380865">
            <w:pPr>
              <w:suppressLineNumbers/>
              <w:spacing w:before="0" w:after="0"/>
              <w:rPr>
                <w:lang w:val="fr-FR"/>
              </w:rPr>
            </w:pPr>
            <w:r w:rsidRPr="00011E90">
              <w:rPr>
                <w:lang w:val="fr-FR"/>
              </w:rPr>
              <w:t xml:space="preserve">SGA </w:t>
            </w:r>
            <w:r w:rsidRPr="00011E90">
              <w:rPr>
                <w:sz w:val="18"/>
                <w:lang w:val="fr-FR"/>
              </w:rPr>
              <w:t>(Mal vs not mal)</w:t>
            </w:r>
          </w:p>
        </w:tc>
        <w:tc>
          <w:tcPr>
            <w:tcW w:w="1626" w:type="dxa"/>
            <w:tcBorders>
              <w:bottom w:val="single" w:sz="4" w:space="0" w:color="auto"/>
            </w:tcBorders>
            <w:shd w:val="clear" w:color="auto" w:fill="auto"/>
          </w:tcPr>
          <w:p w14:paraId="3D312830" w14:textId="77777777" w:rsidR="00DD4026" w:rsidRPr="001E23F3" w:rsidRDefault="00DD4026" w:rsidP="00380865">
            <w:pPr>
              <w:keepNext/>
              <w:suppressLineNumbers/>
              <w:spacing w:before="0" w:after="0"/>
              <w:jc w:val="center"/>
              <w:outlineLvl w:val="1"/>
              <w:rPr>
                <w:color w:val="000000"/>
              </w:rPr>
            </w:pPr>
            <w:r>
              <w:rPr>
                <w:color w:val="000000"/>
              </w:rPr>
              <w:t>2.06</w:t>
            </w:r>
            <w:r w:rsidRPr="001E23F3">
              <w:rPr>
                <w:color w:val="000000"/>
              </w:rPr>
              <w:t xml:space="preserve"> </w:t>
            </w:r>
            <w:r>
              <w:rPr>
                <w:color w:val="000000"/>
                <w:sz w:val="18"/>
              </w:rPr>
              <w:t>(1.10,3.88)</w:t>
            </w:r>
          </w:p>
        </w:tc>
        <w:tc>
          <w:tcPr>
            <w:tcW w:w="870" w:type="dxa"/>
            <w:tcBorders>
              <w:bottom w:val="single" w:sz="4" w:space="0" w:color="auto"/>
            </w:tcBorders>
            <w:shd w:val="clear" w:color="auto" w:fill="auto"/>
          </w:tcPr>
          <w:p w14:paraId="21DFA02B" w14:textId="77777777" w:rsidR="00DD4026" w:rsidRPr="001E23F3" w:rsidRDefault="00DD4026" w:rsidP="00380865">
            <w:pPr>
              <w:keepNext/>
              <w:suppressLineNumbers/>
              <w:spacing w:before="0" w:after="0"/>
              <w:jc w:val="center"/>
              <w:outlineLvl w:val="1"/>
              <w:rPr>
                <w:color w:val="000000"/>
              </w:rPr>
            </w:pPr>
            <w:r>
              <w:rPr>
                <w:color w:val="000000"/>
              </w:rPr>
              <w:t>5.1</w:t>
            </w:r>
          </w:p>
        </w:tc>
        <w:tc>
          <w:tcPr>
            <w:tcW w:w="894" w:type="dxa"/>
            <w:tcBorders>
              <w:bottom w:val="single" w:sz="4" w:space="0" w:color="auto"/>
            </w:tcBorders>
            <w:shd w:val="clear" w:color="auto" w:fill="auto"/>
          </w:tcPr>
          <w:p w14:paraId="1B104639" w14:textId="77777777" w:rsidR="00DD4026" w:rsidRPr="001E23F3" w:rsidRDefault="00DD4026" w:rsidP="00380865">
            <w:pPr>
              <w:keepNext/>
              <w:suppressLineNumbers/>
              <w:spacing w:before="0" w:after="0"/>
              <w:jc w:val="center"/>
              <w:outlineLvl w:val="1"/>
              <w:rPr>
                <w:color w:val="000000"/>
              </w:rPr>
            </w:pPr>
            <w:r>
              <w:rPr>
                <w:color w:val="000000"/>
              </w:rPr>
              <w:t>0.03</w:t>
            </w:r>
          </w:p>
        </w:tc>
        <w:tc>
          <w:tcPr>
            <w:tcW w:w="1626" w:type="dxa"/>
            <w:tcBorders>
              <w:bottom w:val="single" w:sz="4" w:space="0" w:color="auto"/>
            </w:tcBorders>
            <w:shd w:val="clear" w:color="auto" w:fill="auto"/>
          </w:tcPr>
          <w:p w14:paraId="5A62BFD0" w14:textId="77777777" w:rsidR="00DD4026" w:rsidRPr="001E23F3" w:rsidRDefault="00DD4026" w:rsidP="00380865">
            <w:pPr>
              <w:keepNext/>
              <w:suppressLineNumbers/>
              <w:spacing w:before="0" w:after="0"/>
              <w:jc w:val="center"/>
              <w:outlineLvl w:val="1"/>
              <w:rPr>
                <w:color w:val="000000"/>
              </w:rPr>
            </w:pPr>
            <w:r>
              <w:rPr>
                <w:color w:val="000000"/>
              </w:rPr>
              <w:t>2.37</w:t>
            </w:r>
            <w:r w:rsidRPr="001E23F3">
              <w:rPr>
                <w:color w:val="000000"/>
              </w:rPr>
              <w:t xml:space="preserve"> </w:t>
            </w:r>
            <w:r w:rsidRPr="00CF755D">
              <w:rPr>
                <w:color w:val="000000"/>
                <w:sz w:val="18"/>
              </w:rPr>
              <w:t>(</w:t>
            </w:r>
            <w:r>
              <w:rPr>
                <w:color w:val="000000"/>
                <w:sz w:val="18"/>
              </w:rPr>
              <w:t>1.58,3.54)</w:t>
            </w:r>
          </w:p>
        </w:tc>
        <w:tc>
          <w:tcPr>
            <w:tcW w:w="861" w:type="dxa"/>
            <w:tcBorders>
              <w:bottom w:val="single" w:sz="4" w:space="0" w:color="auto"/>
            </w:tcBorders>
            <w:shd w:val="clear" w:color="auto" w:fill="auto"/>
          </w:tcPr>
          <w:p w14:paraId="196576DE" w14:textId="77777777" w:rsidR="00DD4026" w:rsidRPr="001E23F3" w:rsidRDefault="00DD4026" w:rsidP="00380865">
            <w:pPr>
              <w:keepNext/>
              <w:suppressLineNumbers/>
              <w:spacing w:before="0" w:after="0"/>
              <w:jc w:val="center"/>
              <w:outlineLvl w:val="1"/>
              <w:rPr>
                <w:color w:val="000000"/>
              </w:rPr>
            </w:pPr>
            <w:r>
              <w:rPr>
                <w:color w:val="000000"/>
              </w:rPr>
              <w:t>17.6</w:t>
            </w:r>
          </w:p>
        </w:tc>
        <w:tc>
          <w:tcPr>
            <w:tcW w:w="896" w:type="dxa"/>
            <w:tcBorders>
              <w:bottom w:val="single" w:sz="4" w:space="0" w:color="auto"/>
            </w:tcBorders>
            <w:shd w:val="clear" w:color="auto" w:fill="auto"/>
          </w:tcPr>
          <w:p w14:paraId="648DD021" w14:textId="77777777" w:rsidR="00DD4026" w:rsidRPr="001E23F3" w:rsidRDefault="00DD4026" w:rsidP="00380865">
            <w:pPr>
              <w:keepNext/>
              <w:suppressLineNumbers/>
              <w:spacing w:before="0" w:after="0"/>
              <w:jc w:val="center"/>
              <w:outlineLvl w:val="1"/>
              <w:rPr>
                <w:color w:val="000000"/>
              </w:rPr>
            </w:pPr>
            <w:r w:rsidRPr="001E23F3">
              <w:rPr>
                <w:color w:val="000000"/>
              </w:rPr>
              <w:t>&lt;0.001</w:t>
            </w:r>
          </w:p>
        </w:tc>
      </w:tr>
    </w:tbl>
    <w:p w14:paraId="6C2634BE" w14:textId="77777777" w:rsidR="00DD4026" w:rsidRDefault="00DD4026" w:rsidP="00DD4026">
      <w:pPr>
        <w:suppressLineNumbers/>
        <w:spacing w:line="240" w:lineRule="auto"/>
        <w:rPr>
          <w:sz w:val="16"/>
          <w:shd w:val="clear" w:color="auto" w:fill="FFFFFF"/>
        </w:rPr>
      </w:pPr>
    </w:p>
    <w:p w14:paraId="10C25A02" w14:textId="77777777" w:rsidR="00DD4026" w:rsidRDefault="00DD4026" w:rsidP="00DD4026">
      <w:pPr>
        <w:suppressLineNumbers/>
        <w:spacing w:line="240" w:lineRule="auto"/>
        <w:rPr>
          <w:sz w:val="16"/>
          <w:shd w:val="clear" w:color="auto" w:fill="FFFFFF"/>
        </w:rPr>
      </w:pPr>
      <w:r w:rsidRPr="00BB1EE0">
        <w:rPr>
          <w:sz w:val="16"/>
          <w:shd w:val="clear" w:color="auto" w:fill="FFFFFF"/>
        </w:rPr>
        <w:t xml:space="preserve">Mal= malnourished, CONUT = Controlling nutritional status score, GNRI = geriatric nutritional risk index, PNI = prognostic nutritional index, MUST= malnutrition universal screening tool, MNA-SF= mini nutritional assessment –short form, SGA = subjective global assessment. </w:t>
      </w:r>
    </w:p>
    <w:p w14:paraId="0B03B14F" w14:textId="77777777" w:rsidR="00DD4026" w:rsidRPr="00CB37D4" w:rsidRDefault="00DD4026" w:rsidP="00DD4026">
      <w:pPr>
        <w:pStyle w:val="BodyText2"/>
        <w:suppressLineNumbers/>
        <w:rPr>
          <w:szCs w:val="16"/>
          <w:shd w:val="clear" w:color="auto" w:fill="FFFFFF"/>
        </w:rPr>
      </w:pPr>
      <w:r w:rsidRPr="00CE61F9">
        <w:rPr>
          <w:szCs w:val="16"/>
          <w:vertAlign w:val="superscript"/>
        </w:rPr>
        <w:lastRenderedPageBreak/>
        <w:t>1</w:t>
      </w:r>
      <w:r w:rsidRPr="00CB37D4">
        <w:rPr>
          <w:szCs w:val="16"/>
        </w:rPr>
        <w:t xml:space="preserve">Separate multivariable analysis was performed for each tool as both binary and continuous variable, with Supplementary Table 3 showing clinical variables included in multivariable analysis for predicting all-cause mortality and combined </w:t>
      </w:r>
      <w:r w:rsidRPr="006B287A">
        <w:rPr>
          <w:szCs w:val="16"/>
        </w:rPr>
        <w:t xml:space="preserve">outcome. </w:t>
      </w:r>
      <w:r w:rsidRPr="006B287A">
        <w:rPr>
          <w:rFonts w:eastAsia="Times New Roman"/>
          <w:szCs w:val="16"/>
          <w:lang w:eastAsia="en-GB"/>
        </w:rPr>
        <w:t>No significant interactions were found between variables included in the multivariable Cox regression models</w:t>
      </w:r>
    </w:p>
    <w:p w14:paraId="27B5C81E" w14:textId="77777777" w:rsidR="00DD4026" w:rsidRDefault="00DD4026" w:rsidP="00DD4026">
      <w:pPr>
        <w:suppressLineNumbers/>
        <w:spacing w:line="240" w:lineRule="auto"/>
        <w:rPr>
          <w:sz w:val="16"/>
          <w:shd w:val="clear" w:color="auto" w:fill="FFFFFF"/>
        </w:rPr>
      </w:pPr>
      <w:r>
        <w:rPr>
          <w:b/>
          <w:sz w:val="16"/>
          <w:szCs w:val="16"/>
          <w:vertAlign w:val="superscript"/>
        </w:rPr>
        <w:t>2</w:t>
      </w:r>
      <w:r>
        <w:rPr>
          <w:sz w:val="16"/>
          <w:shd w:val="clear" w:color="auto" w:fill="FFFFFF"/>
        </w:rPr>
        <w:t>moderate malnutrition vs no malnutrition (PNI classifies patients as non-malnourished, moderately or severely malnourished)</w:t>
      </w:r>
    </w:p>
    <w:p w14:paraId="03CAE505" w14:textId="77777777" w:rsidR="00DD4026" w:rsidRPr="005D7850" w:rsidRDefault="00DD4026" w:rsidP="00DD4026">
      <w:pPr>
        <w:suppressLineNumbers/>
        <w:spacing w:before="288" w:after="288" w:line="240" w:lineRule="auto"/>
        <w:rPr>
          <w:sz w:val="16"/>
          <w:szCs w:val="16"/>
          <w:shd w:val="clear" w:color="auto" w:fill="FFFFFF"/>
        </w:rPr>
      </w:pPr>
      <w:r>
        <w:rPr>
          <w:sz w:val="16"/>
          <w:szCs w:val="16"/>
          <w:shd w:val="clear" w:color="auto" w:fill="FFFFFF"/>
          <w:vertAlign w:val="superscript"/>
        </w:rPr>
        <w:t>3</w:t>
      </w:r>
      <w:r w:rsidRPr="005D7850">
        <w:rPr>
          <w:sz w:val="16"/>
          <w:szCs w:val="16"/>
          <w:shd w:val="clear" w:color="auto" w:fill="FFFFFF"/>
        </w:rPr>
        <w:t xml:space="preserve"> </w:t>
      </w:r>
      <w:r w:rsidRPr="005D7850">
        <w:rPr>
          <w:sz w:val="16"/>
          <w:szCs w:val="16"/>
        </w:rPr>
        <w:t xml:space="preserve">Variables in multivariable analysis predicting all-cause mortality included: Age, BMI, AF vs sinus rhythm, NYHA (III/IV vs I/II), </w:t>
      </w:r>
      <w:proofErr w:type="spellStart"/>
      <w:r w:rsidRPr="005D7850">
        <w:rPr>
          <w:sz w:val="16"/>
          <w:szCs w:val="16"/>
        </w:rPr>
        <w:t>Charlson</w:t>
      </w:r>
      <w:proofErr w:type="spellEnd"/>
      <w:r w:rsidRPr="005D7850">
        <w:rPr>
          <w:sz w:val="16"/>
          <w:szCs w:val="16"/>
        </w:rPr>
        <w:t xml:space="preserve"> score, </w:t>
      </w:r>
      <w:proofErr w:type="gramStart"/>
      <w:r w:rsidRPr="005D7850">
        <w:rPr>
          <w:sz w:val="16"/>
          <w:szCs w:val="16"/>
        </w:rPr>
        <w:t>log[</w:t>
      </w:r>
      <w:proofErr w:type="gramEnd"/>
      <w:r w:rsidRPr="005D7850">
        <w:rPr>
          <w:sz w:val="16"/>
          <w:szCs w:val="16"/>
        </w:rPr>
        <w:t>NT-</w:t>
      </w:r>
      <w:proofErr w:type="spellStart"/>
      <w:r w:rsidRPr="005D7850">
        <w:rPr>
          <w:sz w:val="16"/>
          <w:szCs w:val="16"/>
        </w:rPr>
        <w:t>proBNP</w:t>
      </w:r>
      <w:proofErr w:type="spellEnd"/>
      <w:r w:rsidRPr="005D7850">
        <w:rPr>
          <w:sz w:val="16"/>
          <w:szCs w:val="16"/>
        </w:rPr>
        <w:t xml:space="preserve">], Hb, eGFR. </w:t>
      </w:r>
      <w:r w:rsidRPr="005D7850">
        <w:rPr>
          <w:sz w:val="16"/>
          <w:szCs w:val="16"/>
          <w:shd w:val="clear" w:color="auto" w:fill="FFFFFF"/>
        </w:rPr>
        <w:t xml:space="preserve"> (BMI is not included in multivariable analysis involving MNA-SF</w:t>
      </w:r>
      <w:r>
        <w:rPr>
          <w:sz w:val="16"/>
          <w:szCs w:val="16"/>
          <w:shd w:val="clear" w:color="auto" w:fill="FFFFFF"/>
        </w:rPr>
        <w:t>, GNRI or MUST</w:t>
      </w:r>
      <w:r w:rsidRPr="005D7850">
        <w:rPr>
          <w:sz w:val="16"/>
          <w:szCs w:val="16"/>
          <w:shd w:val="clear" w:color="auto" w:fill="FFFFFF"/>
        </w:rPr>
        <w:t xml:space="preserve"> as it is part of </w:t>
      </w:r>
      <w:r>
        <w:rPr>
          <w:sz w:val="16"/>
          <w:szCs w:val="16"/>
          <w:shd w:val="clear" w:color="auto" w:fill="FFFFFF"/>
        </w:rPr>
        <w:t>these scores</w:t>
      </w:r>
      <w:r w:rsidRPr="005D7850">
        <w:rPr>
          <w:sz w:val="16"/>
          <w:szCs w:val="16"/>
          <w:shd w:val="clear" w:color="auto" w:fill="FFFFFF"/>
        </w:rPr>
        <w:t>).</w:t>
      </w:r>
    </w:p>
    <w:p w14:paraId="0C5BC07E" w14:textId="5E7E5E95" w:rsidR="00DD4026" w:rsidRDefault="00DD4026" w:rsidP="00DD4026">
      <w:pPr>
        <w:pStyle w:val="BodyText"/>
        <w:suppressLineNumbers/>
        <w:spacing w:line="240" w:lineRule="auto"/>
        <w:rPr>
          <w:sz w:val="16"/>
          <w:szCs w:val="16"/>
          <w:shd w:val="clear" w:color="auto" w:fill="FFFFFF"/>
        </w:rPr>
      </w:pPr>
      <w:r>
        <w:rPr>
          <w:sz w:val="16"/>
          <w:szCs w:val="16"/>
          <w:vertAlign w:val="superscript"/>
        </w:rPr>
        <w:t>4</w:t>
      </w:r>
      <w:r w:rsidRPr="005D7850">
        <w:rPr>
          <w:sz w:val="16"/>
          <w:szCs w:val="16"/>
        </w:rPr>
        <w:t xml:space="preserve"> Variables in multivariable analysis predicting combined outcome included: Age, BMI, NYHA (III/IV vs I/II), </w:t>
      </w:r>
      <w:proofErr w:type="spellStart"/>
      <w:r w:rsidRPr="005D7850">
        <w:rPr>
          <w:sz w:val="16"/>
          <w:szCs w:val="16"/>
        </w:rPr>
        <w:t>Charlson</w:t>
      </w:r>
      <w:proofErr w:type="spellEnd"/>
      <w:r w:rsidRPr="005D7850">
        <w:rPr>
          <w:sz w:val="16"/>
          <w:szCs w:val="16"/>
        </w:rPr>
        <w:t xml:space="preserve"> score, </w:t>
      </w:r>
      <w:proofErr w:type="gramStart"/>
      <w:r w:rsidRPr="005D7850">
        <w:rPr>
          <w:sz w:val="16"/>
          <w:szCs w:val="16"/>
        </w:rPr>
        <w:t>log[</w:t>
      </w:r>
      <w:proofErr w:type="gramEnd"/>
      <w:r w:rsidRPr="005D7850">
        <w:rPr>
          <w:sz w:val="16"/>
          <w:szCs w:val="16"/>
        </w:rPr>
        <w:t>NT-</w:t>
      </w:r>
      <w:proofErr w:type="spellStart"/>
      <w:r w:rsidRPr="005D7850">
        <w:rPr>
          <w:sz w:val="16"/>
          <w:szCs w:val="16"/>
        </w:rPr>
        <w:t>proBNP</w:t>
      </w:r>
      <w:proofErr w:type="spellEnd"/>
      <w:r w:rsidRPr="005D7850">
        <w:rPr>
          <w:sz w:val="16"/>
          <w:szCs w:val="16"/>
        </w:rPr>
        <w:t xml:space="preserve">], Hb, eGFR (AF vs sinus rhythm is not included as it is not a significant predictor of combined outcome in univariable analysis; </w:t>
      </w:r>
      <w:r w:rsidRPr="005D7850">
        <w:rPr>
          <w:sz w:val="16"/>
          <w:szCs w:val="16"/>
          <w:shd w:val="clear" w:color="auto" w:fill="FFFFFF"/>
        </w:rPr>
        <w:t>BMI is not included in multivariable analysis</w:t>
      </w:r>
      <w:r>
        <w:rPr>
          <w:sz w:val="16"/>
          <w:szCs w:val="16"/>
          <w:shd w:val="clear" w:color="auto" w:fill="FFFFFF"/>
        </w:rPr>
        <w:t xml:space="preserve"> involving</w:t>
      </w:r>
      <w:r w:rsidRPr="005D7850">
        <w:rPr>
          <w:sz w:val="16"/>
          <w:szCs w:val="16"/>
          <w:shd w:val="clear" w:color="auto" w:fill="FFFFFF"/>
        </w:rPr>
        <w:t xml:space="preserve"> MNA-SF</w:t>
      </w:r>
      <w:r>
        <w:rPr>
          <w:sz w:val="16"/>
          <w:szCs w:val="16"/>
          <w:shd w:val="clear" w:color="auto" w:fill="FFFFFF"/>
        </w:rPr>
        <w:t>, GNRI or MUST</w:t>
      </w:r>
      <w:r w:rsidRPr="005D7850">
        <w:rPr>
          <w:sz w:val="16"/>
          <w:szCs w:val="16"/>
          <w:shd w:val="clear" w:color="auto" w:fill="FFFFFF"/>
        </w:rPr>
        <w:t xml:space="preserve"> as it is part of </w:t>
      </w:r>
      <w:r>
        <w:rPr>
          <w:sz w:val="16"/>
          <w:szCs w:val="16"/>
          <w:shd w:val="clear" w:color="auto" w:fill="FFFFFF"/>
        </w:rPr>
        <w:t>these scores</w:t>
      </w:r>
      <w:r w:rsidRPr="005D7850">
        <w:rPr>
          <w:sz w:val="16"/>
          <w:szCs w:val="16"/>
          <w:shd w:val="clear" w:color="auto" w:fill="FFFFFF"/>
        </w:rPr>
        <w:t>).</w:t>
      </w:r>
    </w:p>
    <w:p w14:paraId="30FF6D12" w14:textId="77777777" w:rsidR="00DD4026" w:rsidRDefault="00DD4026">
      <w:pPr>
        <w:spacing w:before="0" w:after="160" w:line="259" w:lineRule="auto"/>
        <w:rPr>
          <w:sz w:val="16"/>
          <w:szCs w:val="16"/>
          <w:shd w:val="clear" w:color="auto" w:fill="FFFFFF"/>
        </w:rPr>
      </w:pPr>
      <w:r>
        <w:rPr>
          <w:sz w:val="16"/>
          <w:szCs w:val="16"/>
          <w:shd w:val="clear" w:color="auto" w:fill="FFFFFF"/>
        </w:rPr>
        <w:br w:type="page"/>
      </w:r>
    </w:p>
    <w:p w14:paraId="00CF0E9A" w14:textId="77777777" w:rsidR="00DD4026" w:rsidRDefault="00DD4026" w:rsidP="00DD4026">
      <w:pPr>
        <w:pStyle w:val="Heading1"/>
      </w:pPr>
      <w:r>
        <w:lastRenderedPageBreak/>
        <w:t>Table 3</w:t>
      </w:r>
    </w:p>
    <w:p w14:paraId="36F4600A" w14:textId="4089C81E" w:rsidR="00DD4026" w:rsidRDefault="00DD4026" w:rsidP="00DD4026">
      <w:pPr>
        <w:spacing w:before="288" w:after="288"/>
        <w:rPr>
          <w:i/>
        </w:rPr>
      </w:pPr>
      <w:r>
        <w:t xml:space="preserve">Addition of malnutrition tools and its impact on performance of base model containing age, </w:t>
      </w:r>
      <w:r w:rsidRPr="00DF7A5F">
        <w:t xml:space="preserve">NYHA (III/IV vs I/II), Log </w:t>
      </w:r>
      <w:r>
        <w:t>[</w:t>
      </w:r>
      <w:proofErr w:type="spellStart"/>
      <w:r w:rsidRPr="00DF7A5F">
        <w:t>NTproBNP</w:t>
      </w:r>
      <w:proofErr w:type="spellEnd"/>
      <w:r>
        <w:t>]</w:t>
      </w:r>
      <w:r w:rsidRPr="00DF7A5F">
        <w:t xml:space="preserve">, </w:t>
      </w:r>
      <w:r>
        <w:t>Hb, eGFR, atrial fibrillation, CVA and COPD in predicting all-cause mortality.</w:t>
      </w:r>
      <w:r w:rsidRPr="00EC4789">
        <w:rPr>
          <w:vertAlign w:val="superscript"/>
        </w:rPr>
        <w:t>1</w:t>
      </w:r>
    </w:p>
    <w:tbl>
      <w:tblPr>
        <w:tblStyle w:val="GridTable1Light1"/>
        <w:tblW w:w="8334" w:type="dxa"/>
        <w:tblLayout w:type="fixed"/>
        <w:tblLook w:val="04A0" w:firstRow="1" w:lastRow="0" w:firstColumn="1" w:lastColumn="0" w:noHBand="0" w:noVBand="1"/>
      </w:tblPr>
      <w:tblGrid>
        <w:gridCol w:w="3413"/>
        <w:gridCol w:w="2496"/>
        <w:gridCol w:w="2410"/>
        <w:gridCol w:w="15"/>
      </w:tblGrid>
      <w:tr w:rsidR="00DD4026" w:rsidRPr="00575A26" w14:paraId="14DF71BE" w14:textId="77777777" w:rsidTr="00380865">
        <w:trPr>
          <w:gridAfter w:val="1"/>
          <w:cnfStyle w:val="100000000000" w:firstRow="1" w:lastRow="0" w:firstColumn="0" w:lastColumn="0" w:oddVBand="0" w:evenVBand="0" w:oddHBand="0" w:evenHBand="0" w:firstRowFirstColumn="0" w:firstRowLastColumn="0" w:lastRowFirstColumn="0" w:lastRowLastColumn="0"/>
          <w:wAfter w:w="15" w:type="dxa"/>
          <w:trHeight w:val="547"/>
        </w:trPr>
        <w:tc>
          <w:tcPr>
            <w:cnfStyle w:val="001000000000" w:firstRow="0" w:lastRow="0" w:firstColumn="1" w:lastColumn="0" w:oddVBand="0" w:evenVBand="0" w:oddHBand="0" w:evenHBand="0" w:firstRowFirstColumn="0" w:firstRowLastColumn="0" w:lastRowFirstColumn="0" w:lastRowLastColumn="0"/>
            <w:tcW w:w="3413" w:type="dxa"/>
            <w:tcBorders>
              <w:left w:val="single" w:sz="4" w:space="0" w:color="auto"/>
              <w:bottom w:val="single" w:sz="4" w:space="0" w:color="000000"/>
              <w:right w:val="single" w:sz="4" w:space="0" w:color="auto"/>
            </w:tcBorders>
          </w:tcPr>
          <w:p w14:paraId="5815374C" w14:textId="77777777" w:rsidR="00DD4026" w:rsidRPr="00575A26" w:rsidRDefault="00DD4026" w:rsidP="00380865">
            <w:pPr>
              <w:spacing w:before="0" w:line="240" w:lineRule="auto"/>
            </w:pPr>
            <w:r w:rsidRPr="00575A26">
              <w:t>Model</w:t>
            </w:r>
          </w:p>
        </w:tc>
        <w:tc>
          <w:tcPr>
            <w:tcW w:w="2496" w:type="dxa"/>
            <w:tcBorders>
              <w:left w:val="single" w:sz="4" w:space="0" w:color="auto"/>
              <w:bottom w:val="single" w:sz="4" w:space="0" w:color="000000"/>
            </w:tcBorders>
          </w:tcPr>
          <w:p w14:paraId="40F74C61" w14:textId="77777777" w:rsidR="00DD4026" w:rsidRPr="00575A26" w:rsidRDefault="00DD4026" w:rsidP="00380865">
            <w:pPr>
              <w:spacing w:before="0" w:line="240" w:lineRule="auto"/>
              <w:jc w:val="center"/>
              <w:cnfStyle w:val="100000000000" w:firstRow="1" w:lastRow="0" w:firstColumn="0" w:lastColumn="0" w:oddVBand="0" w:evenVBand="0" w:oddHBand="0" w:evenHBand="0" w:firstRowFirstColumn="0" w:firstRowLastColumn="0" w:lastRowFirstColumn="0" w:lastRowLastColumn="0"/>
            </w:pPr>
            <w:r w:rsidRPr="00575A26">
              <w:t>C-statistics (95% CI)</w:t>
            </w:r>
          </w:p>
        </w:tc>
        <w:tc>
          <w:tcPr>
            <w:tcW w:w="2410" w:type="dxa"/>
            <w:tcBorders>
              <w:bottom w:val="single" w:sz="4" w:space="0" w:color="000000"/>
              <w:right w:val="single" w:sz="4" w:space="0" w:color="auto"/>
            </w:tcBorders>
          </w:tcPr>
          <w:p w14:paraId="6A3A030C" w14:textId="77777777" w:rsidR="00DD4026" w:rsidRPr="00575A26" w:rsidRDefault="00DD4026" w:rsidP="00380865">
            <w:pPr>
              <w:spacing w:before="0" w:line="240" w:lineRule="auto"/>
              <w:jc w:val="center"/>
              <w:cnfStyle w:val="100000000000" w:firstRow="1" w:lastRow="0" w:firstColumn="0" w:lastColumn="0" w:oddVBand="0" w:evenVBand="0" w:oddHBand="0" w:evenHBand="0" w:firstRowFirstColumn="0" w:firstRowLastColumn="0" w:lastRowFirstColumn="0" w:lastRowLastColumn="0"/>
              <w:rPr>
                <w:b w:val="0"/>
              </w:rPr>
            </w:pPr>
            <w:r w:rsidRPr="00575A26">
              <w:t>Likelihood ratio test</w:t>
            </w:r>
          </w:p>
          <w:p w14:paraId="4E93CD15" w14:textId="77777777" w:rsidR="00DD4026" w:rsidRPr="00575A26" w:rsidRDefault="00DD4026" w:rsidP="00380865">
            <w:pPr>
              <w:spacing w:before="0" w:line="240" w:lineRule="auto"/>
              <w:jc w:val="center"/>
              <w:cnfStyle w:val="100000000000" w:firstRow="1" w:lastRow="0" w:firstColumn="0" w:lastColumn="0" w:oddVBand="0" w:evenVBand="0" w:oddHBand="0" w:evenHBand="0" w:firstRowFirstColumn="0" w:firstRowLastColumn="0" w:lastRowFirstColumn="0" w:lastRowLastColumn="0"/>
              <w:rPr>
                <w:b w:val="0"/>
              </w:rPr>
            </w:pPr>
            <w:r w:rsidRPr="00575A26">
              <w:rPr>
                <w:b w:val="0"/>
              </w:rPr>
              <w:t xml:space="preserve">Compared to base model </w:t>
            </w:r>
          </w:p>
          <w:p w14:paraId="172F83C9" w14:textId="77777777" w:rsidR="00DD4026" w:rsidRPr="00575A26" w:rsidRDefault="00DD4026" w:rsidP="00380865">
            <w:pPr>
              <w:spacing w:before="0" w:after="0" w:line="240" w:lineRule="auto"/>
              <w:jc w:val="center"/>
              <w:cnfStyle w:val="100000000000" w:firstRow="1" w:lastRow="0" w:firstColumn="0" w:lastColumn="0" w:oddVBand="0" w:evenVBand="0" w:oddHBand="0" w:evenHBand="0" w:firstRowFirstColumn="0" w:firstRowLastColumn="0" w:lastRowFirstColumn="0" w:lastRowLastColumn="0"/>
              <w:rPr>
                <w:b w:val="0"/>
              </w:rPr>
            </w:pPr>
            <w:r w:rsidRPr="00575A26">
              <w:rPr>
                <w:b w:val="0"/>
              </w:rPr>
              <w:t>(P value)</w:t>
            </w:r>
          </w:p>
        </w:tc>
      </w:tr>
      <w:tr w:rsidR="00DD4026" w:rsidRPr="00575A26" w14:paraId="3EA812F9" w14:textId="77777777" w:rsidTr="00380865">
        <w:trPr>
          <w:gridAfter w:val="1"/>
          <w:wAfter w:w="15" w:type="dxa"/>
          <w:trHeight w:val="333"/>
        </w:trPr>
        <w:tc>
          <w:tcPr>
            <w:cnfStyle w:val="001000000000" w:firstRow="0" w:lastRow="0" w:firstColumn="1" w:lastColumn="0" w:oddVBand="0" w:evenVBand="0" w:oddHBand="0" w:evenHBand="0" w:firstRowFirstColumn="0" w:firstRowLastColumn="0" w:lastRowFirstColumn="0" w:lastRowLastColumn="0"/>
            <w:tcW w:w="3413" w:type="dxa"/>
            <w:tcBorders>
              <w:top w:val="single" w:sz="4" w:space="0" w:color="000000"/>
              <w:left w:val="single" w:sz="4" w:space="0" w:color="auto"/>
              <w:bottom w:val="single" w:sz="4" w:space="0" w:color="auto"/>
            </w:tcBorders>
          </w:tcPr>
          <w:p w14:paraId="5B1B3095" w14:textId="77777777" w:rsidR="00DD4026" w:rsidRPr="00575A26" w:rsidRDefault="00DD4026" w:rsidP="00380865">
            <w:pPr>
              <w:spacing w:before="0" w:after="0"/>
              <w:rPr>
                <w:b w:val="0"/>
              </w:rPr>
            </w:pPr>
            <w:r w:rsidRPr="00575A26">
              <w:rPr>
                <w:b w:val="0"/>
              </w:rPr>
              <w:t>Base model</w:t>
            </w:r>
            <w:r w:rsidRPr="00575A26">
              <w:rPr>
                <w:b w:val="0"/>
                <w:vertAlign w:val="superscript"/>
              </w:rPr>
              <w:t>2</w:t>
            </w:r>
          </w:p>
        </w:tc>
        <w:tc>
          <w:tcPr>
            <w:tcW w:w="2496" w:type="dxa"/>
            <w:tcBorders>
              <w:top w:val="single" w:sz="4" w:space="0" w:color="000000"/>
              <w:bottom w:val="single" w:sz="4" w:space="0" w:color="auto"/>
            </w:tcBorders>
          </w:tcPr>
          <w:p w14:paraId="3D23A490" w14:textId="77777777" w:rsidR="00DD4026" w:rsidRPr="00575A26" w:rsidRDefault="00DD4026" w:rsidP="00380865">
            <w:pPr>
              <w:spacing w:before="0" w:line="240" w:lineRule="auto"/>
              <w:jc w:val="center"/>
              <w:cnfStyle w:val="000000000000" w:firstRow="0" w:lastRow="0" w:firstColumn="0" w:lastColumn="0" w:oddVBand="0" w:evenVBand="0" w:oddHBand="0" w:evenHBand="0" w:firstRowFirstColumn="0" w:firstRowLastColumn="0" w:lastRowFirstColumn="0" w:lastRowLastColumn="0"/>
            </w:pPr>
            <w:r w:rsidRPr="00575A26">
              <w:t>0.757 (0.71</w:t>
            </w:r>
            <w:r>
              <w:t xml:space="preserve">, </w:t>
            </w:r>
            <w:r w:rsidRPr="00575A26">
              <w:t>0.81)</w:t>
            </w:r>
          </w:p>
        </w:tc>
        <w:tc>
          <w:tcPr>
            <w:tcW w:w="2410" w:type="dxa"/>
            <w:tcBorders>
              <w:top w:val="single" w:sz="4" w:space="0" w:color="000000"/>
              <w:bottom w:val="single" w:sz="4" w:space="0" w:color="auto"/>
              <w:right w:val="single" w:sz="4" w:space="0" w:color="auto"/>
            </w:tcBorders>
          </w:tcPr>
          <w:p w14:paraId="1B6CF963" w14:textId="77777777" w:rsidR="00DD4026" w:rsidRPr="00575A26" w:rsidRDefault="00DD4026" w:rsidP="00380865">
            <w:pPr>
              <w:spacing w:before="0" w:line="240" w:lineRule="auto"/>
              <w:jc w:val="center"/>
              <w:cnfStyle w:val="000000000000" w:firstRow="0" w:lastRow="0" w:firstColumn="0" w:lastColumn="0" w:oddVBand="0" w:evenVBand="0" w:oddHBand="0" w:evenHBand="0" w:firstRowFirstColumn="0" w:firstRowLastColumn="0" w:lastRowFirstColumn="0" w:lastRowLastColumn="0"/>
            </w:pPr>
            <w:r w:rsidRPr="00575A26">
              <w:t>-</w:t>
            </w:r>
          </w:p>
        </w:tc>
      </w:tr>
      <w:tr w:rsidR="00DD4026" w:rsidRPr="00575A26" w14:paraId="15A1030F" w14:textId="77777777" w:rsidTr="00380865">
        <w:trPr>
          <w:gridAfter w:val="1"/>
          <w:wAfter w:w="15" w:type="dxa"/>
          <w:trHeight w:val="309"/>
        </w:trPr>
        <w:tc>
          <w:tcPr>
            <w:cnfStyle w:val="001000000000" w:firstRow="0" w:lastRow="0" w:firstColumn="1" w:lastColumn="0" w:oddVBand="0" w:evenVBand="0" w:oddHBand="0" w:evenHBand="0" w:firstRowFirstColumn="0" w:firstRowLastColumn="0" w:lastRowFirstColumn="0" w:lastRowLastColumn="0"/>
            <w:tcW w:w="3413" w:type="dxa"/>
            <w:tcBorders>
              <w:top w:val="single" w:sz="4" w:space="0" w:color="000000"/>
              <w:left w:val="single" w:sz="4" w:space="0" w:color="auto"/>
              <w:bottom w:val="single" w:sz="4" w:space="0" w:color="auto"/>
            </w:tcBorders>
          </w:tcPr>
          <w:p w14:paraId="50ECA349" w14:textId="77777777" w:rsidR="00DD4026" w:rsidRPr="00575A26" w:rsidRDefault="00DD4026" w:rsidP="00380865">
            <w:pPr>
              <w:spacing w:before="0" w:line="240" w:lineRule="auto"/>
            </w:pPr>
            <w:r w:rsidRPr="00575A26">
              <w:rPr>
                <w:b w:val="0"/>
              </w:rPr>
              <w:t>Base</w:t>
            </w:r>
            <w:r w:rsidRPr="00575A26">
              <w:rPr>
                <w:b w:val="0"/>
                <w:vertAlign w:val="superscript"/>
              </w:rPr>
              <w:t>2</w:t>
            </w:r>
            <w:r w:rsidRPr="00575A26">
              <w:rPr>
                <w:b w:val="0"/>
              </w:rPr>
              <w:t xml:space="preserve"> + BMI</w:t>
            </w:r>
          </w:p>
        </w:tc>
        <w:tc>
          <w:tcPr>
            <w:tcW w:w="2496" w:type="dxa"/>
            <w:tcBorders>
              <w:top w:val="single" w:sz="4" w:space="0" w:color="000000"/>
              <w:bottom w:val="single" w:sz="4" w:space="0" w:color="auto"/>
            </w:tcBorders>
          </w:tcPr>
          <w:p w14:paraId="214116A4" w14:textId="77777777" w:rsidR="00DD4026" w:rsidRPr="00575A26" w:rsidRDefault="00DD4026" w:rsidP="00380865">
            <w:pPr>
              <w:spacing w:before="0" w:line="240" w:lineRule="auto"/>
              <w:jc w:val="center"/>
              <w:cnfStyle w:val="000000000000" w:firstRow="0" w:lastRow="0" w:firstColumn="0" w:lastColumn="0" w:oddVBand="0" w:evenVBand="0" w:oddHBand="0" w:evenHBand="0" w:firstRowFirstColumn="0" w:firstRowLastColumn="0" w:lastRowFirstColumn="0" w:lastRowLastColumn="0"/>
            </w:pPr>
            <w:r w:rsidRPr="00575A26">
              <w:t>0.760 (0.71</w:t>
            </w:r>
            <w:r>
              <w:t xml:space="preserve">, </w:t>
            </w:r>
            <w:r w:rsidRPr="00575A26">
              <w:t>0.81)</w:t>
            </w:r>
          </w:p>
        </w:tc>
        <w:tc>
          <w:tcPr>
            <w:tcW w:w="2410" w:type="dxa"/>
            <w:tcBorders>
              <w:top w:val="single" w:sz="4" w:space="0" w:color="000000"/>
              <w:bottom w:val="single" w:sz="4" w:space="0" w:color="auto"/>
              <w:right w:val="single" w:sz="4" w:space="0" w:color="auto"/>
            </w:tcBorders>
          </w:tcPr>
          <w:p w14:paraId="590E535D" w14:textId="77777777" w:rsidR="00DD4026" w:rsidRPr="00575A26" w:rsidRDefault="00DD4026" w:rsidP="00380865">
            <w:pPr>
              <w:spacing w:before="0" w:line="240" w:lineRule="auto"/>
              <w:jc w:val="center"/>
              <w:cnfStyle w:val="000000000000" w:firstRow="0" w:lastRow="0" w:firstColumn="0" w:lastColumn="0" w:oddVBand="0" w:evenVBand="0" w:oddHBand="0" w:evenHBand="0" w:firstRowFirstColumn="0" w:firstRowLastColumn="0" w:lastRowFirstColumn="0" w:lastRowLastColumn="0"/>
            </w:pPr>
            <w:r w:rsidRPr="00575A26">
              <w:t>0.27</w:t>
            </w:r>
          </w:p>
        </w:tc>
      </w:tr>
      <w:tr w:rsidR="00DD4026" w:rsidRPr="00575A26" w14:paraId="41E15B9A" w14:textId="77777777" w:rsidTr="00380865">
        <w:trPr>
          <w:trHeight w:val="429"/>
        </w:trPr>
        <w:tc>
          <w:tcPr>
            <w:cnfStyle w:val="001000000000" w:firstRow="0" w:lastRow="0" w:firstColumn="1" w:lastColumn="0" w:oddVBand="0" w:evenVBand="0" w:oddHBand="0" w:evenHBand="0" w:firstRowFirstColumn="0" w:firstRowLastColumn="0" w:lastRowFirstColumn="0" w:lastRowLastColumn="0"/>
            <w:tcW w:w="8334" w:type="dxa"/>
            <w:gridSpan w:val="4"/>
            <w:tcBorders>
              <w:top w:val="single" w:sz="4" w:space="0" w:color="000000"/>
              <w:left w:val="single" w:sz="4" w:space="0" w:color="auto"/>
              <w:right w:val="single" w:sz="4" w:space="0" w:color="auto"/>
            </w:tcBorders>
          </w:tcPr>
          <w:p w14:paraId="5CFF1BFB" w14:textId="77777777" w:rsidR="00DD4026" w:rsidRPr="00D87F4C" w:rsidRDefault="00DD4026" w:rsidP="00380865">
            <w:pPr>
              <w:pStyle w:val="Heading4"/>
              <w:spacing w:line="240" w:lineRule="auto"/>
              <w:outlineLvl w:val="3"/>
              <w:rPr>
                <w:rFonts w:ascii="Times New Roman" w:hAnsi="Times New Roman" w:cs="Times New Roman"/>
                <w:i w:val="0"/>
              </w:rPr>
            </w:pPr>
            <w:r w:rsidRPr="00D87F4C">
              <w:rPr>
                <w:rFonts w:ascii="Times New Roman" w:hAnsi="Times New Roman" w:cs="Times New Roman"/>
                <w:i w:val="0"/>
                <w:color w:val="auto"/>
              </w:rPr>
              <w:t>Simple tools</w:t>
            </w:r>
          </w:p>
        </w:tc>
      </w:tr>
      <w:tr w:rsidR="00DD4026" w:rsidRPr="00575A26" w14:paraId="55200DBD" w14:textId="77777777" w:rsidTr="00380865">
        <w:trPr>
          <w:gridAfter w:val="1"/>
          <w:wAfter w:w="15" w:type="dxa"/>
          <w:trHeight w:val="279"/>
        </w:trPr>
        <w:tc>
          <w:tcPr>
            <w:cnfStyle w:val="001000000000" w:firstRow="0" w:lastRow="0" w:firstColumn="1" w:lastColumn="0" w:oddVBand="0" w:evenVBand="0" w:oddHBand="0" w:evenHBand="0" w:firstRowFirstColumn="0" w:firstRowLastColumn="0" w:lastRowFirstColumn="0" w:lastRowLastColumn="0"/>
            <w:tcW w:w="3413" w:type="dxa"/>
            <w:tcBorders>
              <w:top w:val="single" w:sz="4" w:space="0" w:color="000000"/>
              <w:left w:val="single" w:sz="4" w:space="0" w:color="auto"/>
            </w:tcBorders>
          </w:tcPr>
          <w:p w14:paraId="7D84009A" w14:textId="77777777" w:rsidR="00DD4026" w:rsidRPr="00575A26" w:rsidRDefault="00DD4026" w:rsidP="00380865">
            <w:pPr>
              <w:spacing w:before="0" w:line="240" w:lineRule="auto"/>
              <w:rPr>
                <w:b w:val="0"/>
              </w:rPr>
            </w:pPr>
            <w:r w:rsidRPr="00575A26">
              <w:rPr>
                <w:b w:val="0"/>
              </w:rPr>
              <w:t>Base</w:t>
            </w:r>
            <w:r w:rsidRPr="00575A26">
              <w:rPr>
                <w:b w:val="0"/>
                <w:vertAlign w:val="superscript"/>
              </w:rPr>
              <w:t>2</w:t>
            </w:r>
            <w:r w:rsidRPr="00575A26">
              <w:rPr>
                <w:b w:val="0"/>
              </w:rPr>
              <w:t xml:space="preserve"> + CONUT</w:t>
            </w:r>
          </w:p>
        </w:tc>
        <w:tc>
          <w:tcPr>
            <w:tcW w:w="2496" w:type="dxa"/>
            <w:tcBorders>
              <w:top w:val="single" w:sz="4" w:space="0" w:color="000000"/>
            </w:tcBorders>
          </w:tcPr>
          <w:p w14:paraId="4C181618" w14:textId="77777777" w:rsidR="00DD4026" w:rsidRPr="00575A26" w:rsidRDefault="00DD4026" w:rsidP="00380865">
            <w:pPr>
              <w:spacing w:before="0" w:line="240" w:lineRule="auto"/>
              <w:jc w:val="center"/>
              <w:cnfStyle w:val="000000000000" w:firstRow="0" w:lastRow="0" w:firstColumn="0" w:lastColumn="0" w:oddVBand="0" w:evenVBand="0" w:oddHBand="0" w:evenHBand="0" w:firstRowFirstColumn="0" w:firstRowLastColumn="0" w:lastRowFirstColumn="0" w:lastRowLastColumn="0"/>
            </w:pPr>
            <w:r w:rsidRPr="00575A26">
              <w:t>0.777 (0.73</w:t>
            </w:r>
            <w:r>
              <w:t xml:space="preserve">, </w:t>
            </w:r>
            <w:r w:rsidRPr="00575A26">
              <w:t>0.83)</w:t>
            </w:r>
          </w:p>
        </w:tc>
        <w:tc>
          <w:tcPr>
            <w:tcW w:w="2410" w:type="dxa"/>
            <w:tcBorders>
              <w:top w:val="single" w:sz="4" w:space="0" w:color="000000"/>
              <w:right w:val="single" w:sz="4" w:space="0" w:color="auto"/>
            </w:tcBorders>
          </w:tcPr>
          <w:p w14:paraId="53148430" w14:textId="77777777" w:rsidR="00DD4026" w:rsidRPr="00575A26" w:rsidRDefault="00DD4026" w:rsidP="00380865">
            <w:pPr>
              <w:spacing w:before="0" w:line="240" w:lineRule="auto"/>
              <w:jc w:val="center"/>
              <w:cnfStyle w:val="000000000000" w:firstRow="0" w:lastRow="0" w:firstColumn="0" w:lastColumn="0" w:oddVBand="0" w:evenVBand="0" w:oddHBand="0" w:evenHBand="0" w:firstRowFirstColumn="0" w:firstRowLastColumn="0" w:lastRowFirstColumn="0" w:lastRowLastColumn="0"/>
            </w:pPr>
            <w:r w:rsidRPr="00575A26">
              <w:t>0.0001</w:t>
            </w:r>
          </w:p>
        </w:tc>
      </w:tr>
      <w:tr w:rsidR="00DD4026" w:rsidRPr="00575A26" w14:paraId="32CBA6E1" w14:textId="77777777" w:rsidTr="00380865">
        <w:trPr>
          <w:gridAfter w:val="1"/>
          <w:wAfter w:w="15" w:type="dxa"/>
          <w:trHeight w:val="268"/>
        </w:trPr>
        <w:tc>
          <w:tcPr>
            <w:cnfStyle w:val="001000000000" w:firstRow="0" w:lastRow="0" w:firstColumn="1" w:lastColumn="0" w:oddVBand="0" w:evenVBand="0" w:oddHBand="0" w:evenHBand="0" w:firstRowFirstColumn="0" w:firstRowLastColumn="0" w:lastRowFirstColumn="0" w:lastRowLastColumn="0"/>
            <w:tcW w:w="3413" w:type="dxa"/>
            <w:tcBorders>
              <w:top w:val="single" w:sz="4" w:space="0" w:color="auto"/>
              <w:left w:val="single" w:sz="4" w:space="0" w:color="auto"/>
            </w:tcBorders>
          </w:tcPr>
          <w:p w14:paraId="49BBDF81" w14:textId="77777777" w:rsidR="00DD4026" w:rsidRPr="00575A26" w:rsidRDefault="00DD4026" w:rsidP="00380865">
            <w:pPr>
              <w:spacing w:before="0" w:line="240" w:lineRule="auto"/>
              <w:rPr>
                <w:b w:val="0"/>
              </w:rPr>
            </w:pPr>
            <w:r w:rsidRPr="00575A26">
              <w:rPr>
                <w:b w:val="0"/>
              </w:rPr>
              <w:t>Base</w:t>
            </w:r>
            <w:r w:rsidRPr="00575A26">
              <w:rPr>
                <w:b w:val="0"/>
                <w:vertAlign w:val="superscript"/>
              </w:rPr>
              <w:t>2</w:t>
            </w:r>
            <w:r w:rsidRPr="00575A26">
              <w:rPr>
                <w:b w:val="0"/>
              </w:rPr>
              <w:t xml:space="preserve"> + GNRI</w:t>
            </w:r>
          </w:p>
        </w:tc>
        <w:tc>
          <w:tcPr>
            <w:tcW w:w="2496" w:type="dxa"/>
            <w:tcBorders>
              <w:top w:val="single" w:sz="4" w:space="0" w:color="auto"/>
            </w:tcBorders>
          </w:tcPr>
          <w:p w14:paraId="477A3B85" w14:textId="77777777" w:rsidR="00DD4026" w:rsidRPr="00575A26" w:rsidRDefault="00DD4026" w:rsidP="00380865">
            <w:pPr>
              <w:spacing w:before="0" w:line="240" w:lineRule="auto"/>
              <w:jc w:val="center"/>
              <w:cnfStyle w:val="000000000000" w:firstRow="0" w:lastRow="0" w:firstColumn="0" w:lastColumn="0" w:oddVBand="0" w:evenVBand="0" w:oddHBand="0" w:evenHBand="0" w:firstRowFirstColumn="0" w:firstRowLastColumn="0" w:lastRowFirstColumn="0" w:lastRowLastColumn="0"/>
            </w:pPr>
            <w:r w:rsidRPr="00575A26">
              <w:t>0.766 (0.71</w:t>
            </w:r>
            <w:r>
              <w:t xml:space="preserve">, </w:t>
            </w:r>
            <w:r w:rsidRPr="00575A26">
              <w:t>0.82)</w:t>
            </w:r>
          </w:p>
        </w:tc>
        <w:tc>
          <w:tcPr>
            <w:tcW w:w="2410" w:type="dxa"/>
            <w:tcBorders>
              <w:top w:val="single" w:sz="4" w:space="0" w:color="auto"/>
              <w:right w:val="single" w:sz="4" w:space="0" w:color="auto"/>
            </w:tcBorders>
          </w:tcPr>
          <w:p w14:paraId="374A271F" w14:textId="77777777" w:rsidR="00DD4026" w:rsidRPr="00575A26" w:rsidRDefault="00DD4026" w:rsidP="00380865">
            <w:pPr>
              <w:spacing w:before="0" w:line="240" w:lineRule="auto"/>
              <w:jc w:val="center"/>
              <w:cnfStyle w:val="000000000000" w:firstRow="0" w:lastRow="0" w:firstColumn="0" w:lastColumn="0" w:oddVBand="0" w:evenVBand="0" w:oddHBand="0" w:evenHBand="0" w:firstRowFirstColumn="0" w:firstRowLastColumn="0" w:lastRowFirstColumn="0" w:lastRowLastColumn="0"/>
            </w:pPr>
            <w:r w:rsidRPr="00575A26">
              <w:t>0.009</w:t>
            </w:r>
          </w:p>
        </w:tc>
      </w:tr>
      <w:tr w:rsidR="00DD4026" w:rsidRPr="00575A26" w14:paraId="2D467722" w14:textId="77777777" w:rsidTr="00380865">
        <w:trPr>
          <w:gridAfter w:val="1"/>
          <w:wAfter w:w="15" w:type="dxa"/>
          <w:trHeight w:val="231"/>
        </w:trPr>
        <w:tc>
          <w:tcPr>
            <w:cnfStyle w:val="001000000000" w:firstRow="0" w:lastRow="0" w:firstColumn="1" w:lastColumn="0" w:oddVBand="0" w:evenVBand="0" w:oddHBand="0" w:evenHBand="0" w:firstRowFirstColumn="0" w:firstRowLastColumn="0" w:lastRowFirstColumn="0" w:lastRowLastColumn="0"/>
            <w:tcW w:w="3413" w:type="dxa"/>
            <w:tcBorders>
              <w:left w:val="single" w:sz="4" w:space="0" w:color="auto"/>
              <w:bottom w:val="single" w:sz="4" w:space="0" w:color="auto"/>
            </w:tcBorders>
          </w:tcPr>
          <w:p w14:paraId="49CDDEAE" w14:textId="77777777" w:rsidR="00DD4026" w:rsidRPr="00575A26" w:rsidRDefault="00DD4026" w:rsidP="00380865">
            <w:pPr>
              <w:spacing w:before="0" w:line="240" w:lineRule="auto"/>
              <w:rPr>
                <w:b w:val="0"/>
              </w:rPr>
            </w:pPr>
            <w:r w:rsidRPr="00575A26">
              <w:rPr>
                <w:b w:val="0"/>
              </w:rPr>
              <w:t>Base</w:t>
            </w:r>
            <w:r w:rsidRPr="00575A26">
              <w:rPr>
                <w:b w:val="0"/>
                <w:vertAlign w:val="superscript"/>
              </w:rPr>
              <w:t>2</w:t>
            </w:r>
            <w:r w:rsidRPr="00575A26">
              <w:rPr>
                <w:b w:val="0"/>
              </w:rPr>
              <w:t xml:space="preserve"> + PNI</w:t>
            </w:r>
          </w:p>
        </w:tc>
        <w:tc>
          <w:tcPr>
            <w:tcW w:w="2496" w:type="dxa"/>
            <w:tcBorders>
              <w:bottom w:val="single" w:sz="4" w:space="0" w:color="auto"/>
            </w:tcBorders>
          </w:tcPr>
          <w:p w14:paraId="79E483FC" w14:textId="77777777" w:rsidR="00DD4026" w:rsidRPr="00575A26" w:rsidRDefault="00DD4026" w:rsidP="00380865">
            <w:pPr>
              <w:spacing w:before="0" w:line="240" w:lineRule="auto"/>
              <w:jc w:val="center"/>
              <w:cnfStyle w:val="000000000000" w:firstRow="0" w:lastRow="0" w:firstColumn="0" w:lastColumn="0" w:oddVBand="0" w:evenVBand="0" w:oddHBand="0" w:evenHBand="0" w:firstRowFirstColumn="0" w:firstRowLastColumn="0" w:lastRowFirstColumn="0" w:lastRowLastColumn="0"/>
            </w:pPr>
            <w:r w:rsidRPr="00575A26">
              <w:t>0.770 (0.72</w:t>
            </w:r>
            <w:r>
              <w:t xml:space="preserve">, </w:t>
            </w:r>
            <w:r w:rsidRPr="00575A26">
              <w:t>0.82)</w:t>
            </w:r>
          </w:p>
        </w:tc>
        <w:tc>
          <w:tcPr>
            <w:tcW w:w="2410" w:type="dxa"/>
            <w:tcBorders>
              <w:right w:val="single" w:sz="4" w:space="0" w:color="auto"/>
            </w:tcBorders>
          </w:tcPr>
          <w:p w14:paraId="4EA86563" w14:textId="77777777" w:rsidR="00DD4026" w:rsidRPr="00575A26" w:rsidRDefault="00DD4026" w:rsidP="00380865">
            <w:pPr>
              <w:spacing w:before="0" w:line="240" w:lineRule="auto"/>
              <w:jc w:val="center"/>
              <w:cnfStyle w:val="000000000000" w:firstRow="0" w:lastRow="0" w:firstColumn="0" w:lastColumn="0" w:oddVBand="0" w:evenVBand="0" w:oddHBand="0" w:evenHBand="0" w:firstRowFirstColumn="0" w:firstRowLastColumn="0" w:lastRowFirstColumn="0" w:lastRowLastColumn="0"/>
            </w:pPr>
            <w:r w:rsidRPr="00575A26">
              <w:t>0.0007</w:t>
            </w:r>
          </w:p>
        </w:tc>
      </w:tr>
      <w:tr w:rsidR="00DD4026" w:rsidRPr="00575A26" w14:paraId="7537E808" w14:textId="77777777" w:rsidTr="00380865">
        <w:trPr>
          <w:trHeight w:val="297"/>
        </w:trPr>
        <w:tc>
          <w:tcPr>
            <w:cnfStyle w:val="001000000000" w:firstRow="0" w:lastRow="0" w:firstColumn="1" w:lastColumn="0" w:oddVBand="0" w:evenVBand="0" w:oddHBand="0" w:evenHBand="0" w:firstRowFirstColumn="0" w:firstRowLastColumn="0" w:lastRowFirstColumn="0" w:lastRowLastColumn="0"/>
            <w:tcW w:w="8334" w:type="dxa"/>
            <w:gridSpan w:val="4"/>
            <w:tcBorders>
              <w:top w:val="single" w:sz="4" w:space="0" w:color="auto"/>
              <w:left w:val="single" w:sz="4" w:space="0" w:color="auto"/>
              <w:right w:val="single" w:sz="4" w:space="0" w:color="auto"/>
            </w:tcBorders>
          </w:tcPr>
          <w:p w14:paraId="035529F9" w14:textId="77777777" w:rsidR="00DD4026" w:rsidRPr="00D87F4C" w:rsidRDefault="00DD4026" w:rsidP="00380865">
            <w:pPr>
              <w:pStyle w:val="Heading4"/>
              <w:spacing w:line="240" w:lineRule="auto"/>
              <w:outlineLvl w:val="3"/>
              <w:rPr>
                <w:rFonts w:ascii="Times New Roman" w:hAnsi="Times New Roman" w:cs="Times New Roman"/>
                <w:i w:val="0"/>
              </w:rPr>
            </w:pPr>
            <w:r w:rsidRPr="00D87F4C">
              <w:rPr>
                <w:rFonts w:ascii="Times New Roman" w:hAnsi="Times New Roman" w:cs="Times New Roman"/>
                <w:i w:val="0"/>
                <w:color w:val="auto"/>
              </w:rPr>
              <w:t>Multi-dimensional tools</w:t>
            </w:r>
          </w:p>
        </w:tc>
      </w:tr>
      <w:tr w:rsidR="00DD4026" w:rsidRPr="00575A26" w14:paraId="2C41D0AA" w14:textId="77777777" w:rsidTr="00380865">
        <w:trPr>
          <w:gridAfter w:val="1"/>
          <w:wAfter w:w="15" w:type="dxa"/>
          <w:trHeight w:val="297"/>
        </w:trPr>
        <w:tc>
          <w:tcPr>
            <w:cnfStyle w:val="001000000000" w:firstRow="0" w:lastRow="0" w:firstColumn="1" w:lastColumn="0" w:oddVBand="0" w:evenVBand="0" w:oddHBand="0" w:evenHBand="0" w:firstRowFirstColumn="0" w:firstRowLastColumn="0" w:lastRowFirstColumn="0" w:lastRowLastColumn="0"/>
            <w:tcW w:w="3413" w:type="dxa"/>
            <w:tcBorders>
              <w:top w:val="single" w:sz="4" w:space="0" w:color="auto"/>
              <w:left w:val="single" w:sz="4" w:space="0" w:color="auto"/>
            </w:tcBorders>
          </w:tcPr>
          <w:p w14:paraId="7CCD6C0C" w14:textId="77777777" w:rsidR="00DD4026" w:rsidRPr="00575A26" w:rsidRDefault="00DD4026" w:rsidP="00380865">
            <w:pPr>
              <w:spacing w:before="0" w:line="240" w:lineRule="auto"/>
              <w:rPr>
                <w:b w:val="0"/>
              </w:rPr>
            </w:pPr>
            <w:r w:rsidRPr="00575A26">
              <w:rPr>
                <w:b w:val="0"/>
              </w:rPr>
              <w:t>Base</w:t>
            </w:r>
            <w:r w:rsidRPr="00575A26">
              <w:rPr>
                <w:b w:val="0"/>
                <w:vertAlign w:val="superscript"/>
              </w:rPr>
              <w:t>2</w:t>
            </w:r>
            <w:r w:rsidRPr="00575A26">
              <w:rPr>
                <w:b w:val="0"/>
              </w:rPr>
              <w:t xml:space="preserve"> + MUST</w:t>
            </w:r>
          </w:p>
        </w:tc>
        <w:tc>
          <w:tcPr>
            <w:tcW w:w="2496" w:type="dxa"/>
            <w:tcBorders>
              <w:top w:val="single" w:sz="4" w:space="0" w:color="auto"/>
            </w:tcBorders>
          </w:tcPr>
          <w:p w14:paraId="6FB703EA" w14:textId="77777777" w:rsidR="00DD4026" w:rsidRPr="00575A26" w:rsidRDefault="00DD4026" w:rsidP="00380865">
            <w:pPr>
              <w:spacing w:before="0" w:line="240" w:lineRule="auto"/>
              <w:jc w:val="center"/>
              <w:cnfStyle w:val="000000000000" w:firstRow="0" w:lastRow="0" w:firstColumn="0" w:lastColumn="0" w:oddVBand="0" w:evenVBand="0" w:oddHBand="0" w:evenHBand="0" w:firstRowFirstColumn="0" w:firstRowLastColumn="0" w:lastRowFirstColumn="0" w:lastRowLastColumn="0"/>
            </w:pPr>
            <w:r>
              <w:t xml:space="preserve">0.762 (0.71, </w:t>
            </w:r>
            <w:r w:rsidRPr="00575A26">
              <w:t>0.82)</w:t>
            </w:r>
          </w:p>
        </w:tc>
        <w:tc>
          <w:tcPr>
            <w:tcW w:w="2410" w:type="dxa"/>
            <w:tcBorders>
              <w:top w:val="single" w:sz="4" w:space="0" w:color="auto"/>
              <w:right w:val="single" w:sz="4" w:space="0" w:color="auto"/>
            </w:tcBorders>
          </w:tcPr>
          <w:p w14:paraId="5B1E1613" w14:textId="77777777" w:rsidR="00DD4026" w:rsidRPr="00575A26" w:rsidRDefault="00DD4026" w:rsidP="00380865">
            <w:pPr>
              <w:spacing w:before="0" w:line="240" w:lineRule="auto"/>
              <w:jc w:val="center"/>
              <w:cnfStyle w:val="000000000000" w:firstRow="0" w:lastRow="0" w:firstColumn="0" w:lastColumn="0" w:oddVBand="0" w:evenVBand="0" w:oddHBand="0" w:evenHBand="0" w:firstRowFirstColumn="0" w:firstRowLastColumn="0" w:lastRowFirstColumn="0" w:lastRowLastColumn="0"/>
            </w:pPr>
            <w:r w:rsidRPr="00575A26">
              <w:t>0.02</w:t>
            </w:r>
          </w:p>
        </w:tc>
      </w:tr>
      <w:tr w:rsidR="00DD4026" w:rsidRPr="00575A26" w14:paraId="7E7B4EE0" w14:textId="77777777" w:rsidTr="00380865">
        <w:trPr>
          <w:gridAfter w:val="1"/>
          <w:wAfter w:w="15" w:type="dxa"/>
          <w:trHeight w:val="161"/>
        </w:trPr>
        <w:tc>
          <w:tcPr>
            <w:cnfStyle w:val="001000000000" w:firstRow="0" w:lastRow="0" w:firstColumn="1" w:lastColumn="0" w:oddVBand="0" w:evenVBand="0" w:oddHBand="0" w:evenHBand="0" w:firstRowFirstColumn="0" w:firstRowLastColumn="0" w:lastRowFirstColumn="0" w:lastRowLastColumn="0"/>
            <w:tcW w:w="3413" w:type="dxa"/>
            <w:tcBorders>
              <w:left w:val="single" w:sz="4" w:space="0" w:color="auto"/>
            </w:tcBorders>
          </w:tcPr>
          <w:p w14:paraId="73EEC39A" w14:textId="77777777" w:rsidR="00DD4026" w:rsidRPr="00575A26" w:rsidRDefault="00DD4026" w:rsidP="00380865">
            <w:pPr>
              <w:spacing w:before="0" w:line="240" w:lineRule="auto"/>
              <w:rPr>
                <w:b w:val="0"/>
              </w:rPr>
            </w:pPr>
            <w:r w:rsidRPr="00575A26">
              <w:rPr>
                <w:b w:val="0"/>
              </w:rPr>
              <w:t>Base</w:t>
            </w:r>
            <w:r w:rsidRPr="00575A26">
              <w:rPr>
                <w:b w:val="0"/>
                <w:vertAlign w:val="superscript"/>
              </w:rPr>
              <w:t>2</w:t>
            </w:r>
            <w:r w:rsidRPr="00575A26">
              <w:rPr>
                <w:b w:val="0"/>
              </w:rPr>
              <w:t xml:space="preserve"> + MNA-SF</w:t>
            </w:r>
          </w:p>
        </w:tc>
        <w:tc>
          <w:tcPr>
            <w:tcW w:w="2496" w:type="dxa"/>
          </w:tcPr>
          <w:p w14:paraId="29D2CD7A" w14:textId="77777777" w:rsidR="00DD4026" w:rsidRPr="00575A26" w:rsidRDefault="00DD4026" w:rsidP="00380865">
            <w:pPr>
              <w:spacing w:before="0" w:line="240" w:lineRule="auto"/>
              <w:jc w:val="center"/>
              <w:cnfStyle w:val="000000000000" w:firstRow="0" w:lastRow="0" w:firstColumn="0" w:lastColumn="0" w:oddVBand="0" w:evenVBand="0" w:oddHBand="0" w:evenHBand="0" w:firstRowFirstColumn="0" w:firstRowLastColumn="0" w:lastRowFirstColumn="0" w:lastRowLastColumn="0"/>
            </w:pPr>
            <w:r>
              <w:t xml:space="preserve">0.776 (0.72, </w:t>
            </w:r>
            <w:r w:rsidRPr="00575A26">
              <w:t>0.83)</w:t>
            </w:r>
          </w:p>
        </w:tc>
        <w:tc>
          <w:tcPr>
            <w:tcW w:w="2410" w:type="dxa"/>
            <w:tcBorders>
              <w:right w:val="single" w:sz="4" w:space="0" w:color="auto"/>
            </w:tcBorders>
          </w:tcPr>
          <w:p w14:paraId="172195C4" w14:textId="77777777" w:rsidR="00DD4026" w:rsidRPr="00575A26" w:rsidRDefault="00DD4026" w:rsidP="00380865">
            <w:pPr>
              <w:spacing w:before="0" w:line="240" w:lineRule="auto"/>
              <w:jc w:val="center"/>
              <w:cnfStyle w:val="000000000000" w:firstRow="0" w:lastRow="0" w:firstColumn="0" w:lastColumn="0" w:oddVBand="0" w:evenVBand="0" w:oddHBand="0" w:evenHBand="0" w:firstRowFirstColumn="0" w:firstRowLastColumn="0" w:lastRowFirstColumn="0" w:lastRowLastColumn="0"/>
            </w:pPr>
            <w:r w:rsidRPr="00575A26">
              <w:t>0.0003</w:t>
            </w:r>
          </w:p>
        </w:tc>
      </w:tr>
      <w:tr w:rsidR="00DD4026" w:rsidRPr="00575A26" w14:paraId="65CC4E96" w14:textId="77777777" w:rsidTr="00380865">
        <w:trPr>
          <w:gridAfter w:val="1"/>
          <w:wAfter w:w="15" w:type="dxa"/>
          <w:trHeight w:val="309"/>
        </w:trPr>
        <w:tc>
          <w:tcPr>
            <w:cnfStyle w:val="001000000000" w:firstRow="0" w:lastRow="0" w:firstColumn="1" w:lastColumn="0" w:oddVBand="0" w:evenVBand="0" w:oddHBand="0" w:evenHBand="0" w:firstRowFirstColumn="0" w:firstRowLastColumn="0" w:lastRowFirstColumn="0" w:lastRowLastColumn="0"/>
            <w:tcW w:w="3413" w:type="dxa"/>
            <w:tcBorders>
              <w:left w:val="single" w:sz="4" w:space="0" w:color="auto"/>
              <w:bottom w:val="single" w:sz="4" w:space="0" w:color="auto"/>
            </w:tcBorders>
          </w:tcPr>
          <w:p w14:paraId="5B8DDCF0" w14:textId="77777777" w:rsidR="00DD4026" w:rsidRPr="00575A26" w:rsidRDefault="00DD4026" w:rsidP="00380865">
            <w:pPr>
              <w:spacing w:before="0" w:after="0"/>
              <w:rPr>
                <w:b w:val="0"/>
              </w:rPr>
            </w:pPr>
            <w:r w:rsidRPr="00575A26">
              <w:rPr>
                <w:b w:val="0"/>
              </w:rPr>
              <w:t>Base</w:t>
            </w:r>
            <w:r w:rsidRPr="00575A26">
              <w:rPr>
                <w:b w:val="0"/>
                <w:vertAlign w:val="superscript"/>
              </w:rPr>
              <w:t>2</w:t>
            </w:r>
            <w:r w:rsidRPr="00575A26">
              <w:rPr>
                <w:b w:val="0"/>
              </w:rPr>
              <w:t xml:space="preserve"> + SGA</w:t>
            </w:r>
          </w:p>
        </w:tc>
        <w:tc>
          <w:tcPr>
            <w:tcW w:w="2496" w:type="dxa"/>
            <w:tcBorders>
              <w:bottom w:val="single" w:sz="4" w:space="0" w:color="auto"/>
            </w:tcBorders>
          </w:tcPr>
          <w:p w14:paraId="6C61BCE0" w14:textId="77777777" w:rsidR="00DD4026" w:rsidRPr="00575A26" w:rsidRDefault="00DD4026" w:rsidP="00380865">
            <w:pPr>
              <w:spacing w:before="0" w:line="240" w:lineRule="auto"/>
              <w:jc w:val="center"/>
              <w:cnfStyle w:val="000000000000" w:firstRow="0" w:lastRow="0" w:firstColumn="0" w:lastColumn="0" w:oddVBand="0" w:evenVBand="0" w:oddHBand="0" w:evenHBand="0" w:firstRowFirstColumn="0" w:firstRowLastColumn="0" w:lastRowFirstColumn="0" w:lastRowLastColumn="0"/>
            </w:pPr>
            <w:r>
              <w:t xml:space="preserve">0.768 (0.71, </w:t>
            </w:r>
            <w:r w:rsidRPr="00575A26">
              <w:t>0.82)</w:t>
            </w:r>
          </w:p>
        </w:tc>
        <w:tc>
          <w:tcPr>
            <w:tcW w:w="2410" w:type="dxa"/>
            <w:tcBorders>
              <w:bottom w:val="single" w:sz="4" w:space="0" w:color="auto"/>
              <w:right w:val="single" w:sz="4" w:space="0" w:color="auto"/>
            </w:tcBorders>
          </w:tcPr>
          <w:p w14:paraId="7C97C778" w14:textId="77777777" w:rsidR="00DD4026" w:rsidRPr="00575A26" w:rsidRDefault="00DD4026" w:rsidP="00380865">
            <w:pPr>
              <w:spacing w:before="0" w:line="240" w:lineRule="auto"/>
              <w:jc w:val="center"/>
              <w:cnfStyle w:val="000000000000" w:firstRow="0" w:lastRow="0" w:firstColumn="0" w:lastColumn="0" w:oddVBand="0" w:evenVBand="0" w:oddHBand="0" w:evenHBand="0" w:firstRowFirstColumn="0" w:firstRowLastColumn="0" w:lastRowFirstColumn="0" w:lastRowLastColumn="0"/>
            </w:pPr>
            <w:r w:rsidRPr="00575A26">
              <w:t>0.002</w:t>
            </w:r>
          </w:p>
        </w:tc>
      </w:tr>
      <w:tr w:rsidR="00DD4026" w:rsidRPr="00575A26" w14:paraId="2E4EA38C" w14:textId="77777777" w:rsidTr="00380865">
        <w:trPr>
          <w:trHeight w:val="358"/>
        </w:trPr>
        <w:tc>
          <w:tcPr>
            <w:cnfStyle w:val="001000000000" w:firstRow="0" w:lastRow="0" w:firstColumn="1" w:lastColumn="0" w:oddVBand="0" w:evenVBand="0" w:oddHBand="0" w:evenHBand="0" w:firstRowFirstColumn="0" w:firstRowLastColumn="0" w:lastRowFirstColumn="0" w:lastRowLastColumn="0"/>
            <w:tcW w:w="8334" w:type="dxa"/>
            <w:gridSpan w:val="4"/>
            <w:tcBorders>
              <w:top w:val="single" w:sz="4" w:space="0" w:color="auto"/>
              <w:left w:val="single" w:sz="4" w:space="0" w:color="auto"/>
              <w:right w:val="single" w:sz="4" w:space="0" w:color="auto"/>
            </w:tcBorders>
          </w:tcPr>
          <w:p w14:paraId="69EFC467" w14:textId="77777777" w:rsidR="00DD4026" w:rsidRPr="00575A26" w:rsidRDefault="00DD4026" w:rsidP="00380865">
            <w:pPr>
              <w:pStyle w:val="NoSpacing"/>
              <w:rPr>
                <w:rFonts w:ascii="Times New Roman" w:hAnsi="Times New Roman"/>
                <w:sz w:val="24"/>
                <w:szCs w:val="24"/>
              </w:rPr>
            </w:pPr>
            <w:r w:rsidRPr="00575A26">
              <w:rPr>
                <w:rFonts w:ascii="Times New Roman" w:hAnsi="Times New Roman"/>
                <w:sz w:val="24"/>
                <w:szCs w:val="24"/>
              </w:rPr>
              <w:t>Single tests</w:t>
            </w:r>
          </w:p>
        </w:tc>
      </w:tr>
      <w:tr w:rsidR="00DD4026" w:rsidRPr="00575A26" w14:paraId="371C0524" w14:textId="77777777" w:rsidTr="00380865">
        <w:trPr>
          <w:gridAfter w:val="1"/>
          <w:wAfter w:w="15" w:type="dxa"/>
          <w:trHeight w:val="299"/>
        </w:trPr>
        <w:tc>
          <w:tcPr>
            <w:cnfStyle w:val="001000000000" w:firstRow="0" w:lastRow="0" w:firstColumn="1" w:lastColumn="0" w:oddVBand="0" w:evenVBand="0" w:oddHBand="0" w:evenHBand="0" w:firstRowFirstColumn="0" w:firstRowLastColumn="0" w:lastRowFirstColumn="0" w:lastRowLastColumn="0"/>
            <w:tcW w:w="3413" w:type="dxa"/>
            <w:tcBorders>
              <w:top w:val="single" w:sz="4" w:space="0" w:color="auto"/>
              <w:left w:val="single" w:sz="4" w:space="0" w:color="auto"/>
            </w:tcBorders>
          </w:tcPr>
          <w:p w14:paraId="19E4FC91" w14:textId="77777777" w:rsidR="00DD4026" w:rsidRPr="00575A26" w:rsidRDefault="00DD4026" w:rsidP="00380865">
            <w:pPr>
              <w:spacing w:before="0" w:line="240" w:lineRule="auto"/>
              <w:rPr>
                <w:b w:val="0"/>
              </w:rPr>
            </w:pPr>
            <w:r w:rsidRPr="00575A26">
              <w:rPr>
                <w:b w:val="0"/>
              </w:rPr>
              <w:t>Base</w:t>
            </w:r>
            <w:r w:rsidRPr="00575A26">
              <w:rPr>
                <w:b w:val="0"/>
                <w:vertAlign w:val="superscript"/>
              </w:rPr>
              <w:t>2</w:t>
            </w:r>
            <w:r w:rsidRPr="00575A26">
              <w:rPr>
                <w:b w:val="0"/>
              </w:rPr>
              <w:t xml:space="preserve"> + </w:t>
            </w:r>
            <w:r>
              <w:rPr>
                <w:b w:val="0"/>
              </w:rPr>
              <w:t>C</w:t>
            </w:r>
            <w:r w:rsidRPr="00575A26">
              <w:rPr>
                <w:b w:val="0"/>
              </w:rPr>
              <w:t>holesterol</w:t>
            </w:r>
          </w:p>
        </w:tc>
        <w:tc>
          <w:tcPr>
            <w:tcW w:w="2496" w:type="dxa"/>
            <w:tcBorders>
              <w:top w:val="single" w:sz="4" w:space="0" w:color="auto"/>
            </w:tcBorders>
          </w:tcPr>
          <w:p w14:paraId="00B9FDD4" w14:textId="77777777" w:rsidR="00DD4026" w:rsidRPr="00575A26" w:rsidRDefault="00DD4026" w:rsidP="00380865">
            <w:pPr>
              <w:spacing w:before="0" w:line="240" w:lineRule="auto"/>
              <w:jc w:val="center"/>
              <w:cnfStyle w:val="000000000000" w:firstRow="0" w:lastRow="0" w:firstColumn="0" w:lastColumn="0" w:oddVBand="0" w:evenVBand="0" w:oddHBand="0" w:evenHBand="0" w:firstRowFirstColumn="0" w:firstRowLastColumn="0" w:lastRowFirstColumn="0" w:lastRowLastColumn="0"/>
            </w:pPr>
            <w:r>
              <w:t xml:space="preserve">0.767 (0.72, </w:t>
            </w:r>
            <w:r w:rsidRPr="00575A26">
              <w:t>0.82)</w:t>
            </w:r>
          </w:p>
        </w:tc>
        <w:tc>
          <w:tcPr>
            <w:tcW w:w="2410" w:type="dxa"/>
            <w:tcBorders>
              <w:top w:val="single" w:sz="4" w:space="0" w:color="auto"/>
              <w:right w:val="single" w:sz="4" w:space="0" w:color="auto"/>
            </w:tcBorders>
          </w:tcPr>
          <w:p w14:paraId="7A4B5580" w14:textId="77777777" w:rsidR="00DD4026" w:rsidRPr="00575A26" w:rsidRDefault="00DD4026" w:rsidP="00380865">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575A26">
              <w:rPr>
                <w:rFonts w:ascii="Times New Roman" w:hAnsi="Times New Roman"/>
                <w:sz w:val="24"/>
                <w:szCs w:val="24"/>
              </w:rPr>
              <w:t>0.003</w:t>
            </w:r>
          </w:p>
        </w:tc>
      </w:tr>
      <w:tr w:rsidR="00DD4026" w:rsidRPr="00575A26" w14:paraId="6E602CD9" w14:textId="77777777" w:rsidTr="00380865">
        <w:trPr>
          <w:gridAfter w:val="1"/>
          <w:wAfter w:w="15" w:type="dxa"/>
          <w:trHeight w:val="310"/>
        </w:trPr>
        <w:tc>
          <w:tcPr>
            <w:cnfStyle w:val="001000000000" w:firstRow="0" w:lastRow="0" w:firstColumn="1" w:lastColumn="0" w:oddVBand="0" w:evenVBand="0" w:oddHBand="0" w:evenHBand="0" w:firstRowFirstColumn="0" w:firstRowLastColumn="0" w:lastRowFirstColumn="0" w:lastRowLastColumn="0"/>
            <w:tcW w:w="3413" w:type="dxa"/>
            <w:tcBorders>
              <w:left w:val="single" w:sz="4" w:space="0" w:color="auto"/>
            </w:tcBorders>
          </w:tcPr>
          <w:p w14:paraId="48FDFBD6" w14:textId="77777777" w:rsidR="00DD4026" w:rsidRPr="00575A26" w:rsidRDefault="00DD4026" w:rsidP="00380865">
            <w:pPr>
              <w:spacing w:before="0" w:line="240" w:lineRule="auto"/>
              <w:rPr>
                <w:b w:val="0"/>
              </w:rPr>
            </w:pPr>
            <w:r w:rsidRPr="00575A26">
              <w:rPr>
                <w:b w:val="0"/>
              </w:rPr>
              <w:t>Base</w:t>
            </w:r>
            <w:r w:rsidRPr="00575A26">
              <w:rPr>
                <w:b w:val="0"/>
                <w:vertAlign w:val="superscript"/>
              </w:rPr>
              <w:t>2</w:t>
            </w:r>
            <w:r w:rsidRPr="00575A26">
              <w:rPr>
                <w:b w:val="0"/>
              </w:rPr>
              <w:t xml:space="preserve"> + </w:t>
            </w:r>
            <w:r>
              <w:rPr>
                <w:b w:val="0"/>
              </w:rPr>
              <w:t>A</w:t>
            </w:r>
            <w:r w:rsidRPr="00575A26">
              <w:rPr>
                <w:b w:val="0"/>
              </w:rPr>
              <w:t>lbumin</w:t>
            </w:r>
          </w:p>
        </w:tc>
        <w:tc>
          <w:tcPr>
            <w:tcW w:w="2496" w:type="dxa"/>
          </w:tcPr>
          <w:p w14:paraId="52B31EB4" w14:textId="77777777" w:rsidR="00DD4026" w:rsidRPr="00575A26" w:rsidRDefault="00DD4026" w:rsidP="00380865">
            <w:pPr>
              <w:spacing w:before="0" w:line="240" w:lineRule="auto"/>
              <w:jc w:val="center"/>
              <w:cnfStyle w:val="000000000000" w:firstRow="0" w:lastRow="0" w:firstColumn="0" w:lastColumn="0" w:oddVBand="0" w:evenVBand="0" w:oddHBand="0" w:evenHBand="0" w:firstRowFirstColumn="0" w:firstRowLastColumn="0" w:lastRowFirstColumn="0" w:lastRowLastColumn="0"/>
            </w:pPr>
            <w:r>
              <w:t xml:space="preserve">0.773 (0.72, </w:t>
            </w:r>
            <w:r w:rsidRPr="00575A26">
              <w:t>0.82)</w:t>
            </w:r>
          </w:p>
        </w:tc>
        <w:tc>
          <w:tcPr>
            <w:tcW w:w="2410" w:type="dxa"/>
            <w:tcBorders>
              <w:right w:val="single" w:sz="4" w:space="0" w:color="auto"/>
            </w:tcBorders>
          </w:tcPr>
          <w:p w14:paraId="3CADB0B0" w14:textId="77777777" w:rsidR="00DD4026" w:rsidRPr="00575A26" w:rsidRDefault="00DD4026" w:rsidP="00380865">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575A26">
              <w:rPr>
                <w:rFonts w:ascii="Times New Roman" w:hAnsi="Times New Roman"/>
                <w:sz w:val="24"/>
                <w:szCs w:val="24"/>
              </w:rPr>
              <w:t>&lt;0.001</w:t>
            </w:r>
          </w:p>
        </w:tc>
      </w:tr>
      <w:tr w:rsidR="00DD4026" w:rsidRPr="00575A26" w14:paraId="3011430E" w14:textId="77777777" w:rsidTr="00380865">
        <w:trPr>
          <w:gridAfter w:val="1"/>
          <w:wAfter w:w="15" w:type="dxa"/>
          <w:trHeight w:val="158"/>
        </w:trPr>
        <w:tc>
          <w:tcPr>
            <w:cnfStyle w:val="001000000000" w:firstRow="0" w:lastRow="0" w:firstColumn="1" w:lastColumn="0" w:oddVBand="0" w:evenVBand="0" w:oddHBand="0" w:evenHBand="0" w:firstRowFirstColumn="0" w:firstRowLastColumn="0" w:lastRowFirstColumn="0" w:lastRowLastColumn="0"/>
            <w:tcW w:w="3413" w:type="dxa"/>
            <w:tcBorders>
              <w:left w:val="single" w:sz="4" w:space="0" w:color="auto"/>
              <w:bottom w:val="single" w:sz="4" w:space="0" w:color="000000"/>
            </w:tcBorders>
          </w:tcPr>
          <w:p w14:paraId="7AA563A9" w14:textId="77777777" w:rsidR="00DD4026" w:rsidRPr="00575A26" w:rsidRDefault="00DD4026" w:rsidP="00380865">
            <w:pPr>
              <w:spacing w:before="0" w:line="240" w:lineRule="auto"/>
              <w:rPr>
                <w:b w:val="0"/>
              </w:rPr>
            </w:pPr>
            <w:r w:rsidRPr="00575A26">
              <w:rPr>
                <w:b w:val="0"/>
              </w:rPr>
              <w:t>Base</w:t>
            </w:r>
            <w:r w:rsidRPr="00575A26">
              <w:rPr>
                <w:b w:val="0"/>
                <w:vertAlign w:val="superscript"/>
              </w:rPr>
              <w:t>2</w:t>
            </w:r>
            <w:r w:rsidRPr="00575A26">
              <w:rPr>
                <w:b w:val="0"/>
              </w:rPr>
              <w:t xml:space="preserve"> + </w:t>
            </w:r>
            <w:r>
              <w:rPr>
                <w:b w:val="0"/>
              </w:rPr>
              <w:t>T</w:t>
            </w:r>
            <w:r w:rsidRPr="00575A26">
              <w:rPr>
                <w:b w:val="0"/>
              </w:rPr>
              <w:t>otal lymphocyte count</w:t>
            </w:r>
          </w:p>
        </w:tc>
        <w:tc>
          <w:tcPr>
            <w:tcW w:w="2496" w:type="dxa"/>
            <w:tcBorders>
              <w:bottom w:val="single" w:sz="4" w:space="0" w:color="000000"/>
            </w:tcBorders>
          </w:tcPr>
          <w:p w14:paraId="35ED3AB7" w14:textId="77777777" w:rsidR="00DD4026" w:rsidRPr="00575A26" w:rsidRDefault="00DD4026" w:rsidP="00380865">
            <w:pPr>
              <w:spacing w:before="0" w:line="240" w:lineRule="auto"/>
              <w:jc w:val="center"/>
              <w:cnfStyle w:val="000000000000" w:firstRow="0" w:lastRow="0" w:firstColumn="0" w:lastColumn="0" w:oddVBand="0" w:evenVBand="0" w:oddHBand="0" w:evenHBand="0" w:firstRowFirstColumn="0" w:firstRowLastColumn="0" w:lastRowFirstColumn="0" w:lastRowLastColumn="0"/>
            </w:pPr>
            <w:r>
              <w:t xml:space="preserve">0.758 (0.71, </w:t>
            </w:r>
            <w:r w:rsidRPr="00575A26">
              <w:t>0.81)</w:t>
            </w:r>
          </w:p>
        </w:tc>
        <w:tc>
          <w:tcPr>
            <w:tcW w:w="2410" w:type="dxa"/>
            <w:tcBorders>
              <w:bottom w:val="single" w:sz="4" w:space="0" w:color="000000"/>
              <w:right w:val="single" w:sz="4" w:space="0" w:color="auto"/>
            </w:tcBorders>
          </w:tcPr>
          <w:p w14:paraId="68F23CBE" w14:textId="77777777" w:rsidR="00DD4026" w:rsidRPr="00575A26" w:rsidRDefault="00DD4026" w:rsidP="00380865">
            <w:pPr>
              <w:pStyle w:val="No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575A26">
              <w:rPr>
                <w:rFonts w:ascii="Times New Roman" w:hAnsi="Times New Roman"/>
                <w:sz w:val="24"/>
                <w:szCs w:val="24"/>
              </w:rPr>
              <w:t>0.44</w:t>
            </w:r>
          </w:p>
        </w:tc>
      </w:tr>
    </w:tbl>
    <w:p w14:paraId="2146377F" w14:textId="77777777" w:rsidR="00DD4026" w:rsidRDefault="00DD4026" w:rsidP="00DD4026">
      <w:pPr>
        <w:spacing w:before="0" w:after="0" w:line="240" w:lineRule="auto"/>
        <w:rPr>
          <w:sz w:val="16"/>
          <w:szCs w:val="16"/>
        </w:rPr>
      </w:pPr>
    </w:p>
    <w:p w14:paraId="1DCBBA96" w14:textId="77777777" w:rsidR="00DD4026" w:rsidRDefault="00DD4026" w:rsidP="00DD4026">
      <w:pPr>
        <w:spacing w:before="0" w:after="0" w:line="240" w:lineRule="auto"/>
        <w:rPr>
          <w:color w:val="000000"/>
          <w:sz w:val="16"/>
          <w:szCs w:val="16"/>
          <w:shd w:val="clear" w:color="auto" w:fill="FFFFFF"/>
        </w:rPr>
      </w:pPr>
      <w:r w:rsidRPr="00D87F4C">
        <w:rPr>
          <w:sz w:val="16"/>
          <w:szCs w:val="16"/>
        </w:rPr>
        <w:t>AF= atrial fibrillation, SR= sinus rhythm, NYHA= New York Heart Association, NT-</w:t>
      </w:r>
      <w:proofErr w:type="spellStart"/>
      <w:r w:rsidRPr="00D87F4C">
        <w:rPr>
          <w:sz w:val="16"/>
          <w:szCs w:val="16"/>
        </w:rPr>
        <w:t>proBNP</w:t>
      </w:r>
      <w:proofErr w:type="spellEnd"/>
      <w:r w:rsidRPr="00D87F4C">
        <w:rPr>
          <w:sz w:val="16"/>
          <w:szCs w:val="16"/>
        </w:rPr>
        <w:t xml:space="preserve">= </w:t>
      </w:r>
      <w:r w:rsidRPr="00D87F4C">
        <w:rPr>
          <w:sz w:val="16"/>
          <w:szCs w:val="16"/>
          <w:shd w:val="clear" w:color="auto" w:fill="FFFFFF"/>
        </w:rPr>
        <w:t xml:space="preserve">N-terminal pro-B-type natriuretic peptide, Hb= </w:t>
      </w:r>
      <w:proofErr w:type="spellStart"/>
      <w:r w:rsidRPr="00D87F4C">
        <w:rPr>
          <w:sz w:val="16"/>
          <w:szCs w:val="16"/>
          <w:shd w:val="clear" w:color="auto" w:fill="FFFFFF"/>
        </w:rPr>
        <w:t>hemoglobin</w:t>
      </w:r>
      <w:proofErr w:type="spellEnd"/>
      <w:r w:rsidRPr="00D87F4C">
        <w:rPr>
          <w:sz w:val="16"/>
          <w:szCs w:val="16"/>
          <w:shd w:val="clear" w:color="auto" w:fill="FFFFFF"/>
        </w:rPr>
        <w:t xml:space="preserve">, eGFR = estimated glomerular filtration rate, </w:t>
      </w:r>
      <w:r w:rsidRPr="00D87F4C">
        <w:rPr>
          <w:sz w:val="16"/>
          <w:szCs w:val="16"/>
        </w:rPr>
        <w:t>CVA= cerebrovascular accident, COPD= chronic obstructive pulmonary disease</w:t>
      </w:r>
      <w:r w:rsidRPr="00D87F4C">
        <w:rPr>
          <w:sz w:val="16"/>
          <w:szCs w:val="16"/>
          <w:shd w:val="clear" w:color="auto" w:fill="FFFFFF"/>
        </w:rPr>
        <w:t>, CONUT = Controlling nutritional status score, GNRI = geriatric nutritional risk index, PNI = prognostic nutritional index, MUST= malnutrition universal screening tool, MNA-SF= mini nutritional assessment –short form, SGA</w:t>
      </w:r>
      <w:r>
        <w:rPr>
          <w:sz w:val="16"/>
          <w:szCs w:val="16"/>
          <w:shd w:val="clear" w:color="auto" w:fill="FFFFFF"/>
        </w:rPr>
        <w:t xml:space="preserve"> = subjective global assessment, CI= confidence interval.</w:t>
      </w:r>
    </w:p>
    <w:p w14:paraId="2BC1CFDB" w14:textId="77777777" w:rsidR="00DD4026" w:rsidRPr="003C2BEF" w:rsidRDefault="00DD4026" w:rsidP="00DD4026">
      <w:pPr>
        <w:spacing w:before="0" w:after="0" w:line="240" w:lineRule="auto"/>
        <w:rPr>
          <w:sz w:val="16"/>
          <w:szCs w:val="16"/>
          <w:shd w:val="clear" w:color="auto" w:fill="FFFFFF"/>
        </w:rPr>
      </w:pPr>
    </w:p>
    <w:p w14:paraId="454FC359" w14:textId="77777777" w:rsidR="00DD4026" w:rsidRPr="003C2BEF" w:rsidRDefault="00DD4026" w:rsidP="00DD4026">
      <w:pPr>
        <w:spacing w:before="0" w:after="0" w:line="240" w:lineRule="auto"/>
        <w:rPr>
          <w:sz w:val="16"/>
          <w:szCs w:val="16"/>
        </w:rPr>
      </w:pPr>
      <w:r w:rsidRPr="003C2BEF">
        <w:rPr>
          <w:sz w:val="16"/>
          <w:szCs w:val="16"/>
          <w:vertAlign w:val="superscript"/>
        </w:rPr>
        <w:t>1</w:t>
      </w:r>
      <w:r w:rsidRPr="003C2BEF">
        <w:rPr>
          <w:sz w:val="16"/>
          <w:szCs w:val="16"/>
        </w:rPr>
        <w:t>Harrell’s C-statistic was used to evaluate model discrimination in survival analyses. The likelihood ratio test was used to determine if there was any significant difference in model fit between the base model and models including different malnutrition tools.</w:t>
      </w:r>
    </w:p>
    <w:p w14:paraId="0C610C31" w14:textId="77777777" w:rsidR="00DD4026" w:rsidRDefault="00DD4026" w:rsidP="00DD4026">
      <w:pPr>
        <w:spacing w:before="288" w:after="288"/>
        <w:rPr>
          <w:sz w:val="16"/>
          <w:szCs w:val="16"/>
        </w:rPr>
      </w:pPr>
      <w:r w:rsidRPr="00D87F4C">
        <w:rPr>
          <w:sz w:val="16"/>
          <w:szCs w:val="16"/>
          <w:vertAlign w:val="superscript"/>
        </w:rPr>
        <w:t xml:space="preserve">2 </w:t>
      </w:r>
      <w:r w:rsidRPr="00D87F4C">
        <w:rPr>
          <w:sz w:val="16"/>
          <w:szCs w:val="16"/>
        </w:rPr>
        <w:t>Base model: Age, NYHA (III/IV vs I/II), Log [</w:t>
      </w:r>
      <w:proofErr w:type="spellStart"/>
      <w:r w:rsidRPr="00D87F4C">
        <w:rPr>
          <w:sz w:val="16"/>
          <w:szCs w:val="16"/>
        </w:rPr>
        <w:t>NTproBNP</w:t>
      </w:r>
      <w:proofErr w:type="spellEnd"/>
      <w:r w:rsidRPr="00D87F4C">
        <w:rPr>
          <w:sz w:val="16"/>
          <w:szCs w:val="16"/>
        </w:rPr>
        <w:t xml:space="preserve">], Rhythm </w:t>
      </w:r>
      <w:r>
        <w:rPr>
          <w:sz w:val="16"/>
          <w:szCs w:val="16"/>
        </w:rPr>
        <w:t>(AF vs SR), Hb, eGFR, CVA, COPD</w:t>
      </w:r>
    </w:p>
    <w:p w14:paraId="3BE20E0B" w14:textId="77777777" w:rsidR="00DD4026" w:rsidRDefault="00DD4026">
      <w:pPr>
        <w:spacing w:before="0" w:after="160" w:line="259" w:lineRule="auto"/>
        <w:rPr>
          <w:sz w:val="16"/>
          <w:szCs w:val="16"/>
        </w:rPr>
      </w:pPr>
      <w:r>
        <w:rPr>
          <w:sz w:val="16"/>
          <w:szCs w:val="16"/>
        </w:rPr>
        <w:br w:type="page"/>
      </w:r>
    </w:p>
    <w:p w14:paraId="180DA873" w14:textId="021D5F6A" w:rsidR="00DD4026" w:rsidRPr="00DD4026" w:rsidRDefault="00DD4026" w:rsidP="00DD4026">
      <w:pPr>
        <w:pStyle w:val="Heading1"/>
        <w:rPr>
          <w:sz w:val="16"/>
          <w:szCs w:val="16"/>
        </w:rPr>
      </w:pPr>
      <w:r w:rsidRPr="00A22CC6">
        <w:lastRenderedPageBreak/>
        <w:t>Figure</w:t>
      </w:r>
      <w:r>
        <w:t xml:space="preserve"> Legend</w:t>
      </w:r>
    </w:p>
    <w:p w14:paraId="60D89E5D" w14:textId="17322979" w:rsidR="00161348" w:rsidRDefault="00DD4026" w:rsidP="00DD4026">
      <w:r>
        <w:t>Figure 1</w:t>
      </w:r>
      <w:r w:rsidRPr="00595127">
        <w:t>: Kaplan Meier curves illustrating the relation between malnutrition tools and all-cause mortality (Top panel: simple tools; middle panel: multi-dimensional tools; bottom panel: single laboratory tests).</w:t>
      </w:r>
      <w:r w:rsidRPr="008C196E">
        <w:rPr>
          <w:rStyle w:val="normalchar"/>
        </w:rPr>
        <w:t xml:space="preserve"> </w:t>
      </w:r>
      <w:r>
        <w:rPr>
          <w:rStyle w:val="normalchar"/>
        </w:rPr>
        <w:t xml:space="preserve">Log </w:t>
      </w:r>
      <w:r w:rsidRPr="00574760">
        <w:rPr>
          <w:rStyle w:val="normalchar"/>
        </w:rPr>
        <w:t>rank</w:t>
      </w:r>
      <w:r>
        <w:rPr>
          <w:rStyle w:val="normalchar"/>
        </w:rPr>
        <w:t xml:space="preserve"> test was</w:t>
      </w:r>
      <w:r w:rsidRPr="00574760">
        <w:rPr>
          <w:rStyle w:val="normalchar"/>
        </w:rPr>
        <w:t xml:space="preserve"> used to compare survival between groups.</w:t>
      </w:r>
    </w:p>
    <w:p w14:paraId="3961A58F" w14:textId="77777777" w:rsidR="00DD4026" w:rsidRDefault="00DD4026" w:rsidP="00DD4026">
      <w:r>
        <w:t xml:space="preserve">Figure 2: </w:t>
      </w:r>
      <w:proofErr w:type="gramStart"/>
      <w:r>
        <w:t>3 month</w:t>
      </w:r>
      <w:proofErr w:type="gramEnd"/>
      <w:r>
        <w:t xml:space="preserve">, 6 </w:t>
      </w:r>
      <w:r w:rsidRPr="005C0BCD">
        <w:t xml:space="preserve">month </w:t>
      </w:r>
      <w:r>
        <w:t xml:space="preserve">&amp; 12 </w:t>
      </w:r>
      <w:r w:rsidRPr="005C0BCD">
        <w:t>month mortality</w:t>
      </w:r>
      <w:r>
        <w:t xml:space="preserve"> (top panel) and combined event rates (bottom panel) according to malnutrition categories of the CONUT score, MNA-SF and serum albumin level. </w:t>
      </w:r>
      <w:r w:rsidRPr="00155E80">
        <w:rPr>
          <w:rStyle w:val="normalchar"/>
        </w:rPr>
        <w:t>The chi-square</w:t>
      </w:r>
      <w:r>
        <w:rPr>
          <w:rStyle w:val="normalchar"/>
        </w:rPr>
        <w:t>d</w:t>
      </w:r>
      <w:r w:rsidRPr="00155E80">
        <w:rPr>
          <w:rStyle w:val="normalchar"/>
        </w:rPr>
        <w:t xml:space="preserve"> test was used to compa</w:t>
      </w:r>
      <w:r>
        <w:rPr>
          <w:rStyle w:val="normalchar"/>
        </w:rPr>
        <w:t xml:space="preserve">re proportions between groups. </w:t>
      </w:r>
      <w:r w:rsidRPr="00155E80">
        <w:t xml:space="preserve"> </w:t>
      </w:r>
    </w:p>
    <w:p w14:paraId="1F31DCE2" w14:textId="77777777" w:rsidR="00B876AF" w:rsidRDefault="00DD4026" w:rsidP="00B876AF">
      <w:pPr>
        <w:rPr>
          <w:rStyle w:val="normalchar"/>
        </w:rPr>
      </w:pPr>
      <w:r>
        <w:t xml:space="preserve">Figure 3: Kaplan Meier curves illustrating the relation between malnutrition tools and combined outcome (Top panel: simple tools; middle panel: multi-dimensional tools; bottom panel: single laboratory tests). </w:t>
      </w:r>
      <w:r>
        <w:rPr>
          <w:rStyle w:val="normalchar"/>
        </w:rPr>
        <w:t>Log rank test was</w:t>
      </w:r>
      <w:r w:rsidRPr="00574760">
        <w:rPr>
          <w:rStyle w:val="normalchar"/>
        </w:rPr>
        <w:t xml:space="preserve"> used to compare survival between groups.</w:t>
      </w:r>
    </w:p>
    <w:p w14:paraId="5883ED26" w14:textId="77777777" w:rsidR="00B876AF" w:rsidRDefault="00B876AF">
      <w:pPr>
        <w:spacing w:before="0" w:after="160" w:line="259" w:lineRule="auto"/>
        <w:rPr>
          <w:rStyle w:val="normalchar"/>
        </w:rPr>
      </w:pPr>
      <w:r>
        <w:rPr>
          <w:rStyle w:val="normalchar"/>
        </w:rPr>
        <w:br w:type="page"/>
      </w:r>
    </w:p>
    <w:p w14:paraId="55DE7B5F" w14:textId="77777777" w:rsidR="00B876AF" w:rsidRDefault="00B876AF" w:rsidP="00B876AF">
      <w:pPr>
        <w:pStyle w:val="Heading1"/>
        <w:rPr>
          <w:rStyle w:val="normalchar"/>
        </w:rPr>
      </w:pPr>
      <w:r>
        <w:rPr>
          <w:rStyle w:val="normalchar"/>
        </w:rPr>
        <w:lastRenderedPageBreak/>
        <w:t>Figure 1</w:t>
      </w:r>
    </w:p>
    <w:p w14:paraId="7B0D2ECA" w14:textId="77777777" w:rsidR="00012895" w:rsidRDefault="00B876AF" w:rsidP="00012895">
      <w:pPr>
        <w:sectPr w:rsidR="00012895" w:rsidSect="00625554">
          <w:footerReference w:type="default" r:id="rId11"/>
          <w:endnotePr>
            <w:numFmt w:val="decimal"/>
          </w:endnotePr>
          <w:pgSz w:w="11906" w:h="16838"/>
          <w:pgMar w:top="1440" w:right="1440" w:bottom="1440" w:left="1440" w:header="706" w:footer="706" w:gutter="0"/>
          <w:lnNumType w:countBy="1" w:restart="continuous"/>
          <w:cols w:space="708"/>
          <w:docGrid w:linePitch="360"/>
        </w:sectPr>
      </w:pPr>
      <w:r>
        <w:rPr>
          <w:rStyle w:val="normalchar"/>
          <w:noProof/>
        </w:rPr>
        <w:drawing>
          <wp:inline distT="0" distB="0" distL="0" distR="0" wp14:anchorId="0280AF20" wp14:editId="17416CD7">
            <wp:extent cx="5584816" cy="8319655"/>
            <wp:effectExtent l="0" t="0" r="0" b="5715"/>
            <wp:docPr id="2" name="Picture 2" descr="Grap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87420" cy="8323535"/>
                    </a:xfrm>
                    <a:prstGeom prst="rect">
                      <a:avLst/>
                    </a:prstGeom>
                    <a:noFill/>
                    <a:ln>
                      <a:noFill/>
                    </a:ln>
                  </pic:spPr>
                </pic:pic>
              </a:graphicData>
            </a:graphic>
          </wp:inline>
        </w:drawing>
      </w:r>
    </w:p>
    <w:p w14:paraId="57046CD6" w14:textId="77777777" w:rsidR="00012895" w:rsidRDefault="00012895" w:rsidP="00012895">
      <w:pPr>
        <w:pStyle w:val="Heading1"/>
      </w:pPr>
      <w:r>
        <w:lastRenderedPageBreak/>
        <w:t>Figure 2</w:t>
      </w:r>
    </w:p>
    <w:p w14:paraId="24D45DC8" w14:textId="37247002" w:rsidR="00012895" w:rsidRDefault="00012895" w:rsidP="00012895">
      <w:pPr>
        <w:sectPr w:rsidR="00012895" w:rsidSect="00012895">
          <w:endnotePr>
            <w:numFmt w:val="decimal"/>
          </w:endnotePr>
          <w:pgSz w:w="16838" w:h="11906" w:orient="landscape"/>
          <w:pgMar w:top="1440" w:right="1440" w:bottom="1440" w:left="1440" w:header="706" w:footer="706" w:gutter="0"/>
          <w:lnNumType w:countBy="1" w:restart="continuous"/>
          <w:cols w:space="708"/>
          <w:docGrid w:linePitch="360"/>
        </w:sectPr>
      </w:pPr>
      <w:r w:rsidRPr="00012895">
        <w:rPr>
          <w:noProof/>
        </w:rPr>
        <w:drawing>
          <wp:inline distT="0" distB="0" distL="0" distR="0" wp14:anchorId="0BE9D3CC" wp14:editId="27ED272D">
            <wp:extent cx="7198447" cy="5174673"/>
            <wp:effectExtent l="0" t="0" r="2540" b="6985"/>
            <wp:docPr id="1" name="Picture 1" descr="Tab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s"/>
                    <pic:cNvPicPr/>
                  </pic:nvPicPr>
                  <pic:blipFill>
                    <a:blip r:embed="rId13"/>
                    <a:stretch>
                      <a:fillRect/>
                    </a:stretch>
                  </pic:blipFill>
                  <pic:spPr>
                    <a:xfrm>
                      <a:off x="0" y="0"/>
                      <a:ext cx="7221580" cy="5191303"/>
                    </a:xfrm>
                    <a:prstGeom prst="rect">
                      <a:avLst/>
                    </a:prstGeom>
                  </pic:spPr>
                </pic:pic>
              </a:graphicData>
            </a:graphic>
          </wp:inline>
        </w:drawing>
      </w:r>
    </w:p>
    <w:p w14:paraId="6ACA196C" w14:textId="77777777" w:rsidR="00521AAC" w:rsidRDefault="00012895" w:rsidP="00521AAC">
      <w:pPr>
        <w:pStyle w:val="Heading1"/>
      </w:pPr>
      <w:r>
        <w:lastRenderedPageBreak/>
        <w:t>Figure 3</w:t>
      </w:r>
    </w:p>
    <w:p w14:paraId="23A539D7" w14:textId="56F1D2AA" w:rsidR="00B876AF" w:rsidRDefault="00521AAC" w:rsidP="00012895">
      <w:r>
        <w:rPr>
          <w:noProof/>
        </w:rPr>
        <w:drawing>
          <wp:inline distT="0" distB="0" distL="0" distR="0" wp14:anchorId="5DDABE2E" wp14:editId="068D2216">
            <wp:extent cx="5590309" cy="8327838"/>
            <wp:effectExtent l="0" t="0" r="0" b="0"/>
            <wp:docPr id="3" name="Picture 3" descr="Grap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92221" cy="8330686"/>
                    </a:xfrm>
                    <a:prstGeom prst="rect">
                      <a:avLst/>
                    </a:prstGeom>
                    <a:noFill/>
                    <a:ln>
                      <a:noFill/>
                    </a:ln>
                  </pic:spPr>
                </pic:pic>
              </a:graphicData>
            </a:graphic>
          </wp:inline>
        </w:drawing>
      </w:r>
      <w:r w:rsidR="00B876AF">
        <w:br w:type="page"/>
      </w:r>
    </w:p>
    <w:p w14:paraId="40D58FEB" w14:textId="4AC67EB9" w:rsidR="00DD4026" w:rsidRDefault="00521AAC" w:rsidP="00521AAC">
      <w:pPr>
        <w:pStyle w:val="Heading1"/>
      </w:pPr>
      <w:r>
        <w:lastRenderedPageBreak/>
        <w:t>References</w:t>
      </w:r>
    </w:p>
    <w:sectPr w:rsidR="00DD4026" w:rsidSect="00625554">
      <w:endnotePr>
        <w:numFmt w:val="decimal"/>
      </w:endnotePr>
      <w:pgSz w:w="11906" w:h="16838"/>
      <w:pgMar w:top="1440" w:right="1440" w:bottom="1440" w:left="1440" w:header="706" w:footer="706"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AF61E" w14:textId="77777777" w:rsidR="00F12848" w:rsidRDefault="00F12848" w:rsidP="00C411C5">
      <w:pPr>
        <w:spacing w:before="0" w:after="0" w:line="240" w:lineRule="auto"/>
      </w:pPr>
      <w:r>
        <w:separator/>
      </w:r>
    </w:p>
  </w:endnote>
  <w:endnote w:type="continuationSeparator" w:id="0">
    <w:p w14:paraId="1C935707" w14:textId="77777777" w:rsidR="00F12848" w:rsidRDefault="00F12848" w:rsidP="00C411C5">
      <w:pPr>
        <w:spacing w:before="0" w:after="0" w:line="240" w:lineRule="auto"/>
      </w:pPr>
      <w:r>
        <w:continuationSeparator/>
      </w:r>
    </w:p>
  </w:endnote>
  <w:endnote w:id="1">
    <w:p w14:paraId="57149CDC" w14:textId="5F0CC664" w:rsidR="00466725" w:rsidRPr="00CF34AE" w:rsidRDefault="00466725" w:rsidP="00CF34AE">
      <w:pPr>
        <w:rPr>
          <w:lang w:eastAsia="en-GB"/>
        </w:rPr>
      </w:pPr>
      <w:r w:rsidRPr="00DD7D6E">
        <w:rPr>
          <w:rStyle w:val="EndnoteReference"/>
          <w:vertAlign w:val="baseline"/>
        </w:rPr>
        <w:endnoteRef/>
      </w:r>
      <w:r w:rsidRPr="00CF34AE">
        <w:t xml:space="preserve"> </w:t>
      </w:r>
      <w:r w:rsidRPr="009D06E9">
        <w:rPr>
          <w:lang w:eastAsia="en-GB"/>
        </w:rPr>
        <w:t xml:space="preserve">Cederholm R, Barazzoni P, Austin P, </w:t>
      </w:r>
      <w:r w:rsidRPr="009D06E9">
        <w:rPr>
          <w:color w:val="000000"/>
          <w:shd w:val="clear" w:color="auto" w:fill="FFFFFF"/>
        </w:rPr>
        <w:t xml:space="preserve">Ballmer P, Biolo G, Bischoff SC, Compher C, Correia I, Higashiguchi T, Holst M, </w:t>
      </w:r>
      <w:r>
        <w:rPr>
          <w:color w:val="000000"/>
          <w:shd w:val="clear" w:color="auto" w:fill="FFFFFF"/>
        </w:rPr>
        <w:t xml:space="preserve">et al. </w:t>
      </w:r>
      <w:r w:rsidRPr="00CF34AE">
        <w:rPr>
          <w:bCs/>
          <w:lang w:eastAsia="en-GB"/>
        </w:rPr>
        <w:t xml:space="preserve">ESPEN guidelines on definitions and terminology of clinical nutrition. </w:t>
      </w:r>
      <w:r w:rsidRPr="00CF34AE">
        <w:rPr>
          <w:i/>
          <w:lang w:eastAsia="en-GB"/>
        </w:rPr>
        <w:t>Clin Nutr</w:t>
      </w:r>
      <w:r w:rsidRPr="00CF34AE">
        <w:rPr>
          <w:lang w:eastAsia="en-GB"/>
        </w:rPr>
        <w:t>. 2017; </w:t>
      </w:r>
      <w:r w:rsidRPr="00CF34AE">
        <w:rPr>
          <w:b/>
          <w:lang w:eastAsia="en-GB"/>
        </w:rPr>
        <w:t>36</w:t>
      </w:r>
      <w:r w:rsidRPr="00CF34AE">
        <w:rPr>
          <w:lang w:eastAsia="en-GB"/>
        </w:rPr>
        <w:t>: 49-64, </w:t>
      </w:r>
    </w:p>
  </w:endnote>
  <w:endnote w:id="2">
    <w:p w14:paraId="5B1E495E" w14:textId="72A1C7DF" w:rsidR="00466725" w:rsidRPr="00CF34AE" w:rsidRDefault="00466725" w:rsidP="00FD1AC6">
      <w:pPr>
        <w:rPr>
          <w:lang w:eastAsia="en-GB"/>
        </w:rPr>
      </w:pPr>
      <w:r w:rsidRPr="00DD7D6E">
        <w:rPr>
          <w:rStyle w:val="EndnoteReference"/>
          <w:vertAlign w:val="baseline"/>
        </w:rPr>
        <w:endnoteRef/>
      </w:r>
      <w:r>
        <w:t xml:space="preserve"> </w:t>
      </w:r>
      <w:r w:rsidRPr="00CF34AE">
        <w:t xml:space="preserve">Lin H, Zhang H, Lin Z, Li X, Kong X and Sun G. </w:t>
      </w:r>
      <w:r w:rsidRPr="00CF34AE">
        <w:rPr>
          <w:lang w:eastAsia="en-GB"/>
        </w:rPr>
        <w:t>Review of nutritional screening and assessment tools and clinical outcomes in heart failure.</w:t>
      </w:r>
      <w:r w:rsidRPr="00CF34AE">
        <w:rPr>
          <w:b/>
          <w:lang w:eastAsia="en-GB"/>
        </w:rPr>
        <w:t xml:space="preserve"> </w:t>
      </w:r>
      <w:r w:rsidRPr="00CF34AE">
        <w:rPr>
          <w:i/>
          <w:lang w:eastAsia="en-GB"/>
        </w:rPr>
        <w:t>Heart Fail Rev.</w:t>
      </w:r>
      <w:r w:rsidRPr="00CF34AE">
        <w:rPr>
          <w:lang w:eastAsia="en-GB"/>
        </w:rPr>
        <w:t xml:space="preserve"> 2016;</w:t>
      </w:r>
      <w:r w:rsidRPr="00CF34AE">
        <w:rPr>
          <w:b/>
          <w:lang w:eastAsia="en-GB"/>
        </w:rPr>
        <w:t>21</w:t>
      </w:r>
      <w:r w:rsidRPr="00CF34AE">
        <w:rPr>
          <w:lang w:eastAsia="en-GB"/>
        </w:rPr>
        <w:t>:549-565.</w:t>
      </w:r>
    </w:p>
  </w:endnote>
  <w:endnote w:id="3">
    <w:p w14:paraId="070E2665" w14:textId="25752613" w:rsidR="00466725" w:rsidRPr="00C54671" w:rsidRDefault="00466725" w:rsidP="00D21487">
      <w:pPr>
        <w:pStyle w:val="EndnoteText"/>
        <w:spacing w:line="480" w:lineRule="auto"/>
        <w:rPr>
          <w:rFonts w:ascii="Times New Roman" w:hAnsi="Times New Roman"/>
          <w:sz w:val="24"/>
          <w:szCs w:val="24"/>
          <w:lang w:val="en-GB"/>
        </w:rPr>
      </w:pPr>
      <w:r w:rsidRPr="00DD7D6E">
        <w:rPr>
          <w:rStyle w:val="EndnoteReference"/>
          <w:rFonts w:ascii="Times New Roman" w:hAnsi="Times New Roman"/>
          <w:sz w:val="24"/>
          <w:szCs w:val="24"/>
          <w:vertAlign w:val="baseline"/>
        </w:rPr>
        <w:endnoteRef/>
      </w:r>
      <w:r w:rsidRPr="00C54671">
        <w:rPr>
          <w:rFonts w:ascii="Times New Roman" w:hAnsi="Times New Roman"/>
          <w:sz w:val="24"/>
          <w:szCs w:val="24"/>
        </w:rPr>
        <w:t xml:space="preserve"> </w:t>
      </w:r>
      <w:r w:rsidRPr="00C54671">
        <w:rPr>
          <w:rFonts w:ascii="Times New Roman" w:eastAsiaTheme="minorHAnsi" w:hAnsi="Times New Roman"/>
          <w:sz w:val="24"/>
          <w:szCs w:val="24"/>
        </w:rPr>
        <w:t>Di Gioia G, Creta A, Fittipaldi M,</w:t>
      </w:r>
      <w:r>
        <w:rPr>
          <w:rFonts w:ascii="Times New Roman" w:eastAsiaTheme="minorHAnsi" w:hAnsi="Times New Roman"/>
          <w:sz w:val="24"/>
          <w:szCs w:val="24"/>
          <w:lang w:val="en-GB"/>
        </w:rPr>
        <w:t xml:space="preserve"> </w:t>
      </w:r>
      <w:hyperlink r:id="rId1" w:history="1">
        <w:r w:rsidRPr="009D06E9">
          <w:rPr>
            <w:rStyle w:val="Hyperlink"/>
            <w:rFonts w:ascii="Times New Roman" w:hAnsi="Times New Roman"/>
            <w:color w:val="auto"/>
            <w:sz w:val="24"/>
            <w:szCs w:val="24"/>
            <w:u w:val="none"/>
            <w:shd w:val="clear" w:color="auto" w:fill="FFFFFF"/>
          </w:rPr>
          <w:t>Giorgino R</w:t>
        </w:r>
      </w:hyperlink>
      <w:r w:rsidRPr="009D06E9">
        <w:rPr>
          <w:rFonts w:ascii="Times New Roman" w:hAnsi="Times New Roman"/>
          <w:sz w:val="24"/>
          <w:szCs w:val="24"/>
          <w:shd w:val="clear" w:color="auto" w:fill="FFFFFF"/>
        </w:rPr>
        <w:t>, </w:t>
      </w:r>
      <w:hyperlink r:id="rId2" w:history="1">
        <w:r w:rsidRPr="009D06E9">
          <w:rPr>
            <w:rStyle w:val="Hyperlink"/>
            <w:rFonts w:ascii="Times New Roman" w:hAnsi="Times New Roman"/>
            <w:color w:val="auto"/>
            <w:sz w:val="24"/>
            <w:szCs w:val="24"/>
            <w:u w:val="none"/>
            <w:shd w:val="clear" w:color="auto" w:fill="FFFFFF"/>
          </w:rPr>
          <w:t>Quintarelli F</w:t>
        </w:r>
      </w:hyperlink>
      <w:r w:rsidRPr="009D06E9">
        <w:rPr>
          <w:rFonts w:ascii="Times New Roman" w:hAnsi="Times New Roman"/>
          <w:sz w:val="24"/>
          <w:szCs w:val="24"/>
          <w:shd w:val="clear" w:color="auto" w:fill="FFFFFF"/>
        </w:rPr>
        <w:t>, </w:t>
      </w:r>
      <w:hyperlink r:id="rId3" w:history="1">
        <w:r w:rsidRPr="009D06E9">
          <w:rPr>
            <w:rStyle w:val="Hyperlink"/>
            <w:rFonts w:ascii="Times New Roman" w:hAnsi="Times New Roman"/>
            <w:color w:val="auto"/>
            <w:sz w:val="24"/>
            <w:szCs w:val="24"/>
            <w:u w:val="none"/>
            <w:shd w:val="clear" w:color="auto" w:fill="FFFFFF"/>
          </w:rPr>
          <w:t>Satriano U</w:t>
        </w:r>
      </w:hyperlink>
      <w:r w:rsidRPr="009D06E9">
        <w:rPr>
          <w:rFonts w:ascii="Times New Roman" w:hAnsi="Times New Roman"/>
          <w:sz w:val="24"/>
          <w:szCs w:val="24"/>
          <w:shd w:val="clear" w:color="auto" w:fill="FFFFFF"/>
        </w:rPr>
        <w:t>, </w:t>
      </w:r>
      <w:hyperlink r:id="rId4" w:history="1">
        <w:r w:rsidRPr="009D06E9">
          <w:rPr>
            <w:rStyle w:val="Hyperlink"/>
            <w:rFonts w:ascii="Times New Roman" w:hAnsi="Times New Roman"/>
            <w:color w:val="auto"/>
            <w:sz w:val="24"/>
            <w:szCs w:val="24"/>
            <w:u w:val="none"/>
            <w:shd w:val="clear" w:color="auto" w:fill="FFFFFF"/>
          </w:rPr>
          <w:t>Cruciani A</w:t>
        </w:r>
      </w:hyperlink>
      <w:r w:rsidRPr="009D06E9">
        <w:rPr>
          <w:rFonts w:ascii="Times New Roman" w:hAnsi="Times New Roman"/>
          <w:sz w:val="24"/>
          <w:szCs w:val="24"/>
          <w:shd w:val="clear" w:color="auto" w:fill="FFFFFF"/>
        </w:rPr>
        <w:t>, </w:t>
      </w:r>
      <w:hyperlink r:id="rId5" w:history="1">
        <w:r w:rsidRPr="009D06E9">
          <w:rPr>
            <w:rStyle w:val="Hyperlink"/>
            <w:rFonts w:ascii="Times New Roman" w:hAnsi="Times New Roman"/>
            <w:color w:val="auto"/>
            <w:sz w:val="24"/>
            <w:szCs w:val="24"/>
            <w:u w:val="none"/>
            <w:shd w:val="clear" w:color="auto" w:fill="FFFFFF"/>
          </w:rPr>
          <w:t>Antinolfi V</w:t>
        </w:r>
      </w:hyperlink>
      <w:r w:rsidRPr="009D06E9">
        <w:rPr>
          <w:rFonts w:ascii="Times New Roman" w:hAnsi="Times New Roman"/>
          <w:sz w:val="24"/>
          <w:szCs w:val="24"/>
          <w:shd w:val="clear" w:color="auto" w:fill="FFFFFF"/>
        </w:rPr>
        <w:t>, </w:t>
      </w:r>
      <w:hyperlink r:id="rId6" w:history="1">
        <w:r w:rsidRPr="009D06E9">
          <w:rPr>
            <w:rStyle w:val="Hyperlink"/>
            <w:rFonts w:ascii="Times New Roman" w:hAnsi="Times New Roman"/>
            <w:color w:val="auto"/>
            <w:sz w:val="24"/>
            <w:szCs w:val="24"/>
            <w:u w:val="none"/>
            <w:shd w:val="clear" w:color="auto" w:fill="FFFFFF"/>
          </w:rPr>
          <w:t>Di Berardino S</w:t>
        </w:r>
      </w:hyperlink>
      <w:r w:rsidRPr="009D06E9">
        <w:rPr>
          <w:rFonts w:ascii="Times New Roman" w:hAnsi="Times New Roman"/>
          <w:sz w:val="24"/>
          <w:szCs w:val="24"/>
          <w:shd w:val="clear" w:color="auto" w:fill="FFFFFF"/>
        </w:rPr>
        <w:t>, </w:t>
      </w:r>
      <w:hyperlink r:id="rId7" w:history="1">
        <w:r w:rsidRPr="009D06E9">
          <w:rPr>
            <w:rStyle w:val="Hyperlink"/>
            <w:rFonts w:ascii="Times New Roman" w:hAnsi="Times New Roman"/>
            <w:color w:val="auto"/>
            <w:sz w:val="24"/>
            <w:szCs w:val="24"/>
            <w:u w:val="none"/>
            <w:shd w:val="clear" w:color="auto" w:fill="FFFFFF"/>
          </w:rPr>
          <w:t>Costanzo D</w:t>
        </w:r>
      </w:hyperlink>
      <w:r w:rsidRPr="009D06E9">
        <w:rPr>
          <w:rFonts w:ascii="Times New Roman" w:hAnsi="Times New Roman"/>
          <w:sz w:val="24"/>
          <w:szCs w:val="24"/>
          <w:shd w:val="clear" w:color="auto" w:fill="FFFFFF"/>
        </w:rPr>
        <w:t>, </w:t>
      </w:r>
      <w:r>
        <w:rPr>
          <w:rFonts w:ascii="Times New Roman" w:hAnsi="Times New Roman"/>
          <w:sz w:val="24"/>
          <w:szCs w:val="24"/>
          <w:shd w:val="clear" w:color="auto" w:fill="FFFFFF"/>
          <w:lang w:val="en-US"/>
        </w:rPr>
        <w:t xml:space="preserve">et al. </w:t>
      </w:r>
      <w:r w:rsidRPr="00C54671">
        <w:rPr>
          <w:rFonts w:ascii="Times New Roman" w:eastAsiaTheme="minorHAnsi" w:hAnsi="Times New Roman"/>
          <w:sz w:val="24"/>
          <w:szCs w:val="24"/>
        </w:rPr>
        <w:t xml:space="preserve">Effects of Malnutrition on Left Ventricular Mass in a North-Malagasy Children Population. </w:t>
      </w:r>
      <w:r w:rsidRPr="00C54671">
        <w:rPr>
          <w:rFonts w:ascii="Times New Roman" w:eastAsiaTheme="minorHAnsi" w:hAnsi="Times New Roman"/>
          <w:i/>
          <w:iCs/>
          <w:sz w:val="24"/>
          <w:szCs w:val="24"/>
        </w:rPr>
        <w:t xml:space="preserve">PLoS One </w:t>
      </w:r>
      <w:r w:rsidRPr="00C54671">
        <w:rPr>
          <w:rFonts w:ascii="Times New Roman" w:eastAsiaTheme="minorHAnsi" w:hAnsi="Times New Roman"/>
          <w:sz w:val="24"/>
          <w:szCs w:val="24"/>
        </w:rPr>
        <w:t>2016;</w:t>
      </w:r>
      <w:r w:rsidRPr="00C54671">
        <w:rPr>
          <w:rFonts w:ascii="Times New Roman" w:eastAsiaTheme="minorHAnsi" w:hAnsi="Times New Roman"/>
          <w:b/>
          <w:bCs/>
          <w:sz w:val="24"/>
          <w:szCs w:val="24"/>
        </w:rPr>
        <w:t>11:</w:t>
      </w:r>
      <w:r w:rsidRPr="00C54671">
        <w:rPr>
          <w:rFonts w:ascii="Times New Roman" w:eastAsiaTheme="minorHAnsi" w:hAnsi="Times New Roman"/>
          <w:sz w:val="24"/>
          <w:szCs w:val="24"/>
        </w:rPr>
        <w:t>e0154523</w:t>
      </w:r>
    </w:p>
  </w:endnote>
  <w:endnote w:id="4">
    <w:p w14:paraId="44E394E2" w14:textId="77777777" w:rsidR="00466725" w:rsidRPr="000B125D" w:rsidRDefault="00466725" w:rsidP="00D21487">
      <w:pPr>
        <w:pStyle w:val="EndnoteText"/>
        <w:spacing w:line="480" w:lineRule="auto"/>
        <w:rPr>
          <w:lang w:val="en-GB"/>
        </w:rPr>
      </w:pPr>
      <w:r w:rsidRPr="00DD7D6E">
        <w:rPr>
          <w:rStyle w:val="EndnoteReference"/>
          <w:rFonts w:ascii="Times New Roman" w:hAnsi="Times New Roman"/>
          <w:sz w:val="24"/>
          <w:szCs w:val="24"/>
          <w:vertAlign w:val="baseline"/>
        </w:rPr>
        <w:endnoteRef/>
      </w:r>
      <w:r w:rsidRPr="00C54671">
        <w:rPr>
          <w:rFonts w:ascii="Times New Roman" w:hAnsi="Times New Roman"/>
          <w:sz w:val="24"/>
          <w:szCs w:val="24"/>
        </w:rPr>
        <w:t xml:space="preserve"> </w:t>
      </w:r>
      <w:r w:rsidRPr="00C54671">
        <w:rPr>
          <w:rFonts w:ascii="Times New Roman" w:eastAsiaTheme="minorHAnsi" w:hAnsi="Times New Roman"/>
          <w:sz w:val="24"/>
          <w:szCs w:val="24"/>
        </w:rPr>
        <w:t xml:space="preserve">Faddan NHA, Sayh KIE, Shams H, Badrawy H. Myocardial dysfunction in malnourished children. </w:t>
      </w:r>
      <w:r w:rsidRPr="00C54671">
        <w:rPr>
          <w:rFonts w:ascii="Times New Roman" w:eastAsiaTheme="minorHAnsi" w:hAnsi="Times New Roman"/>
          <w:i/>
          <w:iCs/>
          <w:sz w:val="24"/>
          <w:szCs w:val="24"/>
        </w:rPr>
        <w:t xml:space="preserve">Ann Pediatr Cardiol </w:t>
      </w:r>
      <w:r w:rsidRPr="00C54671">
        <w:rPr>
          <w:rFonts w:ascii="Times New Roman" w:eastAsiaTheme="minorHAnsi" w:hAnsi="Times New Roman"/>
          <w:sz w:val="24"/>
          <w:szCs w:val="24"/>
        </w:rPr>
        <w:t>2010;</w:t>
      </w:r>
      <w:r w:rsidRPr="00C54671">
        <w:rPr>
          <w:rFonts w:ascii="Times New Roman" w:eastAsiaTheme="minorHAnsi" w:hAnsi="Times New Roman"/>
          <w:b/>
          <w:bCs/>
          <w:sz w:val="24"/>
          <w:szCs w:val="24"/>
        </w:rPr>
        <w:t>3:</w:t>
      </w:r>
      <w:r w:rsidRPr="00C54671">
        <w:rPr>
          <w:rFonts w:ascii="Times New Roman" w:eastAsiaTheme="minorHAnsi" w:hAnsi="Times New Roman"/>
          <w:sz w:val="24"/>
          <w:szCs w:val="24"/>
        </w:rPr>
        <w:t>113-18</w:t>
      </w:r>
    </w:p>
  </w:endnote>
  <w:endnote w:id="5">
    <w:p w14:paraId="69D371AC" w14:textId="53430367" w:rsidR="00466725" w:rsidRPr="000B125D" w:rsidRDefault="00466725" w:rsidP="000B125D">
      <w:pPr>
        <w:pStyle w:val="EndnoteText"/>
        <w:spacing w:line="480" w:lineRule="auto"/>
        <w:rPr>
          <w:rFonts w:ascii="Times New Roman" w:hAnsi="Times New Roman"/>
          <w:sz w:val="24"/>
          <w:szCs w:val="24"/>
          <w:lang w:val="en-GB"/>
        </w:rPr>
      </w:pPr>
      <w:r w:rsidRPr="00DD7D6E">
        <w:rPr>
          <w:rStyle w:val="EndnoteReference"/>
          <w:rFonts w:ascii="Times New Roman" w:hAnsi="Times New Roman"/>
          <w:sz w:val="24"/>
          <w:szCs w:val="24"/>
          <w:vertAlign w:val="baseline"/>
        </w:rPr>
        <w:endnoteRef/>
      </w:r>
      <w:r w:rsidRPr="000B125D">
        <w:rPr>
          <w:rFonts w:ascii="Times New Roman" w:hAnsi="Times New Roman"/>
          <w:sz w:val="24"/>
          <w:szCs w:val="24"/>
        </w:rPr>
        <w:t xml:space="preserve"> </w:t>
      </w:r>
      <w:r w:rsidRPr="000B125D">
        <w:rPr>
          <w:rFonts w:ascii="Times New Roman" w:eastAsiaTheme="minorHAnsi" w:hAnsi="Times New Roman"/>
          <w:sz w:val="24"/>
          <w:szCs w:val="24"/>
        </w:rPr>
        <w:t>Valentova M, von Haehling S, Bauditz J</w:t>
      </w:r>
      <w:r w:rsidRPr="00A27059">
        <w:rPr>
          <w:rFonts w:ascii="Times New Roman" w:eastAsiaTheme="minorHAnsi" w:hAnsi="Times New Roman"/>
          <w:sz w:val="24"/>
          <w:szCs w:val="24"/>
        </w:rPr>
        <w:t xml:space="preserve">, </w:t>
      </w:r>
      <w:hyperlink r:id="rId8" w:history="1">
        <w:r w:rsidRPr="00A27059">
          <w:rPr>
            <w:rStyle w:val="Hyperlink"/>
            <w:rFonts w:ascii="Times New Roman" w:hAnsi="Times New Roman"/>
            <w:color w:val="auto"/>
            <w:sz w:val="24"/>
            <w:szCs w:val="24"/>
            <w:u w:val="none"/>
            <w:shd w:val="clear" w:color="auto" w:fill="FFFFFF"/>
          </w:rPr>
          <w:t>Doehner W</w:t>
        </w:r>
      </w:hyperlink>
      <w:r w:rsidRPr="00A27059">
        <w:rPr>
          <w:rFonts w:ascii="Times New Roman" w:hAnsi="Times New Roman"/>
          <w:sz w:val="24"/>
          <w:szCs w:val="24"/>
          <w:shd w:val="clear" w:color="auto" w:fill="FFFFFF"/>
        </w:rPr>
        <w:t>, </w:t>
      </w:r>
      <w:hyperlink r:id="rId9" w:history="1">
        <w:r w:rsidRPr="00A27059">
          <w:rPr>
            <w:rStyle w:val="Hyperlink"/>
            <w:rFonts w:ascii="Times New Roman" w:hAnsi="Times New Roman"/>
            <w:color w:val="auto"/>
            <w:sz w:val="24"/>
            <w:szCs w:val="24"/>
            <w:u w:val="none"/>
            <w:shd w:val="clear" w:color="auto" w:fill="FFFFFF"/>
          </w:rPr>
          <w:t>Ebner N</w:t>
        </w:r>
      </w:hyperlink>
      <w:r w:rsidRPr="00A27059">
        <w:rPr>
          <w:rFonts w:ascii="Times New Roman" w:hAnsi="Times New Roman"/>
          <w:sz w:val="24"/>
          <w:szCs w:val="24"/>
          <w:shd w:val="clear" w:color="auto" w:fill="FFFFFF"/>
        </w:rPr>
        <w:t>, </w:t>
      </w:r>
      <w:hyperlink r:id="rId10" w:history="1">
        <w:r w:rsidRPr="00A27059">
          <w:rPr>
            <w:rStyle w:val="Hyperlink"/>
            <w:rFonts w:ascii="Times New Roman" w:hAnsi="Times New Roman"/>
            <w:color w:val="auto"/>
            <w:sz w:val="24"/>
            <w:szCs w:val="24"/>
            <w:u w:val="none"/>
            <w:shd w:val="clear" w:color="auto" w:fill="FFFFFF"/>
          </w:rPr>
          <w:t>Bekfani T</w:t>
        </w:r>
      </w:hyperlink>
      <w:r w:rsidRPr="00A27059">
        <w:rPr>
          <w:rFonts w:ascii="Times New Roman" w:hAnsi="Times New Roman"/>
          <w:sz w:val="24"/>
          <w:szCs w:val="24"/>
          <w:shd w:val="clear" w:color="auto" w:fill="FFFFFF"/>
        </w:rPr>
        <w:t>, </w:t>
      </w:r>
      <w:hyperlink r:id="rId11" w:history="1">
        <w:r w:rsidRPr="00A27059">
          <w:rPr>
            <w:rStyle w:val="Hyperlink"/>
            <w:rFonts w:ascii="Times New Roman" w:hAnsi="Times New Roman"/>
            <w:color w:val="auto"/>
            <w:sz w:val="24"/>
            <w:szCs w:val="24"/>
            <w:u w:val="none"/>
            <w:shd w:val="clear" w:color="auto" w:fill="FFFFFF"/>
          </w:rPr>
          <w:t>Elsner S</w:t>
        </w:r>
      </w:hyperlink>
      <w:r w:rsidRPr="00A27059">
        <w:rPr>
          <w:rFonts w:ascii="Times New Roman" w:hAnsi="Times New Roman"/>
          <w:sz w:val="24"/>
          <w:szCs w:val="24"/>
          <w:shd w:val="clear" w:color="auto" w:fill="FFFFFF"/>
        </w:rPr>
        <w:t>, </w:t>
      </w:r>
      <w:hyperlink r:id="rId12" w:history="1">
        <w:r w:rsidRPr="00A27059">
          <w:rPr>
            <w:rStyle w:val="Hyperlink"/>
            <w:rFonts w:ascii="Times New Roman" w:hAnsi="Times New Roman"/>
            <w:color w:val="auto"/>
            <w:sz w:val="24"/>
            <w:szCs w:val="24"/>
            <w:u w:val="none"/>
            <w:shd w:val="clear" w:color="auto" w:fill="FFFFFF"/>
          </w:rPr>
          <w:t>Sliziuk V</w:t>
        </w:r>
      </w:hyperlink>
      <w:r w:rsidRPr="00A27059">
        <w:rPr>
          <w:rFonts w:ascii="Times New Roman" w:hAnsi="Times New Roman"/>
          <w:sz w:val="24"/>
          <w:szCs w:val="24"/>
          <w:shd w:val="clear" w:color="auto" w:fill="FFFFFF"/>
        </w:rPr>
        <w:t>, </w:t>
      </w:r>
      <w:hyperlink r:id="rId13" w:history="1">
        <w:r w:rsidRPr="00A27059">
          <w:rPr>
            <w:rStyle w:val="Hyperlink"/>
            <w:rFonts w:ascii="Times New Roman" w:hAnsi="Times New Roman"/>
            <w:color w:val="auto"/>
            <w:sz w:val="24"/>
            <w:szCs w:val="24"/>
            <w:u w:val="none"/>
            <w:shd w:val="clear" w:color="auto" w:fill="FFFFFF"/>
          </w:rPr>
          <w:t>Scherbakov N</w:t>
        </w:r>
      </w:hyperlink>
      <w:r w:rsidRPr="00A27059">
        <w:rPr>
          <w:rFonts w:ascii="Times New Roman" w:hAnsi="Times New Roman"/>
          <w:sz w:val="24"/>
          <w:szCs w:val="24"/>
          <w:shd w:val="clear" w:color="auto" w:fill="FFFFFF"/>
        </w:rPr>
        <w:t>, </w:t>
      </w:r>
      <w:hyperlink r:id="rId14" w:history="1">
        <w:r w:rsidRPr="00A27059">
          <w:rPr>
            <w:rStyle w:val="Hyperlink"/>
            <w:rFonts w:ascii="Times New Roman" w:hAnsi="Times New Roman"/>
            <w:color w:val="auto"/>
            <w:sz w:val="24"/>
            <w:szCs w:val="24"/>
            <w:u w:val="none"/>
            <w:shd w:val="clear" w:color="auto" w:fill="FFFFFF"/>
          </w:rPr>
          <w:t>Murín J</w:t>
        </w:r>
      </w:hyperlink>
      <w:r w:rsidRPr="00A27059">
        <w:rPr>
          <w:rFonts w:ascii="Times New Roman" w:hAnsi="Times New Roman"/>
          <w:sz w:val="24"/>
          <w:szCs w:val="24"/>
          <w:shd w:val="clear" w:color="auto" w:fill="FFFFFF"/>
        </w:rPr>
        <w:t>, </w:t>
      </w:r>
      <w:r>
        <w:rPr>
          <w:rFonts w:ascii="Times New Roman" w:hAnsi="Times New Roman"/>
          <w:sz w:val="24"/>
          <w:szCs w:val="24"/>
          <w:shd w:val="clear" w:color="auto" w:fill="FFFFFF"/>
          <w:lang w:val="en-US"/>
        </w:rPr>
        <w:t>et al.</w:t>
      </w:r>
      <w:r w:rsidRPr="00A27059">
        <w:rPr>
          <w:rFonts w:ascii="Times New Roman" w:eastAsiaTheme="minorHAnsi" w:hAnsi="Times New Roman"/>
          <w:sz w:val="24"/>
          <w:szCs w:val="24"/>
          <w:lang w:val="en-GB"/>
        </w:rPr>
        <w:t xml:space="preserve"> </w:t>
      </w:r>
      <w:r w:rsidRPr="000B125D">
        <w:rPr>
          <w:rFonts w:ascii="Times New Roman" w:eastAsiaTheme="minorHAnsi" w:hAnsi="Times New Roman"/>
          <w:sz w:val="24"/>
          <w:szCs w:val="24"/>
        </w:rPr>
        <w:t xml:space="preserve">Intestinal congestion and right ventricular dysfunction: a link with appetite loss, inflammation, and cachexia in chronic heart failure. </w:t>
      </w:r>
      <w:r w:rsidRPr="000B125D">
        <w:rPr>
          <w:rFonts w:ascii="Times New Roman" w:eastAsiaTheme="minorHAnsi" w:hAnsi="Times New Roman"/>
          <w:i/>
          <w:iCs/>
          <w:sz w:val="24"/>
          <w:szCs w:val="24"/>
        </w:rPr>
        <w:t xml:space="preserve">Eur Heart J </w:t>
      </w:r>
      <w:r w:rsidRPr="000B125D">
        <w:rPr>
          <w:rFonts w:ascii="Times New Roman" w:eastAsiaTheme="minorHAnsi" w:hAnsi="Times New Roman"/>
          <w:sz w:val="24"/>
          <w:szCs w:val="24"/>
        </w:rPr>
        <w:t>2016;</w:t>
      </w:r>
      <w:r w:rsidRPr="000B125D">
        <w:rPr>
          <w:rFonts w:ascii="Times New Roman" w:eastAsiaTheme="minorHAnsi" w:hAnsi="Times New Roman"/>
          <w:b/>
          <w:bCs/>
          <w:sz w:val="24"/>
          <w:szCs w:val="24"/>
        </w:rPr>
        <w:t>37:</w:t>
      </w:r>
      <w:r w:rsidRPr="000B125D">
        <w:rPr>
          <w:rFonts w:ascii="Times New Roman" w:eastAsiaTheme="minorHAnsi" w:hAnsi="Times New Roman"/>
          <w:sz w:val="24"/>
          <w:szCs w:val="24"/>
        </w:rPr>
        <w:t>1684-91</w:t>
      </w:r>
    </w:p>
  </w:endnote>
  <w:endnote w:id="6">
    <w:p w14:paraId="6FBCCFF0" w14:textId="77777777" w:rsidR="00466725" w:rsidRPr="000B125D" w:rsidRDefault="00466725" w:rsidP="000B125D">
      <w:pPr>
        <w:pStyle w:val="EndnoteText"/>
        <w:spacing w:line="480" w:lineRule="auto"/>
        <w:rPr>
          <w:rFonts w:ascii="Times New Roman" w:hAnsi="Times New Roman"/>
          <w:sz w:val="24"/>
          <w:szCs w:val="24"/>
          <w:lang w:val="en-GB"/>
        </w:rPr>
      </w:pPr>
      <w:r w:rsidRPr="00DD7D6E">
        <w:rPr>
          <w:rStyle w:val="EndnoteReference"/>
          <w:rFonts w:ascii="Times New Roman" w:hAnsi="Times New Roman"/>
          <w:sz w:val="24"/>
          <w:szCs w:val="24"/>
          <w:vertAlign w:val="baseline"/>
        </w:rPr>
        <w:endnoteRef/>
      </w:r>
      <w:r w:rsidRPr="000B125D">
        <w:rPr>
          <w:rFonts w:ascii="Times New Roman" w:hAnsi="Times New Roman"/>
          <w:sz w:val="24"/>
          <w:szCs w:val="24"/>
        </w:rPr>
        <w:t xml:space="preserve"> </w:t>
      </w:r>
      <w:r w:rsidRPr="000B125D">
        <w:rPr>
          <w:rFonts w:ascii="Times New Roman" w:eastAsiaTheme="minorHAnsi" w:hAnsi="Times New Roman"/>
          <w:sz w:val="24"/>
          <w:szCs w:val="24"/>
        </w:rPr>
        <w:t xml:space="preserve">von Haehling S, Doehner W, Anker SD. Nutrition, metabolism, and the complex pathophysiology of cachexia in chronic heart failure. </w:t>
      </w:r>
      <w:r w:rsidRPr="000B125D">
        <w:rPr>
          <w:rFonts w:ascii="Times New Roman" w:eastAsiaTheme="minorHAnsi" w:hAnsi="Times New Roman"/>
          <w:i/>
          <w:iCs/>
          <w:sz w:val="24"/>
          <w:szCs w:val="24"/>
        </w:rPr>
        <w:t xml:space="preserve">Cardiovasc Res </w:t>
      </w:r>
      <w:r w:rsidRPr="000B125D">
        <w:rPr>
          <w:rFonts w:ascii="Times New Roman" w:eastAsiaTheme="minorHAnsi" w:hAnsi="Times New Roman"/>
          <w:sz w:val="24"/>
          <w:szCs w:val="24"/>
        </w:rPr>
        <w:t>2007;</w:t>
      </w:r>
      <w:r w:rsidRPr="000B125D">
        <w:rPr>
          <w:rFonts w:ascii="Times New Roman" w:eastAsiaTheme="minorHAnsi" w:hAnsi="Times New Roman"/>
          <w:b/>
          <w:bCs/>
          <w:sz w:val="24"/>
          <w:szCs w:val="24"/>
        </w:rPr>
        <w:t>73:</w:t>
      </w:r>
      <w:r w:rsidRPr="000B125D">
        <w:rPr>
          <w:rFonts w:ascii="Times New Roman" w:eastAsiaTheme="minorHAnsi" w:hAnsi="Times New Roman"/>
          <w:sz w:val="24"/>
          <w:szCs w:val="24"/>
        </w:rPr>
        <w:t>298-309</w:t>
      </w:r>
    </w:p>
  </w:endnote>
  <w:endnote w:id="7">
    <w:p w14:paraId="4FEF0387" w14:textId="32D38A4D" w:rsidR="00466725" w:rsidRPr="004B77D1" w:rsidRDefault="00466725" w:rsidP="004B77D1">
      <w:pPr>
        <w:autoSpaceDE w:val="0"/>
        <w:autoSpaceDN w:val="0"/>
        <w:adjustRightInd w:val="0"/>
        <w:spacing w:before="0" w:after="0"/>
        <w:rPr>
          <w:rFonts w:eastAsiaTheme="minorHAnsi"/>
        </w:rPr>
      </w:pPr>
      <w:r w:rsidRPr="00DD7D6E">
        <w:rPr>
          <w:rStyle w:val="EndnoteReference"/>
          <w:vertAlign w:val="baseline"/>
        </w:rPr>
        <w:endnoteRef/>
      </w:r>
      <w:r>
        <w:t xml:space="preserve"> </w:t>
      </w:r>
      <w:r>
        <w:rPr>
          <w:rFonts w:eastAsiaTheme="minorHAnsi"/>
        </w:rPr>
        <w:t>Fávaro-</w:t>
      </w:r>
      <w:r w:rsidRPr="00745BBF">
        <w:rPr>
          <w:rFonts w:eastAsiaTheme="minorHAnsi"/>
        </w:rPr>
        <w:t xml:space="preserve">Moreira NC, Krausch-Hofmann S, Matthys C, </w:t>
      </w:r>
      <w:hyperlink r:id="rId15" w:history="1">
        <w:r w:rsidRPr="00745BBF">
          <w:rPr>
            <w:rStyle w:val="Hyperlink"/>
            <w:color w:val="auto"/>
            <w:u w:val="none"/>
            <w:shd w:val="clear" w:color="auto" w:fill="FFFFFF"/>
          </w:rPr>
          <w:t>Vereecken C</w:t>
        </w:r>
      </w:hyperlink>
      <w:r w:rsidRPr="00745BBF">
        <w:rPr>
          <w:shd w:val="clear" w:color="auto" w:fill="FFFFFF"/>
        </w:rPr>
        <w:t>, </w:t>
      </w:r>
      <w:hyperlink r:id="rId16" w:history="1">
        <w:r w:rsidRPr="00745BBF">
          <w:rPr>
            <w:rStyle w:val="Hyperlink"/>
            <w:color w:val="auto"/>
            <w:u w:val="none"/>
            <w:shd w:val="clear" w:color="auto" w:fill="FFFFFF"/>
          </w:rPr>
          <w:t>Vanhauwaert E</w:t>
        </w:r>
      </w:hyperlink>
      <w:r w:rsidRPr="00745BBF">
        <w:rPr>
          <w:shd w:val="clear" w:color="auto" w:fill="FFFFFF"/>
        </w:rPr>
        <w:t>, </w:t>
      </w:r>
      <w:hyperlink r:id="rId17" w:history="1">
        <w:r w:rsidRPr="00745BBF">
          <w:rPr>
            <w:rStyle w:val="Hyperlink"/>
            <w:color w:val="auto"/>
            <w:u w:val="none"/>
            <w:shd w:val="clear" w:color="auto" w:fill="FFFFFF"/>
          </w:rPr>
          <w:t>Declercq A</w:t>
        </w:r>
      </w:hyperlink>
      <w:r w:rsidRPr="00745BBF">
        <w:rPr>
          <w:shd w:val="clear" w:color="auto" w:fill="FFFFFF"/>
        </w:rPr>
        <w:t>, </w:t>
      </w:r>
      <w:hyperlink r:id="rId18" w:history="1">
        <w:r w:rsidRPr="00745BBF">
          <w:rPr>
            <w:rStyle w:val="Hyperlink"/>
            <w:color w:val="auto"/>
            <w:u w:val="none"/>
            <w:shd w:val="clear" w:color="auto" w:fill="FFFFFF"/>
          </w:rPr>
          <w:t>Bekkering GE</w:t>
        </w:r>
      </w:hyperlink>
      <w:r w:rsidRPr="00745BBF">
        <w:rPr>
          <w:shd w:val="clear" w:color="auto" w:fill="FFFFFF"/>
        </w:rPr>
        <w:t>, </w:t>
      </w:r>
      <w:hyperlink r:id="rId19" w:history="1">
        <w:r w:rsidRPr="00745BBF">
          <w:rPr>
            <w:rStyle w:val="Hyperlink"/>
            <w:color w:val="auto"/>
            <w:u w:val="none"/>
            <w:shd w:val="clear" w:color="auto" w:fill="FFFFFF"/>
          </w:rPr>
          <w:t>Duyck J</w:t>
        </w:r>
      </w:hyperlink>
      <w:r w:rsidRPr="00745BBF">
        <w:rPr>
          <w:shd w:val="clear" w:color="auto" w:fill="FFFFFF"/>
        </w:rPr>
        <w:t>.</w:t>
      </w:r>
      <w:r w:rsidRPr="00745BBF">
        <w:rPr>
          <w:rFonts w:eastAsiaTheme="minorHAnsi"/>
        </w:rPr>
        <w:t xml:space="preserve"> </w:t>
      </w:r>
      <w:r>
        <w:rPr>
          <w:rFonts w:eastAsiaTheme="minorHAnsi"/>
        </w:rPr>
        <w:t xml:space="preserve">Risk Factors for Malnutrition in Older Adults: A Systematic Review of the Literature Based on Longitudinal Data. </w:t>
      </w:r>
      <w:r>
        <w:rPr>
          <w:rFonts w:eastAsiaTheme="minorHAnsi"/>
          <w:i/>
          <w:iCs/>
        </w:rPr>
        <w:t xml:space="preserve">Adv Nutr </w:t>
      </w:r>
      <w:r>
        <w:rPr>
          <w:rFonts w:eastAsiaTheme="minorHAnsi"/>
        </w:rPr>
        <w:t>2016;</w:t>
      </w:r>
      <w:r>
        <w:rPr>
          <w:rFonts w:eastAsiaTheme="minorHAnsi"/>
          <w:b/>
          <w:bCs/>
        </w:rPr>
        <w:t>7:</w:t>
      </w:r>
      <w:r>
        <w:rPr>
          <w:rFonts w:eastAsiaTheme="minorHAnsi"/>
        </w:rPr>
        <w:t>507-22</w:t>
      </w:r>
    </w:p>
  </w:endnote>
  <w:endnote w:id="8">
    <w:p w14:paraId="1F6733E7" w14:textId="20C3E1DF" w:rsidR="00466725" w:rsidRPr="003846AC" w:rsidRDefault="00466725" w:rsidP="003846AC">
      <w:pPr>
        <w:pStyle w:val="EndnoteText"/>
        <w:spacing w:line="480" w:lineRule="auto"/>
        <w:rPr>
          <w:rFonts w:ascii="Times New Roman" w:hAnsi="Times New Roman"/>
          <w:sz w:val="24"/>
          <w:szCs w:val="24"/>
          <w:lang w:val="en-GB"/>
        </w:rPr>
      </w:pPr>
      <w:r w:rsidRPr="00DD7D6E">
        <w:rPr>
          <w:rStyle w:val="EndnoteReference"/>
          <w:rFonts w:ascii="Times New Roman" w:hAnsi="Times New Roman"/>
          <w:sz w:val="24"/>
          <w:szCs w:val="24"/>
          <w:vertAlign w:val="baseline"/>
        </w:rPr>
        <w:endnoteRef/>
      </w:r>
      <w:r w:rsidRPr="003846AC">
        <w:rPr>
          <w:rFonts w:ascii="Times New Roman" w:hAnsi="Times New Roman"/>
          <w:sz w:val="24"/>
          <w:szCs w:val="24"/>
        </w:rPr>
        <w:t xml:space="preserve"> </w:t>
      </w:r>
      <w:r w:rsidRPr="003846AC">
        <w:rPr>
          <w:rFonts w:ascii="Times New Roman" w:eastAsiaTheme="minorHAnsi" w:hAnsi="Times New Roman"/>
          <w:sz w:val="24"/>
          <w:szCs w:val="24"/>
        </w:rPr>
        <w:t xml:space="preserve">Ponikowski P, Voors AA, Anker SD, </w:t>
      </w:r>
      <w:r w:rsidRPr="00745BBF">
        <w:rPr>
          <w:rFonts w:ascii="Times New Roman" w:hAnsi="Times New Roman"/>
          <w:color w:val="000000"/>
          <w:sz w:val="24"/>
          <w:szCs w:val="24"/>
          <w:shd w:val="clear" w:color="auto" w:fill="FFFFFF"/>
        </w:rPr>
        <w:t xml:space="preserve">Bueno H, Cleland JG, Coats AJ, Falk V, González-Juanatey JR, Harjola VP, Jankowska EA, </w:t>
      </w:r>
      <w:r>
        <w:rPr>
          <w:rFonts w:ascii="Times New Roman" w:hAnsi="Times New Roman"/>
          <w:color w:val="000000"/>
          <w:sz w:val="24"/>
          <w:szCs w:val="24"/>
          <w:shd w:val="clear" w:color="auto" w:fill="FFFFFF"/>
          <w:lang w:val="en-US"/>
        </w:rPr>
        <w:t>et al</w:t>
      </w:r>
      <w:r w:rsidRPr="00745BBF">
        <w:rPr>
          <w:rFonts w:ascii="Times New Roman" w:hAnsi="Times New Roman"/>
          <w:color w:val="000000"/>
          <w:sz w:val="24"/>
          <w:szCs w:val="24"/>
          <w:shd w:val="clear" w:color="auto" w:fill="FFFFFF"/>
        </w:rPr>
        <w:t>; Authors/</w:t>
      </w:r>
      <w:r w:rsidRPr="00745BBF">
        <w:rPr>
          <w:rFonts w:ascii="Times New Roman" w:hAnsi="Times New Roman"/>
          <w:bCs/>
          <w:color w:val="000000"/>
          <w:sz w:val="24"/>
          <w:szCs w:val="24"/>
          <w:shd w:val="clear" w:color="auto" w:fill="FFFFFF"/>
        </w:rPr>
        <w:t>Task</w:t>
      </w:r>
      <w:r w:rsidRPr="00745BBF">
        <w:rPr>
          <w:rFonts w:ascii="Times New Roman" w:hAnsi="Times New Roman"/>
          <w:color w:val="000000"/>
          <w:sz w:val="24"/>
          <w:szCs w:val="24"/>
          <w:shd w:val="clear" w:color="auto" w:fill="FFFFFF"/>
        </w:rPr>
        <w:t> </w:t>
      </w:r>
      <w:r w:rsidRPr="00745BBF">
        <w:rPr>
          <w:rFonts w:ascii="Times New Roman" w:hAnsi="Times New Roman"/>
          <w:bCs/>
          <w:color w:val="000000"/>
          <w:sz w:val="24"/>
          <w:szCs w:val="24"/>
          <w:shd w:val="clear" w:color="auto" w:fill="FFFFFF"/>
        </w:rPr>
        <w:t>Force</w:t>
      </w:r>
      <w:r w:rsidRPr="00745BBF">
        <w:rPr>
          <w:rFonts w:ascii="Times New Roman" w:hAnsi="Times New Roman"/>
          <w:color w:val="000000"/>
          <w:sz w:val="24"/>
          <w:szCs w:val="24"/>
          <w:shd w:val="clear" w:color="auto" w:fill="FFFFFF"/>
        </w:rPr>
        <w:t> Members; Document Reviewers</w:t>
      </w:r>
      <w:r w:rsidRPr="00745BBF">
        <w:rPr>
          <w:rFonts w:ascii="Times New Roman" w:eastAsiaTheme="minorHAnsi" w:hAnsi="Times New Roman"/>
          <w:sz w:val="24"/>
          <w:szCs w:val="24"/>
        </w:rPr>
        <w:t xml:space="preserve">. </w:t>
      </w:r>
      <w:r w:rsidRPr="003846AC">
        <w:rPr>
          <w:rFonts w:ascii="Times New Roman" w:eastAsiaTheme="minorHAnsi" w:hAnsi="Times New Roman"/>
          <w:sz w:val="24"/>
          <w:szCs w:val="24"/>
        </w:rPr>
        <w:t xml:space="preserve">2016 ESC Guidelines for the diagnosis and treatment of acute and chronic heart failure: The Task Force for the diagnosis and treatment of acute and chronic heart failure of the European Society of Cardiology (ESC). Developed with the special contribution of the Heart Failure Association (HFA) of the ESC. </w:t>
      </w:r>
      <w:r w:rsidRPr="003846AC">
        <w:rPr>
          <w:rFonts w:ascii="Times New Roman" w:eastAsiaTheme="minorHAnsi" w:hAnsi="Times New Roman"/>
          <w:i/>
          <w:iCs/>
          <w:sz w:val="24"/>
          <w:szCs w:val="24"/>
        </w:rPr>
        <w:t xml:space="preserve">Eur J Heart Fail </w:t>
      </w:r>
      <w:r w:rsidRPr="003846AC">
        <w:rPr>
          <w:rFonts w:ascii="Times New Roman" w:eastAsiaTheme="minorHAnsi" w:hAnsi="Times New Roman"/>
          <w:sz w:val="24"/>
          <w:szCs w:val="24"/>
        </w:rPr>
        <w:t>2016;</w:t>
      </w:r>
      <w:r w:rsidRPr="003846AC">
        <w:rPr>
          <w:rFonts w:ascii="Times New Roman" w:eastAsiaTheme="minorHAnsi" w:hAnsi="Times New Roman"/>
          <w:b/>
          <w:bCs/>
          <w:sz w:val="24"/>
          <w:szCs w:val="24"/>
        </w:rPr>
        <w:t>18:</w:t>
      </w:r>
      <w:r w:rsidRPr="003846AC">
        <w:rPr>
          <w:rFonts w:ascii="Times New Roman" w:eastAsiaTheme="minorHAnsi" w:hAnsi="Times New Roman"/>
          <w:sz w:val="24"/>
          <w:szCs w:val="24"/>
        </w:rPr>
        <w:t>891-975</w:t>
      </w:r>
    </w:p>
  </w:endnote>
  <w:endnote w:id="9">
    <w:p w14:paraId="553EE0EF" w14:textId="77777777" w:rsidR="00466725" w:rsidRPr="00CF34AE" w:rsidRDefault="00466725" w:rsidP="00CF34AE">
      <w:pPr>
        <w:pStyle w:val="desc"/>
        <w:spacing w:before="0" w:beforeAutospacing="0" w:after="0" w:afterAutospacing="0" w:line="480" w:lineRule="auto"/>
      </w:pPr>
      <w:r w:rsidRPr="00DD7D6E">
        <w:rPr>
          <w:rStyle w:val="EndnoteReference"/>
          <w:vertAlign w:val="baseline"/>
        </w:rPr>
        <w:endnoteRef/>
      </w:r>
      <w:r w:rsidRPr="00CF34AE">
        <w:t xml:space="preserve"> National Institute for Health and Care Excellence (2018). Chronic heart failure in adults: diagnosis and management. [Accessed April 2019] available at: https://www.nice.org.uk/guidance/NG106</w:t>
      </w:r>
    </w:p>
  </w:endnote>
  <w:endnote w:id="10">
    <w:p w14:paraId="68481D9E" w14:textId="34BF3C2C" w:rsidR="00466725" w:rsidRPr="00CF34AE" w:rsidRDefault="00466725" w:rsidP="00CF34AE">
      <w:pPr>
        <w:pStyle w:val="EndnoteText"/>
        <w:spacing w:before="288" w:after="288" w:line="480" w:lineRule="auto"/>
        <w:rPr>
          <w:rFonts w:ascii="Times New Roman" w:hAnsi="Times New Roman"/>
          <w:sz w:val="24"/>
          <w:szCs w:val="24"/>
        </w:rPr>
      </w:pPr>
      <w:r w:rsidRPr="00DD7D6E">
        <w:rPr>
          <w:rStyle w:val="EndnoteReference"/>
          <w:rFonts w:ascii="Times New Roman" w:hAnsi="Times New Roman"/>
          <w:sz w:val="24"/>
          <w:szCs w:val="24"/>
          <w:vertAlign w:val="baseline"/>
        </w:rPr>
        <w:endnoteRef/>
      </w:r>
      <w:r>
        <w:rPr>
          <w:rFonts w:ascii="Times New Roman" w:hAnsi="Times New Roman"/>
          <w:sz w:val="24"/>
          <w:szCs w:val="24"/>
        </w:rPr>
        <w:t xml:space="preserve"> </w:t>
      </w:r>
      <w:r w:rsidRPr="00CF34AE">
        <w:rPr>
          <w:rFonts w:ascii="Times New Roman" w:hAnsi="Times New Roman"/>
          <w:sz w:val="24"/>
          <w:szCs w:val="24"/>
        </w:rPr>
        <w:t>Bouillanne</w:t>
      </w:r>
      <w:r>
        <w:rPr>
          <w:rFonts w:ascii="Times New Roman" w:hAnsi="Times New Roman"/>
          <w:sz w:val="24"/>
          <w:szCs w:val="24"/>
          <w:lang w:val="en-GB"/>
        </w:rPr>
        <w:t xml:space="preserve"> O</w:t>
      </w:r>
      <w:r>
        <w:rPr>
          <w:rFonts w:ascii="Times New Roman" w:hAnsi="Times New Roman"/>
          <w:sz w:val="24"/>
          <w:szCs w:val="24"/>
        </w:rPr>
        <w:t xml:space="preserve">, </w:t>
      </w:r>
      <w:r w:rsidRPr="00CF34AE">
        <w:rPr>
          <w:rFonts w:ascii="Times New Roman" w:hAnsi="Times New Roman"/>
          <w:sz w:val="24"/>
          <w:szCs w:val="24"/>
        </w:rPr>
        <w:t>Morineau</w:t>
      </w:r>
      <w:r>
        <w:rPr>
          <w:rFonts w:ascii="Times New Roman" w:hAnsi="Times New Roman"/>
          <w:sz w:val="24"/>
          <w:szCs w:val="24"/>
          <w:lang w:val="en-GB"/>
        </w:rPr>
        <w:t xml:space="preserve"> G</w:t>
      </w:r>
      <w:r>
        <w:rPr>
          <w:rFonts w:ascii="Times New Roman" w:hAnsi="Times New Roman"/>
          <w:sz w:val="24"/>
          <w:szCs w:val="24"/>
        </w:rPr>
        <w:t xml:space="preserve">, </w:t>
      </w:r>
      <w:r w:rsidRPr="00CF34AE">
        <w:rPr>
          <w:rFonts w:ascii="Times New Roman" w:hAnsi="Times New Roman"/>
          <w:sz w:val="24"/>
          <w:szCs w:val="24"/>
        </w:rPr>
        <w:t>Dupont</w:t>
      </w:r>
      <w:r>
        <w:rPr>
          <w:rFonts w:ascii="Times New Roman" w:hAnsi="Times New Roman"/>
          <w:sz w:val="24"/>
          <w:szCs w:val="24"/>
          <w:lang w:val="en-GB"/>
        </w:rPr>
        <w:t xml:space="preserve"> C</w:t>
      </w:r>
      <w:r w:rsidRPr="00CF34AE">
        <w:rPr>
          <w:rFonts w:ascii="Times New Roman" w:hAnsi="Times New Roman"/>
          <w:sz w:val="24"/>
          <w:szCs w:val="24"/>
        </w:rPr>
        <w:t xml:space="preserve">, </w:t>
      </w:r>
      <w:hyperlink r:id="rId20" w:history="1">
        <w:r w:rsidRPr="009D06E9">
          <w:rPr>
            <w:rStyle w:val="Hyperlink"/>
            <w:rFonts w:ascii="Times New Roman" w:hAnsi="Times New Roman"/>
            <w:color w:val="auto"/>
            <w:sz w:val="24"/>
            <w:szCs w:val="24"/>
            <w:u w:val="none"/>
            <w:shd w:val="clear" w:color="auto" w:fill="FFFFFF"/>
          </w:rPr>
          <w:t>Coulombel I</w:t>
        </w:r>
      </w:hyperlink>
      <w:r w:rsidRPr="009D06E9">
        <w:rPr>
          <w:rFonts w:ascii="Times New Roman" w:hAnsi="Times New Roman"/>
          <w:sz w:val="24"/>
          <w:szCs w:val="24"/>
          <w:shd w:val="clear" w:color="auto" w:fill="FFFFFF"/>
        </w:rPr>
        <w:t>, </w:t>
      </w:r>
      <w:hyperlink r:id="rId21" w:history="1">
        <w:r w:rsidRPr="009D06E9">
          <w:rPr>
            <w:rStyle w:val="Hyperlink"/>
            <w:rFonts w:ascii="Times New Roman" w:hAnsi="Times New Roman"/>
            <w:color w:val="auto"/>
            <w:sz w:val="24"/>
            <w:szCs w:val="24"/>
            <w:u w:val="none"/>
            <w:shd w:val="clear" w:color="auto" w:fill="FFFFFF"/>
          </w:rPr>
          <w:t>Vincent JP</w:t>
        </w:r>
      </w:hyperlink>
      <w:r w:rsidRPr="009D06E9">
        <w:rPr>
          <w:rFonts w:ascii="Times New Roman" w:hAnsi="Times New Roman"/>
          <w:sz w:val="24"/>
          <w:szCs w:val="24"/>
          <w:shd w:val="clear" w:color="auto" w:fill="FFFFFF"/>
        </w:rPr>
        <w:t>, </w:t>
      </w:r>
      <w:hyperlink r:id="rId22" w:history="1">
        <w:r w:rsidRPr="009D06E9">
          <w:rPr>
            <w:rStyle w:val="Hyperlink"/>
            <w:rFonts w:ascii="Times New Roman" w:hAnsi="Times New Roman"/>
            <w:color w:val="auto"/>
            <w:sz w:val="24"/>
            <w:szCs w:val="24"/>
            <w:u w:val="none"/>
            <w:shd w:val="clear" w:color="auto" w:fill="FFFFFF"/>
          </w:rPr>
          <w:t>Nicolis I</w:t>
        </w:r>
      </w:hyperlink>
      <w:r w:rsidRPr="009D06E9">
        <w:rPr>
          <w:rFonts w:ascii="Times New Roman" w:hAnsi="Times New Roman"/>
          <w:sz w:val="24"/>
          <w:szCs w:val="24"/>
          <w:shd w:val="clear" w:color="auto" w:fill="FFFFFF"/>
        </w:rPr>
        <w:t>, </w:t>
      </w:r>
      <w:hyperlink r:id="rId23" w:history="1">
        <w:r w:rsidRPr="009D06E9">
          <w:rPr>
            <w:rStyle w:val="Hyperlink"/>
            <w:rFonts w:ascii="Times New Roman" w:hAnsi="Times New Roman"/>
            <w:color w:val="auto"/>
            <w:sz w:val="24"/>
            <w:szCs w:val="24"/>
            <w:u w:val="none"/>
            <w:shd w:val="clear" w:color="auto" w:fill="FFFFFF"/>
          </w:rPr>
          <w:t>Benazeth S</w:t>
        </w:r>
      </w:hyperlink>
      <w:r w:rsidRPr="009D06E9">
        <w:rPr>
          <w:rFonts w:ascii="Times New Roman" w:hAnsi="Times New Roman"/>
          <w:sz w:val="24"/>
          <w:szCs w:val="24"/>
          <w:shd w:val="clear" w:color="auto" w:fill="FFFFFF"/>
        </w:rPr>
        <w:t>, </w:t>
      </w:r>
      <w:hyperlink r:id="rId24" w:history="1">
        <w:r w:rsidRPr="009D06E9">
          <w:rPr>
            <w:rStyle w:val="Hyperlink"/>
            <w:rFonts w:ascii="Times New Roman" w:hAnsi="Times New Roman"/>
            <w:color w:val="auto"/>
            <w:sz w:val="24"/>
            <w:szCs w:val="24"/>
            <w:u w:val="none"/>
            <w:shd w:val="clear" w:color="auto" w:fill="FFFFFF"/>
          </w:rPr>
          <w:t>Cynober L</w:t>
        </w:r>
      </w:hyperlink>
      <w:r w:rsidRPr="009D06E9">
        <w:rPr>
          <w:rFonts w:ascii="Times New Roman" w:hAnsi="Times New Roman"/>
          <w:sz w:val="24"/>
          <w:szCs w:val="24"/>
          <w:shd w:val="clear" w:color="auto" w:fill="FFFFFF"/>
        </w:rPr>
        <w:t>, </w:t>
      </w:r>
      <w:hyperlink r:id="rId25" w:history="1">
        <w:r w:rsidRPr="009D06E9">
          <w:rPr>
            <w:rStyle w:val="Hyperlink"/>
            <w:rFonts w:ascii="Times New Roman" w:hAnsi="Times New Roman"/>
            <w:color w:val="auto"/>
            <w:sz w:val="24"/>
            <w:szCs w:val="24"/>
            <w:u w:val="none"/>
            <w:shd w:val="clear" w:color="auto" w:fill="FFFFFF"/>
          </w:rPr>
          <w:t>Aussel C</w:t>
        </w:r>
      </w:hyperlink>
      <w:r w:rsidRPr="009D06E9">
        <w:rPr>
          <w:rFonts w:ascii="Times New Roman" w:hAnsi="Times New Roman"/>
          <w:sz w:val="24"/>
          <w:szCs w:val="24"/>
        </w:rPr>
        <w:t xml:space="preserve">. </w:t>
      </w:r>
      <w:r w:rsidRPr="00CF34AE">
        <w:rPr>
          <w:rFonts w:ascii="Times New Roman" w:hAnsi="Times New Roman"/>
          <w:sz w:val="24"/>
          <w:szCs w:val="24"/>
        </w:rPr>
        <w:t xml:space="preserve">Geriatric nutritional risk index: a new index for evaluating at –risk elderly medical patients. </w:t>
      </w:r>
      <w:r w:rsidRPr="00CF34AE">
        <w:rPr>
          <w:rFonts w:ascii="Times New Roman" w:hAnsi="Times New Roman"/>
          <w:i/>
          <w:sz w:val="24"/>
          <w:szCs w:val="24"/>
        </w:rPr>
        <w:t>Am J Clin Nutr</w:t>
      </w:r>
      <w:r w:rsidRPr="00CF34AE">
        <w:rPr>
          <w:rFonts w:ascii="Times New Roman" w:hAnsi="Times New Roman"/>
          <w:sz w:val="24"/>
          <w:szCs w:val="24"/>
        </w:rPr>
        <w:t xml:space="preserve"> 2005;</w:t>
      </w:r>
      <w:r w:rsidRPr="00CF34AE">
        <w:rPr>
          <w:rFonts w:ascii="Times New Roman" w:hAnsi="Times New Roman"/>
          <w:b/>
          <w:sz w:val="24"/>
          <w:szCs w:val="24"/>
        </w:rPr>
        <w:t>82</w:t>
      </w:r>
      <w:r w:rsidRPr="00CF34AE">
        <w:rPr>
          <w:rFonts w:ascii="Times New Roman" w:hAnsi="Times New Roman"/>
          <w:sz w:val="24"/>
          <w:szCs w:val="24"/>
        </w:rPr>
        <w:t>:777-83.</w:t>
      </w:r>
    </w:p>
  </w:endnote>
  <w:endnote w:id="11">
    <w:p w14:paraId="31A52CB6" w14:textId="77777777" w:rsidR="00466725" w:rsidRPr="00CF34AE" w:rsidRDefault="00466725" w:rsidP="00CF34AE">
      <w:pPr>
        <w:pStyle w:val="EndnoteText"/>
        <w:spacing w:before="288" w:after="288" w:line="480" w:lineRule="auto"/>
        <w:rPr>
          <w:rFonts w:ascii="Times New Roman" w:hAnsi="Times New Roman"/>
          <w:sz w:val="24"/>
          <w:szCs w:val="24"/>
        </w:rPr>
      </w:pPr>
      <w:r w:rsidRPr="00DD7D6E">
        <w:rPr>
          <w:rStyle w:val="EndnoteReference"/>
          <w:rFonts w:ascii="Times New Roman" w:hAnsi="Times New Roman"/>
          <w:sz w:val="24"/>
          <w:szCs w:val="24"/>
          <w:vertAlign w:val="baseline"/>
        </w:rPr>
        <w:endnoteRef/>
      </w:r>
      <w:r w:rsidRPr="00CF34AE">
        <w:rPr>
          <w:rFonts w:ascii="Times New Roman" w:hAnsi="Times New Roman"/>
          <w:sz w:val="24"/>
          <w:szCs w:val="24"/>
        </w:rPr>
        <w:t xml:space="preserve"> </w:t>
      </w:r>
      <w:r w:rsidRPr="00CF34AE">
        <w:rPr>
          <w:rFonts w:ascii="Times New Roman" w:hAnsi="Times New Roman"/>
          <w:color w:val="000000"/>
          <w:sz w:val="24"/>
          <w:szCs w:val="24"/>
        </w:rPr>
        <w:t xml:space="preserve">Cereda E, Pedrolli G. The geriatric nutritional risk index. </w:t>
      </w:r>
      <w:r w:rsidRPr="00CF34AE">
        <w:rPr>
          <w:rFonts w:ascii="Times New Roman" w:hAnsi="Times New Roman"/>
          <w:i/>
          <w:color w:val="000000"/>
          <w:sz w:val="24"/>
          <w:szCs w:val="24"/>
        </w:rPr>
        <w:t>Curr Opin Clin Nutr Metab Care</w:t>
      </w:r>
      <w:r w:rsidRPr="00CF34AE">
        <w:rPr>
          <w:rFonts w:ascii="Times New Roman" w:hAnsi="Times New Roman"/>
          <w:color w:val="000000"/>
          <w:sz w:val="24"/>
          <w:szCs w:val="24"/>
        </w:rPr>
        <w:t xml:space="preserve"> 2009;</w:t>
      </w:r>
      <w:r w:rsidRPr="00CF34AE">
        <w:rPr>
          <w:rFonts w:ascii="Times New Roman" w:hAnsi="Times New Roman"/>
          <w:b/>
          <w:color w:val="000000"/>
          <w:sz w:val="24"/>
          <w:szCs w:val="24"/>
        </w:rPr>
        <w:t>12</w:t>
      </w:r>
      <w:r w:rsidRPr="00CF34AE">
        <w:rPr>
          <w:rFonts w:ascii="Times New Roman" w:hAnsi="Times New Roman"/>
          <w:color w:val="000000"/>
          <w:sz w:val="24"/>
          <w:szCs w:val="24"/>
        </w:rPr>
        <w:t>:1-7.</w:t>
      </w:r>
    </w:p>
  </w:endnote>
  <w:endnote w:id="12">
    <w:p w14:paraId="28B114B1" w14:textId="022808BA" w:rsidR="00466725" w:rsidRPr="00CF34AE" w:rsidRDefault="00466725" w:rsidP="00CF34AE">
      <w:pPr>
        <w:pStyle w:val="EndnoteText"/>
        <w:spacing w:before="288" w:after="288" w:line="480" w:lineRule="auto"/>
        <w:rPr>
          <w:rFonts w:ascii="Times New Roman" w:hAnsi="Times New Roman"/>
          <w:iCs/>
          <w:sz w:val="24"/>
          <w:szCs w:val="24"/>
          <w:lang w:eastAsia="en-GB"/>
        </w:rPr>
      </w:pPr>
      <w:r w:rsidRPr="00DD7D6E">
        <w:rPr>
          <w:rStyle w:val="EndnoteReference"/>
          <w:rFonts w:ascii="Times New Roman" w:hAnsi="Times New Roman"/>
          <w:sz w:val="24"/>
          <w:szCs w:val="24"/>
          <w:vertAlign w:val="baseline"/>
        </w:rPr>
        <w:endnoteRef/>
      </w:r>
      <w:r w:rsidRPr="00CF34AE">
        <w:rPr>
          <w:rFonts w:ascii="Times New Roman" w:hAnsi="Times New Roman"/>
          <w:sz w:val="24"/>
          <w:szCs w:val="24"/>
        </w:rPr>
        <w:t xml:space="preserve"> </w:t>
      </w:r>
      <w:r w:rsidRPr="00CF34AE">
        <w:rPr>
          <w:rFonts w:ascii="Times New Roman" w:hAnsi="Times New Roman"/>
          <w:iCs/>
          <w:sz w:val="24"/>
          <w:szCs w:val="24"/>
          <w:lang w:eastAsia="en-GB"/>
        </w:rPr>
        <w:t>Ignacio de Ulíbarri J, González-Madroño A, de Villar NG,</w:t>
      </w:r>
      <w:r w:rsidRPr="00FA189E">
        <w:rPr>
          <w:rFonts w:ascii="Times New Roman" w:hAnsi="Times New Roman"/>
          <w:iCs/>
          <w:sz w:val="24"/>
          <w:szCs w:val="24"/>
          <w:lang w:val="fr-FR" w:eastAsia="en-GB"/>
        </w:rPr>
        <w:t xml:space="preserve"> </w:t>
      </w:r>
      <w:hyperlink r:id="rId26" w:history="1">
        <w:r w:rsidRPr="009D06E9">
          <w:rPr>
            <w:rStyle w:val="Hyperlink"/>
            <w:rFonts w:ascii="Times New Roman" w:hAnsi="Times New Roman"/>
            <w:color w:val="auto"/>
            <w:sz w:val="24"/>
            <w:szCs w:val="24"/>
            <w:u w:val="none"/>
            <w:shd w:val="clear" w:color="auto" w:fill="FFFFFF"/>
          </w:rPr>
          <w:t>González P</w:t>
        </w:r>
      </w:hyperlink>
      <w:r w:rsidRPr="009D06E9">
        <w:rPr>
          <w:rFonts w:ascii="Times New Roman" w:hAnsi="Times New Roman"/>
          <w:sz w:val="24"/>
          <w:szCs w:val="24"/>
          <w:shd w:val="clear" w:color="auto" w:fill="FFFFFF"/>
        </w:rPr>
        <w:t>, </w:t>
      </w:r>
      <w:hyperlink r:id="rId27" w:history="1">
        <w:r w:rsidRPr="009D06E9">
          <w:rPr>
            <w:rStyle w:val="Hyperlink"/>
            <w:rFonts w:ascii="Times New Roman" w:hAnsi="Times New Roman"/>
            <w:color w:val="auto"/>
            <w:sz w:val="24"/>
            <w:szCs w:val="24"/>
            <w:u w:val="none"/>
            <w:shd w:val="clear" w:color="auto" w:fill="FFFFFF"/>
          </w:rPr>
          <w:t>González B</w:t>
        </w:r>
      </w:hyperlink>
      <w:r w:rsidRPr="009D06E9">
        <w:rPr>
          <w:rFonts w:ascii="Times New Roman" w:hAnsi="Times New Roman"/>
          <w:sz w:val="24"/>
          <w:szCs w:val="24"/>
          <w:shd w:val="clear" w:color="auto" w:fill="FFFFFF"/>
        </w:rPr>
        <w:t>, </w:t>
      </w:r>
      <w:hyperlink r:id="rId28" w:history="1">
        <w:r w:rsidRPr="009D06E9">
          <w:rPr>
            <w:rStyle w:val="Hyperlink"/>
            <w:rFonts w:ascii="Times New Roman" w:hAnsi="Times New Roman"/>
            <w:color w:val="auto"/>
            <w:sz w:val="24"/>
            <w:szCs w:val="24"/>
            <w:u w:val="none"/>
            <w:shd w:val="clear" w:color="auto" w:fill="FFFFFF"/>
          </w:rPr>
          <w:t>Mancha A</w:t>
        </w:r>
      </w:hyperlink>
      <w:r w:rsidRPr="009D06E9">
        <w:rPr>
          <w:rFonts w:ascii="Times New Roman" w:hAnsi="Times New Roman"/>
          <w:sz w:val="24"/>
          <w:szCs w:val="24"/>
          <w:shd w:val="clear" w:color="auto" w:fill="FFFFFF"/>
        </w:rPr>
        <w:t>, </w:t>
      </w:r>
      <w:hyperlink r:id="rId29" w:history="1">
        <w:r w:rsidRPr="009D06E9">
          <w:rPr>
            <w:rStyle w:val="Hyperlink"/>
            <w:rFonts w:ascii="Times New Roman" w:hAnsi="Times New Roman"/>
            <w:color w:val="auto"/>
            <w:sz w:val="24"/>
            <w:szCs w:val="24"/>
            <w:u w:val="none"/>
            <w:shd w:val="clear" w:color="auto" w:fill="FFFFFF"/>
          </w:rPr>
          <w:t>Rodríguez F</w:t>
        </w:r>
      </w:hyperlink>
      <w:r w:rsidRPr="009D06E9">
        <w:rPr>
          <w:rFonts w:ascii="Times New Roman" w:hAnsi="Times New Roman"/>
          <w:sz w:val="24"/>
          <w:szCs w:val="24"/>
          <w:shd w:val="clear" w:color="auto" w:fill="FFFFFF"/>
        </w:rPr>
        <w:t>, </w:t>
      </w:r>
      <w:hyperlink r:id="rId30" w:history="1">
        <w:r w:rsidRPr="009D06E9">
          <w:rPr>
            <w:rStyle w:val="Hyperlink"/>
            <w:rFonts w:ascii="Times New Roman" w:hAnsi="Times New Roman"/>
            <w:color w:val="auto"/>
            <w:sz w:val="24"/>
            <w:szCs w:val="24"/>
            <w:u w:val="none"/>
            <w:shd w:val="clear" w:color="auto" w:fill="FFFFFF"/>
          </w:rPr>
          <w:t>Fernández G</w:t>
        </w:r>
      </w:hyperlink>
      <w:r w:rsidRPr="009D06E9">
        <w:rPr>
          <w:rFonts w:ascii="Times New Roman" w:hAnsi="Times New Roman"/>
          <w:sz w:val="24"/>
          <w:szCs w:val="24"/>
          <w:shd w:val="clear" w:color="auto" w:fill="FFFFFF"/>
        </w:rPr>
        <w:t>.</w:t>
      </w:r>
      <w:r w:rsidRPr="009D06E9">
        <w:rPr>
          <w:rFonts w:ascii="Times New Roman" w:hAnsi="Times New Roman"/>
          <w:iCs/>
          <w:sz w:val="24"/>
          <w:szCs w:val="24"/>
          <w:lang w:val="fr-FR" w:eastAsia="en-GB"/>
        </w:rPr>
        <w:t xml:space="preserve"> </w:t>
      </w:r>
      <w:r w:rsidRPr="00CF34AE">
        <w:rPr>
          <w:rFonts w:ascii="Times New Roman" w:hAnsi="Times New Roman"/>
          <w:sz w:val="24"/>
          <w:szCs w:val="24"/>
          <w:shd w:val="clear" w:color="auto" w:fill="FFFFFF"/>
          <w:lang w:eastAsia="en-GB"/>
        </w:rPr>
        <w:t>CONUT: a tool for controlling nutritional status. First validation in a hospital population.</w:t>
      </w:r>
      <w:r w:rsidRPr="00CF34AE">
        <w:rPr>
          <w:rFonts w:ascii="Times New Roman" w:hAnsi="Times New Roman"/>
          <w:sz w:val="24"/>
          <w:szCs w:val="24"/>
          <w:lang w:eastAsia="en-GB"/>
        </w:rPr>
        <w:t xml:space="preserve"> </w:t>
      </w:r>
      <w:r w:rsidRPr="00CF34AE">
        <w:rPr>
          <w:rFonts w:ascii="Times New Roman" w:hAnsi="Times New Roman"/>
          <w:i/>
          <w:iCs/>
          <w:sz w:val="24"/>
          <w:szCs w:val="24"/>
          <w:lang w:eastAsia="en-GB"/>
        </w:rPr>
        <w:t>Nutr Hosp</w:t>
      </w:r>
      <w:r w:rsidRPr="00CF34AE">
        <w:rPr>
          <w:rFonts w:ascii="Times New Roman" w:hAnsi="Times New Roman"/>
          <w:iCs/>
          <w:sz w:val="24"/>
          <w:szCs w:val="24"/>
          <w:lang w:eastAsia="en-GB"/>
        </w:rPr>
        <w:t xml:space="preserve"> 2005; </w:t>
      </w:r>
      <w:r w:rsidRPr="00CF34AE">
        <w:rPr>
          <w:rFonts w:ascii="Times New Roman" w:hAnsi="Times New Roman"/>
          <w:b/>
          <w:iCs/>
          <w:sz w:val="24"/>
          <w:szCs w:val="24"/>
          <w:lang w:eastAsia="en-GB"/>
        </w:rPr>
        <w:t>20</w:t>
      </w:r>
      <w:r w:rsidRPr="00CF34AE">
        <w:rPr>
          <w:rFonts w:ascii="Times New Roman" w:hAnsi="Times New Roman"/>
          <w:iCs/>
          <w:sz w:val="24"/>
          <w:szCs w:val="24"/>
          <w:lang w:eastAsia="en-GB"/>
        </w:rPr>
        <w:t>:38-45.</w:t>
      </w:r>
    </w:p>
  </w:endnote>
  <w:endnote w:id="13">
    <w:p w14:paraId="2C738439" w14:textId="77777777" w:rsidR="00466725" w:rsidRPr="00CF34AE" w:rsidRDefault="00466725" w:rsidP="00CF34AE">
      <w:pPr>
        <w:pStyle w:val="EndnoteText"/>
        <w:spacing w:before="288" w:after="288" w:line="480" w:lineRule="auto"/>
        <w:rPr>
          <w:rFonts w:ascii="Times New Roman" w:hAnsi="Times New Roman"/>
          <w:sz w:val="24"/>
          <w:szCs w:val="24"/>
        </w:rPr>
      </w:pPr>
      <w:r w:rsidRPr="00DD7D6E">
        <w:rPr>
          <w:rStyle w:val="EndnoteReference"/>
          <w:rFonts w:ascii="Times New Roman" w:hAnsi="Times New Roman"/>
          <w:sz w:val="24"/>
          <w:szCs w:val="24"/>
          <w:vertAlign w:val="baseline"/>
        </w:rPr>
        <w:endnoteRef/>
      </w:r>
      <w:r w:rsidRPr="00CF34AE">
        <w:rPr>
          <w:rFonts w:ascii="Times New Roman" w:hAnsi="Times New Roman"/>
          <w:sz w:val="24"/>
          <w:szCs w:val="24"/>
        </w:rPr>
        <w:t xml:space="preserve"> </w:t>
      </w:r>
      <w:r w:rsidRPr="00CF34AE">
        <w:rPr>
          <w:rFonts w:ascii="Times New Roman" w:eastAsia="Times New Roman" w:hAnsi="Times New Roman"/>
          <w:sz w:val="24"/>
          <w:szCs w:val="24"/>
          <w:lang w:eastAsia="en-GB"/>
        </w:rPr>
        <w:t>Buzby</w:t>
      </w:r>
      <w:r w:rsidRPr="00CF34AE">
        <w:rPr>
          <w:rFonts w:ascii="Times New Roman" w:eastAsia="Times New Roman" w:hAnsi="Times New Roman"/>
          <w:sz w:val="24"/>
          <w:szCs w:val="24"/>
          <w:lang w:val="en-GB" w:eastAsia="en-GB"/>
        </w:rPr>
        <w:t xml:space="preserve"> GP</w:t>
      </w:r>
      <w:r w:rsidRPr="00CF34AE">
        <w:rPr>
          <w:rFonts w:ascii="Times New Roman" w:eastAsia="Times New Roman" w:hAnsi="Times New Roman"/>
          <w:sz w:val="24"/>
          <w:szCs w:val="24"/>
          <w:lang w:eastAsia="en-GB"/>
        </w:rPr>
        <w:t>, Mullen</w:t>
      </w:r>
      <w:r w:rsidRPr="00CF34AE">
        <w:rPr>
          <w:rFonts w:ascii="Times New Roman" w:eastAsia="Times New Roman" w:hAnsi="Times New Roman"/>
          <w:sz w:val="24"/>
          <w:szCs w:val="24"/>
          <w:lang w:val="en-GB" w:eastAsia="en-GB"/>
        </w:rPr>
        <w:t xml:space="preserve"> JL</w:t>
      </w:r>
      <w:r w:rsidRPr="00CF34AE">
        <w:rPr>
          <w:rFonts w:ascii="Times New Roman" w:eastAsia="Times New Roman" w:hAnsi="Times New Roman"/>
          <w:sz w:val="24"/>
          <w:szCs w:val="24"/>
          <w:lang w:eastAsia="en-GB"/>
        </w:rPr>
        <w:t>, Matthews</w:t>
      </w:r>
      <w:r w:rsidRPr="00CF34AE">
        <w:rPr>
          <w:rFonts w:ascii="Times New Roman" w:eastAsia="Times New Roman" w:hAnsi="Times New Roman"/>
          <w:sz w:val="24"/>
          <w:szCs w:val="24"/>
          <w:lang w:val="en-GB" w:eastAsia="en-GB"/>
        </w:rPr>
        <w:t xml:space="preserve"> DC</w:t>
      </w:r>
      <w:r w:rsidRPr="00CF34AE">
        <w:rPr>
          <w:rFonts w:ascii="Times New Roman" w:eastAsia="Times New Roman" w:hAnsi="Times New Roman"/>
          <w:sz w:val="24"/>
          <w:szCs w:val="24"/>
          <w:lang w:eastAsia="en-GB"/>
        </w:rPr>
        <w:t>, </w:t>
      </w:r>
      <w:hyperlink r:id="rId31" w:history="1">
        <w:r w:rsidRPr="00CF34AE">
          <w:rPr>
            <w:rStyle w:val="Hyperlink"/>
            <w:rFonts w:ascii="Times New Roman" w:hAnsi="Times New Roman"/>
            <w:color w:val="auto"/>
            <w:sz w:val="24"/>
            <w:szCs w:val="24"/>
            <w:u w:val="none"/>
            <w:shd w:val="clear" w:color="auto" w:fill="FFFFFF"/>
          </w:rPr>
          <w:t>Hobbs CL</w:t>
        </w:r>
      </w:hyperlink>
      <w:r w:rsidRPr="00CF34AE">
        <w:rPr>
          <w:rFonts w:ascii="Times New Roman" w:hAnsi="Times New Roman"/>
          <w:sz w:val="24"/>
          <w:szCs w:val="24"/>
          <w:shd w:val="clear" w:color="auto" w:fill="FFFFFF"/>
        </w:rPr>
        <w:t>,</w:t>
      </w:r>
      <w:r w:rsidRPr="00CF34AE">
        <w:rPr>
          <w:rStyle w:val="apple-converted-space"/>
          <w:rFonts w:ascii="Times New Roman" w:hAnsi="Times New Roman"/>
          <w:sz w:val="24"/>
          <w:szCs w:val="24"/>
          <w:shd w:val="clear" w:color="auto" w:fill="FFFFFF"/>
        </w:rPr>
        <w:t> </w:t>
      </w:r>
      <w:hyperlink r:id="rId32" w:history="1">
        <w:r w:rsidRPr="00CF34AE">
          <w:rPr>
            <w:rStyle w:val="Hyperlink"/>
            <w:rFonts w:ascii="Times New Roman" w:hAnsi="Times New Roman"/>
            <w:color w:val="auto"/>
            <w:sz w:val="24"/>
            <w:szCs w:val="24"/>
            <w:u w:val="none"/>
            <w:shd w:val="clear" w:color="auto" w:fill="FFFFFF"/>
          </w:rPr>
          <w:t>Rosato EF</w:t>
        </w:r>
      </w:hyperlink>
      <w:r w:rsidRPr="00CF34AE">
        <w:rPr>
          <w:rFonts w:ascii="Times New Roman" w:eastAsia="Times New Roman" w:hAnsi="Times New Roman"/>
          <w:iCs/>
          <w:sz w:val="24"/>
          <w:szCs w:val="24"/>
          <w:bdr w:val="none" w:sz="0" w:space="0" w:color="auto" w:frame="1"/>
          <w:lang w:eastAsia="en-GB"/>
        </w:rPr>
        <w:t>.</w:t>
      </w:r>
      <w:r w:rsidRPr="00CF34AE">
        <w:rPr>
          <w:rFonts w:ascii="Times New Roman" w:eastAsia="Times New Roman" w:hAnsi="Times New Roman"/>
          <w:sz w:val="24"/>
          <w:szCs w:val="24"/>
          <w:lang w:eastAsia="en-GB"/>
        </w:rPr>
        <w:t xml:space="preserve"> </w:t>
      </w:r>
      <w:r w:rsidRPr="00CF34AE">
        <w:rPr>
          <w:rFonts w:ascii="Times New Roman" w:eastAsia="Times New Roman" w:hAnsi="Times New Roman"/>
          <w:bCs/>
          <w:sz w:val="24"/>
          <w:szCs w:val="24"/>
          <w:lang w:eastAsia="en-GB"/>
        </w:rPr>
        <w:t>Prognostic nutritional index in gastrointestinal surgery</w:t>
      </w:r>
      <w:r w:rsidRPr="00CF34AE">
        <w:rPr>
          <w:rFonts w:ascii="Times New Roman" w:eastAsia="Times New Roman" w:hAnsi="Times New Roman"/>
          <w:sz w:val="24"/>
          <w:szCs w:val="24"/>
          <w:lang w:eastAsia="en-GB"/>
        </w:rPr>
        <w:t xml:space="preserve">. </w:t>
      </w:r>
      <w:r w:rsidRPr="00CF34AE">
        <w:rPr>
          <w:rFonts w:ascii="Times New Roman" w:eastAsia="Times New Roman" w:hAnsi="Times New Roman"/>
          <w:i/>
          <w:sz w:val="24"/>
          <w:szCs w:val="24"/>
          <w:lang w:eastAsia="en-GB"/>
        </w:rPr>
        <w:t>Am J Surg</w:t>
      </w:r>
      <w:r w:rsidRPr="00CF34AE">
        <w:rPr>
          <w:rFonts w:ascii="Times New Roman" w:eastAsia="Times New Roman" w:hAnsi="Times New Roman"/>
          <w:sz w:val="24"/>
          <w:szCs w:val="24"/>
          <w:lang w:eastAsia="en-GB"/>
        </w:rPr>
        <w:t xml:space="preserve"> 1980;</w:t>
      </w:r>
      <w:r w:rsidRPr="00CF34AE">
        <w:rPr>
          <w:rFonts w:ascii="Times New Roman" w:eastAsia="Times New Roman" w:hAnsi="Times New Roman"/>
          <w:b/>
          <w:sz w:val="24"/>
          <w:szCs w:val="24"/>
          <w:lang w:eastAsia="en-GB"/>
        </w:rPr>
        <w:t>139</w:t>
      </w:r>
      <w:r w:rsidRPr="00CF34AE">
        <w:rPr>
          <w:rFonts w:ascii="Times New Roman" w:eastAsia="Times New Roman" w:hAnsi="Times New Roman"/>
          <w:sz w:val="24"/>
          <w:szCs w:val="24"/>
          <w:lang w:eastAsia="en-GB"/>
        </w:rPr>
        <w:t>:160–167.</w:t>
      </w:r>
    </w:p>
  </w:endnote>
  <w:endnote w:id="14">
    <w:p w14:paraId="66A441D7" w14:textId="47B4AE8E" w:rsidR="00466725" w:rsidRPr="00CF34AE" w:rsidRDefault="00466725" w:rsidP="00CF34AE">
      <w:pPr>
        <w:pStyle w:val="EndnoteText"/>
        <w:spacing w:before="288" w:after="288" w:line="480" w:lineRule="auto"/>
        <w:rPr>
          <w:rFonts w:ascii="Times New Roman" w:hAnsi="Times New Roman"/>
          <w:sz w:val="24"/>
          <w:szCs w:val="24"/>
        </w:rPr>
      </w:pPr>
      <w:r w:rsidRPr="00DD7D6E">
        <w:rPr>
          <w:rStyle w:val="EndnoteReference"/>
          <w:rFonts w:ascii="Times New Roman" w:hAnsi="Times New Roman"/>
          <w:sz w:val="24"/>
          <w:szCs w:val="24"/>
          <w:vertAlign w:val="baseline"/>
        </w:rPr>
        <w:endnoteRef/>
      </w:r>
      <w:r>
        <w:rPr>
          <w:rFonts w:ascii="Times New Roman" w:hAnsi="Times New Roman"/>
          <w:sz w:val="24"/>
          <w:szCs w:val="24"/>
        </w:rPr>
        <w:t xml:space="preserve"> </w:t>
      </w:r>
      <w:r w:rsidRPr="00DD7F82">
        <w:rPr>
          <w:rFonts w:ascii="Times New Roman" w:eastAsiaTheme="minorHAnsi" w:hAnsi="Times New Roman"/>
          <w:sz w:val="24"/>
          <w:szCs w:val="24"/>
        </w:rPr>
        <w:t xml:space="preserve">Elia M, The British Association for Parenteral and Enteral Nutrition: Malnutrition Advisory Group. The ‘MUST’ Report. Nutritional screening of adults: a multidisciplinary responsibility. Last modified. 2003. Accessed 22.7.2019. </w:t>
      </w:r>
      <w:hyperlink r:id="rId33" w:history="1">
        <w:r w:rsidRPr="00DD7F82">
          <w:rPr>
            <w:rFonts w:ascii="Times New Roman" w:eastAsiaTheme="minorHAnsi" w:hAnsi="Times New Roman"/>
            <w:sz w:val="24"/>
            <w:szCs w:val="24"/>
          </w:rPr>
          <w:t>https://www.bapen.org.uk/pdfs/must/must-report.pdf</w:t>
        </w:r>
      </w:hyperlink>
    </w:p>
  </w:endnote>
  <w:endnote w:id="15">
    <w:p w14:paraId="467ECBB8" w14:textId="77777777" w:rsidR="00466725" w:rsidRPr="00CF34AE" w:rsidRDefault="00466725" w:rsidP="00CF34AE">
      <w:pPr>
        <w:spacing w:before="288" w:after="288"/>
        <w:rPr>
          <w:rFonts w:eastAsia="Times New Roman"/>
          <w:lang w:eastAsia="en-GB"/>
        </w:rPr>
      </w:pPr>
      <w:r w:rsidRPr="00DD7D6E">
        <w:rPr>
          <w:rStyle w:val="EndnoteReference"/>
          <w:vertAlign w:val="baseline"/>
        </w:rPr>
        <w:endnoteRef/>
      </w:r>
      <w:r w:rsidRPr="00CF34AE">
        <w:rPr>
          <w:lang w:val="es-ES"/>
        </w:rPr>
        <w:t xml:space="preserve">  </w:t>
      </w:r>
      <w:r w:rsidRPr="00CF34AE">
        <w:rPr>
          <w:rFonts w:eastAsia="Times New Roman"/>
          <w:lang w:val="es-ES" w:eastAsia="en-GB"/>
        </w:rPr>
        <w:t xml:space="preserve">Guigoz Y, Vellas B, Garry PJ. </w:t>
      </w:r>
      <w:r w:rsidRPr="00CF34AE">
        <w:t xml:space="preserve">Assessing the nutritional status of the elderly: The Mini Nutritional Assessment as part of the geriatric evaluation. </w:t>
      </w:r>
      <w:r w:rsidRPr="00CF34AE">
        <w:rPr>
          <w:i/>
        </w:rPr>
        <w:t>Nutr Rev.</w:t>
      </w:r>
      <w:r w:rsidRPr="00CF34AE">
        <w:t xml:space="preserve"> 1996;</w:t>
      </w:r>
      <w:r w:rsidRPr="00CF34AE">
        <w:rPr>
          <w:b/>
        </w:rPr>
        <w:t>54</w:t>
      </w:r>
      <w:r w:rsidRPr="00CF34AE">
        <w:t>:59-65.</w:t>
      </w:r>
    </w:p>
  </w:endnote>
  <w:endnote w:id="16">
    <w:p w14:paraId="095A19EE" w14:textId="77777777" w:rsidR="00466725" w:rsidRPr="00CF34AE" w:rsidRDefault="00466725" w:rsidP="00CF34AE">
      <w:pPr>
        <w:pStyle w:val="EndnoteText"/>
        <w:spacing w:before="288" w:after="288" w:line="480" w:lineRule="auto"/>
        <w:rPr>
          <w:rFonts w:ascii="Times New Roman" w:hAnsi="Times New Roman"/>
          <w:sz w:val="24"/>
          <w:szCs w:val="24"/>
          <w:lang w:val="en-GB"/>
        </w:rPr>
      </w:pPr>
      <w:r w:rsidRPr="00DD7D6E">
        <w:rPr>
          <w:rStyle w:val="EndnoteReference"/>
          <w:rFonts w:ascii="Times New Roman" w:hAnsi="Times New Roman"/>
          <w:sz w:val="24"/>
          <w:szCs w:val="24"/>
          <w:vertAlign w:val="baseline"/>
        </w:rPr>
        <w:endnoteRef/>
      </w:r>
      <w:r w:rsidRPr="00CF34AE">
        <w:rPr>
          <w:rFonts w:ascii="Times New Roman" w:hAnsi="Times New Roman"/>
          <w:sz w:val="24"/>
          <w:szCs w:val="24"/>
        </w:rPr>
        <w:t xml:space="preserve"> </w:t>
      </w:r>
      <w:r w:rsidRPr="00CF34AE">
        <w:rPr>
          <w:rFonts w:ascii="Times New Roman" w:hAnsi="Times New Roman"/>
          <w:spacing w:val="2"/>
          <w:sz w:val="24"/>
          <w:szCs w:val="24"/>
        </w:rPr>
        <w:t>Rubenstein LZ, Harker JO, Salva A, Guigoz Y, Vellas B</w:t>
      </w:r>
      <w:r w:rsidRPr="00CF34AE">
        <w:rPr>
          <w:rFonts w:ascii="Times New Roman" w:hAnsi="Times New Roman"/>
          <w:spacing w:val="2"/>
          <w:sz w:val="24"/>
          <w:szCs w:val="24"/>
          <w:lang w:val="en-GB"/>
        </w:rPr>
        <w:t>.</w:t>
      </w:r>
      <w:r w:rsidRPr="00CF34AE">
        <w:rPr>
          <w:rFonts w:ascii="Times New Roman" w:hAnsi="Times New Roman"/>
          <w:spacing w:val="2"/>
          <w:sz w:val="24"/>
          <w:szCs w:val="24"/>
        </w:rPr>
        <w:t xml:space="preserve"> Screening for undernutrition in geriatric practice: developing the Short-Form Mini-Nutritional Assessment (MNA-SF). </w:t>
      </w:r>
      <w:r w:rsidRPr="00CF34AE">
        <w:rPr>
          <w:rStyle w:val="Emphasis"/>
          <w:rFonts w:ascii="Times New Roman" w:hAnsi="Times New Roman"/>
          <w:spacing w:val="2"/>
          <w:sz w:val="24"/>
          <w:szCs w:val="24"/>
        </w:rPr>
        <w:t>J. Gerontol.</w:t>
      </w:r>
      <w:r w:rsidRPr="00CF34AE">
        <w:rPr>
          <w:rFonts w:ascii="Times New Roman" w:hAnsi="Times New Roman"/>
          <w:spacing w:val="2"/>
          <w:sz w:val="24"/>
          <w:szCs w:val="24"/>
        </w:rPr>
        <w:t> </w:t>
      </w:r>
      <w:r w:rsidRPr="00CF34AE">
        <w:rPr>
          <w:rFonts w:ascii="Times New Roman" w:hAnsi="Times New Roman"/>
          <w:spacing w:val="2"/>
          <w:sz w:val="24"/>
          <w:szCs w:val="24"/>
          <w:lang w:val="en-GB"/>
        </w:rPr>
        <w:t>2001;</w:t>
      </w:r>
      <w:r w:rsidRPr="00CF34AE">
        <w:rPr>
          <w:rFonts w:ascii="Times New Roman" w:hAnsi="Times New Roman"/>
          <w:b/>
          <w:spacing w:val="2"/>
          <w:sz w:val="24"/>
          <w:szCs w:val="24"/>
        </w:rPr>
        <w:t>56</w:t>
      </w:r>
      <w:r w:rsidRPr="00CF34AE">
        <w:rPr>
          <w:rFonts w:ascii="Times New Roman" w:hAnsi="Times New Roman"/>
          <w:spacing w:val="2"/>
          <w:sz w:val="24"/>
          <w:szCs w:val="24"/>
        </w:rPr>
        <w:t>: M366–M372</w:t>
      </w:r>
      <w:r w:rsidRPr="00CF34AE">
        <w:rPr>
          <w:rFonts w:ascii="Times New Roman" w:hAnsi="Times New Roman"/>
          <w:spacing w:val="2"/>
          <w:sz w:val="24"/>
          <w:szCs w:val="24"/>
          <w:lang w:val="en-GB"/>
        </w:rPr>
        <w:t>.</w:t>
      </w:r>
    </w:p>
  </w:endnote>
  <w:endnote w:id="17">
    <w:p w14:paraId="60A168E5" w14:textId="0E3F476A" w:rsidR="00466725" w:rsidRPr="00CF34AE" w:rsidRDefault="00466725" w:rsidP="00CF34AE">
      <w:pPr>
        <w:pStyle w:val="EndnoteText"/>
        <w:spacing w:before="288" w:after="288" w:line="480" w:lineRule="auto"/>
        <w:rPr>
          <w:rFonts w:ascii="Times New Roman" w:hAnsi="Times New Roman"/>
          <w:sz w:val="24"/>
          <w:szCs w:val="24"/>
        </w:rPr>
      </w:pPr>
      <w:r w:rsidRPr="00DD7D6E">
        <w:rPr>
          <w:rStyle w:val="EndnoteReference"/>
          <w:rFonts w:ascii="Times New Roman" w:hAnsi="Times New Roman"/>
          <w:sz w:val="24"/>
          <w:szCs w:val="24"/>
          <w:vertAlign w:val="baseline"/>
        </w:rPr>
        <w:endnoteRef/>
      </w:r>
      <w:r w:rsidRPr="00CF34AE">
        <w:rPr>
          <w:rFonts w:ascii="Times New Roman" w:hAnsi="Times New Roman"/>
          <w:sz w:val="24"/>
          <w:szCs w:val="24"/>
        </w:rPr>
        <w:t xml:space="preserve"> Detsky AS, McLaughlin JR, Baker JP, </w:t>
      </w:r>
      <w:hyperlink r:id="rId34" w:history="1">
        <w:r w:rsidRPr="009D06E9">
          <w:rPr>
            <w:rStyle w:val="Hyperlink"/>
            <w:rFonts w:ascii="Times New Roman" w:hAnsi="Times New Roman"/>
            <w:color w:val="auto"/>
            <w:sz w:val="24"/>
            <w:szCs w:val="24"/>
            <w:u w:val="none"/>
            <w:shd w:val="clear" w:color="auto" w:fill="FFFFFF"/>
          </w:rPr>
          <w:t>Johnston N</w:t>
        </w:r>
      </w:hyperlink>
      <w:r w:rsidRPr="009D06E9">
        <w:rPr>
          <w:rFonts w:ascii="Times New Roman" w:hAnsi="Times New Roman"/>
          <w:sz w:val="24"/>
          <w:szCs w:val="24"/>
          <w:shd w:val="clear" w:color="auto" w:fill="FFFFFF"/>
        </w:rPr>
        <w:t>, </w:t>
      </w:r>
      <w:hyperlink r:id="rId35" w:history="1">
        <w:r w:rsidRPr="009D06E9">
          <w:rPr>
            <w:rStyle w:val="Hyperlink"/>
            <w:rFonts w:ascii="Times New Roman" w:hAnsi="Times New Roman"/>
            <w:color w:val="auto"/>
            <w:sz w:val="24"/>
            <w:szCs w:val="24"/>
            <w:u w:val="none"/>
            <w:shd w:val="clear" w:color="auto" w:fill="FFFFFF"/>
          </w:rPr>
          <w:t>Whittaker S</w:t>
        </w:r>
      </w:hyperlink>
      <w:r w:rsidRPr="009D06E9">
        <w:rPr>
          <w:rFonts w:ascii="Times New Roman" w:hAnsi="Times New Roman"/>
          <w:sz w:val="24"/>
          <w:szCs w:val="24"/>
          <w:shd w:val="clear" w:color="auto" w:fill="FFFFFF"/>
        </w:rPr>
        <w:t>, </w:t>
      </w:r>
      <w:hyperlink r:id="rId36" w:history="1">
        <w:r w:rsidRPr="009D06E9">
          <w:rPr>
            <w:rStyle w:val="Hyperlink"/>
            <w:rFonts w:ascii="Times New Roman" w:hAnsi="Times New Roman"/>
            <w:color w:val="auto"/>
            <w:sz w:val="24"/>
            <w:szCs w:val="24"/>
            <w:u w:val="none"/>
            <w:shd w:val="clear" w:color="auto" w:fill="FFFFFF"/>
          </w:rPr>
          <w:t>Mendelson RA</w:t>
        </w:r>
      </w:hyperlink>
      <w:r w:rsidRPr="009D06E9">
        <w:rPr>
          <w:rFonts w:ascii="Times New Roman" w:hAnsi="Times New Roman"/>
          <w:sz w:val="24"/>
          <w:szCs w:val="24"/>
          <w:shd w:val="clear" w:color="auto" w:fill="FFFFFF"/>
        </w:rPr>
        <w:t>, </w:t>
      </w:r>
      <w:hyperlink r:id="rId37" w:history="1">
        <w:r w:rsidRPr="009D06E9">
          <w:rPr>
            <w:rStyle w:val="Hyperlink"/>
            <w:rFonts w:ascii="Times New Roman" w:hAnsi="Times New Roman"/>
            <w:color w:val="auto"/>
            <w:sz w:val="24"/>
            <w:szCs w:val="24"/>
            <w:u w:val="none"/>
            <w:shd w:val="clear" w:color="auto" w:fill="FFFFFF"/>
          </w:rPr>
          <w:t>Jeejeebhoy KN</w:t>
        </w:r>
      </w:hyperlink>
      <w:r w:rsidRPr="009D06E9">
        <w:rPr>
          <w:rFonts w:ascii="Times New Roman" w:hAnsi="Times New Roman"/>
          <w:sz w:val="24"/>
          <w:szCs w:val="24"/>
          <w:lang w:val="en-GB"/>
        </w:rPr>
        <w:t xml:space="preserve">. </w:t>
      </w:r>
      <w:r w:rsidRPr="00CF34AE">
        <w:rPr>
          <w:rFonts w:ascii="Times New Roman" w:hAnsi="Times New Roman"/>
          <w:sz w:val="24"/>
          <w:szCs w:val="24"/>
        </w:rPr>
        <w:t xml:space="preserve">What is subjective global assessment of nutritional status? </w:t>
      </w:r>
      <w:r w:rsidRPr="00CF34AE">
        <w:rPr>
          <w:rFonts w:ascii="Times New Roman" w:hAnsi="Times New Roman"/>
          <w:i/>
          <w:sz w:val="24"/>
          <w:szCs w:val="24"/>
        </w:rPr>
        <w:t>J Parenter Enteral Nutr</w:t>
      </w:r>
      <w:r w:rsidRPr="00CF34AE">
        <w:rPr>
          <w:rFonts w:ascii="Times New Roman" w:hAnsi="Times New Roman"/>
          <w:sz w:val="24"/>
          <w:szCs w:val="24"/>
        </w:rPr>
        <w:t xml:space="preserve"> 1987;</w:t>
      </w:r>
      <w:r w:rsidRPr="00CF34AE">
        <w:rPr>
          <w:rFonts w:ascii="Times New Roman" w:hAnsi="Times New Roman"/>
          <w:b/>
          <w:sz w:val="24"/>
          <w:szCs w:val="24"/>
        </w:rPr>
        <w:t>11</w:t>
      </w:r>
      <w:r w:rsidRPr="00CF34AE">
        <w:rPr>
          <w:rFonts w:ascii="Times New Roman" w:hAnsi="Times New Roman"/>
          <w:sz w:val="24"/>
          <w:szCs w:val="24"/>
        </w:rPr>
        <w:t>:8</w:t>
      </w:r>
      <w:r w:rsidRPr="00CF34AE">
        <w:rPr>
          <w:rFonts w:ascii="Times New Roman" w:hAnsi="Times New Roman"/>
          <w:sz w:val="24"/>
          <w:szCs w:val="24"/>
        </w:rPr>
        <w:softHyphen/>
        <w:t xml:space="preserve"> 13.</w:t>
      </w:r>
    </w:p>
  </w:endnote>
  <w:endnote w:id="18">
    <w:p w14:paraId="1EA78DF7" w14:textId="77777777" w:rsidR="00466725" w:rsidRPr="00CF34AE" w:rsidRDefault="00466725" w:rsidP="00CF34AE">
      <w:pPr>
        <w:pStyle w:val="EndnoteText"/>
        <w:spacing w:before="288" w:after="288" w:line="480" w:lineRule="auto"/>
        <w:rPr>
          <w:rFonts w:ascii="Times New Roman" w:hAnsi="Times New Roman"/>
          <w:sz w:val="24"/>
          <w:szCs w:val="24"/>
          <w:lang w:val="en-GB"/>
        </w:rPr>
      </w:pPr>
      <w:r w:rsidRPr="00DD7D6E">
        <w:rPr>
          <w:rStyle w:val="EndnoteReference"/>
          <w:rFonts w:ascii="Times New Roman" w:hAnsi="Times New Roman"/>
          <w:sz w:val="24"/>
          <w:szCs w:val="24"/>
          <w:vertAlign w:val="baseline"/>
        </w:rPr>
        <w:endnoteRef/>
      </w:r>
      <w:r w:rsidRPr="00CF34AE">
        <w:rPr>
          <w:rFonts w:ascii="Times New Roman" w:hAnsi="Times New Roman"/>
          <w:sz w:val="24"/>
          <w:szCs w:val="24"/>
        </w:rPr>
        <w:t xml:space="preserve"> </w:t>
      </w:r>
      <w:hyperlink r:id="rId38" w:history="1">
        <w:r w:rsidRPr="00CF34AE">
          <w:rPr>
            <w:rStyle w:val="Hyperlink"/>
            <w:rFonts w:ascii="Times New Roman" w:hAnsi="Times New Roman"/>
            <w:color w:val="auto"/>
            <w:sz w:val="24"/>
            <w:szCs w:val="24"/>
            <w:u w:val="none"/>
            <w:shd w:val="clear" w:color="auto" w:fill="FFFFFF"/>
          </w:rPr>
          <w:t>da Silva Fink J</w:t>
        </w:r>
      </w:hyperlink>
      <w:r w:rsidRPr="00CF34AE">
        <w:rPr>
          <w:rFonts w:ascii="Times New Roman" w:hAnsi="Times New Roman"/>
          <w:sz w:val="24"/>
          <w:szCs w:val="24"/>
          <w:shd w:val="clear" w:color="auto" w:fill="FFFFFF"/>
        </w:rPr>
        <w:t>, </w:t>
      </w:r>
      <w:hyperlink r:id="rId39" w:history="1">
        <w:r w:rsidRPr="00CF34AE">
          <w:rPr>
            <w:rStyle w:val="Hyperlink"/>
            <w:rFonts w:ascii="Times New Roman" w:hAnsi="Times New Roman"/>
            <w:color w:val="auto"/>
            <w:sz w:val="24"/>
            <w:szCs w:val="24"/>
            <w:u w:val="none"/>
            <w:shd w:val="clear" w:color="auto" w:fill="FFFFFF"/>
          </w:rPr>
          <w:t>Daniel de Mello P</w:t>
        </w:r>
      </w:hyperlink>
      <w:r w:rsidRPr="00CF34AE">
        <w:rPr>
          <w:rFonts w:ascii="Times New Roman" w:hAnsi="Times New Roman"/>
          <w:sz w:val="24"/>
          <w:szCs w:val="24"/>
          <w:shd w:val="clear" w:color="auto" w:fill="FFFFFF"/>
        </w:rPr>
        <w:t>, </w:t>
      </w:r>
      <w:hyperlink r:id="rId40" w:history="1">
        <w:r w:rsidRPr="00CF34AE">
          <w:rPr>
            <w:rStyle w:val="Hyperlink"/>
            <w:rFonts w:ascii="Times New Roman" w:hAnsi="Times New Roman"/>
            <w:color w:val="auto"/>
            <w:sz w:val="24"/>
            <w:szCs w:val="24"/>
            <w:u w:val="none"/>
            <w:shd w:val="clear" w:color="auto" w:fill="FFFFFF"/>
          </w:rPr>
          <w:t>Daniel de Mello E</w:t>
        </w:r>
      </w:hyperlink>
      <w:r w:rsidRPr="00CF34AE">
        <w:rPr>
          <w:rFonts w:ascii="Times New Roman" w:hAnsi="Times New Roman"/>
          <w:sz w:val="24"/>
          <w:szCs w:val="24"/>
          <w:shd w:val="clear" w:color="auto" w:fill="FFFFFF"/>
        </w:rPr>
        <w:t>.</w:t>
      </w:r>
      <w:r w:rsidRPr="00FA189E">
        <w:rPr>
          <w:rFonts w:ascii="Times New Roman" w:hAnsi="Times New Roman"/>
          <w:sz w:val="24"/>
          <w:szCs w:val="24"/>
          <w:shd w:val="clear" w:color="auto" w:fill="FFFFFF"/>
          <w:lang w:val="fr-FR"/>
        </w:rPr>
        <w:t xml:space="preserve"> </w:t>
      </w:r>
      <w:r w:rsidRPr="00CF34AE">
        <w:rPr>
          <w:rFonts w:ascii="Times New Roman" w:hAnsi="Times New Roman"/>
          <w:sz w:val="24"/>
          <w:szCs w:val="24"/>
          <w:shd w:val="clear" w:color="auto" w:fill="FFFFFF"/>
          <w:lang w:val="en-GB"/>
        </w:rPr>
        <w:t xml:space="preserve">Subjective global assessment of nutritional status – A systematic review of the literature. </w:t>
      </w:r>
      <w:hyperlink r:id="rId41" w:tooltip="Clinical nutrition (Edinburgh, Scotland)." w:history="1">
        <w:r w:rsidRPr="00CF34AE">
          <w:rPr>
            <w:rStyle w:val="Hyperlink"/>
            <w:rFonts w:ascii="Times New Roman" w:hAnsi="Times New Roman"/>
            <w:i/>
            <w:color w:val="auto"/>
            <w:sz w:val="24"/>
            <w:szCs w:val="24"/>
            <w:u w:val="none"/>
            <w:shd w:val="clear" w:color="auto" w:fill="FFFFFF"/>
          </w:rPr>
          <w:t>Clin Nutr</w:t>
        </w:r>
        <w:r w:rsidRPr="00CF34AE">
          <w:rPr>
            <w:rStyle w:val="Hyperlink"/>
            <w:rFonts w:ascii="Times New Roman" w:hAnsi="Times New Roman"/>
            <w:color w:val="auto"/>
            <w:sz w:val="24"/>
            <w:szCs w:val="24"/>
            <w:u w:val="none"/>
            <w:shd w:val="clear" w:color="auto" w:fill="FFFFFF"/>
          </w:rPr>
          <w:t>.</w:t>
        </w:r>
      </w:hyperlink>
      <w:r w:rsidRPr="00CF34AE">
        <w:rPr>
          <w:rFonts w:ascii="Times New Roman" w:hAnsi="Times New Roman"/>
          <w:sz w:val="24"/>
          <w:szCs w:val="24"/>
          <w:shd w:val="clear" w:color="auto" w:fill="FFFFFF"/>
        </w:rPr>
        <w:t> 20</w:t>
      </w:r>
      <w:r w:rsidRPr="00CF34AE">
        <w:rPr>
          <w:rFonts w:ascii="Times New Roman" w:hAnsi="Times New Roman"/>
          <w:color w:val="000000"/>
          <w:sz w:val="24"/>
          <w:szCs w:val="24"/>
          <w:shd w:val="clear" w:color="auto" w:fill="FFFFFF"/>
        </w:rPr>
        <w:t>15;</w:t>
      </w:r>
      <w:r w:rsidRPr="00CF34AE">
        <w:rPr>
          <w:rFonts w:ascii="Times New Roman" w:hAnsi="Times New Roman"/>
          <w:b/>
          <w:color w:val="000000"/>
          <w:sz w:val="24"/>
          <w:szCs w:val="24"/>
          <w:shd w:val="clear" w:color="auto" w:fill="FFFFFF"/>
        </w:rPr>
        <w:t>34</w:t>
      </w:r>
      <w:r w:rsidRPr="00CF34AE">
        <w:rPr>
          <w:rFonts w:ascii="Times New Roman" w:hAnsi="Times New Roman"/>
          <w:color w:val="000000"/>
          <w:sz w:val="24"/>
          <w:szCs w:val="24"/>
          <w:shd w:val="clear" w:color="auto" w:fill="FFFFFF"/>
        </w:rPr>
        <w:t>:785-92. </w:t>
      </w:r>
    </w:p>
  </w:endnote>
  <w:endnote w:id="19">
    <w:p w14:paraId="1673158F" w14:textId="77777777" w:rsidR="00466725" w:rsidRPr="00552294" w:rsidRDefault="00466725" w:rsidP="0017575D">
      <w:pPr>
        <w:pStyle w:val="CommentText"/>
        <w:spacing w:line="480" w:lineRule="auto"/>
      </w:pPr>
      <w:r w:rsidRPr="00DD7D6E">
        <w:rPr>
          <w:rStyle w:val="EndnoteReference"/>
          <w:sz w:val="24"/>
          <w:szCs w:val="24"/>
          <w:vertAlign w:val="baseline"/>
        </w:rPr>
        <w:endnoteRef/>
      </w:r>
      <w:r w:rsidRPr="00552294">
        <w:rPr>
          <w:sz w:val="24"/>
          <w:szCs w:val="24"/>
        </w:rPr>
        <w:t xml:space="preserve"> </w:t>
      </w:r>
      <w:r w:rsidRPr="00AF68DC">
        <w:rPr>
          <w:rFonts w:eastAsiaTheme="minorHAnsi"/>
          <w:sz w:val="24"/>
          <w:szCs w:val="24"/>
        </w:rPr>
        <w:t xml:space="preserve">Mizobuchi K, Jujo K, Minami Y, Ishida I, Nakao M, Hagiwara N. The baseline nutritional status predicts long term mortality in patients undergoing endovascular therapy. </w:t>
      </w:r>
      <w:r w:rsidRPr="00AF68DC">
        <w:rPr>
          <w:rFonts w:eastAsiaTheme="minorHAnsi"/>
          <w:i/>
          <w:iCs/>
          <w:sz w:val="24"/>
          <w:szCs w:val="24"/>
        </w:rPr>
        <w:t xml:space="preserve">Nutrients </w:t>
      </w:r>
      <w:r w:rsidRPr="00AF68DC">
        <w:rPr>
          <w:rFonts w:eastAsiaTheme="minorHAnsi"/>
          <w:sz w:val="24"/>
          <w:szCs w:val="24"/>
        </w:rPr>
        <w:t>2019;</w:t>
      </w:r>
      <w:r w:rsidRPr="00AF68DC">
        <w:rPr>
          <w:rFonts w:eastAsiaTheme="minorHAnsi"/>
          <w:b/>
          <w:bCs/>
          <w:sz w:val="24"/>
          <w:szCs w:val="24"/>
        </w:rPr>
        <w:t>11:</w:t>
      </w:r>
      <w:r w:rsidRPr="00AF68DC">
        <w:rPr>
          <w:rFonts w:eastAsiaTheme="minorHAnsi"/>
          <w:sz w:val="24"/>
          <w:szCs w:val="24"/>
        </w:rPr>
        <w:t>1745</w:t>
      </w:r>
      <w:r>
        <w:rPr>
          <w:rFonts w:eastAsiaTheme="minorHAnsi"/>
          <w:sz w:val="24"/>
          <w:szCs w:val="24"/>
        </w:rPr>
        <w:t>.</w:t>
      </w:r>
    </w:p>
  </w:endnote>
  <w:endnote w:id="20">
    <w:p w14:paraId="5730F930" w14:textId="77777777" w:rsidR="00466725" w:rsidRPr="00CF34AE" w:rsidRDefault="00466725" w:rsidP="00CF34AE">
      <w:pPr>
        <w:shd w:val="clear" w:color="auto" w:fill="FFFFFF"/>
        <w:spacing w:after="0"/>
        <w:textAlignment w:val="baseline"/>
      </w:pPr>
      <w:r w:rsidRPr="00DD7D6E">
        <w:rPr>
          <w:rStyle w:val="EndnoteReference"/>
          <w:vertAlign w:val="baseline"/>
        </w:rPr>
        <w:endnoteRef/>
      </w:r>
      <w:r w:rsidRPr="00CF34AE">
        <w:rPr>
          <w:lang w:val="it-IT"/>
        </w:rPr>
        <w:t xml:space="preserve"> </w:t>
      </w:r>
      <w:r w:rsidRPr="00CF34AE">
        <w:rPr>
          <w:rFonts w:eastAsia="Times New Roman"/>
          <w:bdr w:val="none" w:sz="0" w:space="0" w:color="auto" w:frame="1"/>
          <w:lang w:val="it-IT" w:eastAsia="en-GB"/>
        </w:rPr>
        <w:t>Charlson ME</w:t>
      </w:r>
      <w:r w:rsidRPr="00CF34AE">
        <w:rPr>
          <w:rFonts w:eastAsia="Times New Roman"/>
          <w:lang w:val="it-IT" w:eastAsia="en-GB"/>
        </w:rPr>
        <w:t>, </w:t>
      </w:r>
      <w:r w:rsidRPr="00CF34AE">
        <w:rPr>
          <w:rFonts w:eastAsia="Times New Roman"/>
          <w:bdr w:val="none" w:sz="0" w:space="0" w:color="auto" w:frame="1"/>
          <w:lang w:val="it-IT" w:eastAsia="en-GB"/>
        </w:rPr>
        <w:t>Pompei P</w:t>
      </w:r>
      <w:r w:rsidRPr="00CF34AE">
        <w:rPr>
          <w:rFonts w:eastAsia="Times New Roman"/>
          <w:lang w:val="it-IT" w:eastAsia="en-GB"/>
        </w:rPr>
        <w:t>, </w:t>
      </w:r>
      <w:r w:rsidRPr="00CF34AE">
        <w:rPr>
          <w:rFonts w:eastAsia="Times New Roman"/>
          <w:bdr w:val="none" w:sz="0" w:space="0" w:color="auto" w:frame="1"/>
          <w:lang w:val="it-IT" w:eastAsia="en-GB"/>
        </w:rPr>
        <w:t>Ales KL</w:t>
      </w:r>
      <w:r w:rsidRPr="00CF34AE">
        <w:rPr>
          <w:rFonts w:eastAsia="Times New Roman"/>
          <w:lang w:val="it-IT" w:eastAsia="en-GB"/>
        </w:rPr>
        <w:t>, </w:t>
      </w:r>
      <w:hyperlink r:id="rId42" w:history="1">
        <w:r w:rsidRPr="00CF34AE">
          <w:rPr>
            <w:rStyle w:val="Hyperlink"/>
            <w:color w:val="auto"/>
            <w:u w:val="none"/>
            <w:shd w:val="clear" w:color="auto" w:fill="FFFFFF"/>
            <w:lang w:val="it-IT"/>
          </w:rPr>
          <w:t>MacKenzie CR</w:t>
        </w:r>
      </w:hyperlink>
      <w:r w:rsidRPr="00CF34AE">
        <w:rPr>
          <w:rFonts w:eastAsia="Times New Roman"/>
          <w:bdr w:val="none" w:sz="0" w:space="0" w:color="auto" w:frame="1"/>
          <w:shd w:val="clear" w:color="auto" w:fill="FFFFFF"/>
          <w:lang w:val="it-IT" w:eastAsia="en-GB"/>
        </w:rPr>
        <w:t>. </w:t>
      </w:r>
      <w:r w:rsidRPr="00CF34AE">
        <w:rPr>
          <w:rFonts w:eastAsia="Times New Roman"/>
          <w:bdr w:val="none" w:sz="0" w:space="0" w:color="auto" w:frame="1"/>
          <w:shd w:val="clear" w:color="auto" w:fill="FFFFFF"/>
          <w:lang w:eastAsia="en-GB"/>
        </w:rPr>
        <w:t>A new method of classifying prognostic comorbidity in longitudinal studies: development and validation. </w:t>
      </w:r>
      <w:r w:rsidRPr="00CF34AE">
        <w:rPr>
          <w:rFonts w:eastAsia="Times New Roman"/>
          <w:i/>
          <w:bdr w:val="none" w:sz="0" w:space="0" w:color="auto" w:frame="1"/>
          <w:shd w:val="clear" w:color="auto" w:fill="FFFFFF"/>
          <w:lang w:eastAsia="en-GB"/>
        </w:rPr>
        <w:t xml:space="preserve">J Chronic Dis </w:t>
      </w:r>
      <w:r w:rsidRPr="00CF34AE">
        <w:rPr>
          <w:rFonts w:eastAsia="Times New Roman"/>
          <w:bdr w:val="none" w:sz="0" w:space="0" w:color="auto" w:frame="1"/>
          <w:shd w:val="clear" w:color="auto" w:fill="FFFFFF"/>
          <w:lang w:eastAsia="en-GB"/>
        </w:rPr>
        <w:t>1987;</w:t>
      </w:r>
      <w:r w:rsidRPr="00CF34AE">
        <w:rPr>
          <w:rFonts w:eastAsia="Times New Roman"/>
          <w:b/>
          <w:bdr w:val="none" w:sz="0" w:space="0" w:color="auto" w:frame="1"/>
          <w:shd w:val="clear" w:color="auto" w:fill="FFFFFF"/>
          <w:lang w:eastAsia="en-GB"/>
        </w:rPr>
        <w:t>40</w:t>
      </w:r>
      <w:r w:rsidRPr="00CF34AE">
        <w:rPr>
          <w:rFonts w:eastAsia="Times New Roman"/>
          <w:bdr w:val="none" w:sz="0" w:space="0" w:color="auto" w:frame="1"/>
          <w:shd w:val="clear" w:color="auto" w:fill="FFFFFF"/>
          <w:lang w:eastAsia="en-GB"/>
        </w:rPr>
        <w:t>:373-383.</w:t>
      </w:r>
    </w:p>
  </w:endnote>
  <w:endnote w:id="21">
    <w:p w14:paraId="0CD497BC" w14:textId="4177A8AD" w:rsidR="00466725" w:rsidRPr="00CF34AE" w:rsidRDefault="00466725" w:rsidP="00CF34AE">
      <w:pPr>
        <w:pStyle w:val="EndnoteText"/>
        <w:spacing w:line="480" w:lineRule="auto"/>
        <w:rPr>
          <w:rFonts w:ascii="Times New Roman" w:hAnsi="Times New Roman"/>
          <w:sz w:val="24"/>
          <w:szCs w:val="24"/>
        </w:rPr>
      </w:pPr>
      <w:r w:rsidRPr="00DD7D6E">
        <w:rPr>
          <w:rStyle w:val="EndnoteReference"/>
          <w:rFonts w:ascii="Times New Roman" w:hAnsi="Times New Roman"/>
          <w:sz w:val="24"/>
          <w:szCs w:val="24"/>
          <w:vertAlign w:val="baseline"/>
        </w:rPr>
        <w:endnoteRef/>
      </w:r>
      <w:r w:rsidRPr="00CF34AE">
        <w:rPr>
          <w:rFonts w:ascii="Times New Roman" w:hAnsi="Times New Roman"/>
          <w:sz w:val="24"/>
          <w:szCs w:val="24"/>
        </w:rPr>
        <w:t xml:space="preserve"> </w:t>
      </w:r>
      <w:r w:rsidRPr="009D06E9">
        <w:rPr>
          <w:rFonts w:ascii="Times New Roman" w:hAnsi="Times New Roman"/>
          <w:sz w:val="24"/>
          <w:szCs w:val="24"/>
          <w:shd w:val="clear" w:color="auto" w:fill="FFFFFF"/>
        </w:rPr>
        <w:t xml:space="preserve">Chobanian AV, Bakris GL, Black HR, </w:t>
      </w:r>
      <w:r w:rsidRPr="009D06E9">
        <w:rPr>
          <w:rFonts w:ascii="Times New Roman" w:hAnsi="Times New Roman"/>
          <w:color w:val="000000"/>
          <w:sz w:val="24"/>
          <w:szCs w:val="24"/>
          <w:shd w:val="clear" w:color="auto" w:fill="FFFFFF"/>
        </w:rPr>
        <w:t xml:space="preserve">Cushman WC, Green LA, Izzo JL Jr, Jones DW, Materson BJ, Oparil S, Wright JT Jr, </w:t>
      </w:r>
      <w:r>
        <w:rPr>
          <w:rFonts w:ascii="Times New Roman" w:hAnsi="Times New Roman"/>
          <w:color w:val="000000"/>
          <w:sz w:val="24"/>
          <w:szCs w:val="24"/>
          <w:shd w:val="clear" w:color="auto" w:fill="FFFFFF"/>
          <w:lang w:val="en-US"/>
        </w:rPr>
        <w:t>et al</w:t>
      </w:r>
      <w:r w:rsidRPr="009D06E9">
        <w:rPr>
          <w:rFonts w:ascii="Times New Roman" w:hAnsi="Times New Roman"/>
          <w:color w:val="000000"/>
          <w:sz w:val="24"/>
          <w:szCs w:val="24"/>
          <w:shd w:val="clear" w:color="auto" w:fill="FFFFFF"/>
        </w:rPr>
        <w:t>; </w:t>
      </w:r>
      <w:r w:rsidRPr="009D06E9">
        <w:rPr>
          <w:rFonts w:ascii="Times New Roman" w:hAnsi="Times New Roman"/>
          <w:bCs/>
          <w:color w:val="000000"/>
          <w:sz w:val="24"/>
          <w:szCs w:val="24"/>
          <w:shd w:val="clear" w:color="auto" w:fill="FFFFFF"/>
        </w:rPr>
        <w:t>National</w:t>
      </w:r>
      <w:r w:rsidRPr="009D06E9">
        <w:rPr>
          <w:rFonts w:ascii="Times New Roman" w:hAnsi="Times New Roman"/>
          <w:color w:val="000000"/>
          <w:sz w:val="24"/>
          <w:szCs w:val="24"/>
          <w:shd w:val="clear" w:color="auto" w:fill="FFFFFF"/>
        </w:rPr>
        <w:t> Heart, Lung, and </w:t>
      </w:r>
      <w:r w:rsidRPr="009D06E9">
        <w:rPr>
          <w:rFonts w:ascii="Times New Roman" w:hAnsi="Times New Roman"/>
          <w:bCs/>
          <w:color w:val="000000"/>
          <w:sz w:val="24"/>
          <w:szCs w:val="24"/>
          <w:shd w:val="clear" w:color="auto" w:fill="FFFFFF"/>
        </w:rPr>
        <w:t>Blood</w:t>
      </w:r>
      <w:r w:rsidRPr="009D06E9">
        <w:rPr>
          <w:rFonts w:ascii="Times New Roman" w:hAnsi="Times New Roman"/>
          <w:color w:val="000000"/>
          <w:sz w:val="24"/>
          <w:szCs w:val="24"/>
          <w:shd w:val="clear" w:color="auto" w:fill="FFFFFF"/>
        </w:rPr>
        <w:t> Institute </w:t>
      </w:r>
      <w:r w:rsidRPr="009D06E9">
        <w:rPr>
          <w:rFonts w:ascii="Times New Roman" w:hAnsi="Times New Roman"/>
          <w:bCs/>
          <w:color w:val="000000"/>
          <w:sz w:val="24"/>
          <w:szCs w:val="24"/>
          <w:shd w:val="clear" w:color="auto" w:fill="FFFFFF"/>
        </w:rPr>
        <w:t>Joint</w:t>
      </w:r>
      <w:r w:rsidRPr="009D06E9">
        <w:rPr>
          <w:rFonts w:ascii="Times New Roman" w:hAnsi="Times New Roman"/>
          <w:color w:val="000000"/>
          <w:sz w:val="24"/>
          <w:szCs w:val="24"/>
          <w:shd w:val="clear" w:color="auto" w:fill="FFFFFF"/>
        </w:rPr>
        <w:t> </w:t>
      </w:r>
      <w:r w:rsidRPr="009D06E9">
        <w:rPr>
          <w:rFonts w:ascii="Times New Roman" w:hAnsi="Times New Roman"/>
          <w:bCs/>
          <w:color w:val="000000"/>
          <w:sz w:val="24"/>
          <w:szCs w:val="24"/>
          <w:shd w:val="clear" w:color="auto" w:fill="FFFFFF"/>
        </w:rPr>
        <w:t>National</w:t>
      </w:r>
      <w:r w:rsidRPr="009D06E9">
        <w:rPr>
          <w:rFonts w:ascii="Times New Roman" w:hAnsi="Times New Roman"/>
          <w:color w:val="000000"/>
          <w:sz w:val="24"/>
          <w:szCs w:val="24"/>
          <w:shd w:val="clear" w:color="auto" w:fill="FFFFFF"/>
        </w:rPr>
        <w:t> </w:t>
      </w:r>
      <w:r w:rsidRPr="009D06E9">
        <w:rPr>
          <w:rFonts w:ascii="Times New Roman" w:hAnsi="Times New Roman"/>
          <w:bCs/>
          <w:color w:val="000000"/>
          <w:sz w:val="24"/>
          <w:szCs w:val="24"/>
          <w:shd w:val="clear" w:color="auto" w:fill="FFFFFF"/>
        </w:rPr>
        <w:t>Committee</w:t>
      </w:r>
      <w:r w:rsidRPr="009D06E9">
        <w:rPr>
          <w:rFonts w:ascii="Times New Roman" w:hAnsi="Times New Roman"/>
          <w:color w:val="000000"/>
          <w:sz w:val="24"/>
          <w:szCs w:val="24"/>
          <w:shd w:val="clear" w:color="auto" w:fill="FFFFFF"/>
        </w:rPr>
        <w:t> on </w:t>
      </w:r>
      <w:r w:rsidRPr="009D06E9">
        <w:rPr>
          <w:rFonts w:ascii="Times New Roman" w:hAnsi="Times New Roman"/>
          <w:bCs/>
          <w:color w:val="000000"/>
          <w:sz w:val="24"/>
          <w:szCs w:val="24"/>
          <w:shd w:val="clear" w:color="auto" w:fill="FFFFFF"/>
        </w:rPr>
        <w:t>Prevention</w:t>
      </w:r>
      <w:r w:rsidRPr="009D06E9">
        <w:rPr>
          <w:rFonts w:ascii="Times New Roman" w:hAnsi="Times New Roman"/>
          <w:color w:val="000000"/>
          <w:sz w:val="24"/>
          <w:szCs w:val="24"/>
          <w:shd w:val="clear" w:color="auto" w:fill="FFFFFF"/>
        </w:rPr>
        <w:t>, </w:t>
      </w:r>
      <w:r w:rsidRPr="009D06E9">
        <w:rPr>
          <w:rFonts w:ascii="Times New Roman" w:hAnsi="Times New Roman"/>
          <w:bCs/>
          <w:color w:val="000000"/>
          <w:sz w:val="24"/>
          <w:szCs w:val="24"/>
          <w:shd w:val="clear" w:color="auto" w:fill="FFFFFF"/>
        </w:rPr>
        <w:t>Detection</w:t>
      </w:r>
      <w:r w:rsidRPr="009D06E9">
        <w:rPr>
          <w:rFonts w:ascii="Times New Roman" w:hAnsi="Times New Roman"/>
          <w:color w:val="000000"/>
          <w:sz w:val="24"/>
          <w:szCs w:val="24"/>
          <w:shd w:val="clear" w:color="auto" w:fill="FFFFFF"/>
        </w:rPr>
        <w:t>, </w:t>
      </w:r>
      <w:r w:rsidRPr="009D06E9">
        <w:rPr>
          <w:rFonts w:ascii="Times New Roman" w:hAnsi="Times New Roman"/>
          <w:bCs/>
          <w:color w:val="000000"/>
          <w:sz w:val="24"/>
          <w:szCs w:val="24"/>
          <w:shd w:val="clear" w:color="auto" w:fill="FFFFFF"/>
        </w:rPr>
        <w:t>Evaluation</w:t>
      </w:r>
      <w:r w:rsidRPr="009D06E9">
        <w:rPr>
          <w:rFonts w:ascii="Times New Roman" w:hAnsi="Times New Roman"/>
          <w:color w:val="000000"/>
          <w:sz w:val="24"/>
          <w:szCs w:val="24"/>
          <w:shd w:val="clear" w:color="auto" w:fill="FFFFFF"/>
        </w:rPr>
        <w:t>, and </w:t>
      </w:r>
      <w:r w:rsidRPr="009D06E9">
        <w:rPr>
          <w:rFonts w:ascii="Times New Roman" w:hAnsi="Times New Roman"/>
          <w:bCs/>
          <w:color w:val="000000"/>
          <w:sz w:val="24"/>
          <w:szCs w:val="24"/>
          <w:shd w:val="clear" w:color="auto" w:fill="FFFFFF"/>
        </w:rPr>
        <w:t>Treatment</w:t>
      </w:r>
      <w:r w:rsidRPr="009D06E9">
        <w:rPr>
          <w:rFonts w:ascii="Times New Roman" w:hAnsi="Times New Roman"/>
          <w:color w:val="000000"/>
          <w:sz w:val="24"/>
          <w:szCs w:val="24"/>
          <w:shd w:val="clear" w:color="auto" w:fill="FFFFFF"/>
        </w:rPr>
        <w:t> of </w:t>
      </w:r>
      <w:r w:rsidRPr="009D06E9">
        <w:rPr>
          <w:rFonts w:ascii="Times New Roman" w:hAnsi="Times New Roman"/>
          <w:bCs/>
          <w:color w:val="000000"/>
          <w:sz w:val="24"/>
          <w:szCs w:val="24"/>
          <w:shd w:val="clear" w:color="auto" w:fill="FFFFFF"/>
        </w:rPr>
        <w:t>High</w:t>
      </w:r>
      <w:r w:rsidRPr="009D06E9">
        <w:rPr>
          <w:rFonts w:ascii="Times New Roman" w:hAnsi="Times New Roman"/>
          <w:color w:val="000000"/>
          <w:sz w:val="24"/>
          <w:szCs w:val="24"/>
          <w:shd w:val="clear" w:color="auto" w:fill="FFFFFF"/>
        </w:rPr>
        <w:t> </w:t>
      </w:r>
      <w:r w:rsidRPr="009D06E9">
        <w:rPr>
          <w:rFonts w:ascii="Times New Roman" w:hAnsi="Times New Roman"/>
          <w:bCs/>
          <w:color w:val="000000"/>
          <w:sz w:val="24"/>
          <w:szCs w:val="24"/>
          <w:shd w:val="clear" w:color="auto" w:fill="FFFFFF"/>
        </w:rPr>
        <w:t>Blood</w:t>
      </w:r>
      <w:r w:rsidRPr="009D06E9">
        <w:rPr>
          <w:rFonts w:ascii="Times New Roman" w:hAnsi="Times New Roman"/>
          <w:color w:val="000000"/>
          <w:sz w:val="24"/>
          <w:szCs w:val="24"/>
          <w:shd w:val="clear" w:color="auto" w:fill="FFFFFF"/>
        </w:rPr>
        <w:t> </w:t>
      </w:r>
      <w:r w:rsidRPr="009D06E9">
        <w:rPr>
          <w:rFonts w:ascii="Times New Roman" w:hAnsi="Times New Roman"/>
          <w:bCs/>
          <w:color w:val="000000"/>
          <w:sz w:val="24"/>
          <w:szCs w:val="24"/>
          <w:shd w:val="clear" w:color="auto" w:fill="FFFFFF"/>
        </w:rPr>
        <w:t>Pressure</w:t>
      </w:r>
      <w:r w:rsidRPr="009D06E9">
        <w:rPr>
          <w:rFonts w:ascii="Times New Roman" w:hAnsi="Times New Roman"/>
          <w:color w:val="000000"/>
          <w:sz w:val="24"/>
          <w:szCs w:val="24"/>
          <w:shd w:val="clear" w:color="auto" w:fill="FFFFFF"/>
        </w:rPr>
        <w:t>; </w:t>
      </w:r>
      <w:r w:rsidRPr="009D06E9">
        <w:rPr>
          <w:rFonts w:ascii="Times New Roman" w:hAnsi="Times New Roman"/>
          <w:bCs/>
          <w:color w:val="000000"/>
          <w:sz w:val="24"/>
          <w:szCs w:val="24"/>
          <w:shd w:val="clear" w:color="auto" w:fill="FFFFFF"/>
        </w:rPr>
        <w:t>National</w:t>
      </w:r>
      <w:r w:rsidRPr="009D06E9">
        <w:rPr>
          <w:rFonts w:ascii="Times New Roman" w:hAnsi="Times New Roman"/>
          <w:color w:val="000000"/>
          <w:sz w:val="24"/>
          <w:szCs w:val="24"/>
          <w:shd w:val="clear" w:color="auto" w:fill="FFFFFF"/>
        </w:rPr>
        <w:t> </w:t>
      </w:r>
      <w:r w:rsidRPr="009D06E9">
        <w:rPr>
          <w:rFonts w:ascii="Times New Roman" w:hAnsi="Times New Roman"/>
          <w:bCs/>
          <w:color w:val="000000"/>
          <w:sz w:val="24"/>
          <w:szCs w:val="24"/>
          <w:shd w:val="clear" w:color="auto" w:fill="FFFFFF"/>
        </w:rPr>
        <w:t>High</w:t>
      </w:r>
      <w:r w:rsidRPr="009D06E9">
        <w:rPr>
          <w:rFonts w:ascii="Times New Roman" w:hAnsi="Times New Roman"/>
          <w:color w:val="000000"/>
          <w:sz w:val="24"/>
          <w:szCs w:val="24"/>
          <w:shd w:val="clear" w:color="auto" w:fill="FFFFFF"/>
        </w:rPr>
        <w:t> </w:t>
      </w:r>
      <w:r w:rsidRPr="009D06E9">
        <w:rPr>
          <w:rFonts w:ascii="Times New Roman" w:hAnsi="Times New Roman"/>
          <w:bCs/>
          <w:color w:val="000000"/>
          <w:sz w:val="24"/>
          <w:szCs w:val="24"/>
          <w:shd w:val="clear" w:color="auto" w:fill="FFFFFF"/>
        </w:rPr>
        <w:t>Blood</w:t>
      </w:r>
      <w:r w:rsidRPr="009D06E9">
        <w:rPr>
          <w:rFonts w:ascii="Times New Roman" w:hAnsi="Times New Roman"/>
          <w:color w:val="000000"/>
          <w:sz w:val="24"/>
          <w:szCs w:val="24"/>
          <w:shd w:val="clear" w:color="auto" w:fill="FFFFFF"/>
        </w:rPr>
        <w:t> </w:t>
      </w:r>
      <w:r w:rsidRPr="009D06E9">
        <w:rPr>
          <w:rFonts w:ascii="Times New Roman" w:hAnsi="Times New Roman"/>
          <w:bCs/>
          <w:color w:val="000000"/>
          <w:sz w:val="24"/>
          <w:szCs w:val="24"/>
          <w:shd w:val="clear" w:color="auto" w:fill="FFFFFF"/>
        </w:rPr>
        <w:t>Pressure</w:t>
      </w:r>
      <w:r w:rsidRPr="009D06E9">
        <w:rPr>
          <w:rFonts w:ascii="Times New Roman" w:hAnsi="Times New Roman"/>
          <w:color w:val="000000"/>
          <w:sz w:val="24"/>
          <w:szCs w:val="24"/>
          <w:shd w:val="clear" w:color="auto" w:fill="FFFFFF"/>
        </w:rPr>
        <w:t> Education Program Coordinating </w:t>
      </w:r>
      <w:r w:rsidRPr="009D06E9">
        <w:rPr>
          <w:rFonts w:ascii="Times New Roman" w:hAnsi="Times New Roman"/>
          <w:bCs/>
          <w:color w:val="000000"/>
          <w:sz w:val="24"/>
          <w:szCs w:val="24"/>
          <w:shd w:val="clear" w:color="auto" w:fill="FFFFFF"/>
        </w:rPr>
        <w:t>Committee</w:t>
      </w:r>
      <w:r w:rsidRPr="009D06E9">
        <w:rPr>
          <w:rFonts w:ascii="Times New Roman" w:hAnsi="Times New Roman"/>
          <w:color w:val="000000"/>
          <w:sz w:val="24"/>
          <w:szCs w:val="24"/>
          <w:shd w:val="clear" w:color="auto" w:fill="FFFFFF"/>
        </w:rPr>
        <w:t>.</w:t>
      </w:r>
      <w:r w:rsidRPr="009D06E9">
        <w:rPr>
          <w:rFonts w:ascii="Times New Roman" w:hAnsi="Times New Roman"/>
          <w:sz w:val="24"/>
          <w:szCs w:val="24"/>
          <w:shd w:val="clear" w:color="auto" w:fill="FFFFFF"/>
        </w:rPr>
        <w:t xml:space="preserve"> The Seventh Report of the Joint National Committee on Prevention, Detection, Evaluation, and Treatment of High Blood Pressure: the JNC 7 report. </w:t>
      </w:r>
      <w:r w:rsidRPr="009D06E9">
        <w:rPr>
          <w:rStyle w:val="ref-journal"/>
          <w:rFonts w:ascii="Times New Roman" w:hAnsi="Times New Roman"/>
          <w:i/>
          <w:sz w:val="24"/>
          <w:szCs w:val="24"/>
          <w:shd w:val="clear" w:color="auto" w:fill="FFFFFF"/>
        </w:rPr>
        <w:t>JAMA.</w:t>
      </w:r>
      <w:r w:rsidRPr="009D06E9">
        <w:rPr>
          <w:rStyle w:val="ref-journal"/>
          <w:rFonts w:ascii="Times New Roman" w:hAnsi="Times New Roman"/>
          <w:sz w:val="24"/>
          <w:szCs w:val="24"/>
          <w:shd w:val="clear" w:color="auto" w:fill="FFFFFF"/>
        </w:rPr>
        <w:t> </w:t>
      </w:r>
      <w:r w:rsidRPr="009D06E9">
        <w:rPr>
          <w:rFonts w:ascii="Times New Roman" w:hAnsi="Times New Roman"/>
          <w:sz w:val="24"/>
          <w:szCs w:val="24"/>
          <w:shd w:val="clear" w:color="auto" w:fill="FFFFFF"/>
        </w:rPr>
        <w:t>2003;</w:t>
      </w:r>
      <w:r w:rsidRPr="009D06E9">
        <w:rPr>
          <w:rStyle w:val="ref-vol"/>
          <w:rFonts w:ascii="Times New Roman" w:hAnsi="Times New Roman"/>
          <w:b/>
          <w:sz w:val="24"/>
          <w:szCs w:val="24"/>
          <w:shd w:val="clear" w:color="auto" w:fill="FFFFFF"/>
        </w:rPr>
        <w:t>289</w:t>
      </w:r>
      <w:r w:rsidRPr="009D06E9">
        <w:rPr>
          <w:rFonts w:ascii="Times New Roman" w:hAnsi="Times New Roman"/>
          <w:sz w:val="24"/>
          <w:szCs w:val="24"/>
          <w:shd w:val="clear" w:color="auto" w:fill="FFFFFF"/>
        </w:rPr>
        <w:t>:2560–72.</w:t>
      </w:r>
    </w:p>
  </w:endnote>
  <w:endnote w:id="22">
    <w:p w14:paraId="52CDACFC" w14:textId="77777777" w:rsidR="00466725" w:rsidRPr="00CF34AE" w:rsidRDefault="00466725" w:rsidP="00CF34AE">
      <w:pPr>
        <w:pStyle w:val="EndnoteText"/>
        <w:spacing w:line="480" w:lineRule="auto"/>
        <w:rPr>
          <w:rFonts w:ascii="Times New Roman" w:hAnsi="Times New Roman"/>
          <w:sz w:val="24"/>
          <w:szCs w:val="24"/>
          <w:lang w:val="en-GB"/>
        </w:rPr>
      </w:pPr>
      <w:r w:rsidRPr="00DD7D6E">
        <w:rPr>
          <w:rStyle w:val="EndnoteReference"/>
          <w:rFonts w:ascii="Times New Roman" w:hAnsi="Times New Roman"/>
          <w:sz w:val="24"/>
          <w:szCs w:val="24"/>
          <w:vertAlign w:val="baseline"/>
        </w:rPr>
        <w:endnoteRef/>
      </w:r>
      <w:r w:rsidRPr="00CF34AE">
        <w:rPr>
          <w:rFonts w:ascii="Times New Roman" w:hAnsi="Times New Roman"/>
          <w:sz w:val="24"/>
          <w:szCs w:val="24"/>
        </w:rPr>
        <w:t xml:space="preserve"> </w:t>
      </w:r>
      <w:r w:rsidRPr="00CF34AE">
        <w:rPr>
          <w:rFonts w:ascii="Times New Roman" w:hAnsi="Times New Roman"/>
          <w:sz w:val="24"/>
          <w:szCs w:val="24"/>
          <w:lang w:val="en-GB"/>
        </w:rPr>
        <w:t xml:space="preserve">Janz TG, Johnson RL, Rubenstein SD.  </w:t>
      </w:r>
      <w:r w:rsidRPr="00CF34AE">
        <w:rPr>
          <w:rFonts w:ascii="Times New Roman" w:hAnsi="Times New Roman"/>
          <w:sz w:val="24"/>
          <w:szCs w:val="24"/>
        </w:rPr>
        <w:t>Anemia in the emergency department: evaluation and treatment</w:t>
      </w:r>
      <w:r w:rsidRPr="00CF34AE">
        <w:rPr>
          <w:rFonts w:ascii="Times New Roman" w:hAnsi="Times New Roman"/>
          <w:sz w:val="24"/>
          <w:szCs w:val="24"/>
          <w:lang w:val="en-GB"/>
        </w:rPr>
        <w:t xml:space="preserve">. </w:t>
      </w:r>
      <w:r w:rsidRPr="00CF34AE">
        <w:rPr>
          <w:rFonts w:ascii="Times New Roman" w:hAnsi="Times New Roman"/>
          <w:i/>
          <w:sz w:val="24"/>
          <w:szCs w:val="24"/>
          <w:lang w:val="en-GB"/>
        </w:rPr>
        <w:t>Emergency Medicine Practice</w:t>
      </w:r>
      <w:r w:rsidRPr="00CF34AE">
        <w:rPr>
          <w:rFonts w:ascii="Times New Roman" w:hAnsi="Times New Roman"/>
          <w:sz w:val="24"/>
          <w:szCs w:val="24"/>
          <w:lang w:val="en-GB"/>
        </w:rPr>
        <w:t>.2013;</w:t>
      </w:r>
      <w:r w:rsidRPr="00CF34AE">
        <w:rPr>
          <w:rFonts w:ascii="Times New Roman" w:hAnsi="Times New Roman"/>
          <w:b/>
          <w:sz w:val="24"/>
          <w:szCs w:val="24"/>
          <w:lang w:val="en-GB"/>
        </w:rPr>
        <w:t>15</w:t>
      </w:r>
      <w:r w:rsidRPr="00CF34AE">
        <w:rPr>
          <w:rFonts w:ascii="Times New Roman" w:hAnsi="Times New Roman"/>
          <w:sz w:val="24"/>
          <w:szCs w:val="24"/>
          <w:lang w:val="en-GB"/>
        </w:rPr>
        <w:t>:1-15.</w:t>
      </w:r>
    </w:p>
  </w:endnote>
  <w:endnote w:id="23">
    <w:p w14:paraId="37722766" w14:textId="77777777" w:rsidR="00466725" w:rsidRPr="00CF34AE" w:rsidRDefault="00466725" w:rsidP="00CF34AE">
      <w:pPr>
        <w:pStyle w:val="EndnoteText"/>
        <w:spacing w:line="480" w:lineRule="auto"/>
        <w:rPr>
          <w:rFonts w:ascii="Times New Roman" w:hAnsi="Times New Roman"/>
          <w:sz w:val="24"/>
          <w:szCs w:val="24"/>
        </w:rPr>
      </w:pPr>
      <w:r w:rsidRPr="00DD7D6E">
        <w:rPr>
          <w:rStyle w:val="EndnoteReference"/>
          <w:rFonts w:ascii="Times New Roman" w:hAnsi="Times New Roman"/>
          <w:sz w:val="24"/>
          <w:szCs w:val="24"/>
          <w:vertAlign w:val="baseline"/>
        </w:rPr>
        <w:endnoteRef/>
      </w:r>
      <w:r w:rsidRPr="00CF34AE">
        <w:rPr>
          <w:rFonts w:ascii="Times New Roman" w:hAnsi="Times New Roman"/>
          <w:sz w:val="24"/>
          <w:szCs w:val="24"/>
          <w:lang w:val="pt-PT"/>
        </w:rPr>
        <w:t xml:space="preserve"> Diagnostic criteria for diabetes. Diabetes UK. </w:t>
      </w:r>
      <w:r w:rsidRPr="00CF34AE">
        <w:rPr>
          <w:rFonts w:ascii="Times New Roman" w:hAnsi="Times New Roman"/>
          <w:sz w:val="24"/>
          <w:szCs w:val="24"/>
        </w:rPr>
        <w:t xml:space="preserve">URL: </w:t>
      </w:r>
      <w:hyperlink r:id="rId43" w:history="1">
        <w:r w:rsidRPr="00CF34AE">
          <w:rPr>
            <w:rStyle w:val="Hyperlink"/>
            <w:rFonts w:ascii="Times New Roman" w:hAnsi="Times New Roman"/>
            <w:color w:val="auto"/>
            <w:sz w:val="24"/>
            <w:szCs w:val="24"/>
            <w:u w:val="none"/>
          </w:rPr>
          <w:t>https://www.diabetes.org.uk/Professionals/Position-statements-reports/Diagnosis-ongoing-management-monitoring/New_diagnostic_criteria_for_diabetes/</w:t>
        </w:r>
      </w:hyperlink>
      <w:r w:rsidRPr="00CF34AE">
        <w:rPr>
          <w:rFonts w:ascii="Times New Roman" w:hAnsi="Times New Roman"/>
          <w:sz w:val="24"/>
          <w:szCs w:val="24"/>
        </w:rPr>
        <w:t xml:space="preserve"> (Last accessed on 27th June 2017)</w:t>
      </w:r>
    </w:p>
  </w:endnote>
  <w:endnote w:id="24">
    <w:p w14:paraId="353B0C00" w14:textId="7767BAF6" w:rsidR="00466725" w:rsidRPr="00AB6704" w:rsidRDefault="00466725" w:rsidP="00AB6704">
      <w:pPr>
        <w:pStyle w:val="EndnoteText"/>
        <w:spacing w:line="480" w:lineRule="auto"/>
        <w:rPr>
          <w:rFonts w:ascii="Times New Roman" w:hAnsi="Times New Roman"/>
          <w:sz w:val="24"/>
          <w:szCs w:val="24"/>
          <w:lang w:val="en-US"/>
        </w:rPr>
      </w:pPr>
      <w:r w:rsidRPr="00AB6704">
        <w:rPr>
          <w:rStyle w:val="EndnoteReference"/>
          <w:rFonts w:ascii="Times New Roman" w:hAnsi="Times New Roman"/>
          <w:sz w:val="24"/>
          <w:szCs w:val="24"/>
          <w:vertAlign w:val="baseline"/>
        </w:rPr>
        <w:endnoteRef/>
      </w:r>
      <w:r w:rsidRPr="00AB6704">
        <w:rPr>
          <w:rFonts w:ascii="Times New Roman" w:hAnsi="Times New Roman"/>
          <w:sz w:val="24"/>
          <w:szCs w:val="24"/>
        </w:rPr>
        <w:t xml:space="preserve"> </w:t>
      </w:r>
      <w:r w:rsidRPr="00AB6704">
        <w:rPr>
          <w:rFonts w:ascii="Times New Roman" w:hAnsi="Times New Roman"/>
          <w:color w:val="212121"/>
          <w:sz w:val="24"/>
          <w:szCs w:val="24"/>
          <w:shd w:val="clear" w:color="auto" w:fill="FFFFFF"/>
        </w:rPr>
        <w:t>van Diepen M, Ramspek CL, Jager KJ, Zoccali C, Dekker FW. Prediction versus aetiology: common pitfalls and how to avoid them. </w:t>
      </w:r>
      <w:r w:rsidRPr="00AB6704">
        <w:rPr>
          <w:rFonts w:ascii="Times New Roman" w:hAnsi="Times New Roman"/>
          <w:i/>
          <w:iCs/>
          <w:color w:val="212121"/>
          <w:sz w:val="24"/>
          <w:szCs w:val="24"/>
          <w:shd w:val="clear" w:color="auto" w:fill="FFFFFF"/>
        </w:rPr>
        <w:t>Nephrol Dial Transplant</w:t>
      </w:r>
      <w:r w:rsidRPr="00AB6704">
        <w:rPr>
          <w:rFonts w:ascii="Times New Roman" w:hAnsi="Times New Roman"/>
          <w:color w:val="212121"/>
          <w:sz w:val="24"/>
          <w:szCs w:val="24"/>
          <w:shd w:val="clear" w:color="auto" w:fill="FFFFFF"/>
        </w:rPr>
        <w:t>. 2017;32(suppl_2):ii1-ii5</w:t>
      </w:r>
      <w:r>
        <w:rPr>
          <w:rFonts w:ascii="Times New Roman" w:hAnsi="Times New Roman"/>
          <w:color w:val="212121"/>
          <w:sz w:val="24"/>
          <w:szCs w:val="24"/>
          <w:shd w:val="clear" w:color="auto" w:fill="FFFFFF"/>
          <w:lang w:val="en-US"/>
        </w:rPr>
        <w:t>.</w:t>
      </w:r>
    </w:p>
  </w:endnote>
  <w:endnote w:id="25">
    <w:p w14:paraId="315E4474" w14:textId="77777777" w:rsidR="00466725" w:rsidRPr="00CF34AE" w:rsidRDefault="00466725" w:rsidP="00CF34AE">
      <w:pPr>
        <w:pStyle w:val="EndnoteText"/>
        <w:spacing w:line="480" w:lineRule="auto"/>
        <w:rPr>
          <w:rFonts w:ascii="Times New Roman" w:hAnsi="Times New Roman"/>
          <w:sz w:val="24"/>
          <w:szCs w:val="24"/>
          <w:lang w:val="en-GB"/>
        </w:rPr>
      </w:pPr>
      <w:r w:rsidRPr="00DD7D6E">
        <w:rPr>
          <w:rStyle w:val="EndnoteReference"/>
          <w:rFonts w:ascii="Times New Roman" w:hAnsi="Times New Roman"/>
          <w:sz w:val="24"/>
          <w:szCs w:val="24"/>
          <w:vertAlign w:val="baseline"/>
        </w:rPr>
        <w:endnoteRef/>
      </w:r>
      <w:r w:rsidRPr="00CF34AE">
        <w:rPr>
          <w:rFonts w:ascii="Times New Roman" w:hAnsi="Times New Roman"/>
          <w:sz w:val="24"/>
          <w:szCs w:val="24"/>
        </w:rPr>
        <w:t xml:space="preserve"> </w:t>
      </w:r>
      <w:r w:rsidRPr="00152A57">
        <w:rPr>
          <w:rFonts w:ascii="Times New Roman" w:eastAsiaTheme="minorHAnsi" w:hAnsi="Times New Roman"/>
          <w:sz w:val="24"/>
          <w:szCs w:val="24"/>
        </w:rPr>
        <w:t xml:space="preserve">Wawrzenczyk A, Anaszewicz M, Wawrzenczyk A, Budzynski J. Clinical significance of nutritional status in patients with chronic heart failure-a systematic review. </w:t>
      </w:r>
      <w:r w:rsidRPr="00152A57">
        <w:rPr>
          <w:rFonts w:ascii="Times New Roman" w:eastAsiaTheme="minorHAnsi" w:hAnsi="Times New Roman"/>
          <w:i/>
          <w:iCs/>
          <w:sz w:val="24"/>
          <w:szCs w:val="24"/>
        </w:rPr>
        <w:t xml:space="preserve">Heart Fail Rev </w:t>
      </w:r>
      <w:r w:rsidRPr="00152A57">
        <w:rPr>
          <w:rFonts w:ascii="Times New Roman" w:eastAsiaTheme="minorHAnsi" w:hAnsi="Times New Roman"/>
          <w:sz w:val="24"/>
          <w:szCs w:val="24"/>
        </w:rPr>
        <w:t>2019. doi: 10.1007/s10741-019-09793-2</w:t>
      </w:r>
    </w:p>
  </w:endnote>
  <w:endnote w:id="26">
    <w:p w14:paraId="7C6045E5" w14:textId="51D54AD9" w:rsidR="00466725" w:rsidRPr="00F91B26" w:rsidRDefault="00466725" w:rsidP="00F91B26">
      <w:pPr>
        <w:shd w:val="clear" w:color="auto" w:fill="FFFFFF"/>
        <w:spacing w:before="0" w:after="0"/>
        <w:rPr>
          <w:rFonts w:eastAsia="Times New Roman"/>
          <w:color w:val="212121"/>
          <w:lang w:eastAsia="en-GB"/>
        </w:rPr>
      </w:pPr>
      <w:r w:rsidRPr="00DD7D6E">
        <w:rPr>
          <w:rStyle w:val="EndnoteReference"/>
          <w:vertAlign w:val="baseline"/>
        </w:rPr>
        <w:endnoteRef/>
      </w:r>
      <w:r w:rsidRPr="00945024">
        <w:t xml:space="preserve"> </w:t>
      </w:r>
      <w:r w:rsidRPr="00945024">
        <w:rPr>
          <w:rFonts w:eastAsia="Times New Roman"/>
          <w:color w:val="212121"/>
          <w:lang w:eastAsia="en-GB"/>
        </w:rPr>
        <w:t>Sze S, Pellicori P, Zhang J, Weston J, Clark AL. Agreement and Classification Performance of Malnutrition Tools in Patients with Chronic Heart Failure. </w:t>
      </w:r>
      <w:r w:rsidRPr="00945024">
        <w:rPr>
          <w:rFonts w:eastAsia="Times New Roman"/>
          <w:i/>
          <w:iCs/>
          <w:color w:val="212121"/>
          <w:lang w:eastAsia="en-GB"/>
        </w:rPr>
        <w:t>Curr Dev Nutr</w:t>
      </w:r>
      <w:r w:rsidRPr="00945024">
        <w:rPr>
          <w:rFonts w:eastAsia="Times New Roman"/>
          <w:color w:val="212121"/>
          <w:lang w:eastAsia="en-GB"/>
        </w:rPr>
        <w:t xml:space="preserve">. 2020;4(6):nzaa071. </w:t>
      </w:r>
    </w:p>
  </w:endnote>
  <w:endnote w:id="27">
    <w:p w14:paraId="0894A874" w14:textId="08F30FCD" w:rsidR="00466725" w:rsidRPr="007431B2" w:rsidRDefault="00466725" w:rsidP="007431B2">
      <w:pPr>
        <w:pStyle w:val="EndnoteText"/>
        <w:spacing w:line="480" w:lineRule="auto"/>
        <w:rPr>
          <w:rFonts w:ascii="Times New Roman" w:hAnsi="Times New Roman"/>
          <w:sz w:val="24"/>
          <w:szCs w:val="24"/>
          <w:lang w:val="en-GB"/>
        </w:rPr>
      </w:pPr>
      <w:r w:rsidRPr="00DD7D6E">
        <w:rPr>
          <w:rStyle w:val="EndnoteReference"/>
          <w:rFonts w:ascii="Times New Roman" w:hAnsi="Times New Roman"/>
          <w:sz w:val="24"/>
          <w:szCs w:val="24"/>
          <w:vertAlign w:val="baseline"/>
        </w:rPr>
        <w:endnoteRef/>
      </w:r>
      <w:r w:rsidRPr="007431B2">
        <w:rPr>
          <w:rFonts w:ascii="Times New Roman" w:hAnsi="Times New Roman"/>
          <w:sz w:val="24"/>
          <w:szCs w:val="24"/>
        </w:rPr>
        <w:t xml:space="preserve"> </w:t>
      </w:r>
      <w:r w:rsidRPr="007431B2">
        <w:rPr>
          <w:rFonts w:ascii="Times New Roman" w:eastAsiaTheme="minorHAnsi" w:hAnsi="Times New Roman"/>
          <w:sz w:val="24"/>
          <w:szCs w:val="24"/>
        </w:rPr>
        <w:t>Sze S, Pellicori P, Kazmi S,</w:t>
      </w:r>
      <w:r>
        <w:rPr>
          <w:rFonts w:ascii="Times New Roman" w:eastAsiaTheme="minorHAnsi" w:hAnsi="Times New Roman"/>
          <w:sz w:val="24"/>
          <w:szCs w:val="24"/>
          <w:lang w:val="en-GB"/>
        </w:rPr>
        <w:t xml:space="preserve"> </w:t>
      </w:r>
      <w:hyperlink r:id="rId44" w:history="1">
        <w:r w:rsidRPr="009D06E9">
          <w:rPr>
            <w:rStyle w:val="Hyperlink"/>
            <w:rFonts w:ascii="Times New Roman" w:hAnsi="Times New Roman"/>
            <w:color w:val="auto"/>
            <w:sz w:val="24"/>
            <w:szCs w:val="24"/>
            <w:u w:val="none"/>
            <w:shd w:val="clear" w:color="auto" w:fill="FFFFFF"/>
          </w:rPr>
          <w:t>Rigby A</w:t>
        </w:r>
      </w:hyperlink>
      <w:r w:rsidRPr="009D06E9">
        <w:rPr>
          <w:rFonts w:ascii="Times New Roman" w:hAnsi="Times New Roman"/>
          <w:sz w:val="24"/>
          <w:szCs w:val="24"/>
          <w:shd w:val="clear" w:color="auto" w:fill="FFFFFF"/>
        </w:rPr>
        <w:t>, </w:t>
      </w:r>
      <w:hyperlink r:id="rId45" w:history="1">
        <w:r w:rsidRPr="009D06E9">
          <w:rPr>
            <w:rStyle w:val="Hyperlink"/>
            <w:rFonts w:ascii="Times New Roman" w:hAnsi="Times New Roman"/>
            <w:color w:val="auto"/>
            <w:sz w:val="24"/>
            <w:szCs w:val="24"/>
            <w:u w:val="none"/>
            <w:shd w:val="clear" w:color="auto" w:fill="FFFFFF"/>
          </w:rPr>
          <w:t>Cleland JGF</w:t>
        </w:r>
      </w:hyperlink>
      <w:r w:rsidRPr="009D06E9">
        <w:rPr>
          <w:rFonts w:ascii="Times New Roman" w:hAnsi="Times New Roman"/>
          <w:sz w:val="24"/>
          <w:szCs w:val="24"/>
          <w:shd w:val="clear" w:color="auto" w:fill="FFFFFF"/>
        </w:rPr>
        <w:t>, </w:t>
      </w:r>
      <w:hyperlink r:id="rId46" w:history="1">
        <w:r w:rsidRPr="009D06E9">
          <w:rPr>
            <w:rStyle w:val="Hyperlink"/>
            <w:rFonts w:ascii="Times New Roman" w:hAnsi="Times New Roman"/>
            <w:color w:val="auto"/>
            <w:sz w:val="24"/>
            <w:szCs w:val="24"/>
            <w:u w:val="none"/>
            <w:shd w:val="clear" w:color="auto" w:fill="FFFFFF"/>
          </w:rPr>
          <w:t>Wong K</w:t>
        </w:r>
      </w:hyperlink>
      <w:r w:rsidRPr="009D06E9">
        <w:rPr>
          <w:rFonts w:ascii="Times New Roman" w:hAnsi="Times New Roman"/>
          <w:sz w:val="24"/>
          <w:szCs w:val="24"/>
          <w:shd w:val="clear" w:color="auto" w:fill="FFFFFF"/>
        </w:rPr>
        <w:t>, </w:t>
      </w:r>
      <w:hyperlink r:id="rId47" w:history="1">
        <w:r w:rsidRPr="009D06E9">
          <w:rPr>
            <w:rStyle w:val="Hyperlink"/>
            <w:rFonts w:ascii="Times New Roman" w:hAnsi="Times New Roman"/>
            <w:color w:val="auto"/>
            <w:sz w:val="24"/>
            <w:szCs w:val="24"/>
            <w:u w:val="none"/>
            <w:shd w:val="clear" w:color="auto" w:fill="FFFFFF"/>
          </w:rPr>
          <w:t>Clark AL</w:t>
        </w:r>
      </w:hyperlink>
      <w:r w:rsidRPr="009D06E9">
        <w:rPr>
          <w:rFonts w:ascii="Times New Roman" w:eastAsiaTheme="minorHAnsi" w:hAnsi="Times New Roman"/>
          <w:sz w:val="24"/>
          <w:szCs w:val="24"/>
          <w:lang w:val="en-GB"/>
        </w:rPr>
        <w:t xml:space="preserve">. </w:t>
      </w:r>
      <w:r w:rsidRPr="007431B2">
        <w:rPr>
          <w:rFonts w:ascii="Times New Roman" w:eastAsiaTheme="minorHAnsi" w:hAnsi="Times New Roman"/>
          <w:sz w:val="24"/>
          <w:szCs w:val="24"/>
        </w:rPr>
        <w:t xml:space="preserve">Prevalence and Prognostic Significance of Malnutrition Using 3 Scoring Systems Among Outpatients With Heart Failure: A Comparison With Body Mass Index. </w:t>
      </w:r>
      <w:r w:rsidRPr="007431B2">
        <w:rPr>
          <w:rFonts w:ascii="Times New Roman" w:eastAsiaTheme="minorHAnsi" w:hAnsi="Times New Roman"/>
          <w:i/>
          <w:iCs/>
          <w:sz w:val="24"/>
          <w:szCs w:val="24"/>
        </w:rPr>
        <w:t xml:space="preserve">JACC Heart Fail </w:t>
      </w:r>
      <w:r w:rsidRPr="007431B2">
        <w:rPr>
          <w:rFonts w:ascii="Times New Roman" w:eastAsiaTheme="minorHAnsi" w:hAnsi="Times New Roman"/>
          <w:sz w:val="24"/>
          <w:szCs w:val="24"/>
        </w:rPr>
        <w:t>2018;</w:t>
      </w:r>
      <w:r w:rsidRPr="007431B2">
        <w:rPr>
          <w:rFonts w:ascii="Times New Roman" w:eastAsiaTheme="minorHAnsi" w:hAnsi="Times New Roman"/>
          <w:b/>
          <w:bCs/>
          <w:sz w:val="24"/>
          <w:szCs w:val="24"/>
        </w:rPr>
        <w:t>6:</w:t>
      </w:r>
      <w:r w:rsidRPr="007431B2">
        <w:rPr>
          <w:rFonts w:ascii="Times New Roman" w:eastAsiaTheme="minorHAnsi" w:hAnsi="Times New Roman"/>
          <w:sz w:val="24"/>
          <w:szCs w:val="24"/>
        </w:rPr>
        <w:t>476-86</w:t>
      </w:r>
    </w:p>
  </w:endnote>
  <w:endnote w:id="28">
    <w:p w14:paraId="0BF2226B" w14:textId="03A15829" w:rsidR="00466725" w:rsidRPr="003D201E" w:rsidRDefault="00466725" w:rsidP="003D201E">
      <w:pPr>
        <w:pStyle w:val="EndnoteText"/>
        <w:spacing w:line="480" w:lineRule="auto"/>
        <w:rPr>
          <w:lang w:val="en-GB"/>
        </w:rPr>
      </w:pPr>
      <w:r w:rsidRPr="00DD7D6E">
        <w:rPr>
          <w:rStyle w:val="EndnoteReference"/>
          <w:vertAlign w:val="baseline"/>
        </w:rPr>
        <w:endnoteRef/>
      </w:r>
      <w:r w:rsidRPr="00DD7D6E">
        <w:t xml:space="preserve"> </w:t>
      </w:r>
      <w:r w:rsidRPr="00CF34AE">
        <w:rPr>
          <w:rFonts w:ascii="Times New Roman" w:hAnsi="Times New Roman"/>
          <w:sz w:val="24"/>
          <w:szCs w:val="24"/>
        </w:rPr>
        <w:t>Anker SD, von Haehling S. Inflammatory mediators in chronic heart failure: an overview.</w:t>
      </w:r>
      <w:r w:rsidRPr="00CF34AE">
        <w:rPr>
          <w:rFonts w:ascii="Times New Roman" w:hAnsi="Times New Roman"/>
          <w:sz w:val="24"/>
          <w:szCs w:val="24"/>
          <w:lang w:val="en-GB"/>
        </w:rPr>
        <w:t xml:space="preserve"> </w:t>
      </w:r>
      <w:r w:rsidRPr="00CF34AE">
        <w:rPr>
          <w:rFonts w:ascii="Times New Roman" w:hAnsi="Times New Roman"/>
          <w:i/>
          <w:sz w:val="24"/>
          <w:szCs w:val="24"/>
        </w:rPr>
        <w:t>Heart.</w:t>
      </w:r>
      <w:r w:rsidRPr="00CF34AE">
        <w:rPr>
          <w:rFonts w:ascii="Times New Roman" w:hAnsi="Times New Roman"/>
          <w:sz w:val="24"/>
          <w:szCs w:val="24"/>
        </w:rPr>
        <w:t> 2004; </w:t>
      </w:r>
      <w:r w:rsidRPr="00CF34AE">
        <w:rPr>
          <w:rFonts w:ascii="Times New Roman" w:hAnsi="Times New Roman"/>
          <w:b/>
          <w:sz w:val="24"/>
          <w:szCs w:val="24"/>
        </w:rPr>
        <w:t>90</w:t>
      </w:r>
      <w:r w:rsidRPr="00CF34AE">
        <w:rPr>
          <w:rFonts w:ascii="Times New Roman" w:hAnsi="Times New Roman"/>
          <w:sz w:val="24"/>
          <w:szCs w:val="24"/>
        </w:rPr>
        <w:t>:464–470.</w:t>
      </w:r>
    </w:p>
  </w:endnote>
  <w:endnote w:id="29">
    <w:p w14:paraId="367D0C73" w14:textId="437D4AE7" w:rsidR="00466725" w:rsidRPr="003D201E" w:rsidRDefault="00466725" w:rsidP="003D201E">
      <w:pPr>
        <w:pStyle w:val="EndnoteText"/>
        <w:spacing w:line="480" w:lineRule="auto"/>
        <w:rPr>
          <w:rFonts w:ascii="Times New Roman" w:hAnsi="Times New Roman"/>
          <w:sz w:val="24"/>
          <w:szCs w:val="24"/>
          <w:lang w:val="en-GB"/>
        </w:rPr>
      </w:pPr>
      <w:r w:rsidRPr="00DD7D6E">
        <w:rPr>
          <w:rStyle w:val="EndnoteReference"/>
          <w:rFonts w:ascii="Times New Roman" w:hAnsi="Times New Roman"/>
          <w:sz w:val="24"/>
          <w:szCs w:val="24"/>
          <w:vertAlign w:val="baseline"/>
        </w:rPr>
        <w:endnoteRef/>
      </w:r>
      <w:r w:rsidRPr="003D201E">
        <w:rPr>
          <w:rFonts w:ascii="Times New Roman" w:hAnsi="Times New Roman"/>
          <w:sz w:val="24"/>
          <w:szCs w:val="24"/>
        </w:rPr>
        <w:t xml:space="preserve"> Anker SD, Chua TP, Ponikowski P,</w:t>
      </w:r>
      <w:r>
        <w:rPr>
          <w:rFonts w:ascii="Times New Roman" w:hAnsi="Times New Roman"/>
          <w:sz w:val="24"/>
          <w:szCs w:val="24"/>
          <w:lang w:val="en-GB"/>
        </w:rPr>
        <w:t xml:space="preserve"> </w:t>
      </w:r>
      <w:hyperlink r:id="rId48" w:history="1">
        <w:r w:rsidRPr="009D06E9">
          <w:rPr>
            <w:rStyle w:val="Hyperlink"/>
            <w:rFonts w:ascii="Times New Roman" w:hAnsi="Times New Roman"/>
            <w:color w:val="auto"/>
            <w:sz w:val="24"/>
            <w:szCs w:val="24"/>
            <w:u w:val="none"/>
            <w:shd w:val="clear" w:color="auto" w:fill="FFFFFF"/>
          </w:rPr>
          <w:t>Harrington D</w:t>
        </w:r>
      </w:hyperlink>
      <w:r w:rsidRPr="009D06E9">
        <w:rPr>
          <w:rFonts w:ascii="Times New Roman" w:hAnsi="Times New Roman"/>
          <w:sz w:val="24"/>
          <w:szCs w:val="24"/>
          <w:shd w:val="clear" w:color="auto" w:fill="FFFFFF"/>
        </w:rPr>
        <w:t>, </w:t>
      </w:r>
      <w:hyperlink r:id="rId49" w:history="1">
        <w:r w:rsidRPr="009D06E9">
          <w:rPr>
            <w:rStyle w:val="Hyperlink"/>
            <w:rFonts w:ascii="Times New Roman" w:hAnsi="Times New Roman"/>
            <w:color w:val="auto"/>
            <w:sz w:val="24"/>
            <w:szCs w:val="24"/>
            <w:u w:val="none"/>
            <w:shd w:val="clear" w:color="auto" w:fill="FFFFFF"/>
          </w:rPr>
          <w:t>Swan JW</w:t>
        </w:r>
      </w:hyperlink>
      <w:r w:rsidRPr="009D06E9">
        <w:rPr>
          <w:rFonts w:ascii="Times New Roman" w:hAnsi="Times New Roman"/>
          <w:sz w:val="24"/>
          <w:szCs w:val="24"/>
          <w:shd w:val="clear" w:color="auto" w:fill="FFFFFF"/>
        </w:rPr>
        <w:t>, </w:t>
      </w:r>
      <w:hyperlink r:id="rId50" w:history="1">
        <w:r w:rsidRPr="009D06E9">
          <w:rPr>
            <w:rStyle w:val="Hyperlink"/>
            <w:rFonts w:ascii="Times New Roman" w:hAnsi="Times New Roman"/>
            <w:color w:val="auto"/>
            <w:sz w:val="24"/>
            <w:szCs w:val="24"/>
            <w:u w:val="none"/>
            <w:shd w:val="clear" w:color="auto" w:fill="FFFFFF"/>
          </w:rPr>
          <w:t>Kox WJ</w:t>
        </w:r>
      </w:hyperlink>
      <w:r w:rsidRPr="009D06E9">
        <w:rPr>
          <w:rFonts w:ascii="Times New Roman" w:hAnsi="Times New Roman"/>
          <w:sz w:val="24"/>
          <w:szCs w:val="24"/>
          <w:shd w:val="clear" w:color="auto" w:fill="FFFFFF"/>
        </w:rPr>
        <w:t>, </w:t>
      </w:r>
      <w:hyperlink r:id="rId51" w:history="1">
        <w:r w:rsidRPr="009D06E9">
          <w:rPr>
            <w:rStyle w:val="Hyperlink"/>
            <w:rFonts w:ascii="Times New Roman" w:hAnsi="Times New Roman"/>
            <w:color w:val="auto"/>
            <w:sz w:val="24"/>
            <w:szCs w:val="24"/>
            <w:u w:val="none"/>
            <w:shd w:val="clear" w:color="auto" w:fill="FFFFFF"/>
          </w:rPr>
          <w:t>Poole-Wilson PA</w:t>
        </w:r>
      </w:hyperlink>
      <w:r w:rsidRPr="009D06E9">
        <w:rPr>
          <w:rFonts w:ascii="Times New Roman" w:hAnsi="Times New Roman"/>
          <w:sz w:val="24"/>
          <w:szCs w:val="24"/>
          <w:shd w:val="clear" w:color="auto" w:fill="FFFFFF"/>
        </w:rPr>
        <w:t>, </w:t>
      </w:r>
      <w:hyperlink r:id="rId52" w:history="1">
        <w:r w:rsidRPr="009D06E9">
          <w:rPr>
            <w:rStyle w:val="Hyperlink"/>
            <w:rFonts w:ascii="Times New Roman" w:hAnsi="Times New Roman"/>
            <w:color w:val="auto"/>
            <w:sz w:val="24"/>
            <w:szCs w:val="24"/>
            <w:u w:val="none"/>
            <w:shd w:val="clear" w:color="auto" w:fill="FFFFFF"/>
          </w:rPr>
          <w:t>Coats AJ</w:t>
        </w:r>
      </w:hyperlink>
      <w:r w:rsidRPr="009D06E9">
        <w:rPr>
          <w:rFonts w:ascii="Times New Roman" w:hAnsi="Times New Roman"/>
          <w:sz w:val="24"/>
          <w:szCs w:val="24"/>
          <w:lang w:val="en-GB"/>
        </w:rPr>
        <w:t xml:space="preserve">. </w:t>
      </w:r>
      <w:r w:rsidRPr="00C65CB7">
        <w:rPr>
          <w:rStyle w:val="referencesarticle-title"/>
          <w:rFonts w:ascii="Times New Roman" w:hAnsi="Times New Roman"/>
          <w:color w:val="000000"/>
          <w:sz w:val="24"/>
          <w:szCs w:val="24"/>
        </w:rPr>
        <w:t xml:space="preserve">Hormonal changes and catabolic/anabolic imbalance in chronic heart failure and their importance for cardiac cachexia. </w:t>
      </w:r>
      <w:r w:rsidRPr="00C65CB7">
        <w:rPr>
          <w:rStyle w:val="Strong"/>
          <w:rFonts w:ascii="Times New Roman" w:hAnsi="Times New Roman"/>
          <w:b w:val="0"/>
          <w:i/>
          <w:color w:val="000000"/>
          <w:sz w:val="24"/>
          <w:szCs w:val="24"/>
        </w:rPr>
        <w:t>Circulation</w:t>
      </w:r>
      <w:r w:rsidRPr="00C65CB7">
        <w:rPr>
          <w:rFonts w:ascii="Times New Roman" w:hAnsi="Times New Roman"/>
          <w:sz w:val="24"/>
          <w:szCs w:val="24"/>
        </w:rPr>
        <w:t>. </w:t>
      </w:r>
      <w:r w:rsidRPr="00C65CB7">
        <w:rPr>
          <w:rStyle w:val="referencesyear"/>
          <w:rFonts w:ascii="Times New Roman" w:hAnsi="Times New Roman"/>
          <w:color w:val="000000"/>
          <w:sz w:val="24"/>
          <w:szCs w:val="24"/>
        </w:rPr>
        <w:t>1997</w:t>
      </w:r>
      <w:r w:rsidRPr="00C65CB7">
        <w:rPr>
          <w:rFonts w:ascii="Times New Roman" w:hAnsi="Times New Roman"/>
          <w:sz w:val="24"/>
          <w:szCs w:val="24"/>
        </w:rPr>
        <w:t>; </w:t>
      </w:r>
      <w:r w:rsidRPr="00C65CB7">
        <w:rPr>
          <w:rFonts w:ascii="Times New Roman" w:hAnsi="Times New Roman"/>
          <w:b/>
          <w:iCs/>
          <w:sz w:val="24"/>
          <w:szCs w:val="24"/>
        </w:rPr>
        <w:t>96</w:t>
      </w:r>
      <w:r w:rsidRPr="00C65CB7">
        <w:rPr>
          <w:rFonts w:ascii="Times New Roman" w:hAnsi="Times New Roman"/>
          <w:sz w:val="24"/>
          <w:szCs w:val="24"/>
        </w:rPr>
        <w:t>:526–534.</w:t>
      </w:r>
    </w:p>
  </w:endnote>
  <w:endnote w:id="30">
    <w:p w14:paraId="2211FCB3" w14:textId="0B35FB10" w:rsidR="00466725" w:rsidRPr="006F3284" w:rsidRDefault="00466725" w:rsidP="006F3284">
      <w:pPr>
        <w:pStyle w:val="EndnoteText"/>
        <w:spacing w:line="480" w:lineRule="auto"/>
        <w:rPr>
          <w:rFonts w:ascii="Times New Roman" w:hAnsi="Times New Roman"/>
          <w:sz w:val="24"/>
          <w:szCs w:val="24"/>
          <w:lang w:val="en-GB"/>
        </w:rPr>
      </w:pPr>
      <w:r w:rsidRPr="00DD7D6E">
        <w:rPr>
          <w:rStyle w:val="EndnoteReference"/>
          <w:rFonts w:ascii="Times New Roman" w:hAnsi="Times New Roman"/>
          <w:sz w:val="24"/>
          <w:szCs w:val="24"/>
          <w:vertAlign w:val="baseline"/>
        </w:rPr>
        <w:endnoteRef/>
      </w:r>
      <w:r w:rsidRPr="006F3284">
        <w:rPr>
          <w:rFonts w:ascii="Times New Roman" w:hAnsi="Times New Roman"/>
          <w:sz w:val="24"/>
          <w:szCs w:val="24"/>
        </w:rPr>
        <w:t xml:space="preserve"> </w:t>
      </w:r>
      <w:r w:rsidRPr="006F3284">
        <w:rPr>
          <w:rFonts w:ascii="Times New Roman" w:eastAsiaTheme="minorHAnsi" w:hAnsi="Times New Roman"/>
          <w:sz w:val="24"/>
          <w:szCs w:val="24"/>
        </w:rPr>
        <w:t xml:space="preserve">Rahman A, Jafry S, Jeejeebhoy K, Nagpal AD, Pisani B, Agarwala R. Malnutrition and cachexia in heart failure. </w:t>
      </w:r>
      <w:r w:rsidRPr="006F3284">
        <w:rPr>
          <w:rFonts w:ascii="Times New Roman" w:eastAsiaTheme="minorHAnsi" w:hAnsi="Times New Roman"/>
          <w:i/>
          <w:iCs/>
          <w:sz w:val="24"/>
          <w:szCs w:val="24"/>
        </w:rPr>
        <w:t xml:space="preserve">JPEN J Parenter Enteral Nutr </w:t>
      </w:r>
      <w:r w:rsidRPr="006F3284">
        <w:rPr>
          <w:rFonts w:ascii="Times New Roman" w:eastAsiaTheme="minorHAnsi" w:hAnsi="Times New Roman"/>
          <w:sz w:val="24"/>
          <w:szCs w:val="24"/>
        </w:rPr>
        <w:t>2016;</w:t>
      </w:r>
      <w:r w:rsidRPr="006F3284">
        <w:rPr>
          <w:rFonts w:ascii="Times New Roman" w:eastAsiaTheme="minorHAnsi" w:hAnsi="Times New Roman"/>
          <w:b/>
          <w:bCs/>
          <w:sz w:val="24"/>
          <w:szCs w:val="24"/>
        </w:rPr>
        <w:t>40:</w:t>
      </w:r>
      <w:r w:rsidRPr="006F3284">
        <w:rPr>
          <w:rFonts w:ascii="Times New Roman" w:eastAsiaTheme="minorHAnsi" w:hAnsi="Times New Roman"/>
          <w:sz w:val="24"/>
          <w:szCs w:val="24"/>
        </w:rPr>
        <w:t>475-86</w:t>
      </w:r>
    </w:p>
  </w:endnote>
  <w:endnote w:id="31">
    <w:p w14:paraId="7F21D6FF" w14:textId="03B039C3" w:rsidR="00466725" w:rsidRPr="006F3284" w:rsidRDefault="00466725" w:rsidP="006F3284">
      <w:pPr>
        <w:pStyle w:val="EndnoteText"/>
        <w:spacing w:line="480" w:lineRule="auto"/>
        <w:rPr>
          <w:rFonts w:ascii="Times New Roman" w:hAnsi="Times New Roman"/>
          <w:sz w:val="24"/>
          <w:szCs w:val="24"/>
          <w:lang w:val="en-GB"/>
        </w:rPr>
      </w:pPr>
      <w:r w:rsidRPr="00DD7D6E">
        <w:rPr>
          <w:rStyle w:val="EndnoteReference"/>
          <w:rFonts w:ascii="Times New Roman" w:hAnsi="Times New Roman"/>
          <w:sz w:val="24"/>
          <w:szCs w:val="24"/>
          <w:vertAlign w:val="baseline"/>
        </w:rPr>
        <w:endnoteRef/>
      </w:r>
      <w:r w:rsidRPr="006F3284">
        <w:rPr>
          <w:rFonts w:ascii="Times New Roman" w:hAnsi="Times New Roman"/>
          <w:sz w:val="24"/>
          <w:szCs w:val="24"/>
        </w:rPr>
        <w:t xml:space="preserve"> </w:t>
      </w:r>
      <w:r w:rsidR="00DD4026">
        <w:rPr>
          <w:rFonts w:ascii="Times New Roman" w:hAnsi="Times New Roman"/>
          <w:color w:val="303030"/>
          <w:sz w:val="24"/>
          <w:szCs w:val="24"/>
          <w:shd w:val="clear" w:color="auto" w:fill="FFFFFF"/>
        </w:rPr>
        <w:t xml:space="preserve">Azhar G, Wei </w:t>
      </w:r>
      <w:r w:rsidRPr="006F3284">
        <w:rPr>
          <w:rFonts w:ascii="Times New Roman" w:hAnsi="Times New Roman"/>
          <w:color w:val="303030"/>
          <w:sz w:val="24"/>
          <w:szCs w:val="24"/>
          <w:shd w:val="clear" w:color="auto" w:fill="FFFFFF"/>
        </w:rPr>
        <w:t>Y. New Approaches to Treating Cardiac Cachexia in the Older Patient. </w:t>
      </w:r>
      <w:r w:rsidRPr="006F3284">
        <w:rPr>
          <w:rFonts w:ascii="Times New Roman" w:hAnsi="Times New Roman"/>
          <w:i/>
          <w:iCs/>
          <w:color w:val="303030"/>
          <w:sz w:val="24"/>
          <w:szCs w:val="24"/>
          <w:shd w:val="clear" w:color="auto" w:fill="FFFFFF"/>
        </w:rPr>
        <w:t>Curr Cardiovasc Risk Rep</w:t>
      </w:r>
      <w:r w:rsidRPr="006F3284">
        <w:rPr>
          <w:rFonts w:ascii="Times New Roman" w:hAnsi="Times New Roman"/>
          <w:color w:val="303030"/>
          <w:sz w:val="24"/>
          <w:szCs w:val="24"/>
          <w:shd w:val="clear" w:color="auto" w:fill="FFFFFF"/>
        </w:rPr>
        <w:t xml:space="preserve">. 2013;7:480–484. </w:t>
      </w:r>
    </w:p>
  </w:endnote>
  <w:endnote w:id="32">
    <w:p w14:paraId="5FF8135F" w14:textId="6FC3998E" w:rsidR="00466725" w:rsidRPr="00B946AD" w:rsidRDefault="00466725" w:rsidP="00B946AD">
      <w:pPr>
        <w:pStyle w:val="EndnoteText"/>
        <w:spacing w:line="480" w:lineRule="auto"/>
        <w:rPr>
          <w:rFonts w:ascii="Times New Roman" w:hAnsi="Times New Roman"/>
          <w:sz w:val="24"/>
          <w:szCs w:val="24"/>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8C7FA" w14:textId="77777777" w:rsidR="00DD4026" w:rsidRDefault="00DD40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9027C" w14:textId="77777777" w:rsidR="00F12848" w:rsidRDefault="00F12848" w:rsidP="00C411C5">
      <w:pPr>
        <w:spacing w:before="0" w:after="0" w:line="240" w:lineRule="auto"/>
      </w:pPr>
      <w:r>
        <w:separator/>
      </w:r>
    </w:p>
  </w:footnote>
  <w:footnote w:type="continuationSeparator" w:id="0">
    <w:p w14:paraId="33B722FF" w14:textId="77777777" w:rsidR="00F12848" w:rsidRDefault="00F12848" w:rsidP="00C411C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9FFD3" w14:textId="297A76F7" w:rsidR="00466725" w:rsidRDefault="00466725" w:rsidP="003C2838">
    <w:pPr>
      <w:pStyle w:val="Header"/>
      <w:tabs>
        <w:tab w:val="clear" w:pos="4513"/>
      </w:tabs>
    </w:pPr>
    <w:r>
      <w:t>Prognostic value of malnutrition in HF</w:t>
    </w:r>
    <w:r>
      <w:tab/>
      <w:t>April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30D29"/>
    <w:multiLevelType w:val="hybridMultilevel"/>
    <w:tmpl w:val="BD1EB308"/>
    <w:lvl w:ilvl="0" w:tplc="84CCFC54">
      <w:start w:val="1"/>
      <w:numFmt w:val="decimal"/>
      <w:lvlText w:val="%1)"/>
      <w:lvlJc w:val="left"/>
      <w:pPr>
        <w:ind w:left="360" w:hanging="360"/>
      </w:pPr>
      <w:rPr>
        <w:rFonts w:hint="default"/>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7381DA2"/>
    <w:multiLevelType w:val="hybridMultilevel"/>
    <w:tmpl w:val="4CAA8BA0"/>
    <w:lvl w:ilvl="0" w:tplc="B2760856">
      <w:start w:val="1"/>
      <w:numFmt w:val="decimal"/>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7B040A"/>
    <w:multiLevelType w:val="hybridMultilevel"/>
    <w:tmpl w:val="2F842548"/>
    <w:lvl w:ilvl="0" w:tplc="08090011">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DF941B4"/>
    <w:multiLevelType w:val="hybridMultilevel"/>
    <w:tmpl w:val="3EF0DFE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06C2531"/>
    <w:multiLevelType w:val="hybridMultilevel"/>
    <w:tmpl w:val="E3420B50"/>
    <w:lvl w:ilvl="0" w:tplc="7022285E">
      <w:start w:val="1"/>
      <w:numFmt w:val="decimal"/>
      <w:lvlText w:val="%1)"/>
      <w:lvlJc w:val="left"/>
      <w:pPr>
        <w:ind w:left="1494" w:hanging="360"/>
      </w:pPr>
      <w:rPr>
        <w:rFonts w:hint="default"/>
        <w:b w:val="0"/>
        <w:i w:val="0"/>
      </w:rPr>
    </w:lvl>
    <w:lvl w:ilvl="1" w:tplc="08090019" w:tentative="1">
      <w:start w:val="1"/>
      <w:numFmt w:val="lowerLetter"/>
      <w:lvlText w:val="%2."/>
      <w:lvlJc w:val="left"/>
      <w:pPr>
        <w:ind w:left="2499" w:hanging="360"/>
      </w:pPr>
    </w:lvl>
    <w:lvl w:ilvl="2" w:tplc="0809001B" w:tentative="1">
      <w:start w:val="1"/>
      <w:numFmt w:val="lowerRoman"/>
      <w:lvlText w:val="%3."/>
      <w:lvlJc w:val="right"/>
      <w:pPr>
        <w:ind w:left="3219" w:hanging="180"/>
      </w:pPr>
    </w:lvl>
    <w:lvl w:ilvl="3" w:tplc="0809000F" w:tentative="1">
      <w:start w:val="1"/>
      <w:numFmt w:val="decimal"/>
      <w:lvlText w:val="%4."/>
      <w:lvlJc w:val="left"/>
      <w:pPr>
        <w:ind w:left="3939" w:hanging="360"/>
      </w:pPr>
    </w:lvl>
    <w:lvl w:ilvl="4" w:tplc="08090019" w:tentative="1">
      <w:start w:val="1"/>
      <w:numFmt w:val="lowerLetter"/>
      <w:lvlText w:val="%5."/>
      <w:lvlJc w:val="left"/>
      <w:pPr>
        <w:ind w:left="4659" w:hanging="360"/>
      </w:pPr>
    </w:lvl>
    <w:lvl w:ilvl="5" w:tplc="0809001B" w:tentative="1">
      <w:start w:val="1"/>
      <w:numFmt w:val="lowerRoman"/>
      <w:lvlText w:val="%6."/>
      <w:lvlJc w:val="right"/>
      <w:pPr>
        <w:ind w:left="5379" w:hanging="180"/>
      </w:pPr>
    </w:lvl>
    <w:lvl w:ilvl="6" w:tplc="0809000F" w:tentative="1">
      <w:start w:val="1"/>
      <w:numFmt w:val="decimal"/>
      <w:lvlText w:val="%7."/>
      <w:lvlJc w:val="left"/>
      <w:pPr>
        <w:ind w:left="6099" w:hanging="360"/>
      </w:pPr>
    </w:lvl>
    <w:lvl w:ilvl="7" w:tplc="08090019" w:tentative="1">
      <w:start w:val="1"/>
      <w:numFmt w:val="lowerLetter"/>
      <w:lvlText w:val="%8."/>
      <w:lvlJc w:val="left"/>
      <w:pPr>
        <w:ind w:left="6819" w:hanging="360"/>
      </w:pPr>
    </w:lvl>
    <w:lvl w:ilvl="8" w:tplc="0809001B" w:tentative="1">
      <w:start w:val="1"/>
      <w:numFmt w:val="lowerRoman"/>
      <w:lvlText w:val="%9."/>
      <w:lvlJc w:val="right"/>
      <w:pPr>
        <w:ind w:left="7539" w:hanging="180"/>
      </w:pPr>
    </w:lvl>
  </w:abstractNum>
  <w:abstractNum w:abstractNumId="5" w15:restartNumberingAfterBreak="0">
    <w:nsid w:val="498E103A"/>
    <w:multiLevelType w:val="hybridMultilevel"/>
    <w:tmpl w:val="62328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D33638F"/>
    <w:multiLevelType w:val="hybridMultilevel"/>
    <w:tmpl w:val="506A5928"/>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E2100598">
      <w:start w:val="1"/>
      <w:numFmt w:val="decimal"/>
      <w:lvlText w:val="%3."/>
      <w:lvlJc w:val="left"/>
      <w:pPr>
        <w:ind w:left="2340" w:hanging="360"/>
      </w:pPr>
      <w:rPr>
        <w:rFonts w:hint="default"/>
        <w:i/>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D8168F7"/>
    <w:multiLevelType w:val="hybridMultilevel"/>
    <w:tmpl w:val="AFD88C5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1564B4B"/>
    <w:multiLevelType w:val="hybridMultilevel"/>
    <w:tmpl w:val="03202D9C"/>
    <w:lvl w:ilvl="0" w:tplc="814495F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726604DA"/>
    <w:multiLevelType w:val="hybridMultilevel"/>
    <w:tmpl w:val="F50EE31A"/>
    <w:lvl w:ilvl="0" w:tplc="13F04572">
      <w:start w:val="1"/>
      <w:numFmt w:val="decimal"/>
      <w:lvlText w:val="%1)"/>
      <w:lvlJc w:val="left"/>
      <w:pPr>
        <w:ind w:left="720" w:hanging="360"/>
      </w:pPr>
      <w:rPr>
        <w:rFonts w:hint="default"/>
        <w:i/>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5382AE3"/>
    <w:multiLevelType w:val="hybridMultilevel"/>
    <w:tmpl w:val="3696763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6"/>
  </w:num>
  <w:num w:numId="3">
    <w:abstractNumId w:val="7"/>
  </w:num>
  <w:num w:numId="4">
    <w:abstractNumId w:val="4"/>
  </w:num>
  <w:num w:numId="5">
    <w:abstractNumId w:val="0"/>
  </w:num>
  <w:num w:numId="6">
    <w:abstractNumId w:val="8"/>
  </w:num>
  <w:num w:numId="7">
    <w:abstractNumId w:val="5"/>
  </w:num>
  <w:num w:numId="8">
    <w:abstractNumId w:val="9"/>
  </w:num>
  <w:num w:numId="9">
    <w:abstractNumId w:val="2"/>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activeWritingStyle w:appName="MSWord" w:lang="fr-FR" w:vendorID="64" w:dllVersion="6" w:nlCheck="1" w:checkStyle="0"/>
  <w:activeWritingStyle w:appName="MSWord" w:lang="en-GB" w:vendorID="64" w:dllVersion="6" w:nlCheck="1" w:checkStyle="0"/>
  <w:activeWritingStyle w:appName="MSWord" w:lang="es-ES"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s-ES" w:vendorID="64" w:dllVersion="4096" w:nlCheck="1" w:checkStyle="0"/>
  <w:activeWritingStyle w:appName="MSWord" w:lang="en-GB" w:vendorID="64" w:dllVersion="0" w:nlCheck="1" w:checkStyle="0"/>
  <w:activeWritingStyle w:appName="MSWord" w:lang="es-ES" w:vendorID="64" w:dllVersion="0" w:nlCheck="1" w:checkStyle="0"/>
  <w:activeWritingStyle w:appName="MSWord" w:lang="fr-FR"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FAC"/>
    <w:rsid w:val="00000AF7"/>
    <w:rsid w:val="00005A1E"/>
    <w:rsid w:val="00011E90"/>
    <w:rsid w:val="00012895"/>
    <w:rsid w:val="00021654"/>
    <w:rsid w:val="00021A1D"/>
    <w:rsid w:val="0002498D"/>
    <w:rsid w:val="00026283"/>
    <w:rsid w:val="00030111"/>
    <w:rsid w:val="000304A3"/>
    <w:rsid w:val="00030932"/>
    <w:rsid w:val="00035419"/>
    <w:rsid w:val="00036B0A"/>
    <w:rsid w:val="00036B46"/>
    <w:rsid w:val="00037B2A"/>
    <w:rsid w:val="00040BC8"/>
    <w:rsid w:val="00042F78"/>
    <w:rsid w:val="000436DB"/>
    <w:rsid w:val="0005188D"/>
    <w:rsid w:val="000533F7"/>
    <w:rsid w:val="00053FA2"/>
    <w:rsid w:val="00054499"/>
    <w:rsid w:val="00054909"/>
    <w:rsid w:val="00060530"/>
    <w:rsid w:val="000643B8"/>
    <w:rsid w:val="000660F7"/>
    <w:rsid w:val="0006668D"/>
    <w:rsid w:val="00070829"/>
    <w:rsid w:val="00071824"/>
    <w:rsid w:val="000744EB"/>
    <w:rsid w:val="00074782"/>
    <w:rsid w:val="0007595D"/>
    <w:rsid w:val="00083A3E"/>
    <w:rsid w:val="000863FD"/>
    <w:rsid w:val="00086669"/>
    <w:rsid w:val="00091F34"/>
    <w:rsid w:val="000943A8"/>
    <w:rsid w:val="00094CF1"/>
    <w:rsid w:val="00096158"/>
    <w:rsid w:val="0009662B"/>
    <w:rsid w:val="00096652"/>
    <w:rsid w:val="00097668"/>
    <w:rsid w:val="000A0E0A"/>
    <w:rsid w:val="000A0F26"/>
    <w:rsid w:val="000A2127"/>
    <w:rsid w:val="000A2246"/>
    <w:rsid w:val="000A3896"/>
    <w:rsid w:val="000A48EA"/>
    <w:rsid w:val="000A4AEC"/>
    <w:rsid w:val="000A50BC"/>
    <w:rsid w:val="000A6B09"/>
    <w:rsid w:val="000A7AD4"/>
    <w:rsid w:val="000B125D"/>
    <w:rsid w:val="000B1988"/>
    <w:rsid w:val="000B2693"/>
    <w:rsid w:val="000B3B49"/>
    <w:rsid w:val="000B3D55"/>
    <w:rsid w:val="000B69C6"/>
    <w:rsid w:val="000B6BF8"/>
    <w:rsid w:val="000B7353"/>
    <w:rsid w:val="000B7F34"/>
    <w:rsid w:val="000C1194"/>
    <w:rsid w:val="000C208E"/>
    <w:rsid w:val="000C2DA4"/>
    <w:rsid w:val="000C311E"/>
    <w:rsid w:val="000C569A"/>
    <w:rsid w:val="000C7228"/>
    <w:rsid w:val="000C7328"/>
    <w:rsid w:val="000D0978"/>
    <w:rsid w:val="000D50FA"/>
    <w:rsid w:val="000D52F2"/>
    <w:rsid w:val="000D6A6C"/>
    <w:rsid w:val="000D7D61"/>
    <w:rsid w:val="000E2E73"/>
    <w:rsid w:val="000E479C"/>
    <w:rsid w:val="000E4EAB"/>
    <w:rsid w:val="000E667C"/>
    <w:rsid w:val="000F07E7"/>
    <w:rsid w:val="000F18C6"/>
    <w:rsid w:val="000F2656"/>
    <w:rsid w:val="000F2980"/>
    <w:rsid w:val="000F2B43"/>
    <w:rsid w:val="000F5820"/>
    <w:rsid w:val="001019F5"/>
    <w:rsid w:val="00101FAE"/>
    <w:rsid w:val="00102FAF"/>
    <w:rsid w:val="00104236"/>
    <w:rsid w:val="001042A1"/>
    <w:rsid w:val="0010443E"/>
    <w:rsid w:val="00105502"/>
    <w:rsid w:val="00106546"/>
    <w:rsid w:val="00106952"/>
    <w:rsid w:val="00110AC7"/>
    <w:rsid w:val="00112CBA"/>
    <w:rsid w:val="0011489D"/>
    <w:rsid w:val="00115977"/>
    <w:rsid w:val="00123378"/>
    <w:rsid w:val="001240E7"/>
    <w:rsid w:val="00124A58"/>
    <w:rsid w:val="001250D3"/>
    <w:rsid w:val="00125750"/>
    <w:rsid w:val="00125DE7"/>
    <w:rsid w:val="00130F36"/>
    <w:rsid w:val="001319E5"/>
    <w:rsid w:val="001328CB"/>
    <w:rsid w:val="001356A5"/>
    <w:rsid w:val="0014213D"/>
    <w:rsid w:val="001437E8"/>
    <w:rsid w:val="001437F2"/>
    <w:rsid w:val="001461DE"/>
    <w:rsid w:val="001475CB"/>
    <w:rsid w:val="00150A0A"/>
    <w:rsid w:val="00150DA2"/>
    <w:rsid w:val="001516B6"/>
    <w:rsid w:val="00152A57"/>
    <w:rsid w:val="001547DA"/>
    <w:rsid w:val="00154F29"/>
    <w:rsid w:val="001607C1"/>
    <w:rsid w:val="00161348"/>
    <w:rsid w:val="001654AC"/>
    <w:rsid w:val="001655C4"/>
    <w:rsid w:val="00166DC2"/>
    <w:rsid w:val="00172549"/>
    <w:rsid w:val="00172CD2"/>
    <w:rsid w:val="00172DD6"/>
    <w:rsid w:val="001741AC"/>
    <w:rsid w:val="0017552E"/>
    <w:rsid w:val="0017575D"/>
    <w:rsid w:val="001775E8"/>
    <w:rsid w:val="001779E1"/>
    <w:rsid w:val="00177F26"/>
    <w:rsid w:val="00181606"/>
    <w:rsid w:val="00184C16"/>
    <w:rsid w:val="00184D0F"/>
    <w:rsid w:val="00185BFE"/>
    <w:rsid w:val="00186A7F"/>
    <w:rsid w:val="00187380"/>
    <w:rsid w:val="00187ED6"/>
    <w:rsid w:val="00191E95"/>
    <w:rsid w:val="0019210C"/>
    <w:rsid w:val="00193933"/>
    <w:rsid w:val="0019619D"/>
    <w:rsid w:val="00196F55"/>
    <w:rsid w:val="00197D4E"/>
    <w:rsid w:val="001A0344"/>
    <w:rsid w:val="001A0BFA"/>
    <w:rsid w:val="001A15C7"/>
    <w:rsid w:val="001A469D"/>
    <w:rsid w:val="001A4E23"/>
    <w:rsid w:val="001A516A"/>
    <w:rsid w:val="001A5653"/>
    <w:rsid w:val="001A5884"/>
    <w:rsid w:val="001A5E6F"/>
    <w:rsid w:val="001A78D3"/>
    <w:rsid w:val="001B3E01"/>
    <w:rsid w:val="001B4798"/>
    <w:rsid w:val="001B5E4A"/>
    <w:rsid w:val="001C262E"/>
    <w:rsid w:val="001C2B6D"/>
    <w:rsid w:val="001C3386"/>
    <w:rsid w:val="001C3CAC"/>
    <w:rsid w:val="001D0389"/>
    <w:rsid w:val="001D039C"/>
    <w:rsid w:val="001D2F05"/>
    <w:rsid w:val="001D6818"/>
    <w:rsid w:val="001E463D"/>
    <w:rsid w:val="001E51F8"/>
    <w:rsid w:val="001E578D"/>
    <w:rsid w:val="001F0C00"/>
    <w:rsid w:val="001F1FEE"/>
    <w:rsid w:val="001F21EB"/>
    <w:rsid w:val="001F3E1D"/>
    <w:rsid w:val="001F5830"/>
    <w:rsid w:val="001F6BBE"/>
    <w:rsid w:val="002004D8"/>
    <w:rsid w:val="00204D2F"/>
    <w:rsid w:val="0020596E"/>
    <w:rsid w:val="00206118"/>
    <w:rsid w:val="002067D6"/>
    <w:rsid w:val="00206C11"/>
    <w:rsid w:val="00206CF2"/>
    <w:rsid w:val="00207E39"/>
    <w:rsid w:val="00211077"/>
    <w:rsid w:val="00211702"/>
    <w:rsid w:val="00212E3E"/>
    <w:rsid w:val="0021517F"/>
    <w:rsid w:val="00215B4A"/>
    <w:rsid w:val="002206A9"/>
    <w:rsid w:val="002225D4"/>
    <w:rsid w:val="002236AA"/>
    <w:rsid w:val="002238F9"/>
    <w:rsid w:val="002244CE"/>
    <w:rsid w:val="00224F29"/>
    <w:rsid w:val="00227BA8"/>
    <w:rsid w:val="00227D98"/>
    <w:rsid w:val="00227E72"/>
    <w:rsid w:val="00230846"/>
    <w:rsid w:val="0023126E"/>
    <w:rsid w:val="00233D18"/>
    <w:rsid w:val="002353E4"/>
    <w:rsid w:val="00235E6A"/>
    <w:rsid w:val="00236130"/>
    <w:rsid w:val="00237024"/>
    <w:rsid w:val="00237261"/>
    <w:rsid w:val="002376F2"/>
    <w:rsid w:val="00240577"/>
    <w:rsid w:val="0024121A"/>
    <w:rsid w:val="002431C6"/>
    <w:rsid w:val="00245CFB"/>
    <w:rsid w:val="0024627E"/>
    <w:rsid w:val="00247E9B"/>
    <w:rsid w:val="0025007D"/>
    <w:rsid w:val="00252ADD"/>
    <w:rsid w:val="0025398E"/>
    <w:rsid w:val="002546D0"/>
    <w:rsid w:val="00254F91"/>
    <w:rsid w:val="00256ED6"/>
    <w:rsid w:val="00263AB1"/>
    <w:rsid w:val="002645E6"/>
    <w:rsid w:val="00265067"/>
    <w:rsid w:val="0026543E"/>
    <w:rsid w:val="00265DDC"/>
    <w:rsid w:val="00271160"/>
    <w:rsid w:val="00271C7C"/>
    <w:rsid w:val="002729D3"/>
    <w:rsid w:val="00272D0E"/>
    <w:rsid w:val="00273D6C"/>
    <w:rsid w:val="00274BF8"/>
    <w:rsid w:val="00275A3E"/>
    <w:rsid w:val="00277C53"/>
    <w:rsid w:val="00280F38"/>
    <w:rsid w:val="00282C55"/>
    <w:rsid w:val="00284A13"/>
    <w:rsid w:val="00284A27"/>
    <w:rsid w:val="00284CE8"/>
    <w:rsid w:val="002861E1"/>
    <w:rsid w:val="00292CDA"/>
    <w:rsid w:val="002940A9"/>
    <w:rsid w:val="00295B62"/>
    <w:rsid w:val="00296750"/>
    <w:rsid w:val="00296B6D"/>
    <w:rsid w:val="002A0EDD"/>
    <w:rsid w:val="002A2EBA"/>
    <w:rsid w:val="002A3B68"/>
    <w:rsid w:val="002A450F"/>
    <w:rsid w:val="002A618B"/>
    <w:rsid w:val="002B00BB"/>
    <w:rsid w:val="002B1299"/>
    <w:rsid w:val="002B2F96"/>
    <w:rsid w:val="002B315F"/>
    <w:rsid w:val="002B4D6B"/>
    <w:rsid w:val="002B4E5E"/>
    <w:rsid w:val="002B5C9F"/>
    <w:rsid w:val="002B6AEE"/>
    <w:rsid w:val="002B7BF4"/>
    <w:rsid w:val="002C0AF2"/>
    <w:rsid w:val="002C16C8"/>
    <w:rsid w:val="002C3ABF"/>
    <w:rsid w:val="002C44E1"/>
    <w:rsid w:val="002C736F"/>
    <w:rsid w:val="002D5221"/>
    <w:rsid w:val="002D56CD"/>
    <w:rsid w:val="002D5C6B"/>
    <w:rsid w:val="002E0F93"/>
    <w:rsid w:val="002E3C26"/>
    <w:rsid w:val="002E4222"/>
    <w:rsid w:val="002E6462"/>
    <w:rsid w:val="002F41B3"/>
    <w:rsid w:val="002F44A3"/>
    <w:rsid w:val="002F531B"/>
    <w:rsid w:val="002F59A3"/>
    <w:rsid w:val="002F6520"/>
    <w:rsid w:val="003005D8"/>
    <w:rsid w:val="00302C6F"/>
    <w:rsid w:val="00302D14"/>
    <w:rsid w:val="0030352C"/>
    <w:rsid w:val="0030413B"/>
    <w:rsid w:val="003045CF"/>
    <w:rsid w:val="0030553F"/>
    <w:rsid w:val="0030583F"/>
    <w:rsid w:val="00307FFC"/>
    <w:rsid w:val="003119A3"/>
    <w:rsid w:val="00312163"/>
    <w:rsid w:val="00312A82"/>
    <w:rsid w:val="00316576"/>
    <w:rsid w:val="00316D82"/>
    <w:rsid w:val="0031748B"/>
    <w:rsid w:val="0032334E"/>
    <w:rsid w:val="00323B70"/>
    <w:rsid w:val="00324D56"/>
    <w:rsid w:val="00325D47"/>
    <w:rsid w:val="00326960"/>
    <w:rsid w:val="0032744E"/>
    <w:rsid w:val="00327DEF"/>
    <w:rsid w:val="00332B49"/>
    <w:rsid w:val="00332C97"/>
    <w:rsid w:val="00333262"/>
    <w:rsid w:val="00334768"/>
    <w:rsid w:val="00336CB2"/>
    <w:rsid w:val="0033790D"/>
    <w:rsid w:val="00342BF2"/>
    <w:rsid w:val="00342C5A"/>
    <w:rsid w:val="00345A32"/>
    <w:rsid w:val="0034600E"/>
    <w:rsid w:val="0035016D"/>
    <w:rsid w:val="00354540"/>
    <w:rsid w:val="00355333"/>
    <w:rsid w:val="0035666D"/>
    <w:rsid w:val="00361D47"/>
    <w:rsid w:val="00362114"/>
    <w:rsid w:val="00363591"/>
    <w:rsid w:val="00365D51"/>
    <w:rsid w:val="00367A6B"/>
    <w:rsid w:val="00370141"/>
    <w:rsid w:val="003716CC"/>
    <w:rsid w:val="0037289B"/>
    <w:rsid w:val="00372D36"/>
    <w:rsid w:val="00373BDB"/>
    <w:rsid w:val="0037452A"/>
    <w:rsid w:val="00374BE0"/>
    <w:rsid w:val="00374F8A"/>
    <w:rsid w:val="003752E7"/>
    <w:rsid w:val="00375A00"/>
    <w:rsid w:val="0038152F"/>
    <w:rsid w:val="00381A6C"/>
    <w:rsid w:val="00383A70"/>
    <w:rsid w:val="00383E3C"/>
    <w:rsid w:val="003846AC"/>
    <w:rsid w:val="00384CEF"/>
    <w:rsid w:val="00386719"/>
    <w:rsid w:val="00391261"/>
    <w:rsid w:val="0039167D"/>
    <w:rsid w:val="00393DD8"/>
    <w:rsid w:val="00395370"/>
    <w:rsid w:val="003970CD"/>
    <w:rsid w:val="00397B05"/>
    <w:rsid w:val="003A25C5"/>
    <w:rsid w:val="003A6F81"/>
    <w:rsid w:val="003B03C4"/>
    <w:rsid w:val="003B1DE7"/>
    <w:rsid w:val="003B2897"/>
    <w:rsid w:val="003B2EAF"/>
    <w:rsid w:val="003B4369"/>
    <w:rsid w:val="003B6B48"/>
    <w:rsid w:val="003B6D55"/>
    <w:rsid w:val="003B7DB1"/>
    <w:rsid w:val="003C025D"/>
    <w:rsid w:val="003C0ED5"/>
    <w:rsid w:val="003C1098"/>
    <w:rsid w:val="003C1861"/>
    <w:rsid w:val="003C1D68"/>
    <w:rsid w:val="003C2838"/>
    <w:rsid w:val="003C2BEF"/>
    <w:rsid w:val="003C35BA"/>
    <w:rsid w:val="003C6079"/>
    <w:rsid w:val="003C6C88"/>
    <w:rsid w:val="003D0343"/>
    <w:rsid w:val="003D079C"/>
    <w:rsid w:val="003D153E"/>
    <w:rsid w:val="003D1C04"/>
    <w:rsid w:val="003D201E"/>
    <w:rsid w:val="003D5A6A"/>
    <w:rsid w:val="003D63C0"/>
    <w:rsid w:val="003D7EA3"/>
    <w:rsid w:val="003E1B73"/>
    <w:rsid w:val="003E24DC"/>
    <w:rsid w:val="003E41BC"/>
    <w:rsid w:val="003F17F1"/>
    <w:rsid w:val="003F1FE3"/>
    <w:rsid w:val="003F25C7"/>
    <w:rsid w:val="003F2D7F"/>
    <w:rsid w:val="003F3F91"/>
    <w:rsid w:val="003F4AB6"/>
    <w:rsid w:val="003F5BD9"/>
    <w:rsid w:val="00400C5C"/>
    <w:rsid w:val="00402785"/>
    <w:rsid w:val="004037C0"/>
    <w:rsid w:val="00404052"/>
    <w:rsid w:val="004045FE"/>
    <w:rsid w:val="00407569"/>
    <w:rsid w:val="0040793F"/>
    <w:rsid w:val="00410482"/>
    <w:rsid w:val="00410CCF"/>
    <w:rsid w:val="004118C6"/>
    <w:rsid w:val="00414FBE"/>
    <w:rsid w:val="004160F9"/>
    <w:rsid w:val="00416A40"/>
    <w:rsid w:val="0042170A"/>
    <w:rsid w:val="00421C68"/>
    <w:rsid w:val="00422C6D"/>
    <w:rsid w:val="00423F8D"/>
    <w:rsid w:val="004253C7"/>
    <w:rsid w:val="00425BCC"/>
    <w:rsid w:val="00425C0F"/>
    <w:rsid w:val="00426326"/>
    <w:rsid w:val="00426D38"/>
    <w:rsid w:val="004306EA"/>
    <w:rsid w:val="00430BC3"/>
    <w:rsid w:val="00430DD1"/>
    <w:rsid w:val="00431C72"/>
    <w:rsid w:val="00432909"/>
    <w:rsid w:val="004338CE"/>
    <w:rsid w:val="00433E53"/>
    <w:rsid w:val="00436264"/>
    <w:rsid w:val="00436698"/>
    <w:rsid w:val="00436C75"/>
    <w:rsid w:val="0043752E"/>
    <w:rsid w:val="0044044C"/>
    <w:rsid w:val="00440AAB"/>
    <w:rsid w:val="00442543"/>
    <w:rsid w:val="00442F51"/>
    <w:rsid w:val="0044694B"/>
    <w:rsid w:val="00452275"/>
    <w:rsid w:val="00452616"/>
    <w:rsid w:val="00454305"/>
    <w:rsid w:val="00457410"/>
    <w:rsid w:val="004607A6"/>
    <w:rsid w:val="00461B79"/>
    <w:rsid w:val="00462A93"/>
    <w:rsid w:val="00462E65"/>
    <w:rsid w:val="00463406"/>
    <w:rsid w:val="00465A1E"/>
    <w:rsid w:val="00466725"/>
    <w:rsid w:val="00467A0E"/>
    <w:rsid w:val="00470DEE"/>
    <w:rsid w:val="0047273C"/>
    <w:rsid w:val="00473835"/>
    <w:rsid w:val="00475979"/>
    <w:rsid w:val="00480543"/>
    <w:rsid w:val="00481741"/>
    <w:rsid w:val="00484782"/>
    <w:rsid w:val="00486B2F"/>
    <w:rsid w:val="00490272"/>
    <w:rsid w:val="004921DB"/>
    <w:rsid w:val="00493142"/>
    <w:rsid w:val="004957A9"/>
    <w:rsid w:val="00496F36"/>
    <w:rsid w:val="00497E3F"/>
    <w:rsid w:val="004A1372"/>
    <w:rsid w:val="004A5A23"/>
    <w:rsid w:val="004A5BBB"/>
    <w:rsid w:val="004A629C"/>
    <w:rsid w:val="004A7066"/>
    <w:rsid w:val="004B034B"/>
    <w:rsid w:val="004B27AB"/>
    <w:rsid w:val="004B3B03"/>
    <w:rsid w:val="004B77D1"/>
    <w:rsid w:val="004C2A58"/>
    <w:rsid w:val="004C4D8E"/>
    <w:rsid w:val="004C7231"/>
    <w:rsid w:val="004C7D18"/>
    <w:rsid w:val="004D02AA"/>
    <w:rsid w:val="004D141C"/>
    <w:rsid w:val="004D32C7"/>
    <w:rsid w:val="004D5A97"/>
    <w:rsid w:val="004D5EBA"/>
    <w:rsid w:val="004D5F42"/>
    <w:rsid w:val="004D6354"/>
    <w:rsid w:val="004D7863"/>
    <w:rsid w:val="004E70C0"/>
    <w:rsid w:val="004E70D8"/>
    <w:rsid w:val="004F0CF3"/>
    <w:rsid w:val="004F0DA2"/>
    <w:rsid w:val="004F2224"/>
    <w:rsid w:val="004F29A9"/>
    <w:rsid w:val="004F41D1"/>
    <w:rsid w:val="004F45BB"/>
    <w:rsid w:val="004F57C7"/>
    <w:rsid w:val="004F63EF"/>
    <w:rsid w:val="004F6F0D"/>
    <w:rsid w:val="004F7A21"/>
    <w:rsid w:val="00500748"/>
    <w:rsid w:val="00501ED5"/>
    <w:rsid w:val="005049DD"/>
    <w:rsid w:val="00506B20"/>
    <w:rsid w:val="005078D9"/>
    <w:rsid w:val="0051057E"/>
    <w:rsid w:val="0051187C"/>
    <w:rsid w:val="00511CFA"/>
    <w:rsid w:val="00512AAE"/>
    <w:rsid w:val="00513043"/>
    <w:rsid w:val="0051533A"/>
    <w:rsid w:val="00516F52"/>
    <w:rsid w:val="00520957"/>
    <w:rsid w:val="00521AAC"/>
    <w:rsid w:val="0052463F"/>
    <w:rsid w:val="005246F8"/>
    <w:rsid w:val="00526280"/>
    <w:rsid w:val="00534333"/>
    <w:rsid w:val="005353F1"/>
    <w:rsid w:val="00535515"/>
    <w:rsid w:val="005426FA"/>
    <w:rsid w:val="005436AE"/>
    <w:rsid w:val="00543BE5"/>
    <w:rsid w:val="00544D7E"/>
    <w:rsid w:val="0054593D"/>
    <w:rsid w:val="00545A37"/>
    <w:rsid w:val="00547840"/>
    <w:rsid w:val="005479D4"/>
    <w:rsid w:val="00552294"/>
    <w:rsid w:val="00553E9A"/>
    <w:rsid w:val="00555EAB"/>
    <w:rsid w:val="00557E5A"/>
    <w:rsid w:val="00561F44"/>
    <w:rsid w:val="005627E7"/>
    <w:rsid w:val="00562FFC"/>
    <w:rsid w:val="00565867"/>
    <w:rsid w:val="005676F1"/>
    <w:rsid w:val="00570FA7"/>
    <w:rsid w:val="00573B90"/>
    <w:rsid w:val="00574FBB"/>
    <w:rsid w:val="005755DD"/>
    <w:rsid w:val="005818CB"/>
    <w:rsid w:val="00583509"/>
    <w:rsid w:val="005835BA"/>
    <w:rsid w:val="00584BCD"/>
    <w:rsid w:val="005870EA"/>
    <w:rsid w:val="00587BBB"/>
    <w:rsid w:val="00590BB5"/>
    <w:rsid w:val="005926A2"/>
    <w:rsid w:val="00594D59"/>
    <w:rsid w:val="005969C3"/>
    <w:rsid w:val="005A07CD"/>
    <w:rsid w:val="005A081C"/>
    <w:rsid w:val="005A0DA9"/>
    <w:rsid w:val="005A1C7B"/>
    <w:rsid w:val="005A24E0"/>
    <w:rsid w:val="005A29C9"/>
    <w:rsid w:val="005A30AA"/>
    <w:rsid w:val="005A446F"/>
    <w:rsid w:val="005A49F3"/>
    <w:rsid w:val="005A66CD"/>
    <w:rsid w:val="005A7E60"/>
    <w:rsid w:val="005A7F2D"/>
    <w:rsid w:val="005B17DC"/>
    <w:rsid w:val="005B1F93"/>
    <w:rsid w:val="005B33FB"/>
    <w:rsid w:val="005B69CE"/>
    <w:rsid w:val="005C2788"/>
    <w:rsid w:val="005C3BEB"/>
    <w:rsid w:val="005C4612"/>
    <w:rsid w:val="005D1A58"/>
    <w:rsid w:val="005D22CA"/>
    <w:rsid w:val="005D43B6"/>
    <w:rsid w:val="005D4DA0"/>
    <w:rsid w:val="005D56B5"/>
    <w:rsid w:val="005D7F46"/>
    <w:rsid w:val="005E0361"/>
    <w:rsid w:val="005E1B78"/>
    <w:rsid w:val="005E2BF1"/>
    <w:rsid w:val="005E3ED9"/>
    <w:rsid w:val="005E4F2E"/>
    <w:rsid w:val="005E5EA0"/>
    <w:rsid w:val="005E6262"/>
    <w:rsid w:val="005E7D68"/>
    <w:rsid w:val="005F3817"/>
    <w:rsid w:val="005F446A"/>
    <w:rsid w:val="005F5805"/>
    <w:rsid w:val="005F5A36"/>
    <w:rsid w:val="005F6288"/>
    <w:rsid w:val="005F689C"/>
    <w:rsid w:val="005F72AF"/>
    <w:rsid w:val="00600AB5"/>
    <w:rsid w:val="006016D8"/>
    <w:rsid w:val="00601916"/>
    <w:rsid w:val="00605851"/>
    <w:rsid w:val="00610865"/>
    <w:rsid w:val="00610B87"/>
    <w:rsid w:val="00610EED"/>
    <w:rsid w:val="00612C61"/>
    <w:rsid w:val="0061331A"/>
    <w:rsid w:val="00613885"/>
    <w:rsid w:val="00614734"/>
    <w:rsid w:val="006155A6"/>
    <w:rsid w:val="006163EB"/>
    <w:rsid w:val="0061672A"/>
    <w:rsid w:val="00621A4E"/>
    <w:rsid w:val="00622AEA"/>
    <w:rsid w:val="006233EE"/>
    <w:rsid w:val="00624B57"/>
    <w:rsid w:val="00625554"/>
    <w:rsid w:val="006356A1"/>
    <w:rsid w:val="006358C1"/>
    <w:rsid w:val="0063686F"/>
    <w:rsid w:val="006378B0"/>
    <w:rsid w:val="00637AFC"/>
    <w:rsid w:val="00641383"/>
    <w:rsid w:val="00641A17"/>
    <w:rsid w:val="0065153F"/>
    <w:rsid w:val="00651897"/>
    <w:rsid w:val="00654C14"/>
    <w:rsid w:val="00655E45"/>
    <w:rsid w:val="006600C3"/>
    <w:rsid w:val="00661206"/>
    <w:rsid w:val="006664A2"/>
    <w:rsid w:val="006668D7"/>
    <w:rsid w:val="00666B78"/>
    <w:rsid w:val="0066781E"/>
    <w:rsid w:val="00674AAD"/>
    <w:rsid w:val="00674F91"/>
    <w:rsid w:val="006762A1"/>
    <w:rsid w:val="006776C4"/>
    <w:rsid w:val="00680500"/>
    <w:rsid w:val="00680CBF"/>
    <w:rsid w:val="00680E5B"/>
    <w:rsid w:val="00681A54"/>
    <w:rsid w:val="00681A96"/>
    <w:rsid w:val="006832F5"/>
    <w:rsid w:val="00684E48"/>
    <w:rsid w:val="006879DB"/>
    <w:rsid w:val="00692446"/>
    <w:rsid w:val="006941F6"/>
    <w:rsid w:val="006943F8"/>
    <w:rsid w:val="006A0F3B"/>
    <w:rsid w:val="006B1B70"/>
    <w:rsid w:val="006B2225"/>
    <w:rsid w:val="006B287A"/>
    <w:rsid w:val="006B2A6C"/>
    <w:rsid w:val="006B33A7"/>
    <w:rsid w:val="006B5EC1"/>
    <w:rsid w:val="006B6A85"/>
    <w:rsid w:val="006B7002"/>
    <w:rsid w:val="006B74CD"/>
    <w:rsid w:val="006C1E9C"/>
    <w:rsid w:val="006C3945"/>
    <w:rsid w:val="006C39C3"/>
    <w:rsid w:val="006C465A"/>
    <w:rsid w:val="006C4D75"/>
    <w:rsid w:val="006C7576"/>
    <w:rsid w:val="006D15DD"/>
    <w:rsid w:val="006D1ED5"/>
    <w:rsid w:val="006D6536"/>
    <w:rsid w:val="006D6911"/>
    <w:rsid w:val="006D72B9"/>
    <w:rsid w:val="006D7300"/>
    <w:rsid w:val="006E0133"/>
    <w:rsid w:val="006E0858"/>
    <w:rsid w:val="006E1ED5"/>
    <w:rsid w:val="006E3782"/>
    <w:rsid w:val="006E6635"/>
    <w:rsid w:val="006E7605"/>
    <w:rsid w:val="006E7FAC"/>
    <w:rsid w:val="006F22B7"/>
    <w:rsid w:val="006F22CE"/>
    <w:rsid w:val="006F2FA1"/>
    <w:rsid w:val="006F3284"/>
    <w:rsid w:val="006F4B10"/>
    <w:rsid w:val="006F579D"/>
    <w:rsid w:val="006F59ED"/>
    <w:rsid w:val="006F6A11"/>
    <w:rsid w:val="007004FF"/>
    <w:rsid w:val="00705AD3"/>
    <w:rsid w:val="00707248"/>
    <w:rsid w:val="00710F0D"/>
    <w:rsid w:val="007116C2"/>
    <w:rsid w:val="00716D74"/>
    <w:rsid w:val="00717D74"/>
    <w:rsid w:val="00720CF7"/>
    <w:rsid w:val="00720E25"/>
    <w:rsid w:val="0072464D"/>
    <w:rsid w:val="00727128"/>
    <w:rsid w:val="00727514"/>
    <w:rsid w:val="00732D1F"/>
    <w:rsid w:val="007336A9"/>
    <w:rsid w:val="00733AA0"/>
    <w:rsid w:val="007359B7"/>
    <w:rsid w:val="007363E9"/>
    <w:rsid w:val="00736C3C"/>
    <w:rsid w:val="007431B2"/>
    <w:rsid w:val="00745BBF"/>
    <w:rsid w:val="0074775A"/>
    <w:rsid w:val="007501BB"/>
    <w:rsid w:val="00750F4D"/>
    <w:rsid w:val="00752009"/>
    <w:rsid w:val="00752FAB"/>
    <w:rsid w:val="00756B28"/>
    <w:rsid w:val="00760B06"/>
    <w:rsid w:val="007612A5"/>
    <w:rsid w:val="00761696"/>
    <w:rsid w:val="00764276"/>
    <w:rsid w:val="0078170D"/>
    <w:rsid w:val="0078400D"/>
    <w:rsid w:val="00784F32"/>
    <w:rsid w:val="0078633D"/>
    <w:rsid w:val="00790806"/>
    <w:rsid w:val="00791366"/>
    <w:rsid w:val="007964E2"/>
    <w:rsid w:val="007A158B"/>
    <w:rsid w:val="007A22D8"/>
    <w:rsid w:val="007A3084"/>
    <w:rsid w:val="007A6FF9"/>
    <w:rsid w:val="007A716C"/>
    <w:rsid w:val="007A7D0B"/>
    <w:rsid w:val="007B1EEB"/>
    <w:rsid w:val="007B4033"/>
    <w:rsid w:val="007B43AA"/>
    <w:rsid w:val="007B4A4C"/>
    <w:rsid w:val="007B625A"/>
    <w:rsid w:val="007B625E"/>
    <w:rsid w:val="007B62C8"/>
    <w:rsid w:val="007B663F"/>
    <w:rsid w:val="007B7C3D"/>
    <w:rsid w:val="007C0173"/>
    <w:rsid w:val="007C0CF3"/>
    <w:rsid w:val="007C107E"/>
    <w:rsid w:val="007C174E"/>
    <w:rsid w:val="007C5EA9"/>
    <w:rsid w:val="007C7A1F"/>
    <w:rsid w:val="007D1451"/>
    <w:rsid w:val="007D3C04"/>
    <w:rsid w:val="007D5071"/>
    <w:rsid w:val="007D6AA0"/>
    <w:rsid w:val="007D7D7D"/>
    <w:rsid w:val="007E1BF1"/>
    <w:rsid w:val="007E270B"/>
    <w:rsid w:val="007E6027"/>
    <w:rsid w:val="007E7A51"/>
    <w:rsid w:val="007F1803"/>
    <w:rsid w:val="007F7194"/>
    <w:rsid w:val="007F7A24"/>
    <w:rsid w:val="00800A5F"/>
    <w:rsid w:val="00800BAC"/>
    <w:rsid w:val="00800C2A"/>
    <w:rsid w:val="00800C5A"/>
    <w:rsid w:val="0080180D"/>
    <w:rsid w:val="008061AD"/>
    <w:rsid w:val="00810354"/>
    <w:rsid w:val="00810CA6"/>
    <w:rsid w:val="00812AFA"/>
    <w:rsid w:val="00812D12"/>
    <w:rsid w:val="00821EE7"/>
    <w:rsid w:val="0082472A"/>
    <w:rsid w:val="00825C2F"/>
    <w:rsid w:val="008261B4"/>
    <w:rsid w:val="00826D98"/>
    <w:rsid w:val="00833480"/>
    <w:rsid w:val="00833576"/>
    <w:rsid w:val="008344CE"/>
    <w:rsid w:val="008414FB"/>
    <w:rsid w:val="0084179D"/>
    <w:rsid w:val="008419C3"/>
    <w:rsid w:val="0084446B"/>
    <w:rsid w:val="0084756E"/>
    <w:rsid w:val="00850B6E"/>
    <w:rsid w:val="008532D8"/>
    <w:rsid w:val="008554D4"/>
    <w:rsid w:val="008555A9"/>
    <w:rsid w:val="0085710E"/>
    <w:rsid w:val="0085737F"/>
    <w:rsid w:val="008573C5"/>
    <w:rsid w:val="00857BA5"/>
    <w:rsid w:val="008627AB"/>
    <w:rsid w:val="008643CB"/>
    <w:rsid w:val="0086619D"/>
    <w:rsid w:val="00866C7D"/>
    <w:rsid w:val="00867629"/>
    <w:rsid w:val="00867BE3"/>
    <w:rsid w:val="00870090"/>
    <w:rsid w:val="0087017C"/>
    <w:rsid w:val="00870C2A"/>
    <w:rsid w:val="00871A39"/>
    <w:rsid w:val="00871B96"/>
    <w:rsid w:val="0087293C"/>
    <w:rsid w:val="00872EB0"/>
    <w:rsid w:val="00872F5B"/>
    <w:rsid w:val="008731A2"/>
    <w:rsid w:val="008735CD"/>
    <w:rsid w:val="00873FA2"/>
    <w:rsid w:val="0087417C"/>
    <w:rsid w:val="0087578C"/>
    <w:rsid w:val="008770F4"/>
    <w:rsid w:val="0088089E"/>
    <w:rsid w:val="00883BC0"/>
    <w:rsid w:val="00884346"/>
    <w:rsid w:val="008849EE"/>
    <w:rsid w:val="00884B7C"/>
    <w:rsid w:val="00886CDB"/>
    <w:rsid w:val="00887165"/>
    <w:rsid w:val="00890083"/>
    <w:rsid w:val="00890238"/>
    <w:rsid w:val="0089090A"/>
    <w:rsid w:val="008926CE"/>
    <w:rsid w:val="008966D9"/>
    <w:rsid w:val="00896DA3"/>
    <w:rsid w:val="00897FC9"/>
    <w:rsid w:val="008A2EC1"/>
    <w:rsid w:val="008A32AC"/>
    <w:rsid w:val="008A4AE6"/>
    <w:rsid w:val="008A5EF1"/>
    <w:rsid w:val="008A66C8"/>
    <w:rsid w:val="008A76E8"/>
    <w:rsid w:val="008B2033"/>
    <w:rsid w:val="008B2CDE"/>
    <w:rsid w:val="008B617B"/>
    <w:rsid w:val="008B68F9"/>
    <w:rsid w:val="008C196E"/>
    <w:rsid w:val="008C475F"/>
    <w:rsid w:val="008D12D6"/>
    <w:rsid w:val="008D49EC"/>
    <w:rsid w:val="008D56B0"/>
    <w:rsid w:val="008D6D37"/>
    <w:rsid w:val="008D789E"/>
    <w:rsid w:val="008E16B9"/>
    <w:rsid w:val="008E53DC"/>
    <w:rsid w:val="008F0B42"/>
    <w:rsid w:val="008F15B1"/>
    <w:rsid w:val="008F532F"/>
    <w:rsid w:val="008F6462"/>
    <w:rsid w:val="008F6DCB"/>
    <w:rsid w:val="009006D1"/>
    <w:rsid w:val="00902B00"/>
    <w:rsid w:val="00903E31"/>
    <w:rsid w:val="0090598F"/>
    <w:rsid w:val="009111FE"/>
    <w:rsid w:val="00914F24"/>
    <w:rsid w:val="0091549E"/>
    <w:rsid w:val="00917E3F"/>
    <w:rsid w:val="00920D50"/>
    <w:rsid w:val="0092149C"/>
    <w:rsid w:val="0092215B"/>
    <w:rsid w:val="00922C17"/>
    <w:rsid w:val="00923888"/>
    <w:rsid w:val="009251AF"/>
    <w:rsid w:val="0092552C"/>
    <w:rsid w:val="00926A21"/>
    <w:rsid w:val="00927CE1"/>
    <w:rsid w:val="00930086"/>
    <w:rsid w:val="0093014A"/>
    <w:rsid w:val="009322C9"/>
    <w:rsid w:val="009325E1"/>
    <w:rsid w:val="0093288C"/>
    <w:rsid w:val="00932A7A"/>
    <w:rsid w:val="0093301C"/>
    <w:rsid w:val="009334BA"/>
    <w:rsid w:val="00934621"/>
    <w:rsid w:val="00934F7E"/>
    <w:rsid w:val="00936723"/>
    <w:rsid w:val="009419FD"/>
    <w:rsid w:val="00941F75"/>
    <w:rsid w:val="00944822"/>
    <w:rsid w:val="00944A11"/>
    <w:rsid w:val="00945024"/>
    <w:rsid w:val="00945B76"/>
    <w:rsid w:val="0094637D"/>
    <w:rsid w:val="00952FFF"/>
    <w:rsid w:val="00953992"/>
    <w:rsid w:val="00953C77"/>
    <w:rsid w:val="00955B5B"/>
    <w:rsid w:val="00956DFE"/>
    <w:rsid w:val="00964034"/>
    <w:rsid w:val="00964C12"/>
    <w:rsid w:val="009705D3"/>
    <w:rsid w:val="00970F4A"/>
    <w:rsid w:val="009717D0"/>
    <w:rsid w:val="00972D10"/>
    <w:rsid w:val="00973862"/>
    <w:rsid w:val="00973BAC"/>
    <w:rsid w:val="00975E6F"/>
    <w:rsid w:val="0097672F"/>
    <w:rsid w:val="00976AE6"/>
    <w:rsid w:val="00981C5E"/>
    <w:rsid w:val="00981E19"/>
    <w:rsid w:val="00982B67"/>
    <w:rsid w:val="0098427A"/>
    <w:rsid w:val="009852CB"/>
    <w:rsid w:val="00985A46"/>
    <w:rsid w:val="00985C77"/>
    <w:rsid w:val="00985F32"/>
    <w:rsid w:val="00990769"/>
    <w:rsid w:val="00990B0C"/>
    <w:rsid w:val="00991C64"/>
    <w:rsid w:val="00992659"/>
    <w:rsid w:val="00994FC8"/>
    <w:rsid w:val="00995317"/>
    <w:rsid w:val="0099638B"/>
    <w:rsid w:val="0099746F"/>
    <w:rsid w:val="009A18D3"/>
    <w:rsid w:val="009A1AF9"/>
    <w:rsid w:val="009A1B05"/>
    <w:rsid w:val="009A1C2B"/>
    <w:rsid w:val="009A2C7A"/>
    <w:rsid w:val="009A32B8"/>
    <w:rsid w:val="009A549B"/>
    <w:rsid w:val="009A7782"/>
    <w:rsid w:val="009A79F6"/>
    <w:rsid w:val="009B1205"/>
    <w:rsid w:val="009B2E91"/>
    <w:rsid w:val="009B6060"/>
    <w:rsid w:val="009B65CF"/>
    <w:rsid w:val="009B6DCE"/>
    <w:rsid w:val="009C3037"/>
    <w:rsid w:val="009C710F"/>
    <w:rsid w:val="009D064E"/>
    <w:rsid w:val="009D06E9"/>
    <w:rsid w:val="009D1510"/>
    <w:rsid w:val="009D1A7E"/>
    <w:rsid w:val="009D420C"/>
    <w:rsid w:val="009D7566"/>
    <w:rsid w:val="009E0638"/>
    <w:rsid w:val="009E07FC"/>
    <w:rsid w:val="009E0DB5"/>
    <w:rsid w:val="009E1990"/>
    <w:rsid w:val="009E4703"/>
    <w:rsid w:val="009E472E"/>
    <w:rsid w:val="009E6359"/>
    <w:rsid w:val="009F08A4"/>
    <w:rsid w:val="009F1553"/>
    <w:rsid w:val="009F3FC7"/>
    <w:rsid w:val="009F65C8"/>
    <w:rsid w:val="009F77D1"/>
    <w:rsid w:val="009F7BF8"/>
    <w:rsid w:val="00A01FC5"/>
    <w:rsid w:val="00A04200"/>
    <w:rsid w:val="00A049D6"/>
    <w:rsid w:val="00A04C23"/>
    <w:rsid w:val="00A056F3"/>
    <w:rsid w:val="00A062C0"/>
    <w:rsid w:val="00A06AF2"/>
    <w:rsid w:val="00A0770D"/>
    <w:rsid w:val="00A12F73"/>
    <w:rsid w:val="00A132C8"/>
    <w:rsid w:val="00A140E0"/>
    <w:rsid w:val="00A17A6B"/>
    <w:rsid w:val="00A22CC6"/>
    <w:rsid w:val="00A2483F"/>
    <w:rsid w:val="00A25CD3"/>
    <w:rsid w:val="00A26085"/>
    <w:rsid w:val="00A26F53"/>
    <w:rsid w:val="00A27059"/>
    <w:rsid w:val="00A31FE1"/>
    <w:rsid w:val="00A33452"/>
    <w:rsid w:val="00A365F2"/>
    <w:rsid w:val="00A36889"/>
    <w:rsid w:val="00A36BA0"/>
    <w:rsid w:val="00A40655"/>
    <w:rsid w:val="00A40888"/>
    <w:rsid w:val="00A423B5"/>
    <w:rsid w:val="00A42F91"/>
    <w:rsid w:val="00A435B3"/>
    <w:rsid w:val="00A4530F"/>
    <w:rsid w:val="00A50C0B"/>
    <w:rsid w:val="00A51F33"/>
    <w:rsid w:val="00A52973"/>
    <w:rsid w:val="00A54BFF"/>
    <w:rsid w:val="00A54F0D"/>
    <w:rsid w:val="00A61BD6"/>
    <w:rsid w:val="00A645BE"/>
    <w:rsid w:val="00A64A87"/>
    <w:rsid w:val="00A64BC5"/>
    <w:rsid w:val="00A669BE"/>
    <w:rsid w:val="00A7031E"/>
    <w:rsid w:val="00A71677"/>
    <w:rsid w:val="00A72832"/>
    <w:rsid w:val="00A76AE6"/>
    <w:rsid w:val="00A76D14"/>
    <w:rsid w:val="00A810D4"/>
    <w:rsid w:val="00A8139F"/>
    <w:rsid w:val="00A83285"/>
    <w:rsid w:val="00A85FA6"/>
    <w:rsid w:val="00A86AD2"/>
    <w:rsid w:val="00A902FF"/>
    <w:rsid w:val="00A90557"/>
    <w:rsid w:val="00A919E9"/>
    <w:rsid w:val="00A91DC2"/>
    <w:rsid w:val="00A92953"/>
    <w:rsid w:val="00A96FD7"/>
    <w:rsid w:val="00AA14C9"/>
    <w:rsid w:val="00AA2E56"/>
    <w:rsid w:val="00AA3D35"/>
    <w:rsid w:val="00AA45FA"/>
    <w:rsid w:val="00AA4741"/>
    <w:rsid w:val="00AA54E7"/>
    <w:rsid w:val="00AA69C4"/>
    <w:rsid w:val="00AA6B81"/>
    <w:rsid w:val="00AA6BFB"/>
    <w:rsid w:val="00AB0E83"/>
    <w:rsid w:val="00AB18FA"/>
    <w:rsid w:val="00AB2A00"/>
    <w:rsid w:val="00AB2A31"/>
    <w:rsid w:val="00AB2AA4"/>
    <w:rsid w:val="00AB2B5C"/>
    <w:rsid w:val="00AB355F"/>
    <w:rsid w:val="00AB4C40"/>
    <w:rsid w:val="00AB5CDD"/>
    <w:rsid w:val="00AB6704"/>
    <w:rsid w:val="00AB6AAF"/>
    <w:rsid w:val="00AC1594"/>
    <w:rsid w:val="00AC1676"/>
    <w:rsid w:val="00AC3FF3"/>
    <w:rsid w:val="00AC4367"/>
    <w:rsid w:val="00AC4974"/>
    <w:rsid w:val="00AC6495"/>
    <w:rsid w:val="00AC6635"/>
    <w:rsid w:val="00AC71EA"/>
    <w:rsid w:val="00AD01B7"/>
    <w:rsid w:val="00AD066F"/>
    <w:rsid w:val="00AD1F1D"/>
    <w:rsid w:val="00AD4E40"/>
    <w:rsid w:val="00AD509C"/>
    <w:rsid w:val="00AD7356"/>
    <w:rsid w:val="00AD7A1A"/>
    <w:rsid w:val="00AE0409"/>
    <w:rsid w:val="00AE5ADD"/>
    <w:rsid w:val="00AE781B"/>
    <w:rsid w:val="00AF13CC"/>
    <w:rsid w:val="00AF4285"/>
    <w:rsid w:val="00AF429D"/>
    <w:rsid w:val="00AF68D6"/>
    <w:rsid w:val="00AF68DC"/>
    <w:rsid w:val="00B00664"/>
    <w:rsid w:val="00B01A33"/>
    <w:rsid w:val="00B02CF0"/>
    <w:rsid w:val="00B02D8D"/>
    <w:rsid w:val="00B11D81"/>
    <w:rsid w:val="00B12B0B"/>
    <w:rsid w:val="00B13548"/>
    <w:rsid w:val="00B165E2"/>
    <w:rsid w:val="00B227AF"/>
    <w:rsid w:val="00B25048"/>
    <w:rsid w:val="00B25D0E"/>
    <w:rsid w:val="00B26240"/>
    <w:rsid w:val="00B26ABB"/>
    <w:rsid w:val="00B3172B"/>
    <w:rsid w:val="00B32348"/>
    <w:rsid w:val="00B411E0"/>
    <w:rsid w:val="00B4240D"/>
    <w:rsid w:val="00B43C0C"/>
    <w:rsid w:val="00B445F4"/>
    <w:rsid w:val="00B47A58"/>
    <w:rsid w:val="00B51D4D"/>
    <w:rsid w:val="00B52DFF"/>
    <w:rsid w:val="00B53305"/>
    <w:rsid w:val="00B56103"/>
    <w:rsid w:val="00B56296"/>
    <w:rsid w:val="00B5671D"/>
    <w:rsid w:val="00B57161"/>
    <w:rsid w:val="00B5746F"/>
    <w:rsid w:val="00B603FE"/>
    <w:rsid w:val="00B61B91"/>
    <w:rsid w:val="00B67F77"/>
    <w:rsid w:val="00B71669"/>
    <w:rsid w:val="00B71B4F"/>
    <w:rsid w:val="00B71E27"/>
    <w:rsid w:val="00B72712"/>
    <w:rsid w:val="00B727B0"/>
    <w:rsid w:val="00B740BF"/>
    <w:rsid w:val="00B74DFA"/>
    <w:rsid w:val="00B77788"/>
    <w:rsid w:val="00B80802"/>
    <w:rsid w:val="00B80D88"/>
    <w:rsid w:val="00B82D08"/>
    <w:rsid w:val="00B8427F"/>
    <w:rsid w:val="00B859D1"/>
    <w:rsid w:val="00B87211"/>
    <w:rsid w:val="00B876AF"/>
    <w:rsid w:val="00B87EE5"/>
    <w:rsid w:val="00B946AD"/>
    <w:rsid w:val="00B94715"/>
    <w:rsid w:val="00B95194"/>
    <w:rsid w:val="00B9754A"/>
    <w:rsid w:val="00BA2583"/>
    <w:rsid w:val="00BA44DE"/>
    <w:rsid w:val="00BA763A"/>
    <w:rsid w:val="00BB145E"/>
    <w:rsid w:val="00BB19D6"/>
    <w:rsid w:val="00BB1AA0"/>
    <w:rsid w:val="00BB3E0B"/>
    <w:rsid w:val="00BB4B83"/>
    <w:rsid w:val="00BB610E"/>
    <w:rsid w:val="00BB71F6"/>
    <w:rsid w:val="00BC1003"/>
    <w:rsid w:val="00BC1AE7"/>
    <w:rsid w:val="00BC2819"/>
    <w:rsid w:val="00BC3984"/>
    <w:rsid w:val="00BC3FCE"/>
    <w:rsid w:val="00BD288F"/>
    <w:rsid w:val="00BD3C83"/>
    <w:rsid w:val="00BD3D42"/>
    <w:rsid w:val="00BD500B"/>
    <w:rsid w:val="00BD5891"/>
    <w:rsid w:val="00BD58BE"/>
    <w:rsid w:val="00BE0311"/>
    <w:rsid w:val="00BE1666"/>
    <w:rsid w:val="00BE1B4B"/>
    <w:rsid w:val="00BE30F4"/>
    <w:rsid w:val="00BE3E7D"/>
    <w:rsid w:val="00BF18EA"/>
    <w:rsid w:val="00BF3D37"/>
    <w:rsid w:val="00BF4A3A"/>
    <w:rsid w:val="00BF6557"/>
    <w:rsid w:val="00BF67B5"/>
    <w:rsid w:val="00BF6827"/>
    <w:rsid w:val="00BF6BD5"/>
    <w:rsid w:val="00BF7691"/>
    <w:rsid w:val="00BF78C5"/>
    <w:rsid w:val="00BF7A57"/>
    <w:rsid w:val="00C009DF"/>
    <w:rsid w:val="00C01EBC"/>
    <w:rsid w:val="00C03971"/>
    <w:rsid w:val="00C0477D"/>
    <w:rsid w:val="00C05FAC"/>
    <w:rsid w:val="00C10305"/>
    <w:rsid w:val="00C108B2"/>
    <w:rsid w:val="00C11328"/>
    <w:rsid w:val="00C14366"/>
    <w:rsid w:val="00C14380"/>
    <w:rsid w:val="00C14EE5"/>
    <w:rsid w:val="00C16D33"/>
    <w:rsid w:val="00C17B95"/>
    <w:rsid w:val="00C2006E"/>
    <w:rsid w:val="00C209D5"/>
    <w:rsid w:val="00C20E0F"/>
    <w:rsid w:val="00C217A3"/>
    <w:rsid w:val="00C21A42"/>
    <w:rsid w:val="00C21CA2"/>
    <w:rsid w:val="00C22B0F"/>
    <w:rsid w:val="00C24479"/>
    <w:rsid w:val="00C250B5"/>
    <w:rsid w:val="00C27AFB"/>
    <w:rsid w:val="00C327C4"/>
    <w:rsid w:val="00C34A45"/>
    <w:rsid w:val="00C35292"/>
    <w:rsid w:val="00C405E8"/>
    <w:rsid w:val="00C4100A"/>
    <w:rsid w:val="00C411C5"/>
    <w:rsid w:val="00C43974"/>
    <w:rsid w:val="00C4447B"/>
    <w:rsid w:val="00C44F88"/>
    <w:rsid w:val="00C478E1"/>
    <w:rsid w:val="00C51CA1"/>
    <w:rsid w:val="00C532FA"/>
    <w:rsid w:val="00C54671"/>
    <w:rsid w:val="00C600F1"/>
    <w:rsid w:val="00C61CD1"/>
    <w:rsid w:val="00C632AE"/>
    <w:rsid w:val="00C65346"/>
    <w:rsid w:val="00C657CE"/>
    <w:rsid w:val="00C65CB7"/>
    <w:rsid w:val="00C70ED3"/>
    <w:rsid w:val="00C719C5"/>
    <w:rsid w:val="00C73BA1"/>
    <w:rsid w:val="00C745B3"/>
    <w:rsid w:val="00C82234"/>
    <w:rsid w:val="00C8381D"/>
    <w:rsid w:val="00C83DBF"/>
    <w:rsid w:val="00C869B1"/>
    <w:rsid w:val="00C86E2C"/>
    <w:rsid w:val="00C86F42"/>
    <w:rsid w:val="00C95B23"/>
    <w:rsid w:val="00C96C3D"/>
    <w:rsid w:val="00CA2671"/>
    <w:rsid w:val="00CA4F3F"/>
    <w:rsid w:val="00CA616C"/>
    <w:rsid w:val="00CA65A1"/>
    <w:rsid w:val="00CA74CC"/>
    <w:rsid w:val="00CA79C9"/>
    <w:rsid w:val="00CB0232"/>
    <w:rsid w:val="00CB1815"/>
    <w:rsid w:val="00CB1C25"/>
    <w:rsid w:val="00CB2454"/>
    <w:rsid w:val="00CB37D4"/>
    <w:rsid w:val="00CB3D4F"/>
    <w:rsid w:val="00CB51B9"/>
    <w:rsid w:val="00CB5ECD"/>
    <w:rsid w:val="00CB7759"/>
    <w:rsid w:val="00CC0C59"/>
    <w:rsid w:val="00CC1421"/>
    <w:rsid w:val="00CC3208"/>
    <w:rsid w:val="00CC5404"/>
    <w:rsid w:val="00CC777B"/>
    <w:rsid w:val="00CD286F"/>
    <w:rsid w:val="00CD3222"/>
    <w:rsid w:val="00CD52BD"/>
    <w:rsid w:val="00CD5767"/>
    <w:rsid w:val="00CD7F88"/>
    <w:rsid w:val="00CE0D8E"/>
    <w:rsid w:val="00CE0DF8"/>
    <w:rsid w:val="00CE31C0"/>
    <w:rsid w:val="00CE3A03"/>
    <w:rsid w:val="00CE61F9"/>
    <w:rsid w:val="00CF05E0"/>
    <w:rsid w:val="00CF0D2A"/>
    <w:rsid w:val="00CF0E87"/>
    <w:rsid w:val="00CF34AE"/>
    <w:rsid w:val="00CF36C2"/>
    <w:rsid w:val="00CF67DF"/>
    <w:rsid w:val="00D01071"/>
    <w:rsid w:val="00D017D2"/>
    <w:rsid w:val="00D0394F"/>
    <w:rsid w:val="00D06029"/>
    <w:rsid w:val="00D07BEE"/>
    <w:rsid w:val="00D108BF"/>
    <w:rsid w:val="00D10DCC"/>
    <w:rsid w:val="00D1132E"/>
    <w:rsid w:val="00D149C0"/>
    <w:rsid w:val="00D149DC"/>
    <w:rsid w:val="00D16672"/>
    <w:rsid w:val="00D171AE"/>
    <w:rsid w:val="00D20255"/>
    <w:rsid w:val="00D21487"/>
    <w:rsid w:val="00D2158A"/>
    <w:rsid w:val="00D215D7"/>
    <w:rsid w:val="00D217A1"/>
    <w:rsid w:val="00D26FA4"/>
    <w:rsid w:val="00D349BF"/>
    <w:rsid w:val="00D353C2"/>
    <w:rsid w:val="00D360A1"/>
    <w:rsid w:val="00D36159"/>
    <w:rsid w:val="00D367E1"/>
    <w:rsid w:val="00D4052F"/>
    <w:rsid w:val="00D42FB6"/>
    <w:rsid w:val="00D439DE"/>
    <w:rsid w:val="00D44939"/>
    <w:rsid w:val="00D52143"/>
    <w:rsid w:val="00D53C4E"/>
    <w:rsid w:val="00D55432"/>
    <w:rsid w:val="00D5551A"/>
    <w:rsid w:val="00D55B3F"/>
    <w:rsid w:val="00D57BC1"/>
    <w:rsid w:val="00D61F70"/>
    <w:rsid w:val="00D62EA1"/>
    <w:rsid w:val="00D66C0B"/>
    <w:rsid w:val="00D701E9"/>
    <w:rsid w:val="00D71899"/>
    <w:rsid w:val="00D73E26"/>
    <w:rsid w:val="00D83568"/>
    <w:rsid w:val="00D872B3"/>
    <w:rsid w:val="00D87F4C"/>
    <w:rsid w:val="00D91897"/>
    <w:rsid w:val="00D91D6D"/>
    <w:rsid w:val="00D943CD"/>
    <w:rsid w:val="00D97535"/>
    <w:rsid w:val="00DA0401"/>
    <w:rsid w:val="00DA08D3"/>
    <w:rsid w:val="00DA24D6"/>
    <w:rsid w:val="00DA30C3"/>
    <w:rsid w:val="00DA38BB"/>
    <w:rsid w:val="00DA5EE9"/>
    <w:rsid w:val="00DA6382"/>
    <w:rsid w:val="00DA6C4B"/>
    <w:rsid w:val="00DB0C98"/>
    <w:rsid w:val="00DB1849"/>
    <w:rsid w:val="00DB1E58"/>
    <w:rsid w:val="00DB2AE0"/>
    <w:rsid w:val="00DC1169"/>
    <w:rsid w:val="00DC1C06"/>
    <w:rsid w:val="00DC4F5C"/>
    <w:rsid w:val="00DC5868"/>
    <w:rsid w:val="00DD3282"/>
    <w:rsid w:val="00DD4026"/>
    <w:rsid w:val="00DD4F49"/>
    <w:rsid w:val="00DD4FC3"/>
    <w:rsid w:val="00DD5156"/>
    <w:rsid w:val="00DD5C5C"/>
    <w:rsid w:val="00DD608A"/>
    <w:rsid w:val="00DD64D3"/>
    <w:rsid w:val="00DD7D6E"/>
    <w:rsid w:val="00DD7F82"/>
    <w:rsid w:val="00DE3854"/>
    <w:rsid w:val="00DE44A2"/>
    <w:rsid w:val="00DE4C13"/>
    <w:rsid w:val="00DE6D0C"/>
    <w:rsid w:val="00DE6EE3"/>
    <w:rsid w:val="00DE7015"/>
    <w:rsid w:val="00DF3B8F"/>
    <w:rsid w:val="00DF4B22"/>
    <w:rsid w:val="00E01D8F"/>
    <w:rsid w:val="00E0257E"/>
    <w:rsid w:val="00E02A99"/>
    <w:rsid w:val="00E03B53"/>
    <w:rsid w:val="00E072AC"/>
    <w:rsid w:val="00E102A4"/>
    <w:rsid w:val="00E1037A"/>
    <w:rsid w:val="00E12D24"/>
    <w:rsid w:val="00E21ACE"/>
    <w:rsid w:val="00E24577"/>
    <w:rsid w:val="00E2558A"/>
    <w:rsid w:val="00E26B17"/>
    <w:rsid w:val="00E27120"/>
    <w:rsid w:val="00E27626"/>
    <w:rsid w:val="00E33CD6"/>
    <w:rsid w:val="00E3464F"/>
    <w:rsid w:val="00E35244"/>
    <w:rsid w:val="00E365E4"/>
    <w:rsid w:val="00E36671"/>
    <w:rsid w:val="00E44700"/>
    <w:rsid w:val="00E450F4"/>
    <w:rsid w:val="00E4697F"/>
    <w:rsid w:val="00E46AE2"/>
    <w:rsid w:val="00E478F3"/>
    <w:rsid w:val="00E50102"/>
    <w:rsid w:val="00E50AD3"/>
    <w:rsid w:val="00E51464"/>
    <w:rsid w:val="00E559AA"/>
    <w:rsid w:val="00E5624E"/>
    <w:rsid w:val="00E56DFD"/>
    <w:rsid w:val="00E62612"/>
    <w:rsid w:val="00E62651"/>
    <w:rsid w:val="00E62A86"/>
    <w:rsid w:val="00E65DE6"/>
    <w:rsid w:val="00E66A98"/>
    <w:rsid w:val="00E702E1"/>
    <w:rsid w:val="00E70BE7"/>
    <w:rsid w:val="00E730CA"/>
    <w:rsid w:val="00E736DB"/>
    <w:rsid w:val="00E75BC5"/>
    <w:rsid w:val="00E76CEC"/>
    <w:rsid w:val="00E77A2B"/>
    <w:rsid w:val="00E80E52"/>
    <w:rsid w:val="00E8166B"/>
    <w:rsid w:val="00E81BA4"/>
    <w:rsid w:val="00E81FF3"/>
    <w:rsid w:val="00E83014"/>
    <w:rsid w:val="00E84E14"/>
    <w:rsid w:val="00E84E2B"/>
    <w:rsid w:val="00E86D60"/>
    <w:rsid w:val="00E86F4C"/>
    <w:rsid w:val="00E9358D"/>
    <w:rsid w:val="00E95871"/>
    <w:rsid w:val="00E97ABA"/>
    <w:rsid w:val="00E97AFF"/>
    <w:rsid w:val="00E97E8D"/>
    <w:rsid w:val="00EA1871"/>
    <w:rsid w:val="00EA455A"/>
    <w:rsid w:val="00EA56B9"/>
    <w:rsid w:val="00EA5F63"/>
    <w:rsid w:val="00EA61F6"/>
    <w:rsid w:val="00EB29C2"/>
    <w:rsid w:val="00EB2C4C"/>
    <w:rsid w:val="00EB4165"/>
    <w:rsid w:val="00EB4C0F"/>
    <w:rsid w:val="00EB52CF"/>
    <w:rsid w:val="00EB7A97"/>
    <w:rsid w:val="00EC119A"/>
    <w:rsid w:val="00EC237B"/>
    <w:rsid w:val="00EC319B"/>
    <w:rsid w:val="00EC4789"/>
    <w:rsid w:val="00EC488D"/>
    <w:rsid w:val="00EC61DD"/>
    <w:rsid w:val="00EC66F7"/>
    <w:rsid w:val="00ED0A55"/>
    <w:rsid w:val="00ED3AE8"/>
    <w:rsid w:val="00ED52E8"/>
    <w:rsid w:val="00ED777D"/>
    <w:rsid w:val="00EE05BB"/>
    <w:rsid w:val="00EE066A"/>
    <w:rsid w:val="00EE49C0"/>
    <w:rsid w:val="00EE592D"/>
    <w:rsid w:val="00EE7EDD"/>
    <w:rsid w:val="00EF13A8"/>
    <w:rsid w:val="00EF1CD2"/>
    <w:rsid w:val="00EF2C12"/>
    <w:rsid w:val="00EF65C1"/>
    <w:rsid w:val="00EF7E51"/>
    <w:rsid w:val="00F00B33"/>
    <w:rsid w:val="00F02EC5"/>
    <w:rsid w:val="00F03AE3"/>
    <w:rsid w:val="00F03E1A"/>
    <w:rsid w:val="00F1060D"/>
    <w:rsid w:val="00F10871"/>
    <w:rsid w:val="00F10AA5"/>
    <w:rsid w:val="00F11BE6"/>
    <w:rsid w:val="00F12825"/>
    <w:rsid w:val="00F12848"/>
    <w:rsid w:val="00F12955"/>
    <w:rsid w:val="00F13AE3"/>
    <w:rsid w:val="00F151F6"/>
    <w:rsid w:val="00F156CD"/>
    <w:rsid w:val="00F15721"/>
    <w:rsid w:val="00F1606A"/>
    <w:rsid w:val="00F16F3D"/>
    <w:rsid w:val="00F20FAE"/>
    <w:rsid w:val="00F21CA2"/>
    <w:rsid w:val="00F22082"/>
    <w:rsid w:val="00F22D83"/>
    <w:rsid w:val="00F24912"/>
    <w:rsid w:val="00F24A33"/>
    <w:rsid w:val="00F24B0B"/>
    <w:rsid w:val="00F24B77"/>
    <w:rsid w:val="00F257DB"/>
    <w:rsid w:val="00F2605E"/>
    <w:rsid w:val="00F2690F"/>
    <w:rsid w:val="00F301B2"/>
    <w:rsid w:val="00F315C0"/>
    <w:rsid w:val="00F31E6E"/>
    <w:rsid w:val="00F31F69"/>
    <w:rsid w:val="00F3414C"/>
    <w:rsid w:val="00F3462B"/>
    <w:rsid w:val="00F359FE"/>
    <w:rsid w:val="00F37509"/>
    <w:rsid w:val="00F3789E"/>
    <w:rsid w:val="00F42126"/>
    <w:rsid w:val="00F44E14"/>
    <w:rsid w:val="00F50476"/>
    <w:rsid w:val="00F55219"/>
    <w:rsid w:val="00F564AC"/>
    <w:rsid w:val="00F57577"/>
    <w:rsid w:val="00F57E1A"/>
    <w:rsid w:val="00F60DFC"/>
    <w:rsid w:val="00F626B6"/>
    <w:rsid w:val="00F62CEC"/>
    <w:rsid w:val="00F642B9"/>
    <w:rsid w:val="00F64383"/>
    <w:rsid w:val="00F66207"/>
    <w:rsid w:val="00F662D7"/>
    <w:rsid w:val="00F673F3"/>
    <w:rsid w:val="00F67D64"/>
    <w:rsid w:val="00F729DF"/>
    <w:rsid w:val="00F742EB"/>
    <w:rsid w:val="00F75A2E"/>
    <w:rsid w:val="00F76532"/>
    <w:rsid w:val="00F80225"/>
    <w:rsid w:val="00F83C61"/>
    <w:rsid w:val="00F84DBE"/>
    <w:rsid w:val="00F91003"/>
    <w:rsid w:val="00F91B26"/>
    <w:rsid w:val="00F92CDC"/>
    <w:rsid w:val="00F9446C"/>
    <w:rsid w:val="00F9743A"/>
    <w:rsid w:val="00FA0624"/>
    <w:rsid w:val="00FA189E"/>
    <w:rsid w:val="00FA2B8A"/>
    <w:rsid w:val="00FA2B9E"/>
    <w:rsid w:val="00FB40D4"/>
    <w:rsid w:val="00FB6696"/>
    <w:rsid w:val="00FB6BCA"/>
    <w:rsid w:val="00FB6F3D"/>
    <w:rsid w:val="00FB72EA"/>
    <w:rsid w:val="00FB7F1E"/>
    <w:rsid w:val="00FC14BD"/>
    <w:rsid w:val="00FC763A"/>
    <w:rsid w:val="00FD1AC6"/>
    <w:rsid w:val="00FE03CE"/>
    <w:rsid w:val="00FE1572"/>
    <w:rsid w:val="00FE1E7B"/>
    <w:rsid w:val="00FE2116"/>
    <w:rsid w:val="00FE2CFD"/>
    <w:rsid w:val="00FE48DE"/>
    <w:rsid w:val="00FE4B7D"/>
    <w:rsid w:val="00FE6415"/>
    <w:rsid w:val="00FE71A0"/>
    <w:rsid w:val="00FE71D5"/>
    <w:rsid w:val="00FE7AC5"/>
    <w:rsid w:val="00FE7BA5"/>
    <w:rsid w:val="00FE7BAA"/>
    <w:rsid w:val="00FF0393"/>
    <w:rsid w:val="00FF177B"/>
    <w:rsid w:val="00FF30C9"/>
    <w:rsid w:val="00FF3101"/>
    <w:rsid w:val="00FF3801"/>
    <w:rsid w:val="00FF5FA6"/>
    <w:rsid w:val="00FF63F2"/>
    <w:rsid w:val="00FF6CD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1C5"/>
    <w:pPr>
      <w:spacing w:before="120" w:after="120" w:line="480" w:lineRule="auto"/>
    </w:pPr>
    <w:rPr>
      <w:rFonts w:ascii="Times New Roman" w:eastAsia="Calibri" w:hAnsi="Times New Roman" w:cs="Times New Roman"/>
      <w:sz w:val="24"/>
      <w:szCs w:val="24"/>
    </w:rPr>
  </w:style>
  <w:style w:type="paragraph" w:styleId="Heading1">
    <w:name w:val="heading 1"/>
    <w:basedOn w:val="Normal"/>
    <w:link w:val="Heading1Char"/>
    <w:uiPriority w:val="9"/>
    <w:qFormat/>
    <w:rsid w:val="00466725"/>
    <w:pPr>
      <w:spacing w:before="100" w:beforeAutospacing="1" w:after="100" w:afterAutospacing="1" w:line="240" w:lineRule="auto"/>
      <w:outlineLvl w:val="0"/>
    </w:pPr>
    <w:rPr>
      <w:rFonts w:eastAsia="Times New Roman"/>
      <w:b/>
      <w:bCs/>
      <w:kern w:val="36"/>
      <w:szCs w:val="48"/>
      <w:lang w:eastAsia="en-GB"/>
    </w:rPr>
  </w:style>
  <w:style w:type="paragraph" w:styleId="Heading2">
    <w:name w:val="heading 2"/>
    <w:basedOn w:val="Normal"/>
    <w:next w:val="Normal"/>
    <w:link w:val="Heading2Char"/>
    <w:uiPriority w:val="9"/>
    <w:unhideWhenUsed/>
    <w:qFormat/>
    <w:rsid w:val="0051057E"/>
    <w:pPr>
      <w:keepNext/>
      <w:outlineLvl w:val="1"/>
    </w:pPr>
    <w:rPr>
      <w:u w:val="single"/>
    </w:rPr>
  </w:style>
  <w:style w:type="paragraph" w:styleId="Heading3">
    <w:name w:val="heading 3"/>
    <w:basedOn w:val="Normal"/>
    <w:next w:val="Normal"/>
    <w:link w:val="Heading3Char"/>
    <w:uiPriority w:val="9"/>
    <w:unhideWhenUsed/>
    <w:qFormat/>
    <w:rsid w:val="002861E1"/>
    <w:pPr>
      <w:keepNext/>
      <w:ind w:right="567"/>
      <w:outlineLvl w:val="2"/>
    </w:pPr>
    <w:rPr>
      <w:b/>
    </w:rPr>
  </w:style>
  <w:style w:type="paragraph" w:styleId="Heading4">
    <w:name w:val="heading 4"/>
    <w:basedOn w:val="Normal"/>
    <w:next w:val="Normal"/>
    <w:link w:val="Heading4Char"/>
    <w:uiPriority w:val="9"/>
    <w:semiHidden/>
    <w:unhideWhenUsed/>
    <w:qFormat/>
    <w:rsid w:val="00D87F4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C411C5"/>
    <w:rPr>
      <w:b/>
      <w:bCs/>
    </w:rPr>
  </w:style>
  <w:style w:type="character" w:styleId="Hyperlink">
    <w:name w:val="Hyperlink"/>
    <w:uiPriority w:val="99"/>
    <w:unhideWhenUsed/>
    <w:rsid w:val="00C411C5"/>
    <w:rPr>
      <w:color w:val="0000FF"/>
      <w:u w:val="single"/>
    </w:rPr>
  </w:style>
  <w:style w:type="paragraph" w:styleId="NoSpacing">
    <w:name w:val="No Spacing"/>
    <w:link w:val="NoSpacingChar"/>
    <w:uiPriority w:val="1"/>
    <w:qFormat/>
    <w:rsid w:val="00C411C5"/>
    <w:pPr>
      <w:spacing w:after="0" w:line="240" w:lineRule="auto"/>
    </w:pPr>
    <w:rPr>
      <w:rFonts w:ascii="Calibri" w:eastAsia="Times New Roman" w:hAnsi="Calibri" w:cs="Times New Roman"/>
      <w:lang w:eastAsia="zh-CN"/>
    </w:rPr>
  </w:style>
  <w:style w:type="character" w:customStyle="1" w:styleId="NoSpacingChar">
    <w:name w:val="No Spacing Char"/>
    <w:link w:val="NoSpacing"/>
    <w:uiPriority w:val="1"/>
    <w:rsid w:val="00C411C5"/>
    <w:rPr>
      <w:rFonts w:ascii="Calibri" w:eastAsia="Times New Roman" w:hAnsi="Calibri" w:cs="Times New Roman"/>
      <w:lang w:eastAsia="zh-CN"/>
    </w:rPr>
  </w:style>
  <w:style w:type="paragraph" w:styleId="EndnoteText">
    <w:name w:val="endnote text"/>
    <w:basedOn w:val="Normal"/>
    <w:link w:val="EndnoteTextChar"/>
    <w:semiHidden/>
    <w:unhideWhenUsed/>
    <w:rsid w:val="00C411C5"/>
    <w:pPr>
      <w:spacing w:before="0" w:after="0" w:line="240" w:lineRule="auto"/>
    </w:pPr>
    <w:rPr>
      <w:rFonts w:ascii="Calibri" w:eastAsia="DengXian" w:hAnsi="Calibri"/>
      <w:sz w:val="20"/>
      <w:szCs w:val="20"/>
      <w:lang w:val="x-none" w:eastAsia="zh-CN"/>
    </w:rPr>
  </w:style>
  <w:style w:type="character" w:customStyle="1" w:styleId="EndnoteTextChar">
    <w:name w:val="Endnote Text Char"/>
    <w:basedOn w:val="DefaultParagraphFont"/>
    <w:link w:val="EndnoteText"/>
    <w:uiPriority w:val="99"/>
    <w:semiHidden/>
    <w:rsid w:val="00C411C5"/>
    <w:rPr>
      <w:rFonts w:ascii="Calibri" w:eastAsia="DengXian" w:hAnsi="Calibri" w:cs="Times New Roman"/>
      <w:sz w:val="20"/>
      <w:szCs w:val="20"/>
      <w:lang w:val="x-none" w:eastAsia="zh-CN"/>
    </w:rPr>
  </w:style>
  <w:style w:type="character" w:styleId="EndnoteReference">
    <w:name w:val="endnote reference"/>
    <w:uiPriority w:val="99"/>
    <w:unhideWhenUsed/>
    <w:rsid w:val="00C411C5"/>
    <w:rPr>
      <w:vertAlign w:val="superscript"/>
    </w:rPr>
  </w:style>
  <w:style w:type="character" w:customStyle="1" w:styleId="ref-journal">
    <w:name w:val="ref-journal"/>
    <w:rsid w:val="00C411C5"/>
  </w:style>
  <w:style w:type="character" w:customStyle="1" w:styleId="ref-vol">
    <w:name w:val="ref-vol"/>
    <w:rsid w:val="00C411C5"/>
  </w:style>
  <w:style w:type="character" w:customStyle="1" w:styleId="apple-converted-space">
    <w:name w:val="apple-converted-space"/>
    <w:rsid w:val="00C411C5"/>
  </w:style>
  <w:style w:type="paragraph" w:customStyle="1" w:styleId="Normal1">
    <w:name w:val="Normal1"/>
    <w:basedOn w:val="Normal"/>
    <w:rsid w:val="00C411C5"/>
    <w:pPr>
      <w:spacing w:before="100" w:beforeAutospacing="1" w:after="100" w:afterAutospacing="1" w:line="240" w:lineRule="auto"/>
    </w:pPr>
    <w:rPr>
      <w:rFonts w:eastAsia="Times New Roman"/>
      <w:lang w:eastAsia="en-GB"/>
    </w:rPr>
  </w:style>
  <w:style w:type="paragraph" w:customStyle="1" w:styleId="desc">
    <w:name w:val="desc"/>
    <w:basedOn w:val="Normal"/>
    <w:rsid w:val="00C411C5"/>
    <w:pPr>
      <w:spacing w:before="100" w:beforeAutospacing="1" w:after="100" w:afterAutospacing="1" w:line="240" w:lineRule="auto"/>
    </w:pPr>
    <w:rPr>
      <w:rFonts w:eastAsia="Times New Roman"/>
      <w:lang w:eastAsia="en-GB"/>
    </w:rPr>
  </w:style>
  <w:style w:type="character" w:customStyle="1" w:styleId="jrnl">
    <w:name w:val="jrnl"/>
    <w:rsid w:val="00C411C5"/>
  </w:style>
  <w:style w:type="paragraph" w:styleId="ListParagraph">
    <w:name w:val="List Paragraph"/>
    <w:basedOn w:val="Normal"/>
    <w:uiPriority w:val="34"/>
    <w:qFormat/>
    <w:rsid w:val="00C411C5"/>
    <w:pPr>
      <w:spacing w:before="0" w:after="200" w:line="276" w:lineRule="auto"/>
      <w:ind w:left="720"/>
      <w:contextualSpacing/>
    </w:pPr>
    <w:rPr>
      <w:rFonts w:ascii="Calibri" w:hAnsi="Calibri"/>
      <w:sz w:val="22"/>
      <w:szCs w:val="22"/>
    </w:rPr>
  </w:style>
  <w:style w:type="character" w:customStyle="1" w:styleId="normalchar">
    <w:name w:val="normal__char"/>
    <w:rsid w:val="00C411C5"/>
  </w:style>
  <w:style w:type="character" w:styleId="Emphasis">
    <w:name w:val="Emphasis"/>
    <w:uiPriority w:val="20"/>
    <w:qFormat/>
    <w:rsid w:val="00C411C5"/>
    <w:rPr>
      <w:i/>
      <w:iCs/>
    </w:rPr>
  </w:style>
  <w:style w:type="character" w:customStyle="1" w:styleId="cit-source">
    <w:name w:val="cit-source"/>
    <w:rsid w:val="00C411C5"/>
  </w:style>
  <w:style w:type="character" w:customStyle="1" w:styleId="cit-pub-date">
    <w:name w:val="cit-pub-date"/>
    <w:rsid w:val="00C411C5"/>
  </w:style>
  <w:style w:type="character" w:customStyle="1" w:styleId="author">
    <w:name w:val="author"/>
    <w:basedOn w:val="DefaultParagraphFont"/>
    <w:rsid w:val="00886CDB"/>
  </w:style>
  <w:style w:type="character" w:customStyle="1" w:styleId="articletitle">
    <w:name w:val="articletitle"/>
    <w:basedOn w:val="DefaultParagraphFont"/>
    <w:rsid w:val="00886CDB"/>
  </w:style>
  <w:style w:type="character" w:customStyle="1" w:styleId="journaltitle">
    <w:name w:val="journaltitle"/>
    <w:basedOn w:val="DefaultParagraphFont"/>
    <w:rsid w:val="00886CDB"/>
  </w:style>
  <w:style w:type="character" w:customStyle="1" w:styleId="pubyear">
    <w:name w:val="pubyear"/>
    <w:basedOn w:val="DefaultParagraphFont"/>
    <w:rsid w:val="00886CDB"/>
  </w:style>
  <w:style w:type="character" w:customStyle="1" w:styleId="vol">
    <w:name w:val="vol"/>
    <w:basedOn w:val="DefaultParagraphFont"/>
    <w:rsid w:val="00886CDB"/>
  </w:style>
  <w:style w:type="character" w:customStyle="1" w:styleId="pagefirst">
    <w:name w:val="pagefirst"/>
    <w:basedOn w:val="DefaultParagraphFont"/>
    <w:rsid w:val="00886CDB"/>
  </w:style>
  <w:style w:type="character" w:customStyle="1" w:styleId="pagelast">
    <w:name w:val="pagelast"/>
    <w:basedOn w:val="DefaultParagraphFont"/>
    <w:rsid w:val="00886CDB"/>
  </w:style>
  <w:style w:type="character" w:customStyle="1" w:styleId="highwire-cite-metadata-volume">
    <w:name w:val="highwire-cite-metadata-volume"/>
    <w:rsid w:val="00557E5A"/>
  </w:style>
  <w:style w:type="character" w:customStyle="1" w:styleId="highwire-cite-metadata-pages">
    <w:name w:val="highwire-cite-metadata-pages"/>
    <w:rsid w:val="00557E5A"/>
  </w:style>
  <w:style w:type="character" w:customStyle="1" w:styleId="groupname">
    <w:name w:val="groupname"/>
    <w:basedOn w:val="DefaultParagraphFont"/>
    <w:rsid w:val="00181606"/>
  </w:style>
  <w:style w:type="paragraph" w:styleId="FootnoteText">
    <w:name w:val="footnote text"/>
    <w:basedOn w:val="Normal"/>
    <w:link w:val="FootnoteTextChar"/>
    <w:uiPriority w:val="99"/>
    <w:semiHidden/>
    <w:unhideWhenUsed/>
    <w:rsid w:val="00E65DE6"/>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E65DE6"/>
    <w:rPr>
      <w:rFonts w:ascii="Times New Roman" w:eastAsia="Calibri" w:hAnsi="Times New Roman" w:cs="Times New Roman"/>
      <w:sz w:val="20"/>
      <w:szCs w:val="20"/>
    </w:rPr>
  </w:style>
  <w:style w:type="character" w:styleId="FootnoteReference">
    <w:name w:val="footnote reference"/>
    <w:basedOn w:val="DefaultParagraphFont"/>
    <w:uiPriority w:val="99"/>
    <w:semiHidden/>
    <w:unhideWhenUsed/>
    <w:rsid w:val="00E65DE6"/>
    <w:rPr>
      <w:vertAlign w:val="superscript"/>
    </w:rPr>
  </w:style>
  <w:style w:type="paragraph" w:styleId="CommentText">
    <w:name w:val="annotation text"/>
    <w:basedOn w:val="Normal"/>
    <w:link w:val="CommentTextChar"/>
    <w:uiPriority w:val="99"/>
    <w:unhideWhenUsed/>
    <w:rsid w:val="00DE3854"/>
    <w:pPr>
      <w:spacing w:line="240" w:lineRule="auto"/>
    </w:pPr>
    <w:rPr>
      <w:sz w:val="20"/>
      <w:szCs w:val="20"/>
    </w:rPr>
  </w:style>
  <w:style w:type="character" w:customStyle="1" w:styleId="CommentTextChar">
    <w:name w:val="Comment Text Char"/>
    <w:basedOn w:val="DefaultParagraphFont"/>
    <w:link w:val="CommentText"/>
    <w:uiPriority w:val="99"/>
    <w:rsid w:val="00DE3854"/>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E3854"/>
    <w:pPr>
      <w:spacing w:before="0" w:after="0" w:line="480" w:lineRule="auto"/>
    </w:pPr>
    <w:rPr>
      <w:b/>
      <w:bCs/>
      <w:lang w:eastAsia="en-GB"/>
    </w:rPr>
  </w:style>
  <w:style w:type="character" w:customStyle="1" w:styleId="CommentSubjectChar">
    <w:name w:val="Comment Subject Char"/>
    <w:basedOn w:val="CommentTextChar"/>
    <w:link w:val="CommentSubject"/>
    <w:uiPriority w:val="99"/>
    <w:semiHidden/>
    <w:rsid w:val="00DE3854"/>
    <w:rPr>
      <w:rFonts w:ascii="Times New Roman" w:eastAsia="Calibri" w:hAnsi="Times New Roman" w:cs="Times New Roman"/>
      <w:b/>
      <w:bCs/>
      <w:sz w:val="20"/>
      <w:szCs w:val="20"/>
      <w:lang w:eastAsia="en-GB"/>
    </w:rPr>
  </w:style>
  <w:style w:type="character" w:customStyle="1" w:styleId="slug-pub-date">
    <w:name w:val="slug-pub-date"/>
    <w:rsid w:val="00716D74"/>
  </w:style>
  <w:style w:type="character" w:customStyle="1" w:styleId="slug-vol">
    <w:name w:val="slug-vol"/>
    <w:rsid w:val="00716D74"/>
  </w:style>
  <w:style w:type="character" w:customStyle="1" w:styleId="slug-issue">
    <w:name w:val="slug-issue"/>
    <w:rsid w:val="00716D74"/>
  </w:style>
  <w:style w:type="character" w:customStyle="1" w:styleId="slug-pages">
    <w:name w:val="slug-pages"/>
    <w:rsid w:val="00716D74"/>
  </w:style>
  <w:style w:type="character" w:customStyle="1" w:styleId="Subtitle1">
    <w:name w:val="Subtitle1"/>
    <w:basedOn w:val="DefaultParagraphFont"/>
    <w:rsid w:val="002236AA"/>
  </w:style>
  <w:style w:type="character" w:customStyle="1" w:styleId="colon-for-citation-subtitle">
    <w:name w:val="colon-for-citation-subtitle"/>
    <w:basedOn w:val="DefaultParagraphFont"/>
    <w:rsid w:val="002236AA"/>
  </w:style>
  <w:style w:type="character" w:customStyle="1" w:styleId="Heading1Char">
    <w:name w:val="Heading 1 Char"/>
    <w:basedOn w:val="DefaultParagraphFont"/>
    <w:link w:val="Heading1"/>
    <w:uiPriority w:val="9"/>
    <w:rsid w:val="00466725"/>
    <w:rPr>
      <w:rFonts w:ascii="Times New Roman" w:eastAsia="Times New Roman" w:hAnsi="Times New Roman" w:cs="Times New Roman"/>
      <w:b/>
      <w:bCs/>
      <w:kern w:val="36"/>
      <w:sz w:val="24"/>
      <w:szCs w:val="48"/>
      <w:lang w:eastAsia="en-GB"/>
    </w:rPr>
  </w:style>
  <w:style w:type="character" w:customStyle="1" w:styleId="highlight">
    <w:name w:val="highlight"/>
    <w:basedOn w:val="DefaultParagraphFont"/>
    <w:rsid w:val="00AD7356"/>
  </w:style>
  <w:style w:type="paragraph" w:customStyle="1" w:styleId="Title1">
    <w:name w:val="Title1"/>
    <w:basedOn w:val="Normal"/>
    <w:rsid w:val="005F5805"/>
    <w:pPr>
      <w:spacing w:before="100" w:beforeAutospacing="1" w:after="100" w:afterAutospacing="1" w:line="240" w:lineRule="auto"/>
    </w:pPr>
    <w:rPr>
      <w:rFonts w:eastAsia="Times New Roman"/>
      <w:lang w:eastAsia="en-GB"/>
    </w:rPr>
  </w:style>
  <w:style w:type="paragraph" w:customStyle="1" w:styleId="details">
    <w:name w:val="details"/>
    <w:basedOn w:val="Normal"/>
    <w:rsid w:val="005F5805"/>
    <w:pPr>
      <w:spacing w:before="100" w:beforeAutospacing="1" w:after="100" w:afterAutospacing="1" w:line="240" w:lineRule="auto"/>
    </w:pPr>
    <w:rPr>
      <w:rFonts w:eastAsia="Times New Roman"/>
      <w:lang w:eastAsia="en-GB"/>
    </w:rPr>
  </w:style>
  <w:style w:type="paragraph" w:styleId="Header">
    <w:name w:val="header"/>
    <w:basedOn w:val="Normal"/>
    <w:link w:val="HeaderChar"/>
    <w:uiPriority w:val="99"/>
    <w:unhideWhenUsed/>
    <w:rsid w:val="003C2838"/>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3C2838"/>
    <w:rPr>
      <w:rFonts w:ascii="Times New Roman" w:eastAsia="Calibri" w:hAnsi="Times New Roman" w:cs="Times New Roman"/>
      <w:sz w:val="24"/>
      <w:szCs w:val="24"/>
    </w:rPr>
  </w:style>
  <w:style w:type="paragraph" w:styleId="Footer">
    <w:name w:val="footer"/>
    <w:basedOn w:val="Normal"/>
    <w:link w:val="FooterChar"/>
    <w:uiPriority w:val="99"/>
    <w:unhideWhenUsed/>
    <w:rsid w:val="003C2838"/>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3C2838"/>
    <w:rPr>
      <w:rFonts w:ascii="Times New Roman" w:eastAsia="Calibri" w:hAnsi="Times New Roman" w:cs="Times New Roman"/>
      <w:sz w:val="24"/>
      <w:szCs w:val="24"/>
    </w:rPr>
  </w:style>
  <w:style w:type="character" w:styleId="CommentReference">
    <w:name w:val="annotation reference"/>
    <w:basedOn w:val="DefaultParagraphFont"/>
    <w:uiPriority w:val="99"/>
    <w:semiHidden/>
    <w:unhideWhenUsed/>
    <w:rsid w:val="003C6C88"/>
    <w:rPr>
      <w:sz w:val="16"/>
      <w:szCs w:val="16"/>
    </w:rPr>
  </w:style>
  <w:style w:type="paragraph" w:styleId="BalloonText">
    <w:name w:val="Balloon Text"/>
    <w:basedOn w:val="Normal"/>
    <w:link w:val="BalloonTextChar"/>
    <w:uiPriority w:val="99"/>
    <w:semiHidden/>
    <w:unhideWhenUsed/>
    <w:rsid w:val="003C6C88"/>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6C88"/>
    <w:rPr>
      <w:rFonts w:ascii="Segoe UI" w:eastAsia="Calibri" w:hAnsi="Segoe UI" w:cs="Segoe UI"/>
      <w:sz w:val="18"/>
      <w:szCs w:val="18"/>
    </w:rPr>
  </w:style>
  <w:style w:type="paragraph" w:styleId="Revision">
    <w:name w:val="Revision"/>
    <w:hidden/>
    <w:uiPriority w:val="99"/>
    <w:semiHidden/>
    <w:rsid w:val="00B61B91"/>
    <w:pPr>
      <w:spacing w:after="0" w:line="240" w:lineRule="auto"/>
    </w:pPr>
    <w:rPr>
      <w:rFonts w:ascii="Times New Roman" w:eastAsia="Calibri" w:hAnsi="Times New Roman" w:cs="Times New Roman"/>
      <w:sz w:val="24"/>
      <w:szCs w:val="24"/>
    </w:rPr>
  </w:style>
  <w:style w:type="character" w:customStyle="1" w:styleId="nlmpublisher-loc">
    <w:name w:val="nlm_publisher-loc"/>
    <w:basedOn w:val="DefaultParagraphFont"/>
    <w:rsid w:val="004C2A58"/>
  </w:style>
  <w:style w:type="character" w:customStyle="1" w:styleId="nlmpublisher-name">
    <w:name w:val="nlm_publisher-name"/>
    <w:basedOn w:val="DefaultParagraphFont"/>
    <w:rsid w:val="004C2A58"/>
  </w:style>
  <w:style w:type="character" w:customStyle="1" w:styleId="referencesyear">
    <w:name w:val="references__year"/>
    <w:basedOn w:val="DefaultParagraphFont"/>
    <w:rsid w:val="004C2A58"/>
  </w:style>
  <w:style w:type="character" w:customStyle="1" w:styleId="referencesarticle-title">
    <w:name w:val="references__article-title"/>
    <w:basedOn w:val="DefaultParagraphFont"/>
    <w:rsid w:val="004C2A58"/>
  </w:style>
  <w:style w:type="character" w:customStyle="1" w:styleId="referencessuffix">
    <w:name w:val="references__suffix"/>
    <w:basedOn w:val="DefaultParagraphFont"/>
    <w:rsid w:val="00DB0C98"/>
  </w:style>
  <w:style w:type="character" w:customStyle="1" w:styleId="sr-only">
    <w:name w:val="sr-only"/>
    <w:basedOn w:val="DefaultParagraphFont"/>
    <w:rsid w:val="007D1451"/>
  </w:style>
  <w:style w:type="character" w:customStyle="1" w:styleId="Heading2Char">
    <w:name w:val="Heading 2 Char"/>
    <w:basedOn w:val="DefaultParagraphFont"/>
    <w:link w:val="Heading2"/>
    <w:uiPriority w:val="9"/>
    <w:rsid w:val="0051057E"/>
    <w:rPr>
      <w:rFonts w:ascii="Times New Roman" w:eastAsia="Calibri" w:hAnsi="Times New Roman" w:cs="Times New Roman"/>
      <w:sz w:val="24"/>
      <w:szCs w:val="24"/>
      <w:u w:val="single"/>
    </w:rPr>
  </w:style>
  <w:style w:type="paragraph" w:styleId="BodyTextIndent">
    <w:name w:val="Body Text Indent"/>
    <w:basedOn w:val="Normal"/>
    <w:link w:val="BodyTextIndentChar"/>
    <w:uiPriority w:val="99"/>
    <w:unhideWhenUsed/>
    <w:rsid w:val="00EA455A"/>
    <w:pPr>
      <w:ind w:left="720"/>
    </w:pPr>
  </w:style>
  <w:style w:type="character" w:customStyle="1" w:styleId="BodyTextIndentChar">
    <w:name w:val="Body Text Indent Char"/>
    <w:basedOn w:val="DefaultParagraphFont"/>
    <w:link w:val="BodyTextIndent"/>
    <w:uiPriority w:val="99"/>
    <w:rsid w:val="00EA455A"/>
    <w:rPr>
      <w:rFonts w:ascii="Times New Roman" w:eastAsia="Calibri" w:hAnsi="Times New Roman" w:cs="Times New Roman"/>
      <w:sz w:val="24"/>
      <w:szCs w:val="24"/>
    </w:rPr>
  </w:style>
  <w:style w:type="paragraph" w:styleId="NormalWeb">
    <w:name w:val="Normal (Web)"/>
    <w:basedOn w:val="Normal"/>
    <w:uiPriority w:val="99"/>
    <w:semiHidden/>
    <w:unhideWhenUsed/>
    <w:rsid w:val="00463406"/>
    <w:pPr>
      <w:spacing w:before="100" w:beforeAutospacing="1" w:after="100" w:afterAutospacing="1" w:line="240" w:lineRule="auto"/>
    </w:pPr>
    <w:rPr>
      <w:rFonts w:eastAsia="Times New Roman"/>
      <w:lang w:eastAsia="en-GB"/>
    </w:rPr>
  </w:style>
  <w:style w:type="character" w:customStyle="1" w:styleId="Heading3Char">
    <w:name w:val="Heading 3 Char"/>
    <w:basedOn w:val="DefaultParagraphFont"/>
    <w:link w:val="Heading3"/>
    <w:uiPriority w:val="9"/>
    <w:rsid w:val="002861E1"/>
    <w:rPr>
      <w:rFonts w:ascii="Times New Roman" w:eastAsia="Calibri" w:hAnsi="Times New Roman" w:cs="Times New Roman"/>
      <w:b/>
      <w:sz w:val="24"/>
      <w:szCs w:val="24"/>
    </w:rPr>
  </w:style>
  <w:style w:type="character" w:styleId="LineNumber">
    <w:name w:val="line number"/>
    <w:basedOn w:val="DefaultParagraphFont"/>
    <w:uiPriority w:val="99"/>
    <w:semiHidden/>
    <w:unhideWhenUsed/>
    <w:rsid w:val="00D26FA4"/>
  </w:style>
  <w:style w:type="table" w:styleId="TableGrid">
    <w:name w:val="Table Grid"/>
    <w:basedOn w:val="TableNormal"/>
    <w:uiPriority w:val="59"/>
    <w:rsid w:val="00011E90"/>
    <w:pPr>
      <w:spacing w:beforeLines="120" w:afterLines="12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011E90"/>
  </w:style>
  <w:style w:type="character" w:customStyle="1" w:styleId="BodyTextChar">
    <w:name w:val="Body Text Char"/>
    <w:basedOn w:val="DefaultParagraphFont"/>
    <w:link w:val="BodyText"/>
    <w:uiPriority w:val="99"/>
    <w:rsid w:val="00011E90"/>
    <w:rPr>
      <w:rFonts w:ascii="Times New Roman" w:eastAsia="Calibri" w:hAnsi="Times New Roman" w:cs="Times New Roman"/>
      <w:sz w:val="24"/>
      <w:szCs w:val="24"/>
    </w:rPr>
  </w:style>
  <w:style w:type="table" w:customStyle="1" w:styleId="GridTable1Light1">
    <w:name w:val="Grid Table 1 Light1"/>
    <w:basedOn w:val="TableNormal"/>
    <w:uiPriority w:val="46"/>
    <w:rsid w:val="00011E9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odyText2">
    <w:name w:val="Body Text 2"/>
    <w:basedOn w:val="Normal"/>
    <w:link w:val="BodyText2Char"/>
    <w:uiPriority w:val="99"/>
    <w:unhideWhenUsed/>
    <w:rsid w:val="00981C5E"/>
    <w:pPr>
      <w:spacing w:line="240" w:lineRule="auto"/>
    </w:pPr>
    <w:rPr>
      <w:sz w:val="16"/>
    </w:rPr>
  </w:style>
  <w:style w:type="character" w:customStyle="1" w:styleId="BodyText2Char">
    <w:name w:val="Body Text 2 Char"/>
    <w:basedOn w:val="DefaultParagraphFont"/>
    <w:link w:val="BodyText2"/>
    <w:uiPriority w:val="99"/>
    <w:rsid w:val="00981C5E"/>
    <w:rPr>
      <w:rFonts w:ascii="Times New Roman" w:eastAsia="Calibri" w:hAnsi="Times New Roman" w:cs="Times New Roman"/>
      <w:sz w:val="16"/>
      <w:szCs w:val="24"/>
    </w:rPr>
  </w:style>
  <w:style w:type="paragraph" w:styleId="BodyText3">
    <w:name w:val="Body Text 3"/>
    <w:basedOn w:val="Normal"/>
    <w:link w:val="BodyText3Char"/>
    <w:uiPriority w:val="99"/>
    <w:unhideWhenUsed/>
    <w:rsid w:val="00F24B0B"/>
    <w:pPr>
      <w:suppressLineNumbers/>
      <w:spacing w:line="276" w:lineRule="auto"/>
    </w:pPr>
    <w:rPr>
      <w:sz w:val="20"/>
    </w:rPr>
  </w:style>
  <w:style w:type="character" w:customStyle="1" w:styleId="BodyText3Char">
    <w:name w:val="Body Text 3 Char"/>
    <w:basedOn w:val="DefaultParagraphFont"/>
    <w:link w:val="BodyText3"/>
    <w:uiPriority w:val="99"/>
    <w:rsid w:val="00F24B0B"/>
    <w:rPr>
      <w:rFonts w:ascii="Times New Roman" w:eastAsia="Calibri" w:hAnsi="Times New Roman" w:cs="Times New Roman"/>
      <w:sz w:val="20"/>
      <w:szCs w:val="24"/>
    </w:rPr>
  </w:style>
  <w:style w:type="character" w:customStyle="1" w:styleId="Heading4Char">
    <w:name w:val="Heading 4 Char"/>
    <w:basedOn w:val="DefaultParagraphFont"/>
    <w:link w:val="Heading4"/>
    <w:uiPriority w:val="9"/>
    <w:semiHidden/>
    <w:rsid w:val="00D87F4C"/>
    <w:rPr>
      <w:rFonts w:asciiTheme="majorHAnsi" w:eastAsiaTheme="majorEastAsia" w:hAnsiTheme="majorHAnsi" w:cstheme="majorBidi"/>
      <w:i/>
      <w:iCs/>
      <w:color w:val="2E74B5"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310710">
      <w:bodyDiv w:val="1"/>
      <w:marLeft w:val="0"/>
      <w:marRight w:val="0"/>
      <w:marTop w:val="0"/>
      <w:marBottom w:val="0"/>
      <w:divBdr>
        <w:top w:val="none" w:sz="0" w:space="0" w:color="auto"/>
        <w:left w:val="none" w:sz="0" w:space="0" w:color="auto"/>
        <w:bottom w:val="none" w:sz="0" w:space="0" w:color="auto"/>
        <w:right w:val="none" w:sz="0" w:space="0" w:color="auto"/>
      </w:divBdr>
    </w:div>
    <w:div w:id="230888039">
      <w:bodyDiv w:val="1"/>
      <w:marLeft w:val="0"/>
      <w:marRight w:val="0"/>
      <w:marTop w:val="0"/>
      <w:marBottom w:val="0"/>
      <w:divBdr>
        <w:top w:val="none" w:sz="0" w:space="0" w:color="auto"/>
        <w:left w:val="none" w:sz="0" w:space="0" w:color="auto"/>
        <w:bottom w:val="none" w:sz="0" w:space="0" w:color="auto"/>
        <w:right w:val="none" w:sz="0" w:space="0" w:color="auto"/>
      </w:divBdr>
      <w:divsChild>
        <w:div w:id="134033526">
          <w:marLeft w:val="0"/>
          <w:marRight w:val="0"/>
          <w:marTop w:val="0"/>
          <w:marBottom w:val="0"/>
          <w:divBdr>
            <w:top w:val="none" w:sz="0" w:space="0" w:color="auto"/>
            <w:left w:val="none" w:sz="0" w:space="0" w:color="auto"/>
            <w:bottom w:val="none" w:sz="0" w:space="0" w:color="auto"/>
            <w:right w:val="none" w:sz="0" w:space="0" w:color="auto"/>
          </w:divBdr>
        </w:div>
        <w:div w:id="1123234102">
          <w:marLeft w:val="0"/>
          <w:marRight w:val="0"/>
          <w:marTop w:val="0"/>
          <w:marBottom w:val="0"/>
          <w:divBdr>
            <w:top w:val="none" w:sz="0" w:space="0" w:color="auto"/>
            <w:left w:val="none" w:sz="0" w:space="0" w:color="auto"/>
            <w:bottom w:val="none" w:sz="0" w:space="0" w:color="auto"/>
            <w:right w:val="none" w:sz="0" w:space="0" w:color="auto"/>
          </w:divBdr>
        </w:div>
      </w:divsChild>
    </w:div>
    <w:div w:id="582689558">
      <w:bodyDiv w:val="1"/>
      <w:marLeft w:val="0"/>
      <w:marRight w:val="0"/>
      <w:marTop w:val="0"/>
      <w:marBottom w:val="0"/>
      <w:divBdr>
        <w:top w:val="none" w:sz="0" w:space="0" w:color="auto"/>
        <w:left w:val="none" w:sz="0" w:space="0" w:color="auto"/>
        <w:bottom w:val="none" w:sz="0" w:space="0" w:color="auto"/>
        <w:right w:val="none" w:sz="0" w:space="0" w:color="auto"/>
      </w:divBdr>
      <w:divsChild>
        <w:div w:id="921528381">
          <w:marLeft w:val="165"/>
          <w:marRight w:val="165"/>
          <w:marTop w:val="0"/>
          <w:marBottom w:val="0"/>
          <w:divBdr>
            <w:top w:val="none" w:sz="0" w:space="0" w:color="auto"/>
            <w:left w:val="none" w:sz="0" w:space="0" w:color="auto"/>
            <w:bottom w:val="none" w:sz="0" w:space="0" w:color="auto"/>
            <w:right w:val="none" w:sz="0" w:space="0" w:color="auto"/>
          </w:divBdr>
          <w:divsChild>
            <w:div w:id="449513596">
              <w:marLeft w:val="0"/>
              <w:marRight w:val="0"/>
              <w:marTop w:val="0"/>
              <w:marBottom w:val="0"/>
              <w:divBdr>
                <w:top w:val="none" w:sz="0" w:space="0" w:color="auto"/>
                <w:left w:val="none" w:sz="0" w:space="0" w:color="auto"/>
                <w:bottom w:val="none" w:sz="0" w:space="0" w:color="auto"/>
                <w:right w:val="none" w:sz="0" w:space="0" w:color="auto"/>
              </w:divBdr>
            </w:div>
            <w:div w:id="197914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675126">
      <w:bodyDiv w:val="1"/>
      <w:marLeft w:val="0"/>
      <w:marRight w:val="0"/>
      <w:marTop w:val="0"/>
      <w:marBottom w:val="0"/>
      <w:divBdr>
        <w:top w:val="none" w:sz="0" w:space="0" w:color="auto"/>
        <w:left w:val="none" w:sz="0" w:space="0" w:color="auto"/>
        <w:bottom w:val="none" w:sz="0" w:space="0" w:color="auto"/>
        <w:right w:val="none" w:sz="0" w:space="0" w:color="auto"/>
      </w:divBdr>
      <w:divsChild>
        <w:div w:id="63644202">
          <w:marLeft w:val="0"/>
          <w:marRight w:val="0"/>
          <w:marTop w:val="0"/>
          <w:marBottom w:val="0"/>
          <w:divBdr>
            <w:top w:val="none" w:sz="0" w:space="0" w:color="auto"/>
            <w:left w:val="none" w:sz="0" w:space="0" w:color="auto"/>
            <w:bottom w:val="none" w:sz="0" w:space="0" w:color="auto"/>
            <w:right w:val="none" w:sz="0" w:space="0" w:color="auto"/>
          </w:divBdr>
        </w:div>
        <w:div w:id="253320525">
          <w:marLeft w:val="0"/>
          <w:marRight w:val="0"/>
          <w:marTop w:val="0"/>
          <w:marBottom w:val="0"/>
          <w:divBdr>
            <w:top w:val="none" w:sz="0" w:space="0" w:color="auto"/>
            <w:left w:val="none" w:sz="0" w:space="0" w:color="auto"/>
            <w:bottom w:val="none" w:sz="0" w:space="0" w:color="auto"/>
            <w:right w:val="none" w:sz="0" w:space="0" w:color="auto"/>
          </w:divBdr>
        </w:div>
        <w:div w:id="1043139666">
          <w:marLeft w:val="0"/>
          <w:marRight w:val="0"/>
          <w:marTop w:val="0"/>
          <w:marBottom w:val="0"/>
          <w:divBdr>
            <w:top w:val="none" w:sz="0" w:space="0" w:color="auto"/>
            <w:left w:val="none" w:sz="0" w:space="0" w:color="auto"/>
            <w:bottom w:val="none" w:sz="0" w:space="0" w:color="auto"/>
            <w:right w:val="none" w:sz="0" w:space="0" w:color="auto"/>
          </w:divBdr>
        </w:div>
      </w:divsChild>
    </w:div>
    <w:div w:id="608005083">
      <w:bodyDiv w:val="1"/>
      <w:marLeft w:val="0"/>
      <w:marRight w:val="0"/>
      <w:marTop w:val="0"/>
      <w:marBottom w:val="0"/>
      <w:divBdr>
        <w:top w:val="none" w:sz="0" w:space="0" w:color="auto"/>
        <w:left w:val="none" w:sz="0" w:space="0" w:color="auto"/>
        <w:bottom w:val="none" w:sz="0" w:space="0" w:color="auto"/>
        <w:right w:val="none" w:sz="0" w:space="0" w:color="auto"/>
      </w:divBdr>
      <w:divsChild>
        <w:div w:id="115879164">
          <w:marLeft w:val="0"/>
          <w:marRight w:val="0"/>
          <w:marTop w:val="0"/>
          <w:marBottom w:val="0"/>
          <w:divBdr>
            <w:top w:val="none" w:sz="0" w:space="0" w:color="auto"/>
            <w:left w:val="none" w:sz="0" w:space="0" w:color="auto"/>
            <w:bottom w:val="none" w:sz="0" w:space="0" w:color="auto"/>
            <w:right w:val="none" w:sz="0" w:space="0" w:color="auto"/>
          </w:divBdr>
        </w:div>
        <w:div w:id="1720517191">
          <w:marLeft w:val="0"/>
          <w:marRight w:val="0"/>
          <w:marTop w:val="0"/>
          <w:marBottom w:val="0"/>
          <w:divBdr>
            <w:top w:val="none" w:sz="0" w:space="0" w:color="auto"/>
            <w:left w:val="none" w:sz="0" w:space="0" w:color="auto"/>
            <w:bottom w:val="none" w:sz="0" w:space="0" w:color="auto"/>
            <w:right w:val="none" w:sz="0" w:space="0" w:color="auto"/>
          </w:divBdr>
        </w:div>
        <w:div w:id="1897083038">
          <w:marLeft w:val="0"/>
          <w:marRight w:val="0"/>
          <w:marTop w:val="0"/>
          <w:marBottom w:val="0"/>
          <w:divBdr>
            <w:top w:val="none" w:sz="0" w:space="0" w:color="auto"/>
            <w:left w:val="none" w:sz="0" w:space="0" w:color="auto"/>
            <w:bottom w:val="none" w:sz="0" w:space="0" w:color="auto"/>
            <w:right w:val="none" w:sz="0" w:space="0" w:color="auto"/>
          </w:divBdr>
        </w:div>
      </w:divsChild>
    </w:div>
    <w:div w:id="658460536">
      <w:bodyDiv w:val="1"/>
      <w:marLeft w:val="0"/>
      <w:marRight w:val="0"/>
      <w:marTop w:val="0"/>
      <w:marBottom w:val="0"/>
      <w:divBdr>
        <w:top w:val="none" w:sz="0" w:space="0" w:color="auto"/>
        <w:left w:val="none" w:sz="0" w:space="0" w:color="auto"/>
        <w:bottom w:val="none" w:sz="0" w:space="0" w:color="auto"/>
        <w:right w:val="none" w:sz="0" w:space="0" w:color="auto"/>
      </w:divBdr>
      <w:divsChild>
        <w:div w:id="856037419">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662315562">
      <w:bodyDiv w:val="1"/>
      <w:marLeft w:val="0"/>
      <w:marRight w:val="0"/>
      <w:marTop w:val="0"/>
      <w:marBottom w:val="0"/>
      <w:divBdr>
        <w:top w:val="none" w:sz="0" w:space="0" w:color="auto"/>
        <w:left w:val="none" w:sz="0" w:space="0" w:color="auto"/>
        <w:bottom w:val="none" w:sz="0" w:space="0" w:color="auto"/>
        <w:right w:val="none" w:sz="0" w:space="0" w:color="auto"/>
      </w:divBdr>
      <w:divsChild>
        <w:div w:id="235672969">
          <w:marLeft w:val="0"/>
          <w:marRight w:val="0"/>
          <w:marTop w:val="34"/>
          <w:marBottom w:val="34"/>
          <w:divBdr>
            <w:top w:val="none" w:sz="0" w:space="0" w:color="auto"/>
            <w:left w:val="none" w:sz="0" w:space="0" w:color="auto"/>
            <w:bottom w:val="none" w:sz="0" w:space="0" w:color="auto"/>
            <w:right w:val="none" w:sz="0" w:space="0" w:color="auto"/>
          </w:divBdr>
        </w:div>
      </w:divsChild>
    </w:div>
    <w:div w:id="708262920">
      <w:bodyDiv w:val="1"/>
      <w:marLeft w:val="0"/>
      <w:marRight w:val="0"/>
      <w:marTop w:val="0"/>
      <w:marBottom w:val="0"/>
      <w:divBdr>
        <w:top w:val="none" w:sz="0" w:space="0" w:color="auto"/>
        <w:left w:val="none" w:sz="0" w:space="0" w:color="auto"/>
        <w:bottom w:val="none" w:sz="0" w:space="0" w:color="auto"/>
        <w:right w:val="none" w:sz="0" w:space="0" w:color="auto"/>
      </w:divBdr>
      <w:divsChild>
        <w:div w:id="1871261934">
          <w:marLeft w:val="165"/>
          <w:marRight w:val="165"/>
          <w:marTop w:val="0"/>
          <w:marBottom w:val="0"/>
          <w:divBdr>
            <w:top w:val="none" w:sz="0" w:space="0" w:color="auto"/>
            <w:left w:val="none" w:sz="0" w:space="0" w:color="auto"/>
            <w:bottom w:val="none" w:sz="0" w:space="0" w:color="auto"/>
            <w:right w:val="none" w:sz="0" w:space="0" w:color="auto"/>
          </w:divBdr>
          <w:divsChild>
            <w:div w:id="1357930007">
              <w:marLeft w:val="0"/>
              <w:marRight w:val="0"/>
              <w:marTop w:val="0"/>
              <w:marBottom w:val="0"/>
              <w:divBdr>
                <w:top w:val="none" w:sz="0" w:space="0" w:color="auto"/>
                <w:left w:val="none" w:sz="0" w:space="0" w:color="auto"/>
                <w:bottom w:val="none" w:sz="0" w:space="0" w:color="auto"/>
                <w:right w:val="none" w:sz="0" w:space="0" w:color="auto"/>
              </w:divBdr>
            </w:div>
            <w:div w:id="79233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943297">
      <w:bodyDiv w:val="1"/>
      <w:marLeft w:val="0"/>
      <w:marRight w:val="0"/>
      <w:marTop w:val="0"/>
      <w:marBottom w:val="0"/>
      <w:divBdr>
        <w:top w:val="none" w:sz="0" w:space="0" w:color="auto"/>
        <w:left w:val="none" w:sz="0" w:space="0" w:color="auto"/>
        <w:bottom w:val="none" w:sz="0" w:space="0" w:color="auto"/>
        <w:right w:val="none" w:sz="0" w:space="0" w:color="auto"/>
      </w:divBdr>
      <w:divsChild>
        <w:div w:id="853571975">
          <w:marLeft w:val="0"/>
          <w:marRight w:val="0"/>
          <w:marTop w:val="0"/>
          <w:marBottom w:val="0"/>
          <w:divBdr>
            <w:top w:val="none" w:sz="0" w:space="0" w:color="auto"/>
            <w:left w:val="none" w:sz="0" w:space="0" w:color="auto"/>
            <w:bottom w:val="none" w:sz="0" w:space="0" w:color="auto"/>
            <w:right w:val="none" w:sz="0" w:space="0" w:color="auto"/>
          </w:divBdr>
        </w:div>
        <w:div w:id="1328053189">
          <w:marLeft w:val="0"/>
          <w:marRight w:val="0"/>
          <w:marTop w:val="0"/>
          <w:marBottom w:val="0"/>
          <w:divBdr>
            <w:top w:val="none" w:sz="0" w:space="0" w:color="auto"/>
            <w:left w:val="none" w:sz="0" w:space="0" w:color="auto"/>
            <w:bottom w:val="none" w:sz="0" w:space="0" w:color="auto"/>
            <w:right w:val="none" w:sz="0" w:space="0" w:color="auto"/>
          </w:divBdr>
        </w:div>
        <w:div w:id="1407069458">
          <w:marLeft w:val="0"/>
          <w:marRight w:val="0"/>
          <w:marTop w:val="0"/>
          <w:marBottom w:val="0"/>
          <w:divBdr>
            <w:top w:val="none" w:sz="0" w:space="0" w:color="auto"/>
            <w:left w:val="none" w:sz="0" w:space="0" w:color="auto"/>
            <w:bottom w:val="none" w:sz="0" w:space="0" w:color="auto"/>
            <w:right w:val="none" w:sz="0" w:space="0" w:color="auto"/>
          </w:divBdr>
        </w:div>
        <w:div w:id="1590965087">
          <w:marLeft w:val="0"/>
          <w:marRight w:val="0"/>
          <w:marTop w:val="0"/>
          <w:marBottom w:val="0"/>
          <w:divBdr>
            <w:top w:val="none" w:sz="0" w:space="0" w:color="auto"/>
            <w:left w:val="none" w:sz="0" w:space="0" w:color="auto"/>
            <w:bottom w:val="none" w:sz="0" w:space="0" w:color="auto"/>
            <w:right w:val="none" w:sz="0" w:space="0" w:color="auto"/>
          </w:divBdr>
        </w:div>
        <w:div w:id="1732726434">
          <w:marLeft w:val="0"/>
          <w:marRight w:val="0"/>
          <w:marTop w:val="0"/>
          <w:marBottom w:val="0"/>
          <w:divBdr>
            <w:top w:val="none" w:sz="0" w:space="0" w:color="auto"/>
            <w:left w:val="none" w:sz="0" w:space="0" w:color="auto"/>
            <w:bottom w:val="none" w:sz="0" w:space="0" w:color="auto"/>
            <w:right w:val="none" w:sz="0" w:space="0" w:color="auto"/>
          </w:divBdr>
        </w:div>
        <w:div w:id="1779793184">
          <w:marLeft w:val="0"/>
          <w:marRight w:val="0"/>
          <w:marTop w:val="0"/>
          <w:marBottom w:val="0"/>
          <w:divBdr>
            <w:top w:val="none" w:sz="0" w:space="0" w:color="auto"/>
            <w:left w:val="none" w:sz="0" w:space="0" w:color="auto"/>
            <w:bottom w:val="none" w:sz="0" w:space="0" w:color="auto"/>
            <w:right w:val="none" w:sz="0" w:space="0" w:color="auto"/>
          </w:divBdr>
        </w:div>
        <w:div w:id="1995448551">
          <w:marLeft w:val="0"/>
          <w:marRight w:val="0"/>
          <w:marTop w:val="0"/>
          <w:marBottom w:val="0"/>
          <w:divBdr>
            <w:top w:val="none" w:sz="0" w:space="0" w:color="auto"/>
            <w:left w:val="none" w:sz="0" w:space="0" w:color="auto"/>
            <w:bottom w:val="none" w:sz="0" w:space="0" w:color="auto"/>
            <w:right w:val="none" w:sz="0" w:space="0" w:color="auto"/>
          </w:divBdr>
          <w:divsChild>
            <w:div w:id="431508353">
              <w:marLeft w:val="0"/>
              <w:marRight w:val="0"/>
              <w:marTop w:val="0"/>
              <w:marBottom w:val="0"/>
              <w:divBdr>
                <w:top w:val="none" w:sz="0" w:space="0" w:color="auto"/>
                <w:left w:val="none" w:sz="0" w:space="0" w:color="auto"/>
                <w:bottom w:val="none" w:sz="0" w:space="0" w:color="auto"/>
                <w:right w:val="none" w:sz="0" w:space="0" w:color="auto"/>
              </w:divBdr>
              <w:divsChild>
                <w:div w:id="220333878">
                  <w:marLeft w:val="0"/>
                  <w:marRight w:val="0"/>
                  <w:marTop w:val="0"/>
                  <w:marBottom w:val="0"/>
                  <w:divBdr>
                    <w:top w:val="none" w:sz="0" w:space="0" w:color="auto"/>
                    <w:left w:val="none" w:sz="0" w:space="0" w:color="auto"/>
                    <w:bottom w:val="none" w:sz="0" w:space="0" w:color="auto"/>
                    <w:right w:val="none" w:sz="0" w:space="0" w:color="auto"/>
                  </w:divBdr>
                </w:div>
                <w:div w:id="1422678246">
                  <w:marLeft w:val="0"/>
                  <w:marRight w:val="0"/>
                  <w:marTop w:val="0"/>
                  <w:marBottom w:val="0"/>
                  <w:divBdr>
                    <w:top w:val="none" w:sz="0" w:space="0" w:color="auto"/>
                    <w:left w:val="none" w:sz="0" w:space="0" w:color="auto"/>
                    <w:bottom w:val="none" w:sz="0" w:space="0" w:color="auto"/>
                    <w:right w:val="none" w:sz="0" w:space="0" w:color="auto"/>
                  </w:divBdr>
                </w:div>
              </w:divsChild>
            </w:div>
            <w:div w:id="624510102">
              <w:marLeft w:val="0"/>
              <w:marRight w:val="0"/>
              <w:marTop w:val="0"/>
              <w:marBottom w:val="0"/>
              <w:divBdr>
                <w:top w:val="none" w:sz="0" w:space="0" w:color="auto"/>
                <w:left w:val="none" w:sz="0" w:space="0" w:color="auto"/>
                <w:bottom w:val="none" w:sz="0" w:space="0" w:color="auto"/>
                <w:right w:val="none" w:sz="0" w:space="0" w:color="auto"/>
              </w:divBdr>
              <w:divsChild>
                <w:div w:id="1285311969">
                  <w:marLeft w:val="0"/>
                  <w:marRight w:val="0"/>
                  <w:marTop w:val="0"/>
                  <w:marBottom w:val="0"/>
                  <w:divBdr>
                    <w:top w:val="none" w:sz="0" w:space="0" w:color="auto"/>
                    <w:left w:val="none" w:sz="0" w:space="0" w:color="auto"/>
                    <w:bottom w:val="none" w:sz="0" w:space="0" w:color="auto"/>
                    <w:right w:val="none" w:sz="0" w:space="0" w:color="auto"/>
                  </w:divBdr>
                </w:div>
                <w:div w:id="1339576874">
                  <w:marLeft w:val="0"/>
                  <w:marRight w:val="0"/>
                  <w:marTop w:val="0"/>
                  <w:marBottom w:val="0"/>
                  <w:divBdr>
                    <w:top w:val="none" w:sz="0" w:space="0" w:color="auto"/>
                    <w:left w:val="none" w:sz="0" w:space="0" w:color="auto"/>
                    <w:bottom w:val="none" w:sz="0" w:space="0" w:color="auto"/>
                    <w:right w:val="none" w:sz="0" w:space="0" w:color="auto"/>
                  </w:divBdr>
                </w:div>
              </w:divsChild>
            </w:div>
            <w:div w:id="866215853">
              <w:marLeft w:val="0"/>
              <w:marRight w:val="0"/>
              <w:marTop w:val="0"/>
              <w:marBottom w:val="0"/>
              <w:divBdr>
                <w:top w:val="none" w:sz="0" w:space="0" w:color="auto"/>
                <w:left w:val="none" w:sz="0" w:space="0" w:color="auto"/>
                <w:bottom w:val="none" w:sz="0" w:space="0" w:color="auto"/>
                <w:right w:val="none" w:sz="0" w:space="0" w:color="auto"/>
              </w:divBdr>
              <w:divsChild>
                <w:div w:id="847905888">
                  <w:marLeft w:val="0"/>
                  <w:marRight w:val="0"/>
                  <w:marTop w:val="0"/>
                  <w:marBottom w:val="0"/>
                  <w:divBdr>
                    <w:top w:val="none" w:sz="0" w:space="0" w:color="auto"/>
                    <w:left w:val="none" w:sz="0" w:space="0" w:color="auto"/>
                    <w:bottom w:val="none" w:sz="0" w:space="0" w:color="auto"/>
                    <w:right w:val="none" w:sz="0" w:space="0" w:color="auto"/>
                  </w:divBdr>
                </w:div>
                <w:div w:id="1884249693">
                  <w:marLeft w:val="0"/>
                  <w:marRight w:val="0"/>
                  <w:marTop w:val="0"/>
                  <w:marBottom w:val="0"/>
                  <w:divBdr>
                    <w:top w:val="none" w:sz="0" w:space="0" w:color="auto"/>
                    <w:left w:val="none" w:sz="0" w:space="0" w:color="auto"/>
                    <w:bottom w:val="none" w:sz="0" w:space="0" w:color="auto"/>
                    <w:right w:val="none" w:sz="0" w:space="0" w:color="auto"/>
                  </w:divBdr>
                </w:div>
              </w:divsChild>
            </w:div>
            <w:div w:id="871724622">
              <w:marLeft w:val="0"/>
              <w:marRight w:val="0"/>
              <w:marTop w:val="0"/>
              <w:marBottom w:val="0"/>
              <w:divBdr>
                <w:top w:val="none" w:sz="0" w:space="0" w:color="auto"/>
                <w:left w:val="none" w:sz="0" w:space="0" w:color="auto"/>
                <w:bottom w:val="none" w:sz="0" w:space="0" w:color="auto"/>
                <w:right w:val="none" w:sz="0" w:space="0" w:color="auto"/>
              </w:divBdr>
              <w:divsChild>
                <w:div w:id="192695806">
                  <w:marLeft w:val="0"/>
                  <w:marRight w:val="0"/>
                  <w:marTop w:val="0"/>
                  <w:marBottom w:val="0"/>
                  <w:divBdr>
                    <w:top w:val="none" w:sz="0" w:space="0" w:color="auto"/>
                    <w:left w:val="none" w:sz="0" w:space="0" w:color="auto"/>
                    <w:bottom w:val="none" w:sz="0" w:space="0" w:color="auto"/>
                    <w:right w:val="none" w:sz="0" w:space="0" w:color="auto"/>
                  </w:divBdr>
                </w:div>
                <w:div w:id="1266427069">
                  <w:marLeft w:val="0"/>
                  <w:marRight w:val="0"/>
                  <w:marTop w:val="0"/>
                  <w:marBottom w:val="0"/>
                  <w:divBdr>
                    <w:top w:val="none" w:sz="0" w:space="0" w:color="auto"/>
                    <w:left w:val="none" w:sz="0" w:space="0" w:color="auto"/>
                    <w:bottom w:val="none" w:sz="0" w:space="0" w:color="auto"/>
                    <w:right w:val="none" w:sz="0" w:space="0" w:color="auto"/>
                  </w:divBdr>
                </w:div>
              </w:divsChild>
            </w:div>
            <w:div w:id="1294749893">
              <w:marLeft w:val="0"/>
              <w:marRight w:val="0"/>
              <w:marTop w:val="0"/>
              <w:marBottom w:val="0"/>
              <w:divBdr>
                <w:top w:val="none" w:sz="0" w:space="0" w:color="auto"/>
                <w:left w:val="none" w:sz="0" w:space="0" w:color="auto"/>
                <w:bottom w:val="none" w:sz="0" w:space="0" w:color="auto"/>
                <w:right w:val="none" w:sz="0" w:space="0" w:color="auto"/>
              </w:divBdr>
              <w:divsChild>
                <w:div w:id="584648155">
                  <w:marLeft w:val="0"/>
                  <w:marRight w:val="0"/>
                  <w:marTop w:val="0"/>
                  <w:marBottom w:val="0"/>
                  <w:divBdr>
                    <w:top w:val="none" w:sz="0" w:space="0" w:color="auto"/>
                    <w:left w:val="none" w:sz="0" w:space="0" w:color="auto"/>
                    <w:bottom w:val="none" w:sz="0" w:space="0" w:color="auto"/>
                    <w:right w:val="none" w:sz="0" w:space="0" w:color="auto"/>
                  </w:divBdr>
                </w:div>
                <w:div w:id="743188815">
                  <w:marLeft w:val="0"/>
                  <w:marRight w:val="0"/>
                  <w:marTop w:val="0"/>
                  <w:marBottom w:val="0"/>
                  <w:divBdr>
                    <w:top w:val="none" w:sz="0" w:space="0" w:color="auto"/>
                    <w:left w:val="none" w:sz="0" w:space="0" w:color="auto"/>
                    <w:bottom w:val="none" w:sz="0" w:space="0" w:color="auto"/>
                    <w:right w:val="none" w:sz="0" w:space="0" w:color="auto"/>
                  </w:divBdr>
                </w:div>
              </w:divsChild>
            </w:div>
            <w:div w:id="1879275183">
              <w:marLeft w:val="0"/>
              <w:marRight w:val="0"/>
              <w:marTop w:val="0"/>
              <w:marBottom w:val="0"/>
              <w:divBdr>
                <w:top w:val="none" w:sz="0" w:space="0" w:color="auto"/>
                <w:left w:val="none" w:sz="0" w:space="0" w:color="auto"/>
                <w:bottom w:val="none" w:sz="0" w:space="0" w:color="auto"/>
                <w:right w:val="none" w:sz="0" w:space="0" w:color="auto"/>
              </w:divBdr>
              <w:divsChild>
                <w:div w:id="684287486">
                  <w:marLeft w:val="0"/>
                  <w:marRight w:val="0"/>
                  <w:marTop w:val="0"/>
                  <w:marBottom w:val="0"/>
                  <w:divBdr>
                    <w:top w:val="none" w:sz="0" w:space="0" w:color="auto"/>
                    <w:left w:val="none" w:sz="0" w:space="0" w:color="auto"/>
                    <w:bottom w:val="none" w:sz="0" w:space="0" w:color="auto"/>
                    <w:right w:val="none" w:sz="0" w:space="0" w:color="auto"/>
                  </w:divBdr>
                </w:div>
                <w:div w:id="112172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732891">
      <w:bodyDiv w:val="1"/>
      <w:marLeft w:val="0"/>
      <w:marRight w:val="0"/>
      <w:marTop w:val="0"/>
      <w:marBottom w:val="0"/>
      <w:divBdr>
        <w:top w:val="none" w:sz="0" w:space="0" w:color="auto"/>
        <w:left w:val="none" w:sz="0" w:space="0" w:color="auto"/>
        <w:bottom w:val="none" w:sz="0" w:space="0" w:color="auto"/>
        <w:right w:val="none" w:sz="0" w:space="0" w:color="auto"/>
      </w:divBdr>
    </w:div>
    <w:div w:id="1043793158">
      <w:bodyDiv w:val="1"/>
      <w:marLeft w:val="0"/>
      <w:marRight w:val="0"/>
      <w:marTop w:val="0"/>
      <w:marBottom w:val="0"/>
      <w:divBdr>
        <w:top w:val="none" w:sz="0" w:space="0" w:color="auto"/>
        <w:left w:val="none" w:sz="0" w:space="0" w:color="auto"/>
        <w:bottom w:val="none" w:sz="0" w:space="0" w:color="auto"/>
        <w:right w:val="none" w:sz="0" w:space="0" w:color="auto"/>
      </w:divBdr>
    </w:div>
    <w:div w:id="1060904309">
      <w:bodyDiv w:val="1"/>
      <w:marLeft w:val="0"/>
      <w:marRight w:val="0"/>
      <w:marTop w:val="0"/>
      <w:marBottom w:val="0"/>
      <w:divBdr>
        <w:top w:val="none" w:sz="0" w:space="0" w:color="auto"/>
        <w:left w:val="none" w:sz="0" w:space="0" w:color="auto"/>
        <w:bottom w:val="none" w:sz="0" w:space="0" w:color="auto"/>
        <w:right w:val="none" w:sz="0" w:space="0" w:color="auto"/>
      </w:divBdr>
    </w:div>
    <w:div w:id="1170222057">
      <w:bodyDiv w:val="1"/>
      <w:marLeft w:val="0"/>
      <w:marRight w:val="0"/>
      <w:marTop w:val="0"/>
      <w:marBottom w:val="0"/>
      <w:divBdr>
        <w:top w:val="none" w:sz="0" w:space="0" w:color="auto"/>
        <w:left w:val="none" w:sz="0" w:space="0" w:color="auto"/>
        <w:bottom w:val="none" w:sz="0" w:space="0" w:color="auto"/>
        <w:right w:val="none" w:sz="0" w:space="0" w:color="auto"/>
      </w:divBdr>
    </w:div>
    <w:div w:id="1914774519">
      <w:bodyDiv w:val="1"/>
      <w:marLeft w:val="0"/>
      <w:marRight w:val="0"/>
      <w:marTop w:val="0"/>
      <w:marBottom w:val="0"/>
      <w:divBdr>
        <w:top w:val="none" w:sz="0" w:space="0" w:color="auto"/>
        <w:left w:val="none" w:sz="0" w:space="0" w:color="auto"/>
        <w:bottom w:val="none" w:sz="0" w:space="0" w:color="auto"/>
        <w:right w:val="none" w:sz="0" w:space="0" w:color="auto"/>
      </w:divBdr>
      <w:divsChild>
        <w:div w:id="1865823773">
          <w:marLeft w:val="0"/>
          <w:marRight w:val="0"/>
          <w:marTop w:val="0"/>
          <w:marBottom w:val="0"/>
          <w:divBdr>
            <w:top w:val="none" w:sz="0" w:space="0" w:color="auto"/>
            <w:left w:val="none" w:sz="0" w:space="0" w:color="auto"/>
            <w:bottom w:val="none" w:sz="0" w:space="0" w:color="auto"/>
            <w:right w:val="none" w:sz="0" w:space="0" w:color="auto"/>
          </w:divBdr>
        </w:div>
        <w:div w:id="175969731">
          <w:marLeft w:val="0"/>
          <w:marRight w:val="0"/>
          <w:marTop w:val="0"/>
          <w:marBottom w:val="0"/>
          <w:divBdr>
            <w:top w:val="none" w:sz="0" w:space="0" w:color="auto"/>
            <w:left w:val="none" w:sz="0" w:space="0" w:color="auto"/>
            <w:bottom w:val="none" w:sz="0" w:space="0" w:color="auto"/>
            <w:right w:val="none" w:sz="0" w:space="0" w:color="auto"/>
          </w:divBdr>
        </w:div>
      </w:divsChild>
    </w:div>
    <w:div w:id="192210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irley.sze@nhs.net"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apen.org.uk"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s>
</file>

<file path=word/_rels/endnotes.xml.rels><?xml version="1.0" encoding="UTF-8" standalone="yes"?>
<Relationships xmlns="http://schemas.openxmlformats.org/package/2006/relationships"><Relationship Id="rId13" Type="http://schemas.openxmlformats.org/officeDocument/2006/relationships/hyperlink" Target="https://www.ncbi.nlm.nih.gov/pubmed/?term=Scherbakov%20N%5BAuthor%5D&amp;cauthor=true&amp;cauthor_uid=26865478" TargetMode="External"/><Relationship Id="rId18" Type="http://schemas.openxmlformats.org/officeDocument/2006/relationships/hyperlink" Target="https://www.ncbi.nlm.nih.gov/pubmed/?term=Bekkering%20GE%5BAuthor%5D&amp;cauthor=true&amp;cauthor_uid=27184278" TargetMode="External"/><Relationship Id="rId26" Type="http://schemas.openxmlformats.org/officeDocument/2006/relationships/hyperlink" Target="https://www.ncbi.nlm.nih.gov/pubmed/?term=Gonz%C3%A1lez%20P%5BAuthor%5D&amp;cauthor=true&amp;cauthor_uid=15762418" TargetMode="External"/><Relationship Id="rId39" Type="http://schemas.openxmlformats.org/officeDocument/2006/relationships/hyperlink" Target="https://www.ncbi.nlm.nih.gov/pubmed/?term=Daniel%20de%20Mello%20P%5BAuthor%5D&amp;cauthor=true&amp;cauthor_uid=25596153" TargetMode="External"/><Relationship Id="rId21" Type="http://schemas.openxmlformats.org/officeDocument/2006/relationships/hyperlink" Target="https://www.ncbi.nlm.nih.gov/pubmed/?term=Vincent%20JP%5BAuthor%5D&amp;cauthor=true&amp;cauthor_uid=16210706" TargetMode="External"/><Relationship Id="rId34" Type="http://schemas.openxmlformats.org/officeDocument/2006/relationships/hyperlink" Target="https://www.ncbi.nlm.nih.gov/pubmed/?term=Johnston%20N%5BAuthor%5D&amp;cauthor=true&amp;cauthor_uid=3820522" TargetMode="External"/><Relationship Id="rId42" Type="http://schemas.openxmlformats.org/officeDocument/2006/relationships/hyperlink" Target="http://www.ncbi.nlm.nih.gov/pubmed/?term=MacKenzie%20CR%5BAuthor%5D&amp;cauthor=true&amp;cauthor_uid=3558716" TargetMode="External"/><Relationship Id="rId47" Type="http://schemas.openxmlformats.org/officeDocument/2006/relationships/hyperlink" Target="https://www.ncbi.nlm.nih.gov/pubmed/?term=Clark%20AL%5BAuthor%5D&amp;cauthor=true&amp;cauthor_uid=29753673" TargetMode="External"/><Relationship Id="rId50" Type="http://schemas.openxmlformats.org/officeDocument/2006/relationships/hyperlink" Target="https://www.ncbi.nlm.nih.gov/pubmed/?term=Kox%20WJ%5BAuthor%5D&amp;cauthor=true&amp;cauthor_uid=9244221" TargetMode="External"/><Relationship Id="rId7" Type="http://schemas.openxmlformats.org/officeDocument/2006/relationships/hyperlink" Target="https://www.ncbi.nlm.nih.gov/pubmed/?term=Costanzo%20D%5BAuthor%5D&amp;cauthor=true&amp;cauthor_uid=27140179" TargetMode="External"/><Relationship Id="rId2" Type="http://schemas.openxmlformats.org/officeDocument/2006/relationships/hyperlink" Target="https://www.ncbi.nlm.nih.gov/pubmed/?term=Quintarelli%20F%5BAuthor%5D&amp;cauthor=true&amp;cauthor_uid=27140179" TargetMode="External"/><Relationship Id="rId16" Type="http://schemas.openxmlformats.org/officeDocument/2006/relationships/hyperlink" Target="https://www.ncbi.nlm.nih.gov/pubmed/?term=Vanhauwaert%20E%5BAuthor%5D&amp;cauthor=true&amp;cauthor_uid=27184278" TargetMode="External"/><Relationship Id="rId29" Type="http://schemas.openxmlformats.org/officeDocument/2006/relationships/hyperlink" Target="https://www.ncbi.nlm.nih.gov/pubmed/?term=Rodr%C3%ADguez%20F%5BAuthor%5D&amp;cauthor=true&amp;cauthor_uid=15762418" TargetMode="External"/><Relationship Id="rId11" Type="http://schemas.openxmlformats.org/officeDocument/2006/relationships/hyperlink" Target="https://www.ncbi.nlm.nih.gov/pubmed/?term=Elsner%20S%5BAuthor%5D&amp;cauthor=true&amp;cauthor_uid=26865478" TargetMode="External"/><Relationship Id="rId24" Type="http://schemas.openxmlformats.org/officeDocument/2006/relationships/hyperlink" Target="https://www.ncbi.nlm.nih.gov/pubmed/?term=Cynober%20L%5BAuthor%5D&amp;cauthor=true&amp;cauthor_uid=16210706" TargetMode="External"/><Relationship Id="rId32" Type="http://schemas.openxmlformats.org/officeDocument/2006/relationships/hyperlink" Target="http://www.ncbi.nlm.nih.gov/pubmed/?term=Rosato%20EF%5BAuthor%5D&amp;cauthor=true&amp;cauthor_uid=7350839" TargetMode="External"/><Relationship Id="rId37" Type="http://schemas.openxmlformats.org/officeDocument/2006/relationships/hyperlink" Target="https://www.ncbi.nlm.nih.gov/pubmed/?term=Jeejeebhoy%20KN%5BAuthor%5D&amp;cauthor=true&amp;cauthor_uid=3820522" TargetMode="External"/><Relationship Id="rId40" Type="http://schemas.openxmlformats.org/officeDocument/2006/relationships/hyperlink" Target="https://www.ncbi.nlm.nih.gov/pubmed/?term=Daniel%20de%20Mello%20E%5BAuthor%5D&amp;cauthor=true&amp;cauthor_uid=25596153" TargetMode="External"/><Relationship Id="rId45" Type="http://schemas.openxmlformats.org/officeDocument/2006/relationships/hyperlink" Target="https://www.ncbi.nlm.nih.gov/pubmed/?term=Cleland%20JGF%5BAuthor%5D&amp;cauthor=true&amp;cauthor_uid=29753673" TargetMode="External"/><Relationship Id="rId5" Type="http://schemas.openxmlformats.org/officeDocument/2006/relationships/hyperlink" Target="https://www.ncbi.nlm.nih.gov/pubmed/?term=Antinolfi%20V%5BAuthor%5D&amp;cauthor=true&amp;cauthor_uid=27140179" TargetMode="External"/><Relationship Id="rId15" Type="http://schemas.openxmlformats.org/officeDocument/2006/relationships/hyperlink" Target="https://www.ncbi.nlm.nih.gov/pubmed/?term=Vereecken%20C%5BAuthor%5D&amp;cauthor=true&amp;cauthor_uid=27184278" TargetMode="External"/><Relationship Id="rId23" Type="http://schemas.openxmlformats.org/officeDocument/2006/relationships/hyperlink" Target="https://www.ncbi.nlm.nih.gov/pubmed/?term=Benazeth%20S%5BAuthor%5D&amp;cauthor=true&amp;cauthor_uid=16210706" TargetMode="External"/><Relationship Id="rId28" Type="http://schemas.openxmlformats.org/officeDocument/2006/relationships/hyperlink" Target="https://www.ncbi.nlm.nih.gov/pubmed/?term=Mancha%20A%5BAuthor%5D&amp;cauthor=true&amp;cauthor_uid=15762418" TargetMode="External"/><Relationship Id="rId36" Type="http://schemas.openxmlformats.org/officeDocument/2006/relationships/hyperlink" Target="https://www.ncbi.nlm.nih.gov/pubmed/?term=Mendelson%20RA%5BAuthor%5D&amp;cauthor=true&amp;cauthor_uid=3820522" TargetMode="External"/><Relationship Id="rId49" Type="http://schemas.openxmlformats.org/officeDocument/2006/relationships/hyperlink" Target="https://www.ncbi.nlm.nih.gov/pubmed/?term=Swan%20JW%5BAuthor%5D&amp;cauthor=true&amp;cauthor_uid=9244221" TargetMode="External"/><Relationship Id="rId10" Type="http://schemas.openxmlformats.org/officeDocument/2006/relationships/hyperlink" Target="https://www.ncbi.nlm.nih.gov/pubmed/?term=Bekfani%20T%5BAuthor%5D&amp;cauthor=true&amp;cauthor_uid=26865478" TargetMode="External"/><Relationship Id="rId19" Type="http://schemas.openxmlformats.org/officeDocument/2006/relationships/hyperlink" Target="https://www.ncbi.nlm.nih.gov/pubmed/?term=Duyck%20J%5BAuthor%5D&amp;cauthor=true&amp;cauthor_uid=27184278" TargetMode="External"/><Relationship Id="rId31" Type="http://schemas.openxmlformats.org/officeDocument/2006/relationships/hyperlink" Target="http://www.ncbi.nlm.nih.gov/pubmed/?term=Hobbs%20CL%5BAuthor%5D&amp;cauthor=true&amp;cauthor_uid=7350839" TargetMode="External"/><Relationship Id="rId44" Type="http://schemas.openxmlformats.org/officeDocument/2006/relationships/hyperlink" Target="https://www.ncbi.nlm.nih.gov/pubmed/?term=Rigby%20A%5BAuthor%5D&amp;cauthor=true&amp;cauthor_uid=29753673" TargetMode="External"/><Relationship Id="rId52" Type="http://schemas.openxmlformats.org/officeDocument/2006/relationships/hyperlink" Target="https://www.ncbi.nlm.nih.gov/pubmed/?term=Coats%20AJ%5BAuthor%5D&amp;cauthor=true&amp;cauthor_uid=9244221" TargetMode="External"/><Relationship Id="rId4" Type="http://schemas.openxmlformats.org/officeDocument/2006/relationships/hyperlink" Target="https://www.ncbi.nlm.nih.gov/pubmed/?term=Cruciani%20A%5BAuthor%5D&amp;cauthor=true&amp;cauthor_uid=27140179" TargetMode="External"/><Relationship Id="rId9" Type="http://schemas.openxmlformats.org/officeDocument/2006/relationships/hyperlink" Target="https://www.ncbi.nlm.nih.gov/pubmed/?term=Ebner%20N%5BAuthor%5D&amp;cauthor=true&amp;cauthor_uid=26865478" TargetMode="External"/><Relationship Id="rId14" Type="http://schemas.openxmlformats.org/officeDocument/2006/relationships/hyperlink" Target="https://www.ncbi.nlm.nih.gov/pubmed/?term=Mur%C3%ADn%20J%5BAuthor%5D&amp;cauthor=true&amp;cauthor_uid=26865478" TargetMode="External"/><Relationship Id="rId22" Type="http://schemas.openxmlformats.org/officeDocument/2006/relationships/hyperlink" Target="https://www.ncbi.nlm.nih.gov/pubmed/?term=Nicolis%20I%5BAuthor%5D&amp;cauthor=true&amp;cauthor_uid=16210706" TargetMode="External"/><Relationship Id="rId27" Type="http://schemas.openxmlformats.org/officeDocument/2006/relationships/hyperlink" Target="https://www.ncbi.nlm.nih.gov/pubmed/?term=Gonz%C3%A1lez%20B%5BAuthor%5D&amp;cauthor=true&amp;cauthor_uid=15762418" TargetMode="External"/><Relationship Id="rId30" Type="http://schemas.openxmlformats.org/officeDocument/2006/relationships/hyperlink" Target="https://www.ncbi.nlm.nih.gov/pubmed/?term=Fern%C3%A1ndez%20G%5BAuthor%5D&amp;cauthor=true&amp;cauthor_uid=15762418" TargetMode="External"/><Relationship Id="rId35" Type="http://schemas.openxmlformats.org/officeDocument/2006/relationships/hyperlink" Target="https://www.ncbi.nlm.nih.gov/pubmed/?term=Whittaker%20S%5BAuthor%5D&amp;cauthor=true&amp;cauthor_uid=3820522" TargetMode="External"/><Relationship Id="rId43" Type="http://schemas.openxmlformats.org/officeDocument/2006/relationships/hyperlink" Target="https://www.diabetes.org.uk/Professionals/Position-statements-reports/Diagnosis-ongoing-management-monitoring/New_diagnostic_criteria_for_diabetes/" TargetMode="External"/><Relationship Id="rId48" Type="http://schemas.openxmlformats.org/officeDocument/2006/relationships/hyperlink" Target="https://www.ncbi.nlm.nih.gov/pubmed/?term=Harrington%20D%5BAuthor%5D&amp;cauthor=true&amp;cauthor_uid=9244221" TargetMode="External"/><Relationship Id="rId8" Type="http://schemas.openxmlformats.org/officeDocument/2006/relationships/hyperlink" Target="https://www.ncbi.nlm.nih.gov/pubmed/?term=Doehner%20W%5BAuthor%5D&amp;cauthor=true&amp;cauthor_uid=26865478" TargetMode="External"/><Relationship Id="rId51" Type="http://schemas.openxmlformats.org/officeDocument/2006/relationships/hyperlink" Target="https://www.ncbi.nlm.nih.gov/pubmed/?term=Poole-Wilson%20PA%5BAuthor%5D&amp;cauthor=true&amp;cauthor_uid=9244221" TargetMode="External"/><Relationship Id="rId3" Type="http://schemas.openxmlformats.org/officeDocument/2006/relationships/hyperlink" Target="https://www.ncbi.nlm.nih.gov/pubmed/?term=Satriano%20U%5BAuthor%5D&amp;cauthor=true&amp;cauthor_uid=27140179" TargetMode="External"/><Relationship Id="rId12" Type="http://schemas.openxmlformats.org/officeDocument/2006/relationships/hyperlink" Target="https://www.ncbi.nlm.nih.gov/pubmed/?term=Sliziuk%20V%5BAuthor%5D&amp;cauthor=true&amp;cauthor_uid=26865478" TargetMode="External"/><Relationship Id="rId17" Type="http://schemas.openxmlformats.org/officeDocument/2006/relationships/hyperlink" Target="https://www.ncbi.nlm.nih.gov/pubmed/?term=Declercq%20A%5BAuthor%5D&amp;cauthor=true&amp;cauthor_uid=27184278" TargetMode="External"/><Relationship Id="rId25" Type="http://schemas.openxmlformats.org/officeDocument/2006/relationships/hyperlink" Target="https://www.ncbi.nlm.nih.gov/pubmed/?term=Aussel%20C%5BAuthor%5D&amp;cauthor=true&amp;cauthor_uid=16210706" TargetMode="External"/><Relationship Id="rId33" Type="http://schemas.openxmlformats.org/officeDocument/2006/relationships/hyperlink" Target="https://www.bapen.org.uk/pdfs/must/must-report.pdf" TargetMode="External"/><Relationship Id="rId38" Type="http://schemas.openxmlformats.org/officeDocument/2006/relationships/hyperlink" Target="https://www.ncbi.nlm.nih.gov/pubmed/?term=da%20Silva%20Fink%20J%5BAuthor%5D&amp;cauthor=true&amp;cauthor_uid=25596153" TargetMode="External"/><Relationship Id="rId46" Type="http://schemas.openxmlformats.org/officeDocument/2006/relationships/hyperlink" Target="https://www.ncbi.nlm.nih.gov/pubmed/?term=Wong%20K%5BAuthor%5D&amp;cauthor=true&amp;cauthor_uid=29753673" TargetMode="External"/><Relationship Id="rId20" Type="http://schemas.openxmlformats.org/officeDocument/2006/relationships/hyperlink" Target="https://www.ncbi.nlm.nih.gov/pubmed/?term=Coulombel%20I%5BAuthor%5D&amp;cauthor=true&amp;cauthor_uid=16210706" TargetMode="External"/><Relationship Id="rId41" Type="http://schemas.openxmlformats.org/officeDocument/2006/relationships/hyperlink" Target="https://www.ncbi.nlm.nih.gov/pubmed/25596153" TargetMode="External"/><Relationship Id="rId1" Type="http://schemas.openxmlformats.org/officeDocument/2006/relationships/hyperlink" Target="https://www.ncbi.nlm.nih.gov/pubmed/?term=Giorgino%20R%5BAuthor%5D&amp;cauthor=true&amp;cauthor_uid=27140179" TargetMode="External"/><Relationship Id="rId6" Type="http://schemas.openxmlformats.org/officeDocument/2006/relationships/hyperlink" Target="https://www.ncbi.nlm.nih.gov/pubmed/?term=Di%20Berardino%20S%5BAuthor%5D&amp;cauthor=true&amp;cauthor_uid=271401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275FE-C430-43CF-BD0F-C7C182CA1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6147</Words>
  <Characters>35166</Characters>
  <Application>Microsoft Office Word</Application>
  <DocSecurity>0</DocSecurity>
  <Lines>1098</Lines>
  <Paragraphs>688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2020-10-03T14:55:00Z</dcterms:created>
  <dcterms:modified xsi:type="dcterms:W3CDTF">2021-11-24T09:41:00Z</dcterms:modified>
</cp:coreProperties>
</file>