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D8D" w:rsidRDefault="006667A9">
      <w:pPr>
        <w:spacing w:after="249" w:line="259" w:lineRule="auto"/>
        <w:ind w:left="-5"/>
      </w:pPr>
      <w:r>
        <w:rPr>
          <w:b/>
        </w:rPr>
        <w:t xml:space="preserve">Changes in Tinnitus Experiences during the COVID-19 Pandemic  </w:t>
      </w:r>
    </w:p>
    <w:p w:rsidR="00353D8D" w:rsidRDefault="006667A9">
      <w:pPr>
        <w:spacing w:after="220" w:line="259" w:lineRule="auto"/>
        <w:ind w:left="0" w:firstLine="0"/>
      </w:pPr>
      <w:r>
        <w:t xml:space="preserve"> </w:t>
      </w:r>
    </w:p>
    <w:p w:rsidR="00353D8D" w:rsidRDefault="006667A9">
      <w:pPr>
        <w:spacing w:after="249" w:line="259" w:lineRule="auto"/>
        <w:ind w:left="-5"/>
      </w:pPr>
      <w:proofErr w:type="spellStart"/>
      <w:r>
        <w:rPr>
          <w:b/>
        </w:rPr>
        <w:t>Eldré</w:t>
      </w:r>
      <w:proofErr w:type="spellEnd"/>
      <w:r>
        <w:rPr>
          <w:b/>
        </w:rPr>
        <w:t xml:space="preserve"> W. Beukes</w:t>
      </w:r>
      <w:proofErr w:type="gramStart"/>
      <w:r>
        <w:rPr>
          <w:b/>
        </w:rPr>
        <w:t>,</w:t>
      </w:r>
      <w:r>
        <w:rPr>
          <w:b/>
          <w:vertAlign w:val="superscript"/>
        </w:rPr>
        <w:t>1,2</w:t>
      </w:r>
      <w:proofErr w:type="gramEnd"/>
      <w:r>
        <w:rPr>
          <w:b/>
        </w:rPr>
        <w:t xml:space="preserve"> David M. Baguley,</w:t>
      </w:r>
      <w:r>
        <w:rPr>
          <w:b/>
          <w:vertAlign w:val="superscript"/>
        </w:rPr>
        <w:t>3,4,5</w:t>
      </w:r>
      <w:r>
        <w:rPr>
          <w:b/>
        </w:rPr>
        <w:t xml:space="preserve"> Laure Jacquemin,</w:t>
      </w:r>
      <w:r>
        <w:rPr>
          <w:b/>
          <w:vertAlign w:val="superscript"/>
        </w:rPr>
        <w:t>6,7</w:t>
      </w:r>
      <w:r>
        <w:rPr>
          <w:b/>
        </w:rPr>
        <w:t xml:space="preserve"> </w:t>
      </w:r>
      <w:proofErr w:type="spellStart"/>
      <w:r>
        <w:rPr>
          <w:b/>
        </w:rPr>
        <w:t>Matheus</w:t>
      </w:r>
      <w:proofErr w:type="spellEnd"/>
      <w:r>
        <w:rPr>
          <w:b/>
        </w:rPr>
        <w:t xml:space="preserve"> P.C.G. </w:t>
      </w:r>
    </w:p>
    <w:p w:rsidR="00353D8D" w:rsidRDefault="006667A9">
      <w:pPr>
        <w:pStyle w:val="Heading1"/>
        <w:spacing w:after="58" w:line="484" w:lineRule="auto"/>
        <w:ind w:left="-5"/>
      </w:pPr>
      <w:r>
        <w:t>Lourenco</w:t>
      </w:r>
      <w:proofErr w:type="gramStart"/>
      <w:r>
        <w:t>,</w:t>
      </w:r>
      <w:r>
        <w:rPr>
          <w:vertAlign w:val="superscript"/>
        </w:rPr>
        <w:t>8,9</w:t>
      </w:r>
      <w:proofErr w:type="gramEnd"/>
      <w:r>
        <w:t xml:space="preserve"> Peter M. Allen,</w:t>
      </w:r>
      <w:r>
        <w:rPr>
          <w:vertAlign w:val="superscript"/>
        </w:rPr>
        <w:t>2,10</w:t>
      </w:r>
      <w:r>
        <w:t xml:space="preserve"> Joy Onozuka,</w:t>
      </w:r>
      <w:r>
        <w:rPr>
          <w:vertAlign w:val="superscript"/>
        </w:rPr>
        <w:t>11</w:t>
      </w:r>
      <w:r>
        <w:t xml:space="preserve"> David Stockdale,</w:t>
      </w:r>
      <w:r>
        <w:rPr>
          <w:vertAlign w:val="superscript"/>
        </w:rPr>
        <w:t>12</w:t>
      </w:r>
      <w:r>
        <w:t xml:space="preserve"> Viktor Kaldo,</w:t>
      </w:r>
      <w:r>
        <w:rPr>
          <w:vertAlign w:val="superscript"/>
        </w:rPr>
        <w:t>13,14</w:t>
      </w:r>
      <w:r>
        <w:t xml:space="preserve"> Gerhard Andersson</w:t>
      </w:r>
      <w:r>
        <w:rPr>
          <w:vertAlign w:val="superscript"/>
        </w:rPr>
        <w:t>14, 15</w:t>
      </w:r>
      <w:r>
        <w:t xml:space="preserve"> </w:t>
      </w:r>
      <w:proofErr w:type="spellStart"/>
      <w:r>
        <w:t>Vinaya</w:t>
      </w:r>
      <w:proofErr w:type="spellEnd"/>
      <w:r>
        <w:t xml:space="preserve"> Manchaiah</w:t>
      </w:r>
      <w:r>
        <w:rPr>
          <w:vertAlign w:val="superscript"/>
        </w:rPr>
        <w:t>1,16</w:t>
      </w:r>
      <w:r>
        <w:t xml:space="preserve"> </w:t>
      </w:r>
    </w:p>
    <w:p w:rsidR="00353D8D" w:rsidRDefault="006667A9">
      <w:pPr>
        <w:spacing w:after="256" w:line="259" w:lineRule="auto"/>
        <w:ind w:left="0" w:firstLine="0"/>
      </w:pPr>
      <w:r>
        <w:rPr>
          <w:i/>
        </w:rPr>
        <w:t xml:space="preserve"> </w:t>
      </w:r>
    </w:p>
    <w:p w:rsidR="00353D8D" w:rsidRDefault="006667A9">
      <w:pPr>
        <w:numPr>
          <w:ilvl w:val="0"/>
          <w:numId w:val="1"/>
        </w:numPr>
        <w:spacing w:after="252" w:line="259" w:lineRule="auto"/>
        <w:ind w:right="159" w:hanging="355"/>
      </w:pPr>
      <w:r>
        <w:t xml:space="preserve">Department of Speech and Hearing Sciences, Lamar University, Beaumont, Texas, </w:t>
      </w:r>
    </w:p>
    <w:p w:rsidR="00353D8D" w:rsidRDefault="006667A9">
      <w:pPr>
        <w:spacing w:after="255" w:line="259" w:lineRule="auto"/>
        <w:ind w:left="723" w:right="159"/>
      </w:pPr>
      <w:r>
        <w:t xml:space="preserve">USA </w:t>
      </w:r>
    </w:p>
    <w:p w:rsidR="00353D8D" w:rsidRDefault="006667A9">
      <w:pPr>
        <w:numPr>
          <w:ilvl w:val="0"/>
          <w:numId w:val="1"/>
        </w:numPr>
        <w:spacing w:after="252" w:line="259" w:lineRule="auto"/>
        <w:ind w:right="159" w:hanging="355"/>
      </w:pPr>
      <w:r>
        <w:t xml:space="preserve">Department of Vision and Hearing Sciences, Anglia Ruskin University, Cambridge, </w:t>
      </w:r>
    </w:p>
    <w:p w:rsidR="00353D8D" w:rsidRDefault="006667A9">
      <w:pPr>
        <w:spacing w:after="255" w:line="259" w:lineRule="auto"/>
        <w:ind w:left="723" w:right="159"/>
      </w:pPr>
      <w:r>
        <w:t xml:space="preserve">United Kingdom </w:t>
      </w:r>
    </w:p>
    <w:p w:rsidR="00353D8D" w:rsidRDefault="006667A9">
      <w:pPr>
        <w:numPr>
          <w:ilvl w:val="0"/>
          <w:numId w:val="1"/>
        </w:numPr>
        <w:spacing w:after="252" w:line="259" w:lineRule="auto"/>
        <w:ind w:right="159" w:hanging="355"/>
      </w:pPr>
      <w:r>
        <w:t xml:space="preserve">National Institute for Health Research, Nottingham </w:t>
      </w:r>
      <w:r>
        <w:t xml:space="preserve">Biomedical Research Centre, </w:t>
      </w:r>
    </w:p>
    <w:p w:rsidR="00353D8D" w:rsidRDefault="006667A9">
      <w:pPr>
        <w:spacing w:after="255" w:line="259" w:lineRule="auto"/>
        <w:ind w:left="723" w:right="159"/>
      </w:pPr>
      <w:r>
        <w:t xml:space="preserve">Ropewalk House, Nottingham, United Kingdom </w:t>
      </w:r>
    </w:p>
    <w:p w:rsidR="00353D8D" w:rsidRDefault="006667A9">
      <w:pPr>
        <w:numPr>
          <w:ilvl w:val="0"/>
          <w:numId w:val="1"/>
        </w:numPr>
        <w:spacing w:after="252" w:line="259" w:lineRule="auto"/>
        <w:ind w:right="159" w:hanging="355"/>
      </w:pPr>
      <w:r>
        <w:t xml:space="preserve">Hearing Sciences, Division of Clinical Neuroscience, School of </w:t>
      </w:r>
    </w:p>
    <w:p w:rsidR="00353D8D" w:rsidRDefault="006667A9">
      <w:pPr>
        <w:spacing w:after="255" w:line="259" w:lineRule="auto"/>
        <w:ind w:left="723" w:right="159"/>
      </w:pPr>
      <w:r>
        <w:t xml:space="preserve">Medicine, University of Nottingham, Nottingham, United Kingdom </w:t>
      </w:r>
    </w:p>
    <w:p w:rsidR="00353D8D" w:rsidRDefault="006667A9">
      <w:pPr>
        <w:numPr>
          <w:ilvl w:val="0"/>
          <w:numId w:val="1"/>
        </w:numPr>
        <w:spacing w:after="252" w:line="259" w:lineRule="auto"/>
        <w:ind w:right="159" w:hanging="355"/>
      </w:pPr>
      <w:r>
        <w:t>Nottingham Audiology Services, Nottingham University Ho</w:t>
      </w:r>
      <w:r>
        <w:t xml:space="preserve">spitals, Nottingham, </w:t>
      </w:r>
    </w:p>
    <w:p w:rsidR="00353D8D" w:rsidRDefault="006667A9">
      <w:pPr>
        <w:spacing w:after="255" w:line="259" w:lineRule="auto"/>
        <w:ind w:left="723" w:right="159"/>
      </w:pPr>
      <w:r>
        <w:t xml:space="preserve">United Kingdom </w:t>
      </w:r>
    </w:p>
    <w:p w:rsidR="00353D8D" w:rsidRDefault="006667A9">
      <w:pPr>
        <w:numPr>
          <w:ilvl w:val="0"/>
          <w:numId w:val="1"/>
        </w:numPr>
        <w:spacing w:after="252" w:line="259" w:lineRule="auto"/>
        <w:ind w:right="159" w:hanging="355"/>
      </w:pPr>
      <w:r>
        <w:t xml:space="preserve">Department of Otorhinolaryngology and Head and Neck Surgery, Antwerp University </w:t>
      </w:r>
    </w:p>
    <w:p w:rsidR="00353D8D" w:rsidRDefault="006667A9">
      <w:pPr>
        <w:spacing w:after="255" w:line="259" w:lineRule="auto"/>
        <w:ind w:left="723" w:right="159"/>
      </w:pPr>
      <w:r>
        <w:t xml:space="preserve">Hospital, </w:t>
      </w:r>
      <w:proofErr w:type="spellStart"/>
      <w:r>
        <w:t>Edegem</w:t>
      </w:r>
      <w:proofErr w:type="spellEnd"/>
      <w:r>
        <w:t xml:space="preserve">, Belgium </w:t>
      </w:r>
    </w:p>
    <w:p w:rsidR="00353D8D" w:rsidRDefault="006667A9">
      <w:pPr>
        <w:numPr>
          <w:ilvl w:val="0"/>
          <w:numId w:val="1"/>
        </w:numPr>
        <w:spacing w:after="252" w:line="259" w:lineRule="auto"/>
        <w:ind w:right="159" w:hanging="355"/>
      </w:pPr>
      <w:r>
        <w:t xml:space="preserve">Department of Translational Neurosciences, Faculty of Medicine and Health </w:t>
      </w:r>
    </w:p>
    <w:p w:rsidR="00353D8D" w:rsidRDefault="006667A9">
      <w:pPr>
        <w:spacing w:after="255" w:line="259" w:lineRule="auto"/>
        <w:ind w:left="723" w:right="159"/>
      </w:pPr>
      <w:r>
        <w:t xml:space="preserve">Sciences, University of Antwerp, </w:t>
      </w:r>
      <w:proofErr w:type="spellStart"/>
      <w:r>
        <w:t>Wi</w:t>
      </w:r>
      <w:r>
        <w:t>lrijk</w:t>
      </w:r>
      <w:proofErr w:type="spellEnd"/>
      <w:r>
        <w:t xml:space="preserve">, Belgium </w:t>
      </w:r>
    </w:p>
    <w:p w:rsidR="00353D8D" w:rsidRDefault="006667A9">
      <w:pPr>
        <w:numPr>
          <w:ilvl w:val="0"/>
          <w:numId w:val="1"/>
        </w:numPr>
        <w:spacing w:after="255" w:line="259" w:lineRule="auto"/>
        <w:ind w:right="159" w:hanging="355"/>
      </w:pPr>
      <w:r>
        <w:t xml:space="preserve">Experimental Health Psychology, Maastricht University, The Netherlands </w:t>
      </w:r>
    </w:p>
    <w:p w:rsidR="00353D8D" w:rsidRDefault="006667A9">
      <w:pPr>
        <w:numPr>
          <w:ilvl w:val="0"/>
          <w:numId w:val="1"/>
        </w:numPr>
        <w:spacing w:after="255" w:line="259" w:lineRule="auto"/>
        <w:ind w:right="159" w:hanging="355"/>
      </w:pPr>
      <w:r>
        <w:t xml:space="preserve">Research Group, Health Psychology, KU Leuven University, Belgium </w:t>
      </w:r>
    </w:p>
    <w:p w:rsidR="00353D8D" w:rsidRDefault="006667A9">
      <w:pPr>
        <w:numPr>
          <w:ilvl w:val="0"/>
          <w:numId w:val="1"/>
        </w:numPr>
        <w:spacing w:after="252" w:line="259" w:lineRule="auto"/>
        <w:ind w:right="159" w:hanging="355"/>
      </w:pPr>
      <w:r>
        <w:t xml:space="preserve">Vision and Eye Research Unit, Anglia Ruskin University, Cambridge, United </w:t>
      </w:r>
    </w:p>
    <w:p w:rsidR="00353D8D" w:rsidRDefault="006667A9">
      <w:pPr>
        <w:spacing w:after="255" w:line="259" w:lineRule="auto"/>
        <w:ind w:left="723" w:right="159"/>
      </w:pPr>
      <w:r>
        <w:t xml:space="preserve">Kingdom </w:t>
      </w:r>
    </w:p>
    <w:p w:rsidR="00353D8D" w:rsidRDefault="006667A9">
      <w:pPr>
        <w:numPr>
          <w:ilvl w:val="0"/>
          <w:numId w:val="1"/>
        </w:numPr>
        <w:spacing w:line="259" w:lineRule="auto"/>
        <w:ind w:right="159" w:hanging="355"/>
      </w:pPr>
      <w:r>
        <w:lastRenderedPageBreak/>
        <w:t xml:space="preserve">American Tinnitus Association, Portland, Oregon, United States </w:t>
      </w:r>
    </w:p>
    <w:p w:rsidR="00353D8D" w:rsidRDefault="006667A9">
      <w:pPr>
        <w:numPr>
          <w:ilvl w:val="0"/>
          <w:numId w:val="1"/>
        </w:numPr>
        <w:spacing w:after="255" w:line="259" w:lineRule="auto"/>
        <w:ind w:right="159" w:hanging="355"/>
      </w:pPr>
      <w:r>
        <w:t xml:space="preserve">British Tinnitus Association, Sheffield, UK </w:t>
      </w:r>
    </w:p>
    <w:p w:rsidR="00353D8D" w:rsidRDefault="006667A9">
      <w:pPr>
        <w:numPr>
          <w:ilvl w:val="0"/>
          <w:numId w:val="1"/>
        </w:numPr>
        <w:spacing w:after="252" w:line="259" w:lineRule="auto"/>
        <w:ind w:right="159" w:hanging="355"/>
      </w:pPr>
      <w:r>
        <w:t xml:space="preserve">Department of Psychology, Faculty of Health and Life Sciences, Linnaeus University, </w:t>
      </w:r>
    </w:p>
    <w:p w:rsidR="00353D8D" w:rsidRDefault="006667A9">
      <w:pPr>
        <w:spacing w:after="255" w:line="259" w:lineRule="auto"/>
        <w:ind w:left="723" w:right="159"/>
      </w:pPr>
      <w:proofErr w:type="spellStart"/>
      <w:r>
        <w:t>Växjö</w:t>
      </w:r>
      <w:proofErr w:type="spellEnd"/>
      <w:r>
        <w:t xml:space="preserve">, Sweden. </w:t>
      </w:r>
    </w:p>
    <w:p w:rsidR="00353D8D" w:rsidRDefault="006667A9">
      <w:pPr>
        <w:numPr>
          <w:ilvl w:val="0"/>
          <w:numId w:val="1"/>
        </w:numPr>
        <w:spacing w:after="252" w:line="259" w:lineRule="auto"/>
        <w:ind w:right="159" w:hanging="355"/>
      </w:pPr>
      <w:r>
        <w:t xml:space="preserve">Centre for Psychiatry Research, Department of </w:t>
      </w:r>
      <w:r>
        <w:t xml:space="preserve">Clinical Neuroscience, </w:t>
      </w:r>
      <w:proofErr w:type="spellStart"/>
      <w:r>
        <w:t>Karolinska</w:t>
      </w:r>
      <w:proofErr w:type="spellEnd"/>
      <w:r>
        <w:t xml:space="preserve"> </w:t>
      </w:r>
    </w:p>
    <w:p w:rsidR="00353D8D" w:rsidRDefault="006667A9">
      <w:pPr>
        <w:spacing w:after="255" w:line="259" w:lineRule="auto"/>
        <w:ind w:left="723" w:right="159"/>
      </w:pPr>
      <w:proofErr w:type="spellStart"/>
      <w:r>
        <w:t>Institutet</w:t>
      </w:r>
      <w:proofErr w:type="spellEnd"/>
      <w:r>
        <w:t xml:space="preserve">, &amp; Stockholm Health Care Services, Region Stockholm, Sweden </w:t>
      </w:r>
    </w:p>
    <w:p w:rsidR="00353D8D" w:rsidRDefault="006667A9">
      <w:pPr>
        <w:numPr>
          <w:ilvl w:val="0"/>
          <w:numId w:val="1"/>
        </w:numPr>
        <w:spacing w:after="252" w:line="259" w:lineRule="auto"/>
        <w:ind w:right="159" w:hanging="355"/>
      </w:pPr>
      <w:r>
        <w:t xml:space="preserve">Department of </w:t>
      </w:r>
      <w:proofErr w:type="spellStart"/>
      <w:r>
        <w:t>Behavioral</w:t>
      </w:r>
      <w:proofErr w:type="spellEnd"/>
      <w:r>
        <w:t xml:space="preserve"> Sciences and Learning, Linköping University, Linköping, </w:t>
      </w:r>
    </w:p>
    <w:p w:rsidR="00353D8D" w:rsidRDefault="006667A9">
      <w:pPr>
        <w:spacing w:after="255" w:line="259" w:lineRule="auto"/>
        <w:ind w:left="723" w:right="159"/>
      </w:pPr>
      <w:r>
        <w:t xml:space="preserve">Sweden </w:t>
      </w:r>
    </w:p>
    <w:p w:rsidR="00353D8D" w:rsidRDefault="006667A9">
      <w:pPr>
        <w:numPr>
          <w:ilvl w:val="0"/>
          <w:numId w:val="1"/>
        </w:numPr>
        <w:ind w:right="159" w:hanging="355"/>
      </w:pPr>
      <w:r>
        <w:t>Department of Speech and Hearing, School of Allied Health S</w:t>
      </w:r>
      <w:r>
        <w:t xml:space="preserve">ciences, </w:t>
      </w:r>
      <w:proofErr w:type="spellStart"/>
      <w:r>
        <w:t>Manipal</w:t>
      </w:r>
      <w:proofErr w:type="spellEnd"/>
      <w:r>
        <w:t xml:space="preserve"> University, Karnataka, India </w:t>
      </w:r>
    </w:p>
    <w:p w:rsidR="00353D8D" w:rsidRDefault="006667A9">
      <w:pPr>
        <w:spacing w:after="252" w:line="259" w:lineRule="auto"/>
        <w:ind w:left="0" w:firstLine="0"/>
      </w:pPr>
      <w:r>
        <w:t xml:space="preserve"> </w:t>
      </w:r>
    </w:p>
    <w:p w:rsidR="00353D8D" w:rsidRDefault="006667A9">
      <w:pPr>
        <w:pStyle w:val="Heading1"/>
        <w:ind w:left="-5"/>
      </w:pPr>
      <w:r>
        <w:t xml:space="preserve">Abstract   </w:t>
      </w:r>
    </w:p>
    <w:p w:rsidR="00353D8D" w:rsidRDefault="006667A9">
      <w:pPr>
        <w:ind w:left="-5" w:right="159"/>
      </w:pPr>
      <w:r>
        <w:rPr>
          <w:b/>
        </w:rPr>
        <w:t>Introduction:</w:t>
      </w:r>
      <w:r>
        <w:t xml:space="preserve"> The COVID-19 pandemic has disrupted delivery of healthcare, economic activity, and affected social interactions. Identifying and supporting those most affected by the pandemic is </w:t>
      </w:r>
      <w:r>
        <w:t xml:space="preserve">required. The purpose of this study was to determine the impact of the pandemic on individuals with tinnitus and to identify mediating factors. </w:t>
      </w:r>
    </w:p>
    <w:p w:rsidR="00353D8D" w:rsidRDefault="006667A9">
      <w:pPr>
        <w:ind w:left="-5"/>
      </w:pPr>
      <w:r>
        <w:rPr>
          <w:b/>
        </w:rPr>
        <w:t xml:space="preserve">Methods: </w:t>
      </w:r>
      <w:r>
        <w:t xml:space="preserve">This is a mixed-methods exploratory cross-sectional </w:t>
      </w:r>
      <w:r>
        <w:t xml:space="preserve">study, using data collected via an online survey from 3,103 individuals with tinnitus from 48 countries. The greatest representation was from North America (49%) and Europe (47%) and other counties </w:t>
      </w:r>
      <w:proofErr w:type="gramStart"/>
      <w:r>
        <w:t>were only marginally represented</w:t>
      </w:r>
      <w:proofErr w:type="gramEnd"/>
      <w:r>
        <w:t xml:space="preserve">.  </w:t>
      </w:r>
    </w:p>
    <w:p w:rsidR="00353D8D" w:rsidRDefault="006667A9">
      <w:pPr>
        <w:ind w:left="-5"/>
      </w:pPr>
      <w:r>
        <w:rPr>
          <w:b/>
        </w:rPr>
        <w:t xml:space="preserve">Results: </w:t>
      </w:r>
      <w:r>
        <w:t xml:space="preserve"> Although the</w:t>
      </w:r>
      <w:r>
        <w:t xml:space="preserve"> study was aimed at those with pre-existing tinnitus, </w:t>
      </w:r>
      <w:proofErr w:type="gramStart"/>
      <w:r>
        <w:t>7</w:t>
      </w:r>
      <w:proofErr w:type="gramEnd"/>
      <w:r>
        <w:t xml:space="preserve"> individuals reported that having COVID-19 initiated tinnitus. </w:t>
      </w:r>
      <w:proofErr w:type="gramStart"/>
      <w:r>
        <w:t>Having been diagnosed</w:t>
      </w:r>
      <w:proofErr w:type="gramEnd"/>
      <w:r>
        <w:t xml:space="preserve"> with COVID-19 exacerbated tinnitus in 42% of respondents, made no change in 57%, and improved tinnitus in 1%. Other </w:t>
      </w:r>
      <w:r>
        <w:t xml:space="preserve">mediating factors such as the social and emotional consequences of the pandemic made pre-existing tinnitus more bothersome for 32% of the respondents, </w:t>
      </w:r>
      <w:r>
        <w:lastRenderedPageBreak/>
        <w:t>particularly for females and younger adults, better for 1%, and made no change to tinnitus for 67%. Pre-e</w:t>
      </w:r>
      <w:r>
        <w:t xml:space="preserve">xisting tinnitus </w:t>
      </w:r>
      <w:proofErr w:type="gramStart"/>
      <w:r>
        <w:t>was significantly exacerbated</w:t>
      </w:r>
      <w:proofErr w:type="gramEnd"/>
      <w:r>
        <w:t xml:space="preserve"> for those self-isolating, experiencing loneliness, sleeping poorly, and with reduced levels of exercise. Increased depression, anxiety, irritability, and financial worries further significantly contributed to </w:t>
      </w:r>
      <w:r>
        <w:t xml:space="preserve">tinnitus being more bothersome during the pandemic period. </w:t>
      </w:r>
    </w:p>
    <w:p w:rsidR="00353D8D" w:rsidRDefault="006667A9">
      <w:pPr>
        <w:ind w:left="-5" w:right="159"/>
      </w:pPr>
      <w:r>
        <w:rPr>
          <w:b/>
        </w:rPr>
        <w:t xml:space="preserve">Conclusions: </w:t>
      </w:r>
      <w:r>
        <w:t>These findings have implications for tinnitus management. They highlight the diverse response both internal and external factors have on tinnitus levels. Clinical services should be m</w:t>
      </w:r>
      <w:r>
        <w:t xml:space="preserve">indful that tinnitus </w:t>
      </w:r>
      <w:proofErr w:type="gramStart"/>
      <w:r>
        <w:t>may be initiated</w:t>
      </w:r>
      <w:proofErr w:type="gramEnd"/>
      <w:r>
        <w:t xml:space="preserve"> by contracting COVID-19 and pre-existing tinnitus may be exacerbated, although in the majority of respondents there was no change. Additional support </w:t>
      </w:r>
      <w:proofErr w:type="gramStart"/>
      <w:r>
        <w:t>should be offered</w:t>
      </w:r>
      <w:proofErr w:type="gramEnd"/>
      <w:r>
        <w:t xml:space="preserve"> where tinnitus severity has increased due to the h</w:t>
      </w:r>
      <w:r>
        <w:t xml:space="preserve">ealth, social, and/or emotional effects of the COVID-19 pandemic. Tinnitus may be more bothersome for those experiencing loneliness, having fewer social interactions, and who are more anxious or worried.  </w:t>
      </w:r>
    </w:p>
    <w:p w:rsidR="00353D8D" w:rsidRDefault="006667A9">
      <w:pPr>
        <w:spacing w:after="252" w:line="259" w:lineRule="auto"/>
        <w:ind w:left="0" w:firstLine="0"/>
      </w:pPr>
      <w:r>
        <w:rPr>
          <w:b/>
        </w:rPr>
        <w:t xml:space="preserve"> </w:t>
      </w:r>
    </w:p>
    <w:p w:rsidR="00353D8D" w:rsidRDefault="006667A9">
      <w:pPr>
        <w:pStyle w:val="Heading1"/>
        <w:ind w:left="-5"/>
      </w:pPr>
      <w:r>
        <w:t>Introduction</w:t>
      </w:r>
      <w:r>
        <w:rPr>
          <w:b w:val="0"/>
        </w:rPr>
        <w:t xml:space="preserve"> </w:t>
      </w:r>
      <w:r>
        <w:t xml:space="preserve"> </w:t>
      </w:r>
    </w:p>
    <w:p w:rsidR="00353D8D" w:rsidRDefault="006667A9">
      <w:pPr>
        <w:ind w:left="-5" w:right="159"/>
      </w:pPr>
      <w:r>
        <w:t>In March 2020, the World Health O</w:t>
      </w:r>
      <w:r>
        <w:t>rganization (WHO) declared the COVID-19 outbreak a global pandemic (</w:t>
      </w:r>
      <w:proofErr w:type="spellStart"/>
      <w:r>
        <w:t>Sohrabi</w:t>
      </w:r>
      <w:proofErr w:type="spellEnd"/>
      <w:r>
        <w:t xml:space="preserve">, et al., 2020). This pandemic has </w:t>
      </w:r>
      <w:proofErr w:type="gramStart"/>
      <w:r>
        <w:t>impacted</w:t>
      </w:r>
      <w:proofErr w:type="gramEnd"/>
      <w:r>
        <w:t xml:space="preserve"> the lives of millions of people around the globe, causing extraordinary disruption to the delivery of healthcare, economic activity, and </w:t>
      </w:r>
      <w:r>
        <w:t>social interactions (World Health Organization, 2020).  Due to the person-to-person transmission of COVID-19 (Chan, et al., 2020), most countries introduced social distancing restrictions and advised people to stay at home where possible (</w:t>
      </w:r>
      <w:proofErr w:type="spellStart"/>
      <w:r>
        <w:t>Lewnard</w:t>
      </w:r>
      <w:proofErr w:type="spellEnd"/>
      <w:r>
        <w:t xml:space="preserve"> &amp; Lo, 202</w:t>
      </w:r>
      <w:r>
        <w:t xml:space="preserve">0).   </w:t>
      </w:r>
    </w:p>
    <w:p w:rsidR="00353D8D" w:rsidRDefault="006667A9">
      <w:pPr>
        <w:spacing w:after="252" w:line="259" w:lineRule="auto"/>
        <w:ind w:left="0" w:firstLine="0"/>
      </w:pPr>
      <w:r>
        <w:t xml:space="preserve"> </w:t>
      </w:r>
    </w:p>
    <w:p w:rsidR="00353D8D" w:rsidRDefault="006667A9">
      <w:pPr>
        <w:ind w:left="-5" w:right="159"/>
      </w:pPr>
      <w:r>
        <w:t xml:space="preserve">Although such measures reduced the spread of the virus, they can increase levels of depression and reduce well-being in the general population, as indicated by a systematic </w:t>
      </w:r>
      <w:r>
        <w:lastRenderedPageBreak/>
        <w:t>review, collating the current evidence (</w:t>
      </w:r>
      <w:proofErr w:type="spellStart"/>
      <w:r>
        <w:t>Vindegaard</w:t>
      </w:r>
      <w:proofErr w:type="spellEnd"/>
      <w:r>
        <w:t xml:space="preserve"> &amp; </w:t>
      </w:r>
      <w:proofErr w:type="spellStart"/>
      <w:r>
        <w:t>Benros</w:t>
      </w:r>
      <w:proofErr w:type="spellEnd"/>
      <w:r>
        <w:t>, 2020). This r</w:t>
      </w:r>
      <w:r>
        <w:t>eview found lower psychological well-being and higher anxiety and depression compared to before COVID-19. Numerous factors including poor-self rated health poor sleep quality, higher perceived stress load, less family support, and unsteady family income, w</w:t>
      </w:r>
      <w:r>
        <w:t xml:space="preserve">ere associated with this increased risk of depression and anxiety. </w:t>
      </w:r>
    </w:p>
    <w:p w:rsidR="00353D8D" w:rsidRDefault="006667A9">
      <w:pPr>
        <w:spacing w:after="252" w:line="259" w:lineRule="auto"/>
        <w:ind w:left="0" w:firstLine="0"/>
      </w:pPr>
      <w:r>
        <w:t xml:space="preserve"> </w:t>
      </w:r>
    </w:p>
    <w:p w:rsidR="00353D8D" w:rsidRDefault="006667A9">
      <w:pPr>
        <w:ind w:left="-5" w:right="159"/>
      </w:pPr>
      <w:r>
        <w:t xml:space="preserve">Support </w:t>
      </w:r>
      <w:proofErr w:type="gramStart"/>
      <w:r>
        <w:t>should be directed</w:t>
      </w:r>
      <w:proofErr w:type="gramEnd"/>
      <w:r>
        <w:t xml:space="preserve"> towards those at higher risk of reduced well-being during the pandemic, such as those with existing mental health conditions (</w:t>
      </w:r>
      <w:proofErr w:type="spellStart"/>
      <w:r>
        <w:t>Vindegaard</w:t>
      </w:r>
      <w:proofErr w:type="spellEnd"/>
      <w:r>
        <w:t xml:space="preserve"> &amp; </w:t>
      </w:r>
      <w:proofErr w:type="spellStart"/>
      <w:r>
        <w:t>Benros</w:t>
      </w:r>
      <w:proofErr w:type="spellEnd"/>
      <w:r>
        <w:t>, 2020). One s</w:t>
      </w:r>
      <w:r>
        <w:t xml:space="preserve">uch at-risk group are those with chronic tinnitus, due to already having an increased risk of reduced emotional wellbeing, depression, and anxiety (Salazar, et al., 2019; </w:t>
      </w:r>
      <w:proofErr w:type="spellStart"/>
      <w:r>
        <w:t>Trevis</w:t>
      </w:r>
      <w:proofErr w:type="spellEnd"/>
      <w:r>
        <w:t xml:space="preserve">, McLachlan, &amp; </w:t>
      </w:r>
      <w:proofErr w:type="spellStart"/>
      <w:r>
        <w:t>Wlison</w:t>
      </w:r>
      <w:proofErr w:type="spellEnd"/>
      <w:r>
        <w:t xml:space="preserve">, 2018). Those experiencing tinnitus hear sounds in their </w:t>
      </w:r>
      <w:r>
        <w:t>head and/or ears in the absence of an external sound (</w:t>
      </w:r>
      <w:proofErr w:type="spellStart"/>
      <w:r>
        <w:t>Baguley</w:t>
      </w:r>
      <w:proofErr w:type="spellEnd"/>
      <w:r>
        <w:t xml:space="preserve">, </w:t>
      </w:r>
      <w:proofErr w:type="spellStart"/>
      <w:r>
        <w:t>McFerran</w:t>
      </w:r>
      <w:proofErr w:type="spellEnd"/>
      <w:r>
        <w:t>, &amp; Hall, 2013). It is one of the most frequently occurring chronic conditions, affecting 12 to 30% of the adult population (McCormack, Edmondson-Jones, Somerset, &amp; Hall, 2016). Althoug</w:t>
      </w:r>
      <w:r>
        <w:t>h tinnitus occurs in all age groups, older adults have a higher incidence of tinnitus (</w:t>
      </w:r>
      <w:proofErr w:type="spellStart"/>
      <w:r>
        <w:t>Stohler</w:t>
      </w:r>
      <w:proofErr w:type="spellEnd"/>
      <w:r>
        <w:t xml:space="preserve">, </w:t>
      </w:r>
      <w:proofErr w:type="spellStart"/>
      <w:r>
        <w:t>Reinau</w:t>
      </w:r>
      <w:proofErr w:type="spellEnd"/>
      <w:r>
        <w:t xml:space="preserve">, </w:t>
      </w:r>
    </w:p>
    <w:p w:rsidR="00353D8D" w:rsidRDefault="006667A9">
      <w:pPr>
        <w:ind w:left="-5"/>
      </w:pPr>
      <w:proofErr w:type="spellStart"/>
      <w:r>
        <w:t>Jick</w:t>
      </w:r>
      <w:proofErr w:type="spellEnd"/>
      <w:r>
        <w:t xml:space="preserve">, </w:t>
      </w:r>
      <w:proofErr w:type="spellStart"/>
      <w:r>
        <w:t>Bodmer</w:t>
      </w:r>
      <w:proofErr w:type="spellEnd"/>
      <w:r>
        <w:t>, &amp; Meier, 2019). This is also the age group most at risk of severe illness from COVID-19 (Clark, et al., 2020). A complex bidirectional in</w:t>
      </w:r>
      <w:r>
        <w:t>teraction exists between tinnitus and emotional distress, as they can trigger or exacerbate each other (</w:t>
      </w:r>
      <w:proofErr w:type="spellStart"/>
      <w:r>
        <w:t>Mazurek</w:t>
      </w:r>
      <w:proofErr w:type="spellEnd"/>
      <w:r>
        <w:t xml:space="preserve">, </w:t>
      </w:r>
      <w:proofErr w:type="spellStart"/>
      <w:r>
        <w:t>Szczepek</w:t>
      </w:r>
      <w:proofErr w:type="spellEnd"/>
      <w:r>
        <w:t xml:space="preserve">, &amp; Hebert, 2015). Tinnitus frequently spikes or </w:t>
      </w:r>
      <w:proofErr w:type="gramStart"/>
      <w:r>
        <w:t>is even initiated</w:t>
      </w:r>
      <w:proofErr w:type="gramEnd"/>
      <w:r>
        <w:t xml:space="preserve"> during stressful periods (</w:t>
      </w:r>
      <w:proofErr w:type="spellStart"/>
      <w:r>
        <w:t>Mazurek</w:t>
      </w:r>
      <w:proofErr w:type="spellEnd"/>
      <w:r>
        <w:t xml:space="preserve">, </w:t>
      </w:r>
      <w:proofErr w:type="spellStart"/>
      <w:r>
        <w:t>Haupt</w:t>
      </w:r>
      <w:proofErr w:type="spellEnd"/>
      <w:r>
        <w:t xml:space="preserve">, </w:t>
      </w:r>
      <w:proofErr w:type="spellStart"/>
      <w:r>
        <w:t>Olze</w:t>
      </w:r>
      <w:proofErr w:type="spellEnd"/>
      <w:r>
        <w:t xml:space="preserve">, &amp; </w:t>
      </w:r>
      <w:proofErr w:type="spellStart"/>
      <w:r>
        <w:t>Szczepek</w:t>
      </w:r>
      <w:proofErr w:type="spellEnd"/>
      <w:r>
        <w:t xml:space="preserve">, 2012). </w:t>
      </w:r>
      <w:proofErr w:type="gramStart"/>
      <w:r>
        <w:t>A</w:t>
      </w:r>
      <w:r>
        <w:t>lso</w:t>
      </w:r>
      <w:proofErr w:type="gramEnd"/>
      <w:r>
        <w:t>, due to the pandemic, it is more difficult to receive healthcare for conditions that are not seen as life-threatening, such as tinnitus. The pandemic has been shown to increase fear and worry in the general population (</w:t>
      </w:r>
      <w:proofErr w:type="spellStart"/>
      <w:r>
        <w:t>Mertens</w:t>
      </w:r>
      <w:proofErr w:type="spellEnd"/>
      <w:r>
        <w:t xml:space="preserve">, </w:t>
      </w:r>
      <w:proofErr w:type="spellStart"/>
      <w:r>
        <w:t>Gerritsen</w:t>
      </w:r>
      <w:proofErr w:type="spellEnd"/>
      <w:r>
        <w:t xml:space="preserve">, </w:t>
      </w:r>
      <w:proofErr w:type="spellStart"/>
      <w:r>
        <w:t>Duijndam</w:t>
      </w:r>
      <w:proofErr w:type="spellEnd"/>
      <w:r>
        <w:t xml:space="preserve">, </w:t>
      </w:r>
      <w:proofErr w:type="spellStart"/>
      <w:r>
        <w:t>Sal</w:t>
      </w:r>
      <w:r>
        <w:t>emink</w:t>
      </w:r>
      <w:proofErr w:type="spellEnd"/>
      <w:r>
        <w:t>, &amp; Engelhard, 2020) and may potentially worsen levels of tinnitus due to the clear relationship between emotional distress and severe tinnitus (</w:t>
      </w:r>
      <w:proofErr w:type="spellStart"/>
      <w:r>
        <w:t>Mazurek</w:t>
      </w:r>
      <w:proofErr w:type="spellEnd"/>
      <w:r>
        <w:t xml:space="preserve">, </w:t>
      </w:r>
      <w:proofErr w:type="spellStart"/>
      <w:r>
        <w:lastRenderedPageBreak/>
        <w:t>Boecking</w:t>
      </w:r>
      <w:proofErr w:type="spellEnd"/>
      <w:r>
        <w:t xml:space="preserve">, &amp; </w:t>
      </w:r>
      <w:proofErr w:type="spellStart"/>
      <w:r>
        <w:t>Brueggemann</w:t>
      </w:r>
      <w:proofErr w:type="spellEnd"/>
      <w:r>
        <w:t xml:space="preserve">, 2019). This </w:t>
      </w:r>
      <w:proofErr w:type="gramStart"/>
      <w:r>
        <w:t>may, in turn, increase</w:t>
      </w:r>
      <w:proofErr w:type="gramEnd"/>
      <w:r>
        <w:t xml:space="preserve"> the societal cost of tinnitus, estima</w:t>
      </w:r>
      <w:r>
        <w:t xml:space="preserve">ted to be £2.7 billion per annum in the United Kingdom (Stockdale, et al., 2017). </w:t>
      </w:r>
    </w:p>
    <w:p w:rsidR="00353D8D" w:rsidRDefault="006667A9">
      <w:pPr>
        <w:ind w:left="-5"/>
      </w:pPr>
      <w:r>
        <w:t xml:space="preserve">Further research into the impact of COVID-19 on tinnitus is required. Such studies are emerging, for </w:t>
      </w:r>
      <w:proofErr w:type="gramStart"/>
      <w:r>
        <w:t>example</w:t>
      </w:r>
      <w:proofErr w:type="gramEnd"/>
      <w:r>
        <w:t xml:space="preserve"> 122 tinnitus patients from a clinic in Germany indicated that al</w:t>
      </w:r>
      <w:r>
        <w:t>though COVID-19 resulted in increased levels of stress only a small increase in tinnitus distress was found (</w:t>
      </w:r>
      <w:proofErr w:type="spellStart"/>
      <w:r>
        <w:t>Schlee</w:t>
      </w:r>
      <w:proofErr w:type="spellEnd"/>
      <w:r>
        <w:t xml:space="preserve"> et al., 2020). Due to the highly heterogeneous nature of tinnitus (</w:t>
      </w:r>
      <w:proofErr w:type="spellStart"/>
      <w:r>
        <w:t>Cederroth</w:t>
      </w:r>
      <w:proofErr w:type="spellEnd"/>
      <w:r>
        <w:t xml:space="preserve"> et al., 2019), it is not known if these experiences would be si</w:t>
      </w:r>
      <w:r>
        <w:t xml:space="preserve">milar in a non-clinical population. It </w:t>
      </w:r>
      <w:proofErr w:type="gramStart"/>
      <w:r>
        <w:t>is also not known</w:t>
      </w:r>
      <w:proofErr w:type="gramEnd"/>
      <w:r>
        <w:t xml:space="preserve"> if these experiences are unique to those living in Germany. A study targeting the general population experiencing tinnitus from more countries is desirable. The aim of this study was to investigate t</w:t>
      </w:r>
      <w:r>
        <w:t xml:space="preserve">he impact of COVID-19 and factors that contribute to this impact. The hypothesis for this study is that tinnitus experiences will worsen during the pandemic. </w:t>
      </w:r>
    </w:p>
    <w:p w:rsidR="00353D8D" w:rsidRDefault="006667A9">
      <w:pPr>
        <w:spacing w:after="252" w:line="259" w:lineRule="auto"/>
        <w:ind w:left="0" w:firstLine="0"/>
      </w:pPr>
      <w:r>
        <w:t xml:space="preserve"> </w:t>
      </w:r>
    </w:p>
    <w:p w:rsidR="00353D8D" w:rsidRDefault="006667A9">
      <w:pPr>
        <w:spacing w:after="249" w:line="259" w:lineRule="auto"/>
        <w:ind w:left="-5"/>
      </w:pPr>
      <w:r>
        <w:rPr>
          <w:b/>
        </w:rPr>
        <w:t xml:space="preserve">Methods </w:t>
      </w:r>
    </w:p>
    <w:p w:rsidR="00353D8D" w:rsidRDefault="006667A9">
      <w:pPr>
        <w:spacing w:after="252" w:line="259" w:lineRule="auto"/>
        <w:ind w:left="0" w:firstLine="0"/>
      </w:pPr>
      <w:r>
        <w:t xml:space="preserve"> </w:t>
      </w:r>
    </w:p>
    <w:p w:rsidR="00353D8D" w:rsidRDefault="006667A9">
      <w:pPr>
        <w:pStyle w:val="Heading1"/>
        <w:ind w:left="-5"/>
      </w:pPr>
      <w:r>
        <w:t xml:space="preserve">Study design </w:t>
      </w:r>
    </w:p>
    <w:p w:rsidR="00353D8D" w:rsidRDefault="006667A9">
      <w:pPr>
        <w:ind w:left="-5" w:right="159"/>
      </w:pPr>
      <w:r>
        <w:t xml:space="preserve">A mixed-methods exploratory cross-sectional survey study design </w:t>
      </w:r>
      <w:proofErr w:type="gramStart"/>
      <w:r>
        <w:t>was us</w:t>
      </w:r>
      <w:r>
        <w:t>ed</w:t>
      </w:r>
      <w:proofErr w:type="gramEnd"/>
      <w:r>
        <w:t xml:space="preserve"> to explore the impact of the COVID-19 pandemic on experiences of tinnitus. </w:t>
      </w:r>
      <w:proofErr w:type="gramStart"/>
      <w:r>
        <w:t>Ethical approval was granted by the Faculty of Science and Engineering Research Ethics Panel at Anglia Ruskin University (Cambridge, UK, reference number FSE/FREP/19/927)</w:t>
      </w:r>
      <w:proofErr w:type="gramEnd"/>
      <w:r>
        <w:t xml:space="preserve"> for int</w:t>
      </w:r>
      <w:r>
        <w:t xml:space="preserve">ernational data collection.  </w:t>
      </w:r>
    </w:p>
    <w:p w:rsidR="00353D8D" w:rsidRDefault="006667A9">
      <w:pPr>
        <w:spacing w:after="252" w:line="259" w:lineRule="auto"/>
        <w:ind w:left="0" w:firstLine="0"/>
      </w:pPr>
      <w:r>
        <w:t xml:space="preserve"> </w:t>
      </w:r>
    </w:p>
    <w:p w:rsidR="00353D8D" w:rsidRDefault="006667A9">
      <w:pPr>
        <w:ind w:left="-5" w:right="159"/>
      </w:pPr>
      <w:r>
        <w:t xml:space="preserve"> The Equator network Checklist for Reporting Results of Internet e-Surveys </w:t>
      </w:r>
      <w:proofErr w:type="gramStart"/>
      <w:r>
        <w:t>was used</w:t>
      </w:r>
      <w:proofErr w:type="gramEnd"/>
      <w:r>
        <w:t xml:space="preserve"> to report the methods and results of the survey (See supplementary materials).  </w:t>
      </w:r>
    </w:p>
    <w:p w:rsidR="00353D8D" w:rsidRDefault="006667A9">
      <w:pPr>
        <w:spacing w:after="252" w:line="259" w:lineRule="auto"/>
        <w:ind w:left="0" w:firstLine="0"/>
      </w:pPr>
      <w:r>
        <w:rPr>
          <w:b/>
        </w:rPr>
        <w:t xml:space="preserve"> </w:t>
      </w:r>
    </w:p>
    <w:p w:rsidR="00353D8D" w:rsidRDefault="006667A9">
      <w:pPr>
        <w:spacing w:after="252" w:line="259" w:lineRule="auto"/>
        <w:ind w:left="0" w:firstLine="0"/>
      </w:pPr>
      <w:r>
        <w:rPr>
          <w:b/>
        </w:rPr>
        <w:lastRenderedPageBreak/>
        <w:t xml:space="preserve"> </w:t>
      </w:r>
    </w:p>
    <w:p w:rsidR="00353D8D" w:rsidRDefault="006667A9">
      <w:pPr>
        <w:spacing w:after="0" w:line="259" w:lineRule="auto"/>
        <w:ind w:left="0" w:firstLine="0"/>
      </w:pPr>
      <w:r>
        <w:rPr>
          <w:b/>
        </w:rPr>
        <w:t xml:space="preserve"> </w:t>
      </w:r>
    </w:p>
    <w:p w:rsidR="00353D8D" w:rsidRDefault="006667A9">
      <w:pPr>
        <w:pStyle w:val="Heading1"/>
        <w:ind w:left="-5"/>
      </w:pPr>
      <w:r>
        <w:t xml:space="preserve">Survey development </w:t>
      </w:r>
    </w:p>
    <w:p w:rsidR="00353D8D" w:rsidRDefault="006667A9">
      <w:pPr>
        <w:ind w:left="-5"/>
      </w:pPr>
      <w:r>
        <w:t xml:space="preserve">Items for the survey </w:t>
      </w:r>
      <w:proofErr w:type="gramStart"/>
      <w:r>
        <w:t>were identified</w:t>
      </w:r>
      <w:proofErr w:type="gramEnd"/>
      <w:r>
        <w:t xml:space="preserve"> through an iterative process by focusing on the current research identifying factors that could contribute to experiences during the pandemic. </w:t>
      </w:r>
      <w:proofErr w:type="gramStart"/>
      <w:r>
        <w:t>A list of possible theme questions was generated by the first author and mem</w:t>
      </w:r>
      <w:r>
        <w:t>bers of the research team contributed to further themes (VM, DB, DS, JO)</w:t>
      </w:r>
      <w:proofErr w:type="gramEnd"/>
      <w:r>
        <w:t xml:space="preserve">. The first author drafted the survey consisting of 60 proposed questions. The </w:t>
      </w:r>
      <w:proofErr w:type="gramStart"/>
      <w:r>
        <w:t>number of questions were reduced by the research team</w:t>
      </w:r>
      <w:proofErr w:type="gramEnd"/>
      <w:r>
        <w:t xml:space="preserve"> by considering the appropriateness of each question</w:t>
      </w:r>
      <w:r>
        <w:t xml:space="preserve"> for a tinnitus population.  The final survey comprised of a maximum of 47 closed-ended questions and 3 open-ended questions and took approximately 10-15 minutes to complete. All questions except the open-ended questions were mandatory, although some of th</w:t>
      </w:r>
      <w:r>
        <w:t xml:space="preserve">e questions were follow-up questions and only presented if responding “yes” to preceding questions by using skip logic. An example was if answering yes/no to having had COVID-19 symptoms.  </w:t>
      </w:r>
    </w:p>
    <w:p w:rsidR="00353D8D" w:rsidRDefault="006667A9">
      <w:pPr>
        <w:spacing w:after="255" w:line="259" w:lineRule="auto"/>
        <w:ind w:left="-5" w:right="159"/>
      </w:pPr>
      <w:r>
        <w:t xml:space="preserve">The survey captured the following categories: </w:t>
      </w:r>
    </w:p>
    <w:p w:rsidR="00353D8D" w:rsidRDefault="006667A9">
      <w:pPr>
        <w:numPr>
          <w:ilvl w:val="0"/>
          <w:numId w:val="2"/>
        </w:numPr>
        <w:spacing w:after="258" w:line="259" w:lineRule="auto"/>
        <w:ind w:right="79" w:hanging="720"/>
      </w:pPr>
      <w:r>
        <w:t>Demographic informa</w:t>
      </w:r>
      <w:r>
        <w:t xml:space="preserve">tion such as ethnicity, tinnitus duration, and living situation </w:t>
      </w:r>
    </w:p>
    <w:p w:rsidR="00353D8D" w:rsidRDefault="006667A9">
      <w:pPr>
        <w:spacing w:after="255" w:line="259" w:lineRule="auto"/>
        <w:ind w:left="1090" w:right="159"/>
      </w:pPr>
      <w:r>
        <w:t xml:space="preserve">(16 questions).  </w:t>
      </w:r>
    </w:p>
    <w:p w:rsidR="00353D8D" w:rsidRDefault="006667A9">
      <w:pPr>
        <w:numPr>
          <w:ilvl w:val="0"/>
          <w:numId w:val="2"/>
        </w:numPr>
        <w:ind w:right="79" w:hanging="720"/>
      </w:pPr>
      <w:r>
        <w:t xml:space="preserve">Tinnitus severity during the pandemic was measured using the Tinnitus Handicap Inventory-screening version (THI-S; Newman, </w:t>
      </w:r>
      <w:proofErr w:type="spellStart"/>
      <w:r>
        <w:t>Sandridge</w:t>
      </w:r>
      <w:proofErr w:type="spellEnd"/>
      <w:r>
        <w:t xml:space="preserve">, &amp; </w:t>
      </w:r>
      <w:proofErr w:type="spellStart"/>
      <w:r>
        <w:t>Bolek</w:t>
      </w:r>
      <w:proofErr w:type="spellEnd"/>
      <w:r>
        <w:t>, 2008) consisting of 10 questio</w:t>
      </w:r>
      <w:r>
        <w:t xml:space="preserve">ns and based on the full version consisting of 25 questions </w:t>
      </w:r>
    </w:p>
    <w:p w:rsidR="00353D8D" w:rsidRDefault="006667A9">
      <w:pPr>
        <w:ind w:left="360" w:right="370" w:firstLine="720"/>
      </w:pPr>
      <w:r>
        <w:t>(Newman, Jacobson, &amp; Spitzer, 1996) iii)</w:t>
      </w:r>
      <w:r>
        <w:rPr>
          <w:rFonts w:ascii="Arial" w:eastAsia="Arial" w:hAnsi="Arial" w:cs="Arial"/>
        </w:rPr>
        <w:t xml:space="preserve"> </w:t>
      </w:r>
      <w:r>
        <w:rPr>
          <w:rFonts w:ascii="Arial" w:eastAsia="Arial" w:hAnsi="Arial" w:cs="Arial"/>
        </w:rPr>
        <w:tab/>
      </w:r>
      <w:r>
        <w:t>COVID-19-related questions regarding following social isolation/ distancing guidelines, experiencing COVID-19 symptoms and taking medication (11 question</w:t>
      </w:r>
      <w:r>
        <w:t xml:space="preserve">s) </w:t>
      </w:r>
      <w:proofErr w:type="gramStart"/>
      <w:r>
        <w:t>iv</w:t>
      </w:r>
      <w:proofErr w:type="gramEnd"/>
      <w:r>
        <w:t>)</w:t>
      </w:r>
      <w:r>
        <w:rPr>
          <w:rFonts w:ascii="Arial" w:eastAsia="Arial" w:hAnsi="Arial" w:cs="Arial"/>
        </w:rPr>
        <w:t xml:space="preserve"> </w:t>
      </w:r>
      <w:r>
        <w:rPr>
          <w:rFonts w:ascii="Arial" w:eastAsia="Arial" w:hAnsi="Arial" w:cs="Arial"/>
        </w:rPr>
        <w:tab/>
      </w:r>
      <w:r>
        <w:t xml:space="preserve">The effects of the restrictions imposed by the COVID-19 situation emotionally and financially (12 questions). </w:t>
      </w:r>
    </w:p>
    <w:p w:rsidR="00353D8D" w:rsidRDefault="006667A9">
      <w:pPr>
        <w:spacing w:after="148"/>
        <w:ind w:left="1080" w:right="159" w:hanging="720"/>
      </w:pPr>
      <w:r>
        <w:lastRenderedPageBreak/>
        <w:t>v)</w:t>
      </w:r>
      <w:r>
        <w:rPr>
          <w:rFonts w:ascii="Arial" w:eastAsia="Arial" w:hAnsi="Arial" w:cs="Arial"/>
        </w:rPr>
        <w:t xml:space="preserve"> </w:t>
      </w:r>
      <w:r>
        <w:rPr>
          <w:rFonts w:ascii="Arial" w:eastAsia="Arial" w:hAnsi="Arial" w:cs="Arial"/>
        </w:rPr>
        <w:tab/>
      </w:r>
      <w:r>
        <w:t xml:space="preserve">Strategies to cope with the current situation such as using social and professional support (10 questions) </w:t>
      </w:r>
    </w:p>
    <w:p w:rsidR="00353D8D" w:rsidRDefault="006667A9">
      <w:pPr>
        <w:spacing w:after="252" w:line="259" w:lineRule="auto"/>
        <w:ind w:left="0" w:firstLine="0"/>
      </w:pPr>
      <w:r>
        <w:t xml:space="preserve"> </w:t>
      </w:r>
    </w:p>
    <w:p w:rsidR="00353D8D" w:rsidRDefault="006667A9">
      <w:pPr>
        <w:ind w:left="-5" w:right="1"/>
      </w:pPr>
      <w:r>
        <w:t>The survey went through</w:t>
      </w:r>
      <w:r>
        <w:t xml:space="preserve"> three stages of review before commencing data collection. Initially, two tinnitus associations (The American and British Tinnitus Associations) and their support groups consisting of individuals with </w:t>
      </w:r>
      <w:proofErr w:type="gramStart"/>
      <w:r>
        <w:t>tinnitus,</w:t>
      </w:r>
      <w:proofErr w:type="gramEnd"/>
      <w:r>
        <w:t xml:space="preserve"> reviewed the questionnaire. </w:t>
      </w:r>
      <w:proofErr w:type="gramStart"/>
      <w:r>
        <w:t>This was followed</w:t>
      </w:r>
      <w:r>
        <w:t xml:space="preserve"> by three independent clinical audiologists reviewing the updated questionnaire</w:t>
      </w:r>
      <w:proofErr w:type="gramEnd"/>
      <w:r>
        <w:t xml:space="preserve">. </w:t>
      </w:r>
      <w:proofErr w:type="gramStart"/>
      <w:r>
        <w:t>This process attempted to ensure (</w:t>
      </w:r>
      <w:proofErr w:type="spellStart"/>
      <w:r>
        <w:t>i</w:t>
      </w:r>
      <w:proofErr w:type="spellEnd"/>
      <w:r>
        <w:t>) all functionality aspects of the online questionnaire were appropriate, such as progressing to subsequent questions and being able to sele</w:t>
      </w:r>
      <w:r>
        <w:t>ct multiple responses where appropriate; (ii) the face validity of the questions, to assess whether they clearly capture the aspects they aimed to evaluate; and (iii)  the interpretability regarding the wording of the questions (</w:t>
      </w:r>
      <w:proofErr w:type="spellStart"/>
      <w:r>
        <w:t>Taherdoost</w:t>
      </w:r>
      <w:proofErr w:type="spellEnd"/>
      <w:r>
        <w:t>, 2016).</w:t>
      </w:r>
      <w:proofErr w:type="gramEnd"/>
      <w:r>
        <w:t xml:space="preserve"> The sugg</w:t>
      </w:r>
      <w:r>
        <w:t xml:space="preserve">estions made also improved the survey flow. In a third stage, the survey </w:t>
      </w:r>
      <w:proofErr w:type="gramStart"/>
      <w:r>
        <w:t>was then sent</w:t>
      </w:r>
      <w:proofErr w:type="gramEnd"/>
      <w:r>
        <w:t xml:space="preserve"> to three individuals experiencing tinnitus, to determine whether it was clear and easy to complete. Subsequently, errors identified </w:t>
      </w:r>
      <w:proofErr w:type="gramStart"/>
      <w:r>
        <w:t>were corrected</w:t>
      </w:r>
      <w:proofErr w:type="gramEnd"/>
      <w:r>
        <w:t xml:space="preserve"> and the comprehensibil</w:t>
      </w:r>
      <w:r>
        <w:t>ity of the questions was improved.</w:t>
      </w:r>
      <w:r>
        <w:rPr>
          <w:i/>
        </w:rPr>
        <w:t xml:space="preserve">  </w:t>
      </w:r>
      <w:r>
        <w:t xml:space="preserve">This process indicated good face-validity of the survey. Although a fully psychometrically validated survey would be </w:t>
      </w:r>
      <w:proofErr w:type="spellStart"/>
      <w:r>
        <w:t>preferrable</w:t>
      </w:r>
      <w:proofErr w:type="spellEnd"/>
      <w:r>
        <w:t xml:space="preserve">, the time sensitive nature of this study did not allow for this and it was not the goal of </w:t>
      </w:r>
      <w:r>
        <w:t xml:space="preserve">the study to evaluate the study factor structure or internal consistency thereof.   </w:t>
      </w:r>
    </w:p>
    <w:p w:rsidR="00353D8D" w:rsidRDefault="006667A9">
      <w:pPr>
        <w:spacing w:after="252" w:line="259" w:lineRule="auto"/>
        <w:ind w:left="0" w:firstLine="0"/>
      </w:pPr>
      <w:r>
        <w:t xml:space="preserve"> </w:t>
      </w:r>
    </w:p>
    <w:p w:rsidR="00353D8D" w:rsidRDefault="006667A9">
      <w:pPr>
        <w:ind w:left="-5"/>
      </w:pPr>
      <w:r>
        <w:t xml:space="preserve">The final survey items </w:t>
      </w:r>
      <w:proofErr w:type="gramStart"/>
      <w:r>
        <w:t>were inputted</w:t>
      </w:r>
      <w:proofErr w:type="gramEnd"/>
      <w:r>
        <w:t xml:space="preserve"> into </w:t>
      </w:r>
      <w:proofErr w:type="spellStart"/>
      <w:r>
        <w:t>Qualtrics</w:t>
      </w:r>
      <w:proofErr w:type="spellEnd"/>
      <w:r>
        <w:t xml:space="preserve"> (</w:t>
      </w:r>
      <w:proofErr w:type="spellStart"/>
      <w:r>
        <w:t>Qualtrics</w:t>
      </w:r>
      <w:proofErr w:type="spellEnd"/>
      <w:r>
        <w:t xml:space="preserve">, Provo, UT) and were reviewed by team members to ensure functionality. No randomization of the items </w:t>
      </w:r>
      <w:proofErr w:type="gramStart"/>
      <w:r>
        <w:t>was used</w:t>
      </w:r>
      <w:proofErr w:type="gramEnd"/>
      <w:r>
        <w:t xml:space="preserve"> and respondents were unable to change their responses once submitted. No identifiab</w:t>
      </w:r>
      <w:r>
        <w:t xml:space="preserve">le data </w:t>
      </w:r>
      <w:proofErr w:type="gramStart"/>
      <w:r>
        <w:t>were collected</w:t>
      </w:r>
      <w:proofErr w:type="gramEnd"/>
      <w:r>
        <w:t xml:space="preserve">. The questionnaire focused on two main themes: tinnitus </w:t>
      </w:r>
      <w:proofErr w:type="gramStart"/>
      <w:r>
        <w:t>experiences,</w:t>
      </w:r>
      <w:proofErr w:type="gramEnd"/>
      <w:r>
        <w:t xml:space="preserve"> and support required for those with tinnitus during the pandemic. This paper focuses on tinnitus </w:t>
      </w:r>
      <w:r>
        <w:lastRenderedPageBreak/>
        <w:t>experiences during the pandemic. Results regarding the support requ</w:t>
      </w:r>
      <w:r>
        <w:t xml:space="preserve">ired during COVID 19 </w:t>
      </w:r>
      <w:proofErr w:type="gramStart"/>
      <w:r>
        <w:t>will be reported</w:t>
      </w:r>
      <w:proofErr w:type="gramEnd"/>
      <w:r>
        <w:t xml:space="preserve"> separately. </w:t>
      </w:r>
    </w:p>
    <w:p w:rsidR="00353D8D" w:rsidRDefault="006667A9">
      <w:pPr>
        <w:spacing w:after="252" w:line="259" w:lineRule="auto"/>
        <w:ind w:left="0" w:firstLine="0"/>
      </w:pPr>
      <w:r>
        <w:rPr>
          <w:b/>
        </w:rPr>
        <w:t xml:space="preserve"> </w:t>
      </w:r>
    </w:p>
    <w:p w:rsidR="00353D8D" w:rsidRDefault="006667A9">
      <w:pPr>
        <w:pStyle w:val="Heading1"/>
        <w:ind w:left="-5"/>
      </w:pPr>
      <w:r>
        <w:t xml:space="preserve">Survey translations </w:t>
      </w:r>
    </w:p>
    <w:p w:rsidR="00353D8D" w:rsidRDefault="006667A9">
      <w:pPr>
        <w:ind w:left="-5"/>
      </w:pPr>
      <w:r>
        <w:t xml:space="preserve">To improve accessibility the final English survey </w:t>
      </w:r>
      <w:proofErr w:type="gramStart"/>
      <w:r>
        <w:t>was translated</w:t>
      </w:r>
      <w:proofErr w:type="gramEnd"/>
      <w:r>
        <w:t xml:space="preserve"> into Dutch, Brazilian Portuguese, Portuguese, German, and Swedish. Translation guidelines (Hall et al., 2018) </w:t>
      </w:r>
      <w:proofErr w:type="gramStart"/>
      <w:r>
        <w:t>were followed</w:t>
      </w:r>
      <w:proofErr w:type="gramEnd"/>
      <w:r>
        <w:t xml:space="preserve"> where possible, but due to the timescale, both forward and backward translation was not possible. The translated versions were </w:t>
      </w:r>
      <w:proofErr w:type="gramStart"/>
      <w:r>
        <w:t>cross-checked</w:t>
      </w:r>
      <w:proofErr w:type="gramEnd"/>
      <w:r>
        <w:t xml:space="preserve"> and corrected by at least two native speakers of each language. Where possible healthcare professiona</w:t>
      </w:r>
      <w:r>
        <w:t xml:space="preserve">ls who had an understanding of hearing-related difficulties, were involved. Linguistic and cultural adjustments to the wording </w:t>
      </w:r>
      <w:proofErr w:type="gramStart"/>
      <w:r>
        <w:t>were made</w:t>
      </w:r>
      <w:proofErr w:type="gramEnd"/>
      <w:r>
        <w:t xml:space="preserve"> to suit each language.  </w:t>
      </w:r>
    </w:p>
    <w:p w:rsidR="00353D8D" w:rsidRDefault="006667A9">
      <w:pPr>
        <w:spacing w:after="252" w:line="259" w:lineRule="auto"/>
        <w:ind w:left="0" w:firstLine="0"/>
      </w:pPr>
      <w:r>
        <w:t xml:space="preserve"> </w:t>
      </w:r>
    </w:p>
    <w:p w:rsidR="00353D8D" w:rsidRDefault="006667A9">
      <w:pPr>
        <w:pStyle w:val="Heading1"/>
        <w:ind w:left="-5"/>
      </w:pPr>
      <w:r>
        <w:t>Survey distribution</w:t>
      </w:r>
      <w:r>
        <w:rPr>
          <w:b w:val="0"/>
        </w:rPr>
        <w:t xml:space="preserve"> </w:t>
      </w:r>
    </w:p>
    <w:p w:rsidR="00353D8D" w:rsidRDefault="006667A9">
      <w:pPr>
        <w:ind w:left="-5"/>
      </w:pPr>
      <w:r>
        <w:t>Eligibility criteria included adults aged 18 years or older who provide</w:t>
      </w:r>
      <w:r>
        <w:t>d informed consent. The survey was open to anyone meeting the inclusion criteria. Recruitment was mostly via patient organizations’ social media outlets (Twitter, LinkedIn, and Facebook).  The American Tinnitus Association (ATA) distributed the survey in t</w:t>
      </w:r>
      <w:r>
        <w:t xml:space="preserve">he US, the British Tinnitus Association </w:t>
      </w:r>
    </w:p>
    <w:p w:rsidR="00353D8D" w:rsidRDefault="006667A9">
      <w:pPr>
        <w:ind w:left="-5"/>
      </w:pPr>
      <w:r>
        <w:t xml:space="preserve">(BTA) in the UK, The </w:t>
      </w:r>
      <w:proofErr w:type="spellStart"/>
      <w:r>
        <w:t>Hörselskadades</w:t>
      </w:r>
      <w:proofErr w:type="spellEnd"/>
      <w:r>
        <w:t xml:space="preserve"> </w:t>
      </w:r>
      <w:proofErr w:type="spellStart"/>
      <w:r>
        <w:t>Riksförbund</w:t>
      </w:r>
      <w:proofErr w:type="spellEnd"/>
      <w:r>
        <w:t xml:space="preserve"> in Sweden, </w:t>
      </w:r>
      <w:proofErr w:type="spellStart"/>
      <w:r>
        <w:t>Tuut</w:t>
      </w:r>
      <w:proofErr w:type="spellEnd"/>
      <w:r>
        <w:t xml:space="preserve"> van </w:t>
      </w:r>
      <w:proofErr w:type="spellStart"/>
      <w:r>
        <w:t>Tegenwoordig</w:t>
      </w:r>
      <w:proofErr w:type="spellEnd"/>
      <w:r>
        <w:t xml:space="preserve"> in Belgium, and </w:t>
      </w:r>
      <w:proofErr w:type="spellStart"/>
      <w:r>
        <w:t>Hoorzaken</w:t>
      </w:r>
      <w:proofErr w:type="spellEnd"/>
      <w:r>
        <w:t xml:space="preserve"> in The Netherlands. The survey was launched on the 29</w:t>
      </w:r>
      <w:r>
        <w:rPr>
          <w:vertAlign w:val="superscript"/>
        </w:rPr>
        <w:t>h</w:t>
      </w:r>
      <w:r>
        <w:t xml:space="preserve"> of April in the UK, the 7</w:t>
      </w:r>
      <w:r>
        <w:rPr>
          <w:vertAlign w:val="superscript"/>
        </w:rPr>
        <w:t>th</w:t>
      </w:r>
      <w:r>
        <w:t xml:space="preserve"> of May in the USA, and th</w:t>
      </w:r>
      <w:r>
        <w:t>e 12</w:t>
      </w:r>
      <w:r>
        <w:rPr>
          <w:vertAlign w:val="superscript"/>
        </w:rPr>
        <w:t>th</w:t>
      </w:r>
      <w:r>
        <w:t xml:space="preserve"> of May 2020 in Belgium and the Netherlands and later staggered across other European countries and was open for 6-week in each location. Online informed consent was required before undertaking the survey and </w:t>
      </w:r>
      <w:proofErr w:type="gramStart"/>
      <w:r>
        <w:t xml:space="preserve">only one submission from each IP address </w:t>
      </w:r>
      <w:r>
        <w:t>was permitted by the survey software</w:t>
      </w:r>
      <w:proofErr w:type="gramEnd"/>
      <w:r>
        <w:t xml:space="preserve">. </w:t>
      </w:r>
    </w:p>
    <w:p w:rsidR="00353D8D" w:rsidRDefault="006667A9">
      <w:pPr>
        <w:spacing w:after="252" w:line="259" w:lineRule="auto"/>
        <w:ind w:left="0" w:firstLine="0"/>
      </w:pPr>
      <w:r>
        <w:rPr>
          <w:b/>
        </w:rPr>
        <w:t xml:space="preserve"> </w:t>
      </w:r>
    </w:p>
    <w:p w:rsidR="00353D8D" w:rsidRDefault="006667A9">
      <w:pPr>
        <w:spacing w:after="0" w:line="259" w:lineRule="auto"/>
        <w:ind w:left="0" w:firstLine="0"/>
      </w:pPr>
      <w:r>
        <w:rPr>
          <w:b/>
        </w:rPr>
        <w:t xml:space="preserve"> </w:t>
      </w:r>
    </w:p>
    <w:p w:rsidR="00353D8D" w:rsidRDefault="006667A9">
      <w:pPr>
        <w:pStyle w:val="Heading1"/>
        <w:ind w:left="-5"/>
      </w:pPr>
      <w:r>
        <w:lastRenderedPageBreak/>
        <w:t xml:space="preserve">Data analysis </w:t>
      </w:r>
    </w:p>
    <w:p w:rsidR="00353D8D" w:rsidRDefault="006667A9">
      <w:pPr>
        <w:ind w:left="-5"/>
      </w:pPr>
      <w:r>
        <w:t xml:space="preserve">Data cleaning </w:t>
      </w:r>
      <w:proofErr w:type="gramStart"/>
      <w:r>
        <w:t>was initially undertaken</w:t>
      </w:r>
      <w:proofErr w:type="gramEnd"/>
      <w:r>
        <w:t xml:space="preserve"> to remove cases that did not meet study eligibility due, not having tinnitus, or not completing at least the questions relating to tinnitus on the questionnair</w:t>
      </w:r>
      <w:r>
        <w:t>e. Data analysis incorporated a mixed approach, including both quantitative and qualitative analysis. The Statistical Package for Social Sciences (SPSS) version 26.0 (IBM Corp, 2019) was used for descriptive statistics, including frequencies, means, and st</w:t>
      </w:r>
      <w:r>
        <w:t xml:space="preserve">andard deviations. The Chi-Square test </w:t>
      </w:r>
      <w:proofErr w:type="gramStart"/>
      <w:r>
        <w:t>was used</w:t>
      </w:r>
      <w:proofErr w:type="gramEnd"/>
      <w:r>
        <w:t xml:space="preserve"> to test the relationships between categorical variables. Where significant, adjusted residuals </w:t>
      </w:r>
      <w:proofErr w:type="gramStart"/>
      <w:r>
        <w:t>were used</w:t>
      </w:r>
      <w:proofErr w:type="gramEnd"/>
      <w:r>
        <w:t xml:space="preserve"> for post-hoc analysis to identify which relationships were significant. Due to multiple testing, the </w:t>
      </w:r>
      <w:r>
        <w:rPr>
          <w:i/>
        </w:rPr>
        <w:t>p</w:t>
      </w:r>
      <w:r>
        <w:t>-</w:t>
      </w:r>
      <w:r>
        <w:t>value was adjusted (</w:t>
      </w:r>
      <w:proofErr w:type="spellStart"/>
      <w:r>
        <w:t>Bonferroni</w:t>
      </w:r>
      <w:proofErr w:type="spellEnd"/>
      <w:r>
        <w:t xml:space="preserve">) to be significant for </w:t>
      </w:r>
      <w:r>
        <w:rPr>
          <w:i/>
        </w:rPr>
        <w:t>p</w:t>
      </w:r>
      <w:r>
        <w:t xml:space="preserve"> = .001. Qualitative data from the open questions were </w:t>
      </w:r>
      <w:proofErr w:type="spellStart"/>
      <w:r>
        <w:t>analyzed</w:t>
      </w:r>
      <w:proofErr w:type="spellEnd"/>
      <w:r>
        <w:t xml:space="preserve"> separately using inductive thematic analysis and the themes identified </w:t>
      </w:r>
      <w:proofErr w:type="gramStart"/>
      <w:r>
        <w:t>were used</w:t>
      </w:r>
      <w:proofErr w:type="gramEnd"/>
      <w:r>
        <w:t xml:space="preserve"> to support quantitative analysis. </w:t>
      </w:r>
    </w:p>
    <w:p w:rsidR="00353D8D" w:rsidRDefault="006667A9">
      <w:pPr>
        <w:spacing w:after="252" w:line="259" w:lineRule="auto"/>
        <w:ind w:left="0" w:firstLine="0"/>
      </w:pPr>
      <w:r>
        <w:rPr>
          <w:b/>
        </w:rPr>
        <w:t xml:space="preserve"> </w:t>
      </w:r>
    </w:p>
    <w:p w:rsidR="00353D8D" w:rsidRDefault="006667A9">
      <w:pPr>
        <w:spacing w:after="249" w:line="259" w:lineRule="auto"/>
        <w:ind w:left="-5"/>
      </w:pPr>
      <w:r>
        <w:rPr>
          <w:b/>
        </w:rPr>
        <w:t xml:space="preserve">Results </w:t>
      </w:r>
    </w:p>
    <w:p w:rsidR="00353D8D" w:rsidRDefault="006667A9">
      <w:pPr>
        <w:spacing w:after="252" w:line="259" w:lineRule="auto"/>
        <w:ind w:left="0" w:firstLine="0"/>
      </w:pPr>
      <w:r>
        <w:t xml:space="preserve"> </w:t>
      </w:r>
    </w:p>
    <w:p w:rsidR="00353D8D" w:rsidRDefault="006667A9">
      <w:pPr>
        <w:pStyle w:val="Heading1"/>
        <w:ind w:left="-5"/>
      </w:pPr>
      <w:r>
        <w:t>Represen</w:t>
      </w:r>
      <w:r>
        <w:t xml:space="preserve">tation of individuals with tinnitus </w:t>
      </w:r>
    </w:p>
    <w:p w:rsidR="00353D8D" w:rsidRDefault="006667A9">
      <w:pPr>
        <w:ind w:left="-5"/>
      </w:pPr>
      <w:r>
        <w:t xml:space="preserve">There were 3400 respondents. Of these 38 did not provide consent and 259 responses were largely incomplete. The remaining 3103 respondents represented 48 countries, although some countries </w:t>
      </w:r>
      <w:proofErr w:type="gramStart"/>
      <w:r>
        <w:t>were only marginally represent</w:t>
      </w:r>
      <w:r>
        <w:t>ed</w:t>
      </w:r>
      <w:proofErr w:type="gramEnd"/>
      <w:r>
        <w:t xml:space="preserve">. The highest number (49%) were from North </w:t>
      </w:r>
    </w:p>
    <w:p w:rsidR="00353D8D" w:rsidRDefault="006667A9">
      <w:pPr>
        <w:ind w:left="-5"/>
      </w:pPr>
      <w:r>
        <w:t xml:space="preserve">America (USA, Canada), followed by 47% from Europe (European Union and the United Kingdom). </w:t>
      </w:r>
      <w:proofErr w:type="gramStart"/>
      <w:r>
        <w:t>For comparative purposes, the whole sample was divided into four groups, a cohort from North America (49%), one from t</w:t>
      </w:r>
      <w:r>
        <w:t>he United Kingdom and Ireland (UK = 24%), a combination of other European countries excluding the UK (e.g. Belgium, The Netherlands, Sweden, Norway, Portugal, France = 23%) and a group representing a combination of other countries located in South America,</w:t>
      </w:r>
      <w:r>
        <w:t xml:space="preserve"> Oceania, Asia, and Africa (4%) as shown in Figure 1.</w:t>
      </w:r>
      <w:proofErr w:type="gramEnd"/>
      <w:r>
        <w:t xml:space="preserve"> </w:t>
      </w:r>
    </w:p>
    <w:p w:rsidR="00353D8D" w:rsidRDefault="006667A9">
      <w:pPr>
        <w:ind w:left="-5" w:right="159"/>
      </w:pPr>
      <w:r>
        <w:lastRenderedPageBreak/>
        <w:t>The age range was 18-100 years with a mean of 58 years (SD</w:t>
      </w:r>
      <w:proofErr w:type="gramStart"/>
      <w:r>
        <w:t>:14.0</w:t>
      </w:r>
      <w:proofErr w:type="gramEnd"/>
      <w:r>
        <w:t>; SE 0.3) with an even gender divide and ethnic distribution where the majority were white (92%) with other ethnic groups (Asian, Black, H</w:t>
      </w:r>
      <w:r>
        <w:t xml:space="preserve">ispanic, Indian, or mixed-ethnicity) each representing under 2% of the respondents respectively.  </w:t>
      </w:r>
    </w:p>
    <w:p w:rsidR="00353D8D" w:rsidRDefault="006667A9">
      <w:pPr>
        <w:spacing w:after="199" w:line="259" w:lineRule="auto"/>
        <w:ind w:left="0" w:right="201" w:firstLine="0"/>
        <w:jc w:val="right"/>
      </w:pPr>
      <w:r>
        <w:rPr>
          <w:noProof/>
        </w:rPr>
        <w:drawing>
          <wp:inline distT="0" distB="0" distL="0" distR="0">
            <wp:extent cx="5556250" cy="3125343"/>
            <wp:effectExtent l="0" t="0" r="6350" b="0"/>
            <wp:docPr id="1588" name="Picture 1588" descr="Figure 1"/>
            <wp:cNvGraphicFramePr/>
            <a:graphic xmlns:a="http://schemas.openxmlformats.org/drawingml/2006/main">
              <a:graphicData uri="http://schemas.openxmlformats.org/drawingml/2006/picture">
                <pic:pic xmlns:pic="http://schemas.openxmlformats.org/drawingml/2006/picture">
                  <pic:nvPicPr>
                    <pic:cNvPr id="1588" name="Picture 1588"/>
                    <pic:cNvPicPr/>
                  </pic:nvPicPr>
                  <pic:blipFill>
                    <a:blip r:embed="rId7"/>
                    <a:stretch>
                      <a:fillRect/>
                    </a:stretch>
                  </pic:blipFill>
                  <pic:spPr>
                    <a:xfrm>
                      <a:off x="0" y="0"/>
                      <a:ext cx="5556250" cy="3125343"/>
                    </a:xfrm>
                    <a:prstGeom prst="rect">
                      <a:avLst/>
                    </a:prstGeom>
                  </pic:spPr>
                </pic:pic>
              </a:graphicData>
            </a:graphic>
          </wp:inline>
        </w:drawing>
      </w:r>
      <w:r>
        <w:t xml:space="preserve"> </w:t>
      </w:r>
    </w:p>
    <w:p w:rsidR="00353D8D" w:rsidRDefault="006667A9">
      <w:pPr>
        <w:spacing w:after="252" w:line="259" w:lineRule="auto"/>
        <w:ind w:left="-5" w:right="159"/>
      </w:pPr>
      <w:r>
        <w:rPr>
          <w:b/>
        </w:rPr>
        <w:t>Figure 1:</w:t>
      </w:r>
      <w:r>
        <w:t xml:space="preserve"> Distribution of respondents  </w:t>
      </w:r>
    </w:p>
    <w:p w:rsidR="00353D8D" w:rsidRDefault="006667A9">
      <w:pPr>
        <w:spacing w:after="252" w:line="259" w:lineRule="auto"/>
        <w:ind w:left="0" w:firstLine="0"/>
      </w:pPr>
      <w:r>
        <w:rPr>
          <w:b/>
        </w:rPr>
        <w:t xml:space="preserve"> </w:t>
      </w:r>
    </w:p>
    <w:p w:rsidR="00353D8D" w:rsidRDefault="006667A9">
      <w:pPr>
        <w:pStyle w:val="Heading1"/>
        <w:ind w:left="-5"/>
      </w:pPr>
      <w:r>
        <w:t xml:space="preserve">Impact of the pandemic on Tinnitus  </w:t>
      </w:r>
    </w:p>
    <w:p w:rsidR="00353D8D" w:rsidRDefault="006667A9">
      <w:pPr>
        <w:ind w:left="-5" w:right="159"/>
      </w:pPr>
      <w:r>
        <w:t>The average tinnitus duration was 13.6 (SD</w:t>
      </w:r>
      <w:proofErr w:type="gramStart"/>
      <w:r>
        <w:t>:14.0</w:t>
      </w:r>
      <w:proofErr w:type="gramEnd"/>
      <w:r>
        <w:t xml:space="preserve">; SE 0.3) years </w:t>
      </w:r>
      <w:r>
        <w:t>with a range of 0.3 to 80 years, indicating that most respondents had longstanding chronic tinnitus. When looking at tinnitus severity scores, the mean was 17 (SD</w:t>
      </w:r>
      <w:proofErr w:type="gramStart"/>
      <w:r>
        <w:t>:10</w:t>
      </w:r>
      <w:proofErr w:type="gramEnd"/>
      <w:r>
        <w:t>; SE 0.2, range 0-40) out of 40 (with higher scores indicating more severity) on the Tinnit</w:t>
      </w:r>
      <w:r>
        <w:t xml:space="preserve">us Handicap Inventory Screening Version.  Tinnitus </w:t>
      </w:r>
      <w:proofErr w:type="gramStart"/>
      <w:r>
        <w:t>was rated</w:t>
      </w:r>
      <w:proofErr w:type="gramEnd"/>
      <w:r>
        <w:t xml:space="preserve"> on average to be more bothersome during the pandemic. It was more frequently rated as “very” (24%) and “extremely bothersome” (13%) compared with before the pandemic (17% and 7% respectively) as </w:t>
      </w:r>
      <w:r>
        <w:t xml:space="preserve">shown in Figure 2. For the majority, these changes were minor in either direction (e.g. from slightly </w:t>
      </w:r>
      <w:proofErr w:type="gramStart"/>
      <w:r>
        <w:t>to</w:t>
      </w:r>
      <w:proofErr w:type="gramEnd"/>
      <w:r>
        <w:t xml:space="preserve"> moderately bothersome). </w:t>
      </w:r>
    </w:p>
    <w:p w:rsidR="00353D8D" w:rsidRDefault="006667A9">
      <w:pPr>
        <w:spacing w:after="0" w:line="486" w:lineRule="auto"/>
        <w:ind w:left="-5"/>
        <w:jc w:val="both"/>
      </w:pPr>
      <w:r>
        <w:lastRenderedPageBreak/>
        <w:t xml:space="preserve">Tinnitus </w:t>
      </w:r>
      <w:proofErr w:type="gramStart"/>
      <w:r>
        <w:t>was rated</w:t>
      </w:r>
      <w:proofErr w:type="gramEnd"/>
      <w:r>
        <w:t xml:space="preserve"> to be stable during the pandemic for 67%, improved for 1%, whereas 32% rated tinnitus as more bothersome. F</w:t>
      </w:r>
      <w:r>
        <w:t>emales (</w:t>
      </w:r>
      <w:r>
        <w:rPr>
          <w:i/>
        </w:rPr>
        <w:t>X</w:t>
      </w:r>
      <w:r>
        <w:rPr>
          <w:i/>
          <w:vertAlign w:val="superscript"/>
        </w:rPr>
        <w:t>2</w:t>
      </w:r>
      <w:r>
        <w:t xml:space="preserve"> (15) = 57; </w:t>
      </w:r>
      <w:r>
        <w:rPr>
          <w:i/>
        </w:rPr>
        <w:t>p</w:t>
      </w:r>
      <w:r>
        <w:t xml:space="preserve"> = .001) and those in age categories below 50 years of age, found tinnitus significantly more bothersome during the pandemic (</w:t>
      </w:r>
      <w:r>
        <w:rPr>
          <w:i/>
        </w:rPr>
        <w:t>X</w:t>
      </w:r>
      <w:r>
        <w:rPr>
          <w:i/>
          <w:vertAlign w:val="superscript"/>
        </w:rPr>
        <w:t>2</w:t>
      </w:r>
      <w:r>
        <w:t xml:space="preserve"> (15) = 91; </w:t>
      </w:r>
      <w:r>
        <w:rPr>
          <w:i/>
        </w:rPr>
        <w:t>p</w:t>
      </w:r>
      <w:r>
        <w:t xml:space="preserve"> = .001).  Mediating factors related to these reports </w:t>
      </w:r>
      <w:proofErr w:type="gramStart"/>
      <w:r>
        <w:t>were explored</w:t>
      </w:r>
      <w:proofErr w:type="gramEnd"/>
      <w:r>
        <w:t xml:space="preserve">.  </w:t>
      </w:r>
    </w:p>
    <w:p w:rsidR="00353D8D" w:rsidRDefault="006667A9">
      <w:pPr>
        <w:spacing w:after="252" w:line="259" w:lineRule="auto"/>
        <w:ind w:left="0" w:firstLine="0"/>
      </w:pPr>
      <w:r>
        <w:t xml:space="preserve"> </w:t>
      </w:r>
    </w:p>
    <w:p w:rsidR="00353D8D" w:rsidRDefault="006667A9">
      <w:pPr>
        <w:spacing w:after="242" w:line="259" w:lineRule="auto"/>
        <w:ind w:left="0" w:firstLine="0"/>
      </w:pPr>
      <w:r>
        <w:t xml:space="preserve"> </w:t>
      </w:r>
    </w:p>
    <w:p w:rsidR="00353D8D" w:rsidRDefault="006667A9">
      <w:pPr>
        <w:spacing w:after="196" w:line="259" w:lineRule="auto"/>
        <w:ind w:left="0" w:right="45" w:firstLine="0"/>
        <w:jc w:val="right"/>
      </w:pPr>
      <w:r>
        <w:rPr>
          <w:noProof/>
        </w:rPr>
        <w:drawing>
          <wp:inline distT="0" distB="0" distL="0" distR="0">
            <wp:extent cx="5661534" cy="3523615"/>
            <wp:effectExtent l="0" t="0" r="0" b="635"/>
            <wp:docPr id="1702" name="Picture 1702" descr="Figure 2"/>
            <wp:cNvGraphicFramePr/>
            <a:graphic xmlns:a="http://schemas.openxmlformats.org/drawingml/2006/main">
              <a:graphicData uri="http://schemas.openxmlformats.org/drawingml/2006/picture">
                <pic:pic xmlns:pic="http://schemas.openxmlformats.org/drawingml/2006/picture">
                  <pic:nvPicPr>
                    <pic:cNvPr id="1702" name="Picture 1702"/>
                    <pic:cNvPicPr/>
                  </pic:nvPicPr>
                  <pic:blipFill>
                    <a:blip r:embed="rId8"/>
                    <a:stretch>
                      <a:fillRect/>
                    </a:stretch>
                  </pic:blipFill>
                  <pic:spPr>
                    <a:xfrm>
                      <a:off x="0" y="0"/>
                      <a:ext cx="5661534" cy="3523615"/>
                    </a:xfrm>
                    <a:prstGeom prst="rect">
                      <a:avLst/>
                    </a:prstGeom>
                  </pic:spPr>
                </pic:pic>
              </a:graphicData>
            </a:graphic>
          </wp:inline>
        </w:drawing>
      </w:r>
      <w:r>
        <w:t xml:space="preserve"> </w:t>
      </w:r>
    </w:p>
    <w:p w:rsidR="00353D8D" w:rsidRDefault="006667A9">
      <w:pPr>
        <w:ind w:left="-5" w:right="159"/>
      </w:pPr>
      <w:r>
        <w:rPr>
          <w:b/>
        </w:rPr>
        <w:t>Figure 2.</w:t>
      </w:r>
      <w:r>
        <w:t xml:space="preserve"> </w:t>
      </w:r>
      <w:r>
        <w:t xml:space="preserve">Comparison of how bothersome tinnitus was before and after the COVID-19 pandemic. </w:t>
      </w:r>
    </w:p>
    <w:p w:rsidR="00353D8D" w:rsidRDefault="006667A9">
      <w:pPr>
        <w:spacing w:after="252" w:line="259" w:lineRule="auto"/>
        <w:ind w:left="0" w:firstLine="0"/>
      </w:pPr>
      <w:r>
        <w:rPr>
          <w:b/>
        </w:rPr>
        <w:t xml:space="preserve"> </w:t>
      </w:r>
    </w:p>
    <w:p w:rsidR="00353D8D" w:rsidRDefault="006667A9">
      <w:pPr>
        <w:pStyle w:val="Heading1"/>
        <w:ind w:left="-5"/>
      </w:pPr>
      <w:r>
        <w:t xml:space="preserve">The impact of the health concerns stemming from COVID-19 on tinnitus </w:t>
      </w:r>
    </w:p>
    <w:p w:rsidR="00353D8D" w:rsidRDefault="006667A9">
      <w:pPr>
        <w:ind w:left="-5" w:right="159"/>
      </w:pPr>
      <w:r>
        <w:t xml:space="preserve">When asked if health concerns stemming from COVID-19 (e.g. worried about getting ill) affected their </w:t>
      </w:r>
      <w:r>
        <w:t>tinnitus, 0.5% reported their tinnitus to be improved and 31.5% reported it had worsened (Figure 3).</w:t>
      </w:r>
    </w:p>
    <w:p w:rsidR="00353D8D" w:rsidRDefault="006667A9">
      <w:pPr>
        <w:spacing w:after="0" w:line="259" w:lineRule="auto"/>
        <w:ind w:left="0" w:firstLine="0"/>
      </w:pPr>
      <w:r>
        <w:t xml:space="preserve"> </w:t>
      </w:r>
    </w:p>
    <w:p w:rsidR="00353D8D" w:rsidRDefault="00353D8D">
      <w:pPr>
        <w:sectPr w:rsidR="00353D8D">
          <w:footerReference w:type="even" r:id="rId9"/>
          <w:footerReference w:type="default" r:id="rId10"/>
          <w:footerReference w:type="first" r:id="rId11"/>
          <w:pgSz w:w="11899" w:h="16841"/>
          <w:pgMar w:top="1450" w:right="1437" w:bottom="1645" w:left="1440" w:header="720" w:footer="720" w:gutter="0"/>
          <w:cols w:space="720"/>
        </w:sectPr>
      </w:pPr>
    </w:p>
    <w:p w:rsidR="00353D8D" w:rsidRDefault="006667A9">
      <w:pPr>
        <w:spacing w:after="199" w:line="259" w:lineRule="auto"/>
        <w:ind w:left="0" w:firstLine="0"/>
        <w:jc w:val="right"/>
      </w:pPr>
      <w:r>
        <w:rPr>
          <w:noProof/>
        </w:rPr>
        <w:lastRenderedPageBreak/>
        <w:drawing>
          <wp:inline distT="0" distB="0" distL="0" distR="0">
            <wp:extent cx="5787644" cy="3792220"/>
            <wp:effectExtent l="0" t="0" r="3810" b="0"/>
            <wp:docPr id="1834" name="Picture 1834" descr="Figure 3"/>
            <wp:cNvGraphicFramePr/>
            <a:graphic xmlns:a="http://schemas.openxmlformats.org/drawingml/2006/main">
              <a:graphicData uri="http://schemas.openxmlformats.org/drawingml/2006/picture">
                <pic:pic xmlns:pic="http://schemas.openxmlformats.org/drawingml/2006/picture">
                  <pic:nvPicPr>
                    <pic:cNvPr id="1834" name="Picture 1834"/>
                    <pic:cNvPicPr/>
                  </pic:nvPicPr>
                  <pic:blipFill>
                    <a:blip r:embed="rId12"/>
                    <a:stretch>
                      <a:fillRect/>
                    </a:stretch>
                  </pic:blipFill>
                  <pic:spPr>
                    <a:xfrm>
                      <a:off x="0" y="0"/>
                      <a:ext cx="5787644" cy="3792220"/>
                    </a:xfrm>
                    <a:prstGeom prst="rect">
                      <a:avLst/>
                    </a:prstGeom>
                  </pic:spPr>
                </pic:pic>
              </a:graphicData>
            </a:graphic>
          </wp:inline>
        </w:drawing>
      </w:r>
      <w:r>
        <w:t xml:space="preserve"> </w:t>
      </w:r>
    </w:p>
    <w:p w:rsidR="00353D8D" w:rsidRDefault="006667A9">
      <w:pPr>
        <w:ind w:left="-5" w:right="159"/>
      </w:pPr>
      <w:r>
        <w:rPr>
          <w:b/>
        </w:rPr>
        <w:t xml:space="preserve">Figure 3. </w:t>
      </w:r>
      <w:r>
        <w:t>The impact of lifestyle changes, social distancing restrictions, and health concerns during the pandemic on tinnitus experiences</w:t>
      </w:r>
      <w:r>
        <w:rPr>
          <w:b/>
        </w:rPr>
        <w:t xml:space="preserve"> </w:t>
      </w:r>
    </w:p>
    <w:p w:rsidR="00353D8D" w:rsidRDefault="006667A9">
      <w:pPr>
        <w:spacing w:after="252" w:line="259" w:lineRule="auto"/>
        <w:ind w:left="0" w:firstLine="0"/>
      </w:pPr>
      <w:r>
        <w:t xml:space="preserve"> </w:t>
      </w:r>
    </w:p>
    <w:p w:rsidR="00353D8D" w:rsidRDefault="006667A9">
      <w:pPr>
        <w:ind w:left="-5" w:right="159"/>
      </w:pPr>
      <w:r>
        <w:t>COVID-19 symptoms were experienced by 8% (n = 237/2952) and 8% (n = 249/2952) were unsure if they had symptoms. Of those exp</w:t>
      </w:r>
      <w:r>
        <w:t>eriencing COVID-19 symptoms, tinnitus remained stable for 54% (n = 128/237), whereas having COVID-19 significantly (</w:t>
      </w:r>
      <w:r>
        <w:rPr>
          <w:i/>
        </w:rPr>
        <w:t>X</w:t>
      </w:r>
      <w:r>
        <w:rPr>
          <w:i/>
          <w:vertAlign w:val="superscript"/>
        </w:rPr>
        <w:t>2</w:t>
      </w:r>
      <w:r>
        <w:t xml:space="preserve"> (15) = 345; </w:t>
      </w:r>
      <w:r>
        <w:rPr>
          <w:i/>
        </w:rPr>
        <w:t>p</w:t>
      </w:r>
      <w:r>
        <w:t xml:space="preserve"> = .001) exacerbated tinnitus for 40% (n = 95/237). </w:t>
      </w:r>
      <w:proofErr w:type="gramStart"/>
      <w:r>
        <w:t>This was supported by statements such as</w:t>
      </w:r>
      <w:proofErr w:type="gramEnd"/>
      <w:r>
        <w:t>: “I was too ill to notice at th</w:t>
      </w:r>
      <w:r>
        <w:t xml:space="preserve">e time, but the tinnitus is definitely much worse now that I’m better enough to notice.” (Female, 55 years, UK). Two respondents reported having the virus improved their tinnitus by </w:t>
      </w:r>
      <w:proofErr w:type="gramStart"/>
      <w:r>
        <w:t>explaining</w:t>
      </w:r>
      <w:proofErr w:type="gramEnd"/>
      <w:r>
        <w:t xml:space="preserve"> “Being focused on getting better pushed the tinnitus issue into</w:t>
      </w:r>
      <w:r>
        <w:t xml:space="preserve"> the background” (Male, 48 years, USA) and “I noticed the tinnitus less because the virus has shown me there are bigger problems than my tinnitus” (Male, 55 years, Belgium). Only 143/2952 </w:t>
      </w:r>
      <w:proofErr w:type="gramStart"/>
      <w:r>
        <w:t>were tested</w:t>
      </w:r>
      <w:proofErr w:type="gramEnd"/>
      <w:r>
        <w:t xml:space="preserve"> for COVID-19 and of these 28 (20% of those tested) teste</w:t>
      </w:r>
      <w:r>
        <w:t xml:space="preserve">d positive. Being anxious about contracting the </w:t>
      </w:r>
      <w:proofErr w:type="gramStart"/>
      <w:r>
        <w:t>virus,</w:t>
      </w:r>
      <w:proofErr w:type="gramEnd"/>
      <w:r>
        <w:t xml:space="preserve"> also exacerbated tinnitus, as explained: </w:t>
      </w:r>
      <w:r>
        <w:lastRenderedPageBreak/>
        <w:t xml:space="preserve">“I’m constantly worrying if I’ve been exposed. This increased stress makes my tinnitus very loud” (Female, 31 years, UK).  </w:t>
      </w:r>
    </w:p>
    <w:p w:rsidR="00353D8D" w:rsidRDefault="006667A9">
      <w:pPr>
        <w:spacing w:after="252" w:line="259" w:lineRule="auto"/>
        <w:ind w:left="0" w:firstLine="0"/>
      </w:pPr>
      <w:r>
        <w:t xml:space="preserve"> </w:t>
      </w:r>
    </w:p>
    <w:p w:rsidR="00353D8D" w:rsidRDefault="006667A9">
      <w:pPr>
        <w:ind w:left="-5" w:right="159"/>
      </w:pPr>
      <w:r>
        <w:t>It was not asked specifically whet</w:t>
      </w:r>
      <w:r>
        <w:t xml:space="preserve">her tinnitus was initiated by having COVID-19, but in </w:t>
      </w:r>
      <w:proofErr w:type="spellStart"/>
      <w:r>
        <w:t>freetext</w:t>
      </w:r>
      <w:proofErr w:type="spellEnd"/>
      <w:r>
        <w:t>, there were mentions of both tinnitus (n = 7) and hearing loss (n =4) starting after contracting COVID-19. A respondent explained, “I did not have tinnitus before the virus. It came on when I w</w:t>
      </w:r>
      <w:r>
        <w:t xml:space="preserve">as ill and is the only thing which has continued afterward” (Female, 52 years, UK) or “having the virus started my tinnitus” (Male, 36 years, The Netherlands).   </w:t>
      </w:r>
    </w:p>
    <w:p w:rsidR="00353D8D" w:rsidRDefault="006667A9">
      <w:pPr>
        <w:spacing w:after="252" w:line="259" w:lineRule="auto"/>
        <w:ind w:left="0" w:firstLine="0"/>
      </w:pPr>
      <w:r>
        <w:t xml:space="preserve"> </w:t>
      </w:r>
    </w:p>
    <w:p w:rsidR="00353D8D" w:rsidRDefault="006667A9">
      <w:pPr>
        <w:ind w:left="-5" w:right="159"/>
      </w:pPr>
      <w:r>
        <w:t xml:space="preserve">Only 4 of the 28 (14%) diagnosed with COVID-19 were medicated in hospital, while most took </w:t>
      </w:r>
      <w:r>
        <w:t xml:space="preserve">medication at home, such as Ibuprofen, Paracetamol, Lorazepam, Methylprednisolone, </w:t>
      </w:r>
      <w:proofErr w:type="spellStart"/>
      <w:r>
        <w:t>Mortin</w:t>
      </w:r>
      <w:proofErr w:type="spellEnd"/>
      <w:r>
        <w:t xml:space="preserve">, </w:t>
      </w:r>
      <w:proofErr w:type="spellStart"/>
      <w:r>
        <w:t>Tamaflu</w:t>
      </w:r>
      <w:proofErr w:type="spellEnd"/>
      <w:r>
        <w:t xml:space="preserve"> pills, Tylenol, Robitussin, </w:t>
      </w:r>
      <w:proofErr w:type="spellStart"/>
      <w:r>
        <w:t>Azelastine</w:t>
      </w:r>
      <w:proofErr w:type="spellEnd"/>
      <w:r>
        <w:t xml:space="preserve">, Salbutamol or </w:t>
      </w:r>
      <w:proofErr w:type="spellStart"/>
      <w:r>
        <w:t>Azythromycine</w:t>
      </w:r>
      <w:proofErr w:type="spellEnd"/>
      <w:r>
        <w:t xml:space="preserve">. There were no reports of taking medication such as chloroquine or </w:t>
      </w:r>
      <w:proofErr w:type="spellStart"/>
      <w:proofErr w:type="gramStart"/>
      <w:r>
        <w:t>hydroxychloroquine</w:t>
      </w:r>
      <w:proofErr w:type="spellEnd"/>
      <w:r>
        <w:t xml:space="preserve"> whi</w:t>
      </w:r>
      <w:r>
        <w:t>ch</w:t>
      </w:r>
      <w:proofErr w:type="gramEnd"/>
      <w:r>
        <w:t xml:space="preserve"> can be ototoxic. Others described taking natural remedies such as Chinese herbs, ginger, garlic, turmeric, honey, lemon, and zinc. Taking medication significantly increased the presence of tinnitus (</w:t>
      </w:r>
      <w:r>
        <w:rPr>
          <w:i/>
        </w:rPr>
        <w:t>X</w:t>
      </w:r>
      <w:r>
        <w:rPr>
          <w:i/>
          <w:vertAlign w:val="superscript"/>
        </w:rPr>
        <w:t>2</w:t>
      </w:r>
      <w:r>
        <w:t xml:space="preserve">(8) = 598; </w:t>
      </w:r>
      <w:r>
        <w:rPr>
          <w:i/>
        </w:rPr>
        <w:t>p</w:t>
      </w:r>
      <w:r>
        <w:t xml:space="preserve"> = .001*). </w:t>
      </w:r>
      <w:proofErr w:type="gramStart"/>
      <w:r>
        <w:t xml:space="preserve">When asked which medications </w:t>
      </w:r>
      <w:r>
        <w:t>affected tinnitus, both prescribed medications e.g. “Steroid medication made my tinnitus worse” (Male, 66 years, USA) and using vitamins to try to boost the immune response against the virus was reported to make tinnitus worse e.g. “I have experienced spik</w:t>
      </w:r>
      <w:r>
        <w:t>es in my tinnitus when taking vitamins/supplements such as Vitamin D to increase my immune system in response to</w:t>
      </w:r>
      <w:proofErr w:type="gramEnd"/>
      <w:r>
        <w:t xml:space="preserve"> </w:t>
      </w:r>
    </w:p>
    <w:p w:rsidR="00353D8D" w:rsidRDefault="006667A9">
      <w:pPr>
        <w:spacing w:after="252" w:line="259" w:lineRule="auto"/>
        <w:ind w:left="-5" w:right="159"/>
      </w:pPr>
      <w:r>
        <w:t xml:space="preserve">COVID” (Male, 64 years, USA). </w:t>
      </w:r>
    </w:p>
    <w:p w:rsidR="00353D8D" w:rsidRDefault="006667A9">
      <w:pPr>
        <w:spacing w:after="252" w:line="259" w:lineRule="auto"/>
        <w:ind w:left="0" w:firstLine="0"/>
      </w:pPr>
      <w:r>
        <w:t xml:space="preserve"> </w:t>
      </w:r>
    </w:p>
    <w:p w:rsidR="00353D8D" w:rsidRDefault="006667A9">
      <w:pPr>
        <w:spacing w:after="266" w:line="259" w:lineRule="auto"/>
        <w:ind w:left="-5" w:right="159"/>
      </w:pPr>
      <w:r>
        <w:t>Respondents also had family members who had tested positive for COVID-19</w:t>
      </w:r>
      <w:r>
        <w:rPr>
          <w:b/>
        </w:rPr>
        <w:t xml:space="preserve"> (</w:t>
      </w:r>
      <w:r>
        <w:t xml:space="preserve">15%; </w:t>
      </w:r>
      <w:r>
        <w:rPr>
          <w:i/>
        </w:rPr>
        <w:t>n</w:t>
      </w:r>
      <w:r>
        <w:t xml:space="preserve"> = </w:t>
      </w:r>
    </w:p>
    <w:p w:rsidR="00353D8D" w:rsidRDefault="006667A9">
      <w:pPr>
        <w:spacing w:after="30" w:line="486" w:lineRule="auto"/>
        <w:ind w:left="-5"/>
        <w:jc w:val="both"/>
      </w:pPr>
      <w:r>
        <w:lastRenderedPageBreak/>
        <w:t xml:space="preserve">37/243), adding further </w:t>
      </w:r>
      <w:r>
        <w:t>concerns, expressed by comments such as “I think my current tinnitus spike is due to anxiety for myself and my family, since several of us are in the higher risk group”  (Male, Norway, 36 years).</w:t>
      </w:r>
      <w:r>
        <w:rPr>
          <w:b/>
        </w:rPr>
        <w:t xml:space="preserve"> </w:t>
      </w:r>
    </w:p>
    <w:p w:rsidR="00353D8D" w:rsidRDefault="006667A9">
      <w:pPr>
        <w:ind w:left="-5" w:right="159"/>
      </w:pPr>
      <w:r>
        <w:t xml:space="preserve">Respondents </w:t>
      </w:r>
      <w:proofErr w:type="gramStart"/>
      <w:r>
        <w:t>were asked</w:t>
      </w:r>
      <w:proofErr w:type="gramEnd"/>
      <w:r>
        <w:t xml:space="preserve"> if they had additional health concer</w:t>
      </w:r>
      <w:r>
        <w:t>ns that may put them at risk for developing COVID. Significantly more respondents from North America reported additional health concerns (70%) compared with under 50% from other locations (</w:t>
      </w:r>
      <w:r>
        <w:rPr>
          <w:i/>
        </w:rPr>
        <w:t>X</w:t>
      </w:r>
      <w:r>
        <w:rPr>
          <w:i/>
          <w:vertAlign w:val="superscript"/>
        </w:rPr>
        <w:t>2</w:t>
      </w:r>
      <w:r>
        <w:t xml:space="preserve">(6) = 205; </w:t>
      </w:r>
      <w:r>
        <w:rPr>
          <w:i/>
        </w:rPr>
        <w:t>p</w:t>
      </w:r>
      <w:r>
        <w:t xml:space="preserve"> = .001*). The presence of additional health concerns</w:t>
      </w:r>
      <w:r>
        <w:t xml:space="preserve"> were not related to more bothersome tinnitus (</w:t>
      </w:r>
      <w:r>
        <w:rPr>
          <w:i/>
        </w:rPr>
        <w:t>X</w:t>
      </w:r>
      <w:r>
        <w:rPr>
          <w:i/>
          <w:vertAlign w:val="superscript"/>
        </w:rPr>
        <w:t>2</w:t>
      </w:r>
      <w:r>
        <w:t xml:space="preserve">(10) = 222; </w:t>
      </w:r>
      <w:r>
        <w:rPr>
          <w:i/>
        </w:rPr>
        <w:t>p</w:t>
      </w:r>
      <w:r>
        <w:t xml:space="preserve"> = .02). </w:t>
      </w:r>
    </w:p>
    <w:p w:rsidR="00353D8D" w:rsidRDefault="006667A9">
      <w:pPr>
        <w:spacing w:after="252" w:line="259" w:lineRule="auto"/>
        <w:ind w:left="0" w:firstLine="0"/>
      </w:pPr>
      <w:r>
        <w:rPr>
          <w:b/>
        </w:rPr>
        <w:t xml:space="preserve"> </w:t>
      </w:r>
    </w:p>
    <w:p w:rsidR="00353D8D" w:rsidRDefault="006667A9">
      <w:pPr>
        <w:ind w:left="-5" w:right="159"/>
      </w:pPr>
      <w:r>
        <w:rPr>
          <w:b/>
        </w:rPr>
        <w:t xml:space="preserve">The impact of social distancing restrictions during the pandemic on tinnitus </w:t>
      </w:r>
      <w:r>
        <w:t>Social distancing restrictions stemming from COVID-19 did not affect tinnitus for 73% of respondents, imp</w:t>
      </w:r>
      <w:r>
        <w:t xml:space="preserve">roved it for 2%, and exacerbated tinnitus for 25% (Figure 3). Those reporting a positive </w:t>
      </w:r>
      <w:proofErr w:type="gramStart"/>
      <w:r>
        <w:t>impact,</w:t>
      </w:r>
      <w:proofErr w:type="gramEnd"/>
      <w:r>
        <w:t xml:space="preserve"> explained the reasons as follows: “I’m less frustrated not being in large crowds” (Female, 38 years, UK). In addition to the tinnitus </w:t>
      </w:r>
      <w:proofErr w:type="gramStart"/>
      <w:r>
        <w:t>being exacerbated</w:t>
      </w:r>
      <w:proofErr w:type="gramEnd"/>
      <w:r>
        <w:t>, social</w:t>
      </w:r>
      <w:r>
        <w:t xml:space="preserve"> distancing also made listening hard. This was explained by statements such </w:t>
      </w:r>
      <w:proofErr w:type="gramStart"/>
      <w:r>
        <w:t>as:</w:t>
      </w:r>
      <w:proofErr w:type="gramEnd"/>
      <w:r>
        <w:t xml:space="preserve"> “Having to understand 6 feet away and through a mask is so much harder and raises my irritation levels” (Male, 52 years, USA). </w:t>
      </w:r>
    </w:p>
    <w:p w:rsidR="00353D8D" w:rsidRDefault="006667A9">
      <w:pPr>
        <w:ind w:left="-5" w:right="159"/>
      </w:pPr>
      <w:r>
        <w:t>The impact of social distancing restrictions var</w:t>
      </w:r>
      <w:r>
        <w:t>ied significantly between countries (</w:t>
      </w:r>
      <w:r>
        <w:rPr>
          <w:i/>
        </w:rPr>
        <w:t>X</w:t>
      </w:r>
      <w:r>
        <w:rPr>
          <w:vertAlign w:val="superscript"/>
        </w:rPr>
        <w:t xml:space="preserve">2 </w:t>
      </w:r>
      <w:r>
        <w:t xml:space="preserve">(12) = 214; </w:t>
      </w:r>
      <w:r>
        <w:rPr>
          <w:i/>
        </w:rPr>
        <w:t>p</w:t>
      </w:r>
      <w:r>
        <w:t xml:space="preserve"> = .001*) </w:t>
      </w:r>
      <w:proofErr w:type="gramStart"/>
      <w:r>
        <w:t>and  had</w:t>
      </w:r>
      <w:proofErr w:type="gramEnd"/>
      <w:r>
        <w:t xml:space="preserve"> a significantly greater impact (</w:t>
      </w:r>
      <w:r>
        <w:rPr>
          <w:i/>
        </w:rPr>
        <w:t>p</w:t>
      </w:r>
      <w:r>
        <w:t xml:space="preserve"> = .001*)  in the UK (34%) compared with North America (20%). </w:t>
      </w:r>
      <w:r>
        <w:t xml:space="preserve">Social distancing advice </w:t>
      </w:r>
      <w:proofErr w:type="gramStart"/>
      <w:r>
        <w:t>was followed</w:t>
      </w:r>
      <w:proofErr w:type="gramEnd"/>
      <w:r>
        <w:t xml:space="preserve"> by 44% of respondents, particularly from the UK (50%), as shown in Figure 4. Tinnitus was significantly more bothersome for those that were self-isolating (</w:t>
      </w:r>
      <w:r>
        <w:rPr>
          <w:i/>
        </w:rPr>
        <w:t>X</w:t>
      </w:r>
      <w:r>
        <w:rPr>
          <w:vertAlign w:val="superscript"/>
        </w:rPr>
        <w:t xml:space="preserve">2 </w:t>
      </w:r>
      <w:r>
        <w:t xml:space="preserve">(35) = 550; </w:t>
      </w:r>
      <w:r>
        <w:rPr>
          <w:i/>
        </w:rPr>
        <w:t>p</w:t>
      </w:r>
      <w:r>
        <w:t xml:space="preserve"> = .001).   </w:t>
      </w:r>
    </w:p>
    <w:p w:rsidR="00353D8D" w:rsidRDefault="006667A9">
      <w:pPr>
        <w:spacing w:after="0" w:line="259" w:lineRule="auto"/>
        <w:ind w:left="0" w:firstLine="0"/>
      </w:pPr>
      <w:r>
        <w:t xml:space="preserve"> </w:t>
      </w:r>
    </w:p>
    <w:p w:rsidR="00353D8D" w:rsidRDefault="006667A9">
      <w:pPr>
        <w:spacing w:after="199" w:line="259" w:lineRule="auto"/>
        <w:ind w:left="0" w:right="747" w:firstLine="0"/>
        <w:jc w:val="right"/>
      </w:pPr>
      <w:r>
        <w:rPr>
          <w:noProof/>
        </w:rPr>
        <w:lastRenderedPageBreak/>
        <w:drawing>
          <wp:inline distT="0" distB="0" distL="0" distR="0">
            <wp:extent cx="5317236" cy="2920365"/>
            <wp:effectExtent l="0" t="0" r="0" b="0"/>
            <wp:docPr id="2314" name="Picture 2314" descr="Figure 4"/>
            <wp:cNvGraphicFramePr/>
            <a:graphic xmlns:a="http://schemas.openxmlformats.org/drawingml/2006/main">
              <a:graphicData uri="http://schemas.openxmlformats.org/drawingml/2006/picture">
                <pic:pic xmlns:pic="http://schemas.openxmlformats.org/drawingml/2006/picture">
                  <pic:nvPicPr>
                    <pic:cNvPr id="2314" name="Picture 2314"/>
                    <pic:cNvPicPr/>
                  </pic:nvPicPr>
                  <pic:blipFill>
                    <a:blip r:embed="rId13"/>
                    <a:stretch>
                      <a:fillRect/>
                    </a:stretch>
                  </pic:blipFill>
                  <pic:spPr>
                    <a:xfrm>
                      <a:off x="0" y="0"/>
                      <a:ext cx="5317236" cy="2920365"/>
                    </a:xfrm>
                    <a:prstGeom prst="rect">
                      <a:avLst/>
                    </a:prstGeom>
                  </pic:spPr>
                </pic:pic>
              </a:graphicData>
            </a:graphic>
          </wp:inline>
        </w:drawing>
      </w:r>
      <w:r>
        <w:t xml:space="preserve"> </w:t>
      </w:r>
    </w:p>
    <w:p w:rsidR="00353D8D" w:rsidRDefault="006667A9">
      <w:pPr>
        <w:spacing w:after="252" w:line="259" w:lineRule="auto"/>
        <w:ind w:left="-5" w:right="159"/>
      </w:pPr>
      <w:r>
        <w:rPr>
          <w:b/>
        </w:rPr>
        <w:t>Figure 4.</w:t>
      </w:r>
      <w:r>
        <w:t xml:space="preserve"> The following soci</w:t>
      </w:r>
      <w:r>
        <w:t>al distancing advice across different location</w:t>
      </w:r>
    </w:p>
    <w:p w:rsidR="00353D8D" w:rsidRDefault="006667A9">
      <w:pPr>
        <w:spacing w:after="252" w:line="259" w:lineRule="auto"/>
        <w:ind w:left="0" w:firstLine="0"/>
      </w:pPr>
      <w:r>
        <w:t xml:space="preserve"> </w:t>
      </w:r>
    </w:p>
    <w:p w:rsidR="00353D8D" w:rsidRDefault="006667A9">
      <w:pPr>
        <w:spacing w:after="252" w:line="259" w:lineRule="auto"/>
        <w:ind w:left="10"/>
      </w:pPr>
      <w:r>
        <w:rPr>
          <w:i/>
        </w:rPr>
        <w:t xml:space="preserve">The impact of social interactions </w:t>
      </w:r>
    </w:p>
    <w:p w:rsidR="00353D8D" w:rsidRDefault="006667A9">
      <w:pPr>
        <w:ind w:left="-5" w:right="159"/>
      </w:pPr>
      <w:r>
        <w:t xml:space="preserve">Figure 5 indicates that 86% of respondents reported fewer social interactions, 12% had a similar amount and 2% had </w:t>
      </w:r>
      <w:proofErr w:type="gramStart"/>
      <w:r>
        <w:t>more social interactions</w:t>
      </w:r>
      <w:proofErr w:type="gramEnd"/>
      <w:r>
        <w:t xml:space="preserve">. </w:t>
      </w:r>
      <w:proofErr w:type="gramStart"/>
      <w:r>
        <w:t>More social interactions</w:t>
      </w:r>
      <w:proofErr w:type="gramEnd"/>
      <w:r>
        <w:t xml:space="preserve"> were d</w:t>
      </w:r>
      <w:r>
        <w:t xml:space="preserve">esired by </w:t>
      </w:r>
    </w:p>
    <w:p w:rsidR="00353D8D" w:rsidRDefault="006667A9">
      <w:pPr>
        <w:ind w:left="-5" w:right="159"/>
      </w:pPr>
      <w:proofErr w:type="gramStart"/>
      <w:r>
        <w:t>84%</w:t>
      </w:r>
      <w:proofErr w:type="gramEnd"/>
      <w:r>
        <w:t xml:space="preserve"> of respondents, particularly in the UK as explained: “I notice my tinnitus more because I am stuck in my house all alone with nobody to speak to” (Female, 45 years, USA). </w:t>
      </w:r>
    </w:p>
    <w:p w:rsidR="00353D8D" w:rsidRDefault="006667A9">
      <w:pPr>
        <w:spacing w:after="0" w:line="259" w:lineRule="auto"/>
        <w:ind w:left="0" w:firstLine="0"/>
      </w:pPr>
      <w:r>
        <w:t xml:space="preserve"> </w:t>
      </w:r>
    </w:p>
    <w:p w:rsidR="00353D8D" w:rsidRDefault="006667A9">
      <w:pPr>
        <w:spacing w:after="199" w:line="259" w:lineRule="auto"/>
        <w:ind w:left="0" w:right="708" w:firstLine="0"/>
        <w:jc w:val="right"/>
      </w:pPr>
      <w:r>
        <w:rPr>
          <w:noProof/>
        </w:rPr>
        <w:lastRenderedPageBreak/>
        <w:drawing>
          <wp:inline distT="0" distB="0" distL="0" distR="0">
            <wp:extent cx="5342890" cy="3697351"/>
            <wp:effectExtent l="0" t="0" r="0" b="0"/>
            <wp:docPr id="2404" name="Picture 2404" descr="Figure 5"/>
            <wp:cNvGraphicFramePr/>
            <a:graphic xmlns:a="http://schemas.openxmlformats.org/drawingml/2006/main">
              <a:graphicData uri="http://schemas.openxmlformats.org/drawingml/2006/picture">
                <pic:pic xmlns:pic="http://schemas.openxmlformats.org/drawingml/2006/picture">
                  <pic:nvPicPr>
                    <pic:cNvPr id="2404" name="Picture 2404"/>
                    <pic:cNvPicPr/>
                  </pic:nvPicPr>
                  <pic:blipFill>
                    <a:blip r:embed="rId14"/>
                    <a:stretch>
                      <a:fillRect/>
                    </a:stretch>
                  </pic:blipFill>
                  <pic:spPr>
                    <a:xfrm>
                      <a:off x="0" y="0"/>
                      <a:ext cx="5342890" cy="3697351"/>
                    </a:xfrm>
                    <a:prstGeom prst="rect">
                      <a:avLst/>
                    </a:prstGeom>
                  </pic:spPr>
                </pic:pic>
              </a:graphicData>
            </a:graphic>
          </wp:inline>
        </w:drawing>
      </w:r>
      <w:r>
        <w:rPr>
          <w:b/>
        </w:rPr>
        <w:t xml:space="preserve"> </w:t>
      </w:r>
    </w:p>
    <w:p w:rsidR="00353D8D" w:rsidRDefault="006667A9">
      <w:pPr>
        <w:ind w:left="-5" w:right="159"/>
      </w:pPr>
      <w:r>
        <w:rPr>
          <w:b/>
        </w:rPr>
        <w:t>Figure 5.</w:t>
      </w:r>
      <w:r>
        <w:t xml:space="preserve"> The frequency of social interactions and desire for mo</w:t>
      </w:r>
      <w:r>
        <w:t xml:space="preserve">re interactions and loneliness experiences during social distancing restrictions across different locations </w:t>
      </w:r>
    </w:p>
    <w:p w:rsidR="00353D8D" w:rsidRDefault="006667A9">
      <w:pPr>
        <w:spacing w:after="252" w:line="259" w:lineRule="auto"/>
        <w:ind w:left="0" w:firstLine="0"/>
      </w:pPr>
      <w:r>
        <w:t xml:space="preserve"> </w:t>
      </w:r>
    </w:p>
    <w:p w:rsidR="00353D8D" w:rsidRDefault="006667A9">
      <w:pPr>
        <w:spacing w:after="252" w:line="259" w:lineRule="auto"/>
        <w:ind w:left="10"/>
      </w:pPr>
      <w:r>
        <w:rPr>
          <w:i/>
        </w:rPr>
        <w:t xml:space="preserve">The impact of loneliness </w:t>
      </w:r>
    </w:p>
    <w:p w:rsidR="00353D8D" w:rsidRDefault="006667A9">
      <w:pPr>
        <w:ind w:left="-5" w:right="159"/>
      </w:pPr>
      <w:r>
        <w:t xml:space="preserve">When asked if respondents feel lonely because of </w:t>
      </w:r>
      <w:r>
        <w:t>pandemic related lockdown, most respondents (58%) reported being lonely.</w:t>
      </w:r>
      <w:r>
        <w:rPr>
          <w:i/>
        </w:rPr>
        <w:t xml:space="preserve"> </w:t>
      </w:r>
      <w:r>
        <w:t>Tinnitus was significantly more bothersome for those reporting loneliness (</w:t>
      </w:r>
      <w:r>
        <w:rPr>
          <w:i/>
        </w:rPr>
        <w:t>X</w:t>
      </w:r>
      <w:r>
        <w:rPr>
          <w:vertAlign w:val="superscript"/>
        </w:rPr>
        <w:t xml:space="preserve">2 </w:t>
      </w:r>
      <w:r>
        <w:t xml:space="preserve">(15) = 1213; </w:t>
      </w:r>
      <w:r>
        <w:rPr>
          <w:i/>
        </w:rPr>
        <w:t>p</w:t>
      </w:r>
      <w:r>
        <w:t xml:space="preserve"> = .001). Experiences of loneliness may have been amplified during the pandemic due to the </w:t>
      </w:r>
      <w:r>
        <w:t xml:space="preserve">lockdown measures in place, as </w:t>
      </w:r>
      <w:proofErr w:type="gramStart"/>
      <w:r>
        <w:t>explained  by</w:t>
      </w:r>
      <w:proofErr w:type="gramEnd"/>
      <w:r>
        <w:t xml:space="preserve"> statement such as “So much time alone has just made me more aware of the tinnitus” </w:t>
      </w:r>
    </w:p>
    <w:p w:rsidR="00353D8D" w:rsidRDefault="006667A9">
      <w:pPr>
        <w:ind w:left="-5" w:right="159"/>
      </w:pPr>
      <w:r>
        <w:t>(Female, 71 years, USA). When comparing locations, significant differences were found (</w:t>
      </w:r>
      <w:r>
        <w:rPr>
          <w:i/>
        </w:rPr>
        <w:t>X</w:t>
      </w:r>
      <w:r>
        <w:rPr>
          <w:vertAlign w:val="superscript"/>
        </w:rPr>
        <w:t xml:space="preserve">2 </w:t>
      </w:r>
      <w:r>
        <w:t xml:space="preserve">(9) = 35; </w:t>
      </w:r>
      <w:r>
        <w:rPr>
          <w:i/>
        </w:rPr>
        <w:t>p</w:t>
      </w:r>
      <w:r>
        <w:t xml:space="preserve"> = .003*</w:t>
      </w:r>
      <w:proofErr w:type="gramStart"/>
      <w:r>
        <w:t>)  as</w:t>
      </w:r>
      <w:proofErr w:type="gramEnd"/>
      <w:r>
        <w:t xml:space="preserve"> those in Nor</w:t>
      </w:r>
      <w:r>
        <w:t>th America reported significantly (</w:t>
      </w:r>
      <w:r>
        <w:rPr>
          <w:i/>
        </w:rPr>
        <w:t>p</w:t>
      </w:r>
      <w:r>
        <w:t xml:space="preserve"> = 0.001*) less loneliness (54%) than those in Europe (62%), the UK (60%), and combined other countries (58%).   </w:t>
      </w:r>
    </w:p>
    <w:p w:rsidR="00353D8D" w:rsidRDefault="006667A9">
      <w:pPr>
        <w:spacing w:after="0" w:line="259" w:lineRule="auto"/>
        <w:ind w:left="0" w:firstLine="0"/>
      </w:pPr>
      <w:r>
        <w:t xml:space="preserve"> </w:t>
      </w:r>
    </w:p>
    <w:p w:rsidR="00353D8D" w:rsidRDefault="006667A9">
      <w:pPr>
        <w:spacing w:after="252" w:line="259" w:lineRule="auto"/>
        <w:ind w:left="0" w:firstLine="0"/>
      </w:pPr>
      <w:r>
        <w:t xml:space="preserve"> </w:t>
      </w:r>
    </w:p>
    <w:p w:rsidR="00353D8D" w:rsidRDefault="006667A9">
      <w:pPr>
        <w:pStyle w:val="Heading1"/>
        <w:ind w:left="-5"/>
      </w:pPr>
      <w:r>
        <w:lastRenderedPageBreak/>
        <w:t xml:space="preserve">The impact of lifestyle changes due to the pandemic on tinnitus </w:t>
      </w:r>
    </w:p>
    <w:p w:rsidR="00353D8D" w:rsidRDefault="006667A9">
      <w:pPr>
        <w:ind w:left="-5" w:right="159"/>
      </w:pPr>
      <w:r>
        <w:t>Lifestyle changes stemming from COVID</w:t>
      </w:r>
      <w:r>
        <w:t>-19 did not affect tinnitus for 62% of respondents, exacerbated tinnitus for 34%, and improved it for 4%. There were significant differences between location (</w:t>
      </w:r>
      <w:r>
        <w:rPr>
          <w:i/>
        </w:rPr>
        <w:t>X</w:t>
      </w:r>
      <w:r>
        <w:rPr>
          <w:vertAlign w:val="superscript"/>
        </w:rPr>
        <w:t xml:space="preserve">2 </w:t>
      </w:r>
      <w:r>
        <w:t xml:space="preserve">(12) = 232; </w:t>
      </w:r>
      <w:r>
        <w:rPr>
          <w:i/>
        </w:rPr>
        <w:t>p</w:t>
      </w:r>
      <w:r>
        <w:t xml:space="preserve"> = .001*), as lifestyle changes impacted those in the UK </w:t>
      </w:r>
    </w:p>
    <w:p w:rsidR="00353D8D" w:rsidRDefault="006667A9">
      <w:pPr>
        <w:ind w:left="-5" w:right="159"/>
      </w:pPr>
      <w:r>
        <w:t>(46%</w:t>
      </w:r>
      <w:proofErr w:type="gramStart"/>
      <w:r>
        <w:t>)  significantly</w:t>
      </w:r>
      <w:proofErr w:type="gramEnd"/>
      <w:r>
        <w:t xml:space="preserve"> mo</w:t>
      </w:r>
      <w:r>
        <w:t>re (</w:t>
      </w:r>
      <w:r>
        <w:rPr>
          <w:i/>
        </w:rPr>
        <w:t>p</w:t>
      </w:r>
      <w:r>
        <w:t xml:space="preserve"> = 0.001*) than those in North America (29%), as seen in Figure 3. From the free text responses, some respondents reported tinnitus starting during the pandemic and assumed this was related to lifestyle changes </w:t>
      </w:r>
      <w:proofErr w:type="gramStart"/>
      <w:r>
        <w:t>saying</w:t>
      </w:r>
      <w:proofErr w:type="gramEnd"/>
      <w:r>
        <w:t xml:space="preserve"> “No one knows why my tinnitus sta</w:t>
      </w:r>
      <w:r>
        <w:t xml:space="preserve">rted, it may be from staying at home, being out of routine or the stress” (Female, 44 years, UK). </w:t>
      </w:r>
    </w:p>
    <w:p w:rsidR="00353D8D" w:rsidRDefault="006667A9">
      <w:pPr>
        <w:spacing w:after="252" w:line="259" w:lineRule="auto"/>
        <w:ind w:left="0" w:firstLine="0"/>
      </w:pPr>
      <w:r>
        <w:t xml:space="preserve"> </w:t>
      </w:r>
    </w:p>
    <w:p w:rsidR="00353D8D" w:rsidRDefault="006667A9">
      <w:pPr>
        <w:spacing w:after="252" w:line="259" w:lineRule="auto"/>
        <w:ind w:left="10"/>
      </w:pPr>
      <w:r>
        <w:rPr>
          <w:i/>
        </w:rPr>
        <w:t xml:space="preserve">The impact of living demographics </w:t>
      </w:r>
    </w:p>
    <w:p w:rsidR="00353D8D" w:rsidRDefault="006667A9">
      <w:pPr>
        <w:ind w:left="-5" w:right="159"/>
      </w:pPr>
      <w:r>
        <w:t xml:space="preserve">To identify how lifestyle changes </w:t>
      </w:r>
      <w:proofErr w:type="gramStart"/>
      <w:r>
        <w:t>may have been affected</w:t>
      </w:r>
      <w:proofErr w:type="gramEnd"/>
      <w:r>
        <w:t>, respondents were asked about their living demographics. The ma</w:t>
      </w:r>
      <w:r>
        <w:t xml:space="preserve">jority of respondents live in a city (48%, </w:t>
      </w:r>
      <w:r>
        <w:rPr>
          <w:i/>
        </w:rPr>
        <w:t>n</w:t>
      </w:r>
      <w:r>
        <w:t xml:space="preserve"> = 1483), a town (29%, </w:t>
      </w:r>
      <w:r>
        <w:rPr>
          <w:i/>
        </w:rPr>
        <w:t>n</w:t>
      </w:r>
      <w:r>
        <w:t xml:space="preserve"> = 896) or small town (12%, </w:t>
      </w:r>
      <w:r>
        <w:rPr>
          <w:i/>
        </w:rPr>
        <w:t>n</w:t>
      </w:r>
      <w:r>
        <w:t xml:space="preserve"> = 370) whereas 11% (</w:t>
      </w:r>
      <w:r>
        <w:rPr>
          <w:i/>
        </w:rPr>
        <w:t xml:space="preserve">n </w:t>
      </w:r>
      <w:r>
        <w:t>= 354) live rurally or in the countryside. Towns and cities were quieter than they would have been used to, which may have altered tinni</w:t>
      </w:r>
      <w:r>
        <w:t xml:space="preserve">tus experiences. Tinnitus being more noticeable due to life being quieter was often mentioned </w:t>
      </w:r>
      <w:proofErr w:type="gramStart"/>
      <w:r>
        <w:t>e.g.</w:t>
      </w:r>
      <w:proofErr w:type="gramEnd"/>
      <w:r>
        <w:t xml:space="preserve"> “I am now more aware of the tinnitus as my household is very quiet” (Female, 59 years, UK). For some being at home resulted in exposure to more noise, making</w:t>
      </w:r>
      <w:r>
        <w:t xml:space="preserve"> tinnitus worse, such as “Increased noise from power tools/lawn equipment and kids playing on motorized toys have made my tinnitus worse” (Female, 43 years, USA).  </w:t>
      </w:r>
    </w:p>
    <w:p w:rsidR="00353D8D" w:rsidRDefault="006667A9">
      <w:pPr>
        <w:spacing w:after="252" w:line="259" w:lineRule="auto"/>
        <w:ind w:left="0" w:firstLine="0"/>
      </w:pPr>
      <w:r>
        <w:t xml:space="preserve"> </w:t>
      </w:r>
    </w:p>
    <w:p w:rsidR="00353D8D" w:rsidRDefault="006667A9">
      <w:pPr>
        <w:spacing w:after="252" w:line="259" w:lineRule="auto"/>
        <w:ind w:left="-5" w:right="159"/>
      </w:pPr>
      <w:r>
        <w:t xml:space="preserve">The majority of respondents had access to a garden or park during the pandemic (89%, n = </w:t>
      </w:r>
    </w:p>
    <w:p w:rsidR="00353D8D" w:rsidRDefault="006667A9">
      <w:pPr>
        <w:spacing w:after="252" w:line="259" w:lineRule="auto"/>
        <w:ind w:left="-5" w:right="159"/>
      </w:pPr>
      <w:r>
        <w:t xml:space="preserve">2762). </w:t>
      </w:r>
      <w:proofErr w:type="gramStart"/>
      <w:r>
        <w:t>The</w:t>
      </w:r>
      <w:proofErr w:type="gramEnd"/>
      <w:r>
        <w:t xml:space="preserve"> cohort from South America, Asia, Africa, and Oceania reported significantly less </w:t>
      </w:r>
    </w:p>
    <w:p w:rsidR="00353D8D" w:rsidRDefault="006667A9">
      <w:pPr>
        <w:ind w:left="-5" w:right="159"/>
      </w:pPr>
      <w:r>
        <w:t>(</w:t>
      </w:r>
      <w:r>
        <w:rPr>
          <w:i/>
        </w:rPr>
        <w:t>p</w:t>
      </w:r>
      <w:r>
        <w:t xml:space="preserve"> = 0.001*) outdoor spaces (65%) in comparison to 88% from North America, 90% from Europe, and 94% from the UK. Having access to nature was reported to have a po</w:t>
      </w:r>
      <w:r>
        <w:t xml:space="preserve">sitive </w:t>
      </w:r>
      <w:r>
        <w:lastRenderedPageBreak/>
        <w:t xml:space="preserve">impact on tinnitus, explained by “I’ve been furloughed, so I am enjoying relaxing and being in nature more” (Male, 69 years, UK), although this association was not significant. </w:t>
      </w:r>
    </w:p>
    <w:p w:rsidR="00353D8D" w:rsidRDefault="006667A9">
      <w:pPr>
        <w:spacing w:after="252" w:line="259" w:lineRule="auto"/>
        <w:ind w:left="0" w:firstLine="0"/>
      </w:pPr>
      <w:r>
        <w:t xml:space="preserve"> </w:t>
      </w:r>
    </w:p>
    <w:p w:rsidR="00353D8D" w:rsidRDefault="006667A9">
      <w:pPr>
        <w:spacing w:after="252" w:line="259" w:lineRule="auto"/>
        <w:ind w:left="10"/>
      </w:pPr>
      <w:r>
        <w:rPr>
          <w:i/>
        </w:rPr>
        <w:t xml:space="preserve">The impact of the pandemic on sleep </w:t>
      </w:r>
    </w:p>
    <w:p w:rsidR="00353D8D" w:rsidRDefault="006667A9">
      <w:pPr>
        <w:spacing w:after="39"/>
        <w:ind w:left="-5" w:right="159"/>
      </w:pPr>
      <w:r>
        <w:t>Sleep problems such as waking up</w:t>
      </w:r>
      <w:r>
        <w:t xml:space="preserve"> earlier or having less restful sleep were reported by 67% respondents, with 46% (</w:t>
      </w:r>
      <w:r>
        <w:rPr>
          <w:i/>
        </w:rPr>
        <w:t>n</w:t>
      </w:r>
      <w:r>
        <w:t xml:space="preserve"> = 1819) describing lower sleep quality, explained as “I’ve not been able to sleep because of a change in routine and worrying, which makes my tinnitus louder” (Male, 56 yea</w:t>
      </w:r>
      <w:r>
        <w:t>rs, UK). More troubled sleep was related to tinnitus being significantly more bothersome (</w:t>
      </w:r>
      <w:r>
        <w:rPr>
          <w:i/>
        </w:rPr>
        <w:t>X</w:t>
      </w:r>
      <w:r>
        <w:rPr>
          <w:i/>
          <w:vertAlign w:val="superscript"/>
        </w:rPr>
        <w:t>2</w:t>
      </w:r>
      <w:r>
        <w:t xml:space="preserve">(5) = 113; </w:t>
      </w:r>
      <w:r>
        <w:rPr>
          <w:i/>
        </w:rPr>
        <w:t>p</w:t>
      </w:r>
      <w:r>
        <w:t xml:space="preserve"> = .001). Better sleep was reported by 6% (</w:t>
      </w:r>
      <w:r>
        <w:rPr>
          <w:i/>
        </w:rPr>
        <w:t>n</w:t>
      </w:r>
      <w:r>
        <w:t xml:space="preserve"> = 221), for example, </w:t>
      </w:r>
    </w:p>
    <w:p w:rsidR="00353D8D" w:rsidRDefault="006667A9">
      <w:pPr>
        <w:ind w:left="-5" w:right="159"/>
      </w:pPr>
      <w:r>
        <w:t xml:space="preserve">“Being at home means I have more time to sleep, meditate, do yoga, and eat healthy meals which all help me” (Female, 42 years, Canada).  </w:t>
      </w:r>
    </w:p>
    <w:p w:rsidR="00353D8D" w:rsidRDefault="006667A9">
      <w:pPr>
        <w:spacing w:after="252" w:line="259" w:lineRule="auto"/>
        <w:ind w:left="360" w:firstLine="0"/>
      </w:pPr>
      <w:r>
        <w:t xml:space="preserve"> </w:t>
      </w:r>
    </w:p>
    <w:p w:rsidR="00353D8D" w:rsidRDefault="006667A9">
      <w:pPr>
        <w:spacing w:after="252" w:line="259" w:lineRule="auto"/>
        <w:ind w:left="10"/>
      </w:pPr>
      <w:r>
        <w:rPr>
          <w:i/>
        </w:rPr>
        <w:t xml:space="preserve">The impact of exercise and diet </w:t>
      </w:r>
    </w:p>
    <w:p w:rsidR="00353D8D" w:rsidRDefault="006667A9">
      <w:pPr>
        <w:ind w:left="-5" w:right="159"/>
      </w:pPr>
      <w:r>
        <w:t xml:space="preserve">Compared with before the pandemic, 38% of respondents reported doing more exercise </w:t>
      </w:r>
      <w:r>
        <w:t>and 46% reported doing less exercise, which contributed to tinnitus being significantly more bothersome (</w:t>
      </w:r>
      <w:r>
        <w:rPr>
          <w:i/>
        </w:rPr>
        <w:t>X</w:t>
      </w:r>
      <w:r>
        <w:rPr>
          <w:i/>
          <w:vertAlign w:val="superscript"/>
        </w:rPr>
        <w:t>2</w:t>
      </w:r>
      <w:r>
        <w:t xml:space="preserve">(15) = 323; </w:t>
      </w:r>
      <w:r>
        <w:rPr>
          <w:i/>
        </w:rPr>
        <w:t>p</w:t>
      </w:r>
      <w:r>
        <w:t xml:space="preserve"> = .001). When comparing current diet with that before the pandemic, it was similar for 59%, healthier for 17%, and less healthy for 24%</w:t>
      </w:r>
      <w:r>
        <w:t>, which also added to tinnitus being significantly more bothersome (</w:t>
      </w:r>
      <w:r>
        <w:rPr>
          <w:i/>
        </w:rPr>
        <w:t>X</w:t>
      </w:r>
      <w:r>
        <w:rPr>
          <w:i/>
          <w:vertAlign w:val="superscript"/>
        </w:rPr>
        <w:t>2</w:t>
      </w:r>
      <w:r>
        <w:t xml:space="preserve">(15) = 326; </w:t>
      </w:r>
      <w:r>
        <w:rPr>
          <w:i/>
        </w:rPr>
        <w:t>p</w:t>
      </w:r>
      <w:r>
        <w:t xml:space="preserve"> = .001). An increased intake of caffeine and alcohol was reported to alter tinnitus as follows, “I find myself drinking more coffee which makes the ringing stronger” (Femal</w:t>
      </w:r>
      <w:r>
        <w:t xml:space="preserve">e, 74 years, USA) or “I'm drinking more alcohol and this makes my night-time tinnitus worse” (Female, 41 years, UK). </w:t>
      </w:r>
    </w:p>
    <w:p w:rsidR="00353D8D" w:rsidRDefault="006667A9">
      <w:pPr>
        <w:spacing w:after="252" w:line="259" w:lineRule="auto"/>
        <w:ind w:left="0" w:firstLine="0"/>
      </w:pPr>
      <w:r>
        <w:rPr>
          <w:b/>
        </w:rPr>
        <w:t xml:space="preserve"> </w:t>
      </w:r>
    </w:p>
    <w:p w:rsidR="00353D8D" w:rsidRDefault="006667A9">
      <w:pPr>
        <w:spacing w:after="252" w:line="259" w:lineRule="auto"/>
        <w:ind w:left="0" w:firstLine="0"/>
      </w:pPr>
      <w:r>
        <w:rPr>
          <w:b/>
        </w:rPr>
        <w:t xml:space="preserve"> </w:t>
      </w:r>
    </w:p>
    <w:p w:rsidR="00353D8D" w:rsidRDefault="006667A9">
      <w:pPr>
        <w:spacing w:after="0" w:line="259" w:lineRule="auto"/>
        <w:ind w:left="0" w:firstLine="0"/>
      </w:pPr>
      <w:r>
        <w:rPr>
          <w:b/>
        </w:rPr>
        <w:t xml:space="preserve"> </w:t>
      </w:r>
    </w:p>
    <w:p w:rsidR="00353D8D" w:rsidRDefault="006667A9">
      <w:pPr>
        <w:pStyle w:val="Heading1"/>
        <w:ind w:left="-5"/>
      </w:pPr>
      <w:r>
        <w:lastRenderedPageBreak/>
        <w:t xml:space="preserve">The impact of the pandemic on emotional state </w:t>
      </w:r>
    </w:p>
    <w:p w:rsidR="00353D8D" w:rsidRDefault="006667A9">
      <w:pPr>
        <w:spacing w:after="26"/>
        <w:ind w:left="-5" w:right="159"/>
      </w:pPr>
      <w:r>
        <w:t xml:space="preserve">Of the respondents, 34% reported being more anxious, 20% more depressed, </w:t>
      </w:r>
      <w:proofErr w:type="gramStart"/>
      <w:r>
        <w:t>15</w:t>
      </w:r>
      <w:proofErr w:type="gramEnd"/>
      <w:r>
        <w:t>% more irr</w:t>
      </w:r>
      <w:r>
        <w:t>itable whereas 31% reported no change in their emotional state (Figure 6).  Tinnitus was significantly more bothersome for those feeling more sad or depressed (</w:t>
      </w:r>
      <w:r>
        <w:rPr>
          <w:i/>
        </w:rPr>
        <w:t>X</w:t>
      </w:r>
      <w:r>
        <w:rPr>
          <w:i/>
          <w:vertAlign w:val="superscript"/>
        </w:rPr>
        <w:t>2</w:t>
      </w:r>
      <w:r>
        <w:t xml:space="preserve">(5) = 58; </w:t>
      </w:r>
      <w:r>
        <w:rPr>
          <w:i/>
        </w:rPr>
        <w:t>p</w:t>
      </w:r>
      <w:r>
        <w:t xml:space="preserve"> = .001); more anxious (</w:t>
      </w:r>
      <w:r>
        <w:rPr>
          <w:i/>
        </w:rPr>
        <w:t>X</w:t>
      </w:r>
      <w:r>
        <w:rPr>
          <w:i/>
          <w:vertAlign w:val="superscript"/>
        </w:rPr>
        <w:t>2</w:t>
      </w:r>
      <w:r>
        <w:t xml:space="preserve">(5) = 107; </w:t>
      </w:r>
      <w:r>
        <w:rPr>
          <w:i/>
        </w:rPr>
        <w:t>p</w:t>
      </w:r>
      <w:r>
        <w:t xml:space="preserve"> = .001); and more irritable (</w:t>
      </w:r>
      <w:r>
        <w:rPr>
          <w:i/>
        </w:rPr>
        <w:t>X</w:t>
      </w:r>
      <w:r>
        <w:rPr>
          <w:i/>
          <w:vertAlign w:val="superscript"/>
        </w:rPr>
        <w:t>2</w:t>
      </w:r>
      <w:r>
        <w:t xml:space="preserve">(5) = 48; </w:t>
      </w:r>
      <w:r>
        <w:rPr>
          <w:i/>
        </w:rPr>
        <w:t>p</w:t>
      </w:r>
      <w:r>
        <w:t xml:space="preserve"> =</w:t>
      </w:r>
      <w:r>
        <w:t xml:space="preserve"> .001). Increased anxiety negatively </w:t>
      </w:r>
      <w:proofErr w:type="gramStart"/>
      <w:r>
        <w:t>impacted</w:t>
      </w:r>
      <w:proofErr w:type="gramEnd"/>
      <w:r>
        <w:t xml:space="preserve"> tinnitus as explained: “There is a lot of added stress and anxiety that make me less able to tolerate the tinnitus” (Male, 69 years, USA) or “So many more anxieties- household appliances breaking that can't be </w:t>
      </w:r>
      <w:r>
        <w:t xml:space="preserve">fixed, worrying about food supply, worrying about the virus. Any kind of worries has a negative effect on tinnitus” (Male, 73, </w:t>
      </w:r>
    </w:p>
    <w:p w:rsidR="00353D8D" w:rsidRDefault="006667A9">
      <w:pPr>
        <w:ind w:left="-5" w:right="159"/>
      </w:pPr>
      <w:r>
        <w:t>UK). Frustration was often mentioned as impacting negatively on tinnitus “I’m frustrated with the confinement which I think make</w:t>
      </w:r>
      <w:r>
        <w:t xml:space="preserve">s my tinnitus seem extra loud” (Female, 72 years, USA), as well as relationship worries “My tinnitus is really bad now. Maybe from relationship worries caused by my husband working from home. My cortisol level is on permanent red </w:t>
      </w:r>
      <w:proofErr w:type="gramStart"/>
      <w:r>
        <w:t>alert,</w:t>
      </w:r>
      <w:proofErr w:type="gramEnd"/>
      <w:r>
        <w:t xml:space="preserve"> it feels like in a </w:t>
      </w:r>
      <w:r>
        <w:t xml:space="preserve">war zone” (Female, 52 years, UK).   </w:t>
      </w:r>
    </w:p>
    <w:p w:rsidR="00353D8D" w:rsidRDefault="006667A9">
      <w:pPr>
        <w:spacing w:after="252" w:line="259" w:lineRule="auto"/>
        <w:ind w:left="0" w:firstLine="0"/>
      </w:pPr>
      <w:r>
        <w:t xml:space="preserve"> </w:t>
      </w:r>
    </w:p>
    <w:p w:rsidR="00353D8D" w:rsidRDefault="006667A9">
      <w:pPr>
        <w:ind w:left="-5" w:right="159"/>
      </w:pPr>
      <w:r>
        <w:t xml:space="preserve">Emotional wellbeing experiences varied across locations as seen in Figure 6 with those from the UK reporting more anxiety/depression and irritability during the pandemic (77%) and </w:t>
      </w:r>
    </w:p>
    <w:p w:rsidR="00353D8D" w:rsidRDefault="006667A9">
      <w:pPr>
        <w:spacing w:line="259" w:lineRule="auto"/>
        <w:ind w:left="-5" w:right="159"/>
      </w:pPr>
      <w:r>
        <w:t xml:space="preserve">Europeans the least (67%). </w:t>
      </w:r>
    </w:p>
    <w:p w:rsidR="00353D8D" w:rsidRDefault="006667A9">
      <w:pPr>
        <w:spacing w:after="199" w:line="259" w:lineRule="auto"/>
        <w:ind w:left="0" w:right="1246" w:firstLine="0"/>
        <w:jc w:val="right"/>
      </w:pPr>
      <w:r>
        <w:rPr>
          <w:noProof/>
        </w:rPr>
        <w:lastRenderedPageBreak/>
        <w:drawing>
          <wp:inline distT="0" distB="0" distL="0" distR="0">
            <wp:extent cx="5000625" cy="3689350"/>
            <wp:effectExtent l="0" t="0" r="9525" b="6350"/>
            <wp:docPr id="3020" name="Picture 3020" descr="Figure 6"/>
            <wp:cNvGraphicFramePr/>
            <a:graphic xmlns:a="http://schemas.openxmlformats.org/drawingml/2006/main">
              <a:graphicData uri="http://schemas.openxmlformats.org/drawingml/2006/picture">
                <pic:pic xmlns:pic="http://schemas.openxmlformats.org/drawingml/2006/picture">
                  <pic:nvPicPr>
                    <pic:cNvPr id="3020" name="Picture 3020"/>
                    <pic:cNvPicPr/>
                  </pic:nvPicPr>
                  <pic:blipFill>
                    <a:blip r:embed="rId15"/>
                    <a:stretch>
                      <a:fillRect/>
                    </a:stretch>
                  </pic:blipFill>
                  <pic:spPr>
                    <a:xfrm>
                      <a:off x="0" y="0"/>
                      <a:ext cx="5000625" cy="3689350"/>
                    </a:xfrm>
                    <a:prstGeom prst="rect">
                      <a:avLst/>
                    </a:prstGeom>
                  </pic:spPr>
                </pic:pic>
              </a:graphicData>
            </a:graphic>
          </wp:inline>
        </w:drawing>
      </w:r>
      <w:r>
        <w:t xml:space="preserve"> </w:t>
      </w:r>
    </w:p>
    <w:p w:rsidR="00353D8D" w:rsidRDefault="006667A9">
      <w:pPr>
        <w:ind w:left="-5" w:right="159"/>
      </w:pPr>
      <w:r>
        <w:rPr>
          <w:b/>
        </w:rPr>
        <w:t>Figur</w:t>
      </w:r>
      <w:r>
        <w:rPr>
          <w:b/>
        </w:rPr>
        <w:t>e 6.</w:t>
      </w:r>
      <w:r>
        <w:t xml:space="preserve"> Comparison of emotional state during the COVID-19 pandemic across different locations </w:t>
      </w:r>
    </w:p>
    <w:p w:rsidR="00353D8D" w:rsidRDefault="006667A9">
      <w:pPr>
        <w:spacing w:after="252" w:line="259" w:lineRule="auto"/>
        <w:ind w:left="0" w:firstLine="0"/>
      </w:pPr>
      <w:r>
        <w:rPr>
          <w:b/>
        </w:rPr>
        <w:t xml:space="preserve"> </w:t>
      </w:r>
    </w:p>
    <w:p w:rsidR="00353D8D" w:rsidRDefault="006667A9">
      <w:pPr>
        <w:spacing w:after="252" w:line="259" w:lineRule="auto"/>
        <w:ind w:left="10"/>
      </w:pPr>
      <w:r>
        <w:rPr>
          <w:i/>
        </w:rPr>
        <w:t xml:space="preserve">The impact of financial worries </w:t>
      </w:r>
    </w:p>
    <w:p w:rsidR="00353D8D" w:rsidRDefault="006667A9">
      <w:pPr>
        <w:ind w:left="-5" w:right="159"/>
      </w:pPr>
      <w:r>
        <w:t xml:space="preserve">The majority of </w:t>
      </w:r>
      <w:r>
        <w:t>respondents (51%) reported no financial worries, 41% were somewhat worried and 8% were very worried about the impact of COVID-19 on finances. Tinnitus was significantly more bothersome (</w:t>
      </w:r>
      <w:r>
        <w:rPr>
          <w:i/>
        </w:rPr>
        <w:t>X</w:t>
      </w:r>
      <w:r>
        <w:rPr>
          <w:i/>
          <w:vertAlign w:val="superscript"/>
        </w:rPr>
        <w:t>2</w:t>
      </w:r>
      <w:r>
        <w:t>(15</w:t>
      </w:r>
      <w:proofErr w:type="gramStart"/>
      <w:r>
        <w:t>)=</w:t>
      </w:r>
      <w:proofErr w:type="gramEnd"/>
      <w:r>
        <w:t xml:space="preserve"> 345, </w:t>
      </w:r>
      <w:r>
        <w:rPr>
          <w:i/>
        </w:rPr>
        <w:t xml:space="preserve">p </w:t>
      </w:r>
      <w:r>
        <w:t xml:space="preserve">= .001) where financial worries were reported. </w:t>
      </w:r>
      <w:proofErr w:type="gramStart"/>
      <w:r>
        <w:t>This was</w:t>
      </w:r>
      <w:r>
        <w:t xml:space="preserve"> supported by statements</w:t>
      </w:r>
      <w:proofErr w:type="gramEnd"/>
      <w:r>
        <w:t xml:space="preserve"> such as “As a self-employed wedding photographer, all work has been </w:t>
      </w:r>
      <w:proofErr w:type="spellStart"/>
      <w:r>
        <w:t>canceled</w:t>
      </w:r>
      <w:proofErr w:type="spellEnd"/>
      <w:r>
        <w:t xml:space="preserve"> for the foreseeable future, and I have a massive loss in income which I think is contributing to my tinnitus being worse” (Female, 58 years, USA). Loss in</w:t>
      </w:r>
      <w:r>
        <w:t xml:space="preserve"> investment income was a further factor causing anxiety “I’m retired and my investment income has dropped dramatically, causing stress” (Female, 63, USA).  </w:t>
      </w:r>
    </w:p>
    <w:p w:rsidR="00353D8D" w:rsidRDefault="006667A9">
      <w:pPr>
        <w:spacing w:after="0" w:line="259" w:lineRule="auto"/>
        <w:ind w:left="0" w:firstLine="0"/>
      </w:pPr>
      <w:r>
        <w:t xml:space="preserve"> </w:t>
      </w:r>
    </w:p>
    <w:p w:rsidR="00353D8D" w:rsidRDefault="006667A9">
      <w:pPr>
        <w:ind w:left="-5" w:right="159"/>
      </w:pPr>
      <w:r>
        <w:lastRenderedPageBreak/>
        <w:t xml:space="preserve">Looking into reasons for financial worries, respondents </w:t>
      </w:r>
      <w:proofErr w:type="gramStart"/>
      <w:r>
        <w:t>were asked</w:t>
      </w:r>
      <w:proofErr w:type="gramEnd"/>
      <w:r>
        <w:t xml:space="preserve"> about changes in their employm</w:t>
      </w:r>
      <w:r>
        <w:t xml:space="preserve">ent situation as seen in Figure 7. Changes in employment patterns altered sound </w:t>
      </w:r>
      <w:proofErr w:type="gramStart"/>
      <w:r>
        <w:t>exposure which</w:t>
      </w:r>
      <w:proofErr w:type="gramEnd"/>
      <w:r>
        <w:t xml:space="preserve"> had a positive effect on tinnitus for some, supported by statements such as </w:t>
      </w:r>
    </w:p>
    <w:p w:rsidR="00353D8D" w:rsidRDefault="006667A9">
      <w:pPr>
        <w:ind w:left="-5" w:right="159"/>
      </w:pPr>
      <w:r>
        <w:t>“working at home in quiet, instead of a crowded environment gives me less tinnitus (</w:t>
      </w:r>
      <w:r>
        <w:t xml:space="preserve">Male, 53 years, France) and a negative effect for others, as explained “I think the increase in tinnitus is due to less noise from traffic and a busy office” (Female, 54 years, UK).  </w:t>
      </w:r>
    </w:p>
    <w:p w:rsidR="00353D8D" w:rsidRDefault="006667A9">
      <w:pPr>
        <w:spacing w:after="252" w:line="259" w:lineRule="auto"/>
        <w:ind w:left="0" w:firstLine="0"/>
      </w:pPr>
      <w:r>
        <w:t xml:space="preserve"> </w:t>
      </w:r>
    </w:p>
    <w:p w:rsidR="00353D8D" w:rsidRDefault="006667A9">
      <w:pPr>
        <w:ind w:left="-5" w:right="159"/>
      </w:pPr>
      <w:r>
        <w:t>Although some reported benefits to working from home, there were numer</w:t>
      </w:r>
      <w:r>
        <w:t xml:space="preserve">ous comments regarding how homeworking exasperated tinnitus, such as “I now have a much higher workload, I’m more tired, </w:t>
      </w:r>
      <w:proofErr w:type="gramStart"/>
      <w:r>
        <w:t>this</w:t>
      </w:r>
      <w:proofErr w:type="gramEnd"/>
      <w:r>
        <w:t xml:space="preserve"> increases my tinnitus” (Female, 65 years, USA). </w:t>
      </w:r>
    </w:p>
    <w:p w:rsidR="00353D8D" w:rsidRDefault="006667A9">
      <w:pPr>
        <w:spacing w:after="287" w:line="259" w:lineRule="auto"/>
        <w:ind w:left="-5" w:right="159"/>
      </w:pPr>
      <w:r>
        <w:t xml:space="preserve">Homeworking was associated with increased </w:t>
      </w:r>
      <w:proofErr w:type="gramStart"/>
      <w:r>
        <w:t>stress which</w:t>
      </w:r>
      <w:proofErr w:type="gramEnd"/>
      <w:r>
        <w:t xml:space="preserve"> aggravated tinnitus, for e</w:t>
      </w:r>
      <w:r>
        <w:t xml:space="preserve">xample, </w:t>
      </w:r>
    </w:p>
    <w:p w:rsidR="00353D8D" w:rsidRDefault="006667A9">
      <w:pPr>
        <w:ind w:left="-5" w:right="159"/>
      </w:pPr>
      <w:r>
        <w:t xml:space="preserve">“Struggling to work at home with nobody to ask when I'm stuck makes me panic and then the tinnitus a lot worse” (Female, 46 years, UK). Working from home together with </w:t>
      </w:r>
      <w:proofErr w:type="spellStart"/>
      <w:r>
        <w:t>homeschooling</w:t>
      </w:r>
      <w:proofErr w:type="spellEnd"/>
      <w:r>
        <w:t xml:space="preserve"> and an increase in house chores, were further factors affecting t</w:t>
      </w:r>
      <w:r>
        <w:t xml:space="preserve">innitus, explained by “It is very busy because my child is at home, and in addition to work, housekeeping, teacher and entertainment.  There is little time to relax” (Female, 36 years, The Netherlands). </w:t>
      </w:r>
    </w:p>
    <w:p w:rsidR="00353D8D" w:rsidRDefault="006667A9">
      <w:pPr>
        <w:spacing w:after="0" w:line="259" w:lineRule="auto"/>
        <w:ind w:left="0" w:firstLine="0"/>
      </w:pPr>
      <w:r>
        <w:t xml:space="preserve"> </w:t>
      </w:r>
    </w:p>
    <w:p w:rsidR="00353D8D" w:rsidRDefault="006667A9">
      <w:pPr>
        <w:spacing w:after="168" w:line="259" w:lineRule="auto"/>
        <w:ind w:left="0" w:right="540" w:firstLine="0"/>
        <w:jc w:val="right"/>
      </w:pPr>
      <w:r>
        <w:rPr>
          <w:noProof/>
        </w:rPr>
        <w:lastRenderedPageBreak/>
        <w:drawing>
          <wp:inline distT="0" distB="0" distL="0" distR="0">
            <wp:extent cx="5443220" cy="3032760"/>
            <wp:effectExtent l="0" t="0" r="5080" b="0"/>
            <wp:docPr id="3254" name="Picture 3254" descr="Figure 7"/>
            <wp:cNvGraphicFramePr/>
            <a:graphic xmlns:a="http://schemas.openxmlformats.org/drawingml/2006/main">
              <a:graphicData uri="http://schemas.openxmlformats.org/drawingml/2006/picture">
                <pic:pic xmlns:pic="http://schemas.openxmlformats.org/drawingml/2006/picture">
                  <pic:nvPicPr>
                    <pic:cNvPr id="3254" name="Picture 3254"/>
                    <pic:cNvPicPr/>
                  </pic:nvPicPr>
                  <pic:blipFill>
                    <a:blip r:embed="rId16"/>
                    <a:stretch>
                      <a:fillRect/>
                    </a:stretch>
                  </pic:blipFill>
                  <pic:spPr>
                    <a:xfrm>
                      <a:off x="0" y="0"/>
                      <a:ext cx="5443220" cy="3032760"/>
                    </a:xfrm>
                    <a:prstGeom prst="rect">
                      <a:avLst/>
                    </a:prstGeom>
                  </pic:spPr>
                </pic:pic>
              </a:graphicData>
            </a:graphic>
          </wp:inline>
        </w:drawing>
      </w:r>
      <w:r>
        <w:t xml:space="preserve"> </w:t>
      </w:r>
    </w:p>
    <w:p w:rsidR="00353D8D" w:rsidRDefault="006667A9">
      <w:pPr>
        <w:ind w:left="-5" w:right="159"/>
      </w:pPr>
      <w:r>
        <w:rPr>
          <w:b/>
        </w:rPr>
        <w:t xml:space="preserve">Figure 7. </w:t>
      </w:r>
      <w:r>
        <w:t>Comparison of changes to work pattern</w:t>
      </w:r>
      <w:r>
        <w:t>s during the COVID-19 pandemic across different locations</w:t>
      </w:r>
      <w:r>
        <w:rPr>
          <w:b/>
        </w:rPr>
        <w:t xml:space="preserve"> </w:t>
      </w:r>
    </w:p>
    <w:p w:rsidR="00353D8D" w:rsidRDefault="006667A9">
      <w:pPr>
        <w:spacing w:after="252" w:line="259" w:lineRule="auto"/>
        <w:ind w:left="0" w:firstLine="0"/>
      </w:pPr>
      <w:r>
        <w:t xml:space="preserve"> </w:t>
      </w:r>
    </w:p>
    <w:p w:rsidR="00353D8D" w:rsidRDefault="006667A9">
      <w:pPr>
        <w:ind w:left="-5" w:right="159"/>
      </w:pPr>
      <w:r>
        <w:t xml:space="preserve">Participants </w:t>
      </w:r>
      <w:proofErr w:type="gramStart"/>
      <w:r>
        <w:t>were asked</w:t>
      </w:r>
      <w:proofErr w:type="gramEnd"/>
      <w:r>
        <w:t xml:space="preserve"> to explain their responses regarding their current tinnitus experiences in free text. Thematic analysis for these responses identified diverse and overlapping factors that</w:t>
      </w:r>
      <w:r>
        <w:t xml:space="preserve"> contributed to these experiences as are summarized in Table 1. Overall tinnitus was more bothersome during the pandemic than before the pandemic.  </w:t>
      </w:r>
    </w:p>
    <w:p w:rsidR="00353D8D" w:rsidRDefault="006667A9">
      <w:pPr>
        <w:spacing w:after="252" w:line="259" w:lineRule="auto"/>
        <w:ind w:left="0" w:firstLine="0"/>
      </w:pPr>
      <w:r>
        <w:t xml:space="preserve"> </w:t>
      </w:r>
    </w:p>
    <w:p w:rsidR="00353D8D" w:rsidRDefault="006667A9">
      <w:pPr>
        <w:spacing w:after="0" w:line="259" w:lineRule="auto"/>
        <w:ind w:left="0" w:firstLine="0"/>
      </w:pPr>
      <w:r>
        <w:t xml:space="preserve"> </w:t>
      </w:r>
    </w:p>
    <w:p w:rsidR="00353D8D" w:rsidRDefault="006667A9">
      <w:pPr>
        <w:spacing w:line="259" w:lineRule="auto"/>
        <w:ind w:left="-5" w:right="159"/>
      </w:pPr>
      <w:r>
        <w:rPr>
          <w:b/>
        </w:rPr>
        <w:t xml:space="preserve">Table 1. </w:t>
      </w:r>
      <w:r>
        <w:t xml:space="preserve">Factors identified that related to tinnitus being stable, better, or exasperating during the pandemic compared with before the pandemic through thematic qualitative analysis of free text responses. </w:t>
      </w:r>
    </w:p>
    <w:tbl>
      <w:tblPr>
        <w:tblStyle w:val="TableGrid"/>
        <w:tblW w:w="9011" w:type="dxa"/>
        <w:tblInd w:w="5" w:type="dxa"/>
        <w:tblCellMar>
          <w:top w:w="14" w:type="dxa"/>
          <w:left w:w="108" w:type="dxa"/>
          <w:bottom w:w="0" w:type="dxa"/>
          <w:right w:w="50" w:type="dxa"/>
        </w:tblCellMar>
        <w:tblLook w:val="04A0" w:firstRow="1" w:lastRow="0" w:firstColumn="1" w:lastColumn="0" w:noHBand="0" w:noVBand="1"/>
      </w:tblPr>
      <w:tblGrid>
        <w:gridCol w:w="1457"/>
        <w:gridCol w:w="1803"/>
        <w:gridCol w:w="1848"/>
        <w:gridCol w:w="1661"/>
        <w:gridCol w:w="2242"/>
      </w:tblGrid>
      <w:tr w:rsidR="00353D8D">
        <w:trPr>
          <w:trHeight w:val="1253"/>
        </w:trPr>
        <w:tc>
          <w:tcPr>
            <w:tcW w:w="1457" w:type="dxa"/>
            <w:tcBorders>
              <w:top w:val="single" w:sz="4" w:space="0" w:color="000000"/>
              <w:left w:val="single" w:sz="4" w:space="0" w:color="000000"/>
              <w:bottom w:val="single" w:sz="4" w:space="0" w:color="000000"/>
              <w:right w:val="single" w:sz="4" w:space="0" w:color="000000"/>
            </w:tcBorders>
          </w:tcPr>
          <w:p w:rsidR="00353D8D" w:rsidRDefault="006667A9">
            <w:pPr>
              <w:spacing w:after="0" w:line="259" w:lineRule="auto"/>
              <w:ind w:left="0" w:firstLine="0"/>
            </w:pPr>
            <w:r>
              <w:t xml:space="preserve"> </w:t>
            </w:r>
          </w:p>
        </w:tc>
        <w:tc>
          <w:tcPr>
            <w:tcW w:w="1803" w:type="dxa"/>
            <w:tcBorders>
              <w:top w:val="single" w:sz="4" w:space="0" w:color="000000"/>
              <w:left w:val="single" w:sz="4" w:space="0" w:color="000000"/>
              <w:bottom w:val="single" w:sz="4" w:space="0" w:color="000000"/>
              <w:right w:val="single" w:sz="4" w:space="0" w:color="000000"/>
            </w:tcBorders>
          </w:tcPr>
          <w:p w:rsidR="00353D8D" w:rsidRDefault="006667A9">
            <w:pPr>
              <w:spacing w:after="0" w:line="259" w:lineRule="auto"/>
              <w:ind w:left="0" w:firstLine="0"/>
            </w:pPr>
            <w:r>
              <w:rPr>
                <w:b/>
              </w:rPr>
              <w:t xml:space="preserve">Health-related factors </w:t>
            </w:r>
          </w:p>
        </w:tc>
        <w:tc>
          <w:tcPr>
            <w:tcW w:w="1848" w:type="dxa"/>
            <w:tcBorders>
              <w:top w:val="single" w:sz="4" w:space="0" w:color="000000"/>
              <w:left w:val="single" w:sz="4" w:space="0" w:color="000000"/>
              <w:bottom w:val="single" w:sz="4" w:space="0" w:color="000000"/>
              <w:right w:val="single" w:sz="4" w:space="0" w:color="000000"/>
            </w:tcBorders>
          </w:tcPr>
          <w:p w:rsidR="00353D8D" w:rsidRDefault="006667A9">
            <w:pPr>
              <w:spacing w:after="0" w:line="259" w:lineRule="auto"/>
              <w:ind w:left="0" w:firstLine="0"/>
            </w:pPr>
            <w:r>
              <w:rPr>
                <w:b/>
              </w:rPr>
              <w:t xml:space="preserve">Social distancing restrictions </w:t>
            </w:r>
          </w:p>
        </w:tc>
        <w:tc>
          <w:tcPr>
            <w:tcW w:w="1661" w:type="dxa"/>
            <w:tcBorders>
              <w:top w:val="single" w:sz="4" w:space="0" w:color="000000"/>
              <w:left w:val="single" w:sz="4" w:space="0" w:color="000000"/>
              <w:bottom w:val="single" w:sz="4" w:space="0" w:color="000000"/>
              <w:right w:val="single" w:sz="4" w:space="0" w:color="000000"/>
            </w:tcBorders>
          </w:tcPr>
          <w:p w:rsidR="00353D8D" w:rsidRDefault="006667A9">
            <w:pPr>
              <w:spacing w:after="0" w:line="259" w:lineRule="auto"/>
              <w:ind w:left="0" w:firstLine="0"/>
            </w:pPr>
            <w:r>
              <w:rPr>
                <w:b/>
              </w:rPr>
              <w:t xml:space="preserve">Lifestyle changes </w:t>
            </w:r>
          </w:p>
        </w:tc>
        <w:tc>
          <w:tcPr>
            <w:tcW w:w="2242" w:type="dxa"/>
            <w:tcBorders>
              <w:top w:val="single" w:sz="4" w:space="0" w:color="000000"/>
              <w:left w:val="single" w:sz="4" w:space="0" w:color="000000"/>
              <w:bottom w:val="single" w:sz="4" w:space="0" w:color="000000"/>
              <w:right w:val="single" w:sz="4" w:space="0" w:color="000000"/>
            </w:tcBorders>
          </w:tcPr>
          <w:p w:rsidR="00353D8D" w:rsidRDefault="006667A9">
            <w:pPr>
              <w:spacing w:after="0" w:line="259" w:lineRule="auto"/>
              <w:ind w:left="0" w:firstLine="0"/>
            </w:pPr>
            <w:r>
              <w:rPr>
                <w:b/>
              </w:rPr>
              <w:t xml:space="preserve">Emotional state </w:t>
            </w:r>
          </w:p>
        </w:tc>
      </w:tr>
      <w:tr w:rsidR="00353D8D">
        <w:trPr>
          <w:trHeight w:val="1700"/>
        </w:trPr>
        <w:tc>
          <w:tcPr>
            <w:tcW w:w="1457" w:type="dxa"/>
            <w:tcBorders>
              <w:top w:val="single" w:sz="4" w:space="0" w:color="000000"/>
              <w:left w:val="single" w:sz="4" w:space="0" w:color="000000"/>
              <w:bottom w:val="single" w:sz="4" w:space="0" w:color="000000"/>
              <w:right w:val="single" w:sz="4" w:space="0" w:color="000000"/>
            </w:tcBorders>
          </w:tcPr>
          <w:p w:rsidR="00353D8D" w:rsidRDefault="006667A9">
            <w:pPr>
              <w:spacing w:after="2" w:line="356" w:lineRule="auto"/>
              <w:ind w:left="0" w:firstLine="0"/>
            </w:pPr>
            <w:r>
              <w:rPr>
                <w:b/>
              </w:rPr>
              <w:t xml:space="preserve">Tinnitus exacerbated </w:t>
            </w:r>
          </w:p>
          <w:p w:rsidR="00353D8D" w:rsidRDefault="006667A9">
            <w:pPr>
              <w:spacing w:after="0" w:line="259" w:lineRule="auto"/>
              <w:ind w:left="0" w:firstLine="0"/>
            </w:pPr>
            <w:r>
              <w:rPr>
                <w:b/>
              </w:rPr>
              <w:t xml:space="preserve">(31%) </w:t>
            </w:r>
          </w:p>
        </w:tc>
        <w:tc>
          <w:tcPr>
            <w:tcW w:w="1803" w:type="dxa"/>
            <w:tcBorders>
              <w:top w:val="single" w:sz="4" w:space="0" w:color="000000"/>
              <w:left w:val="single" w:sz="4" w:space="0" w:color="000000"/>
              <w:bottom w:val="single" w:sz="4" w:space="0" w:color="000000"/>
              <w:right w:val="single" w:sz="4" w:space="0" w:color="000000"/>
            </w:tcBorders>
          </w:tcPr>
          <w:p w:rsidR="00353D8D" w:rsidRDefault="006667A9">
            <w:pPr>
              <w:spacing w:after="0" w:line="259" w:lineRule="auto"/>
              <w:ind w:left="360" w:hanging="360"/>
            </w:pPr>
            <w:r>
              <w:rPr>
                <w:rFonts w:ascii="Segoe UI Symbol" w:eastAsia="Segoe UI Symbol" w:hAnsi="Segoe UI Symbol" w:cs="Segoe UI Symbol"/>
              </w:rPr>
              <w:t>•</w:t>
            </w:r>
            <w:r>
              <w:rPr>
                <w:rFonts w:ascii="Arial" w:eastAsia="Arial" w:hAnsi="Arial" w:cs="Arial"/>
              </w:rPr>
              <w:t xml:space="preserve"> </w:t>
            </w:r>
            <w:r>
              <w:t xml:space="preserve">Health concerns </w:t>
            </w:r>
          </w:p>
        </w:tc>
        <w:tc>
          <w:tcPr>
            <w:tcW w:w="1848" w:type="dxa"/>
            <w:tcBorders>
              <w:top w:val="single" w:sz="4" w:space="0" w:color="000000"/>
              <w:left w:val="single" w:sz="4" w:space="0" w:color="000000"/>
              <w:bottom w:val="single" w:sz="4" w:space="0" w:color="000000"/>
              <w:right w:val="single" w:sz="4" w:space="0" w:color="000000"/>
            </w:tcBorders>
          </w:tcPr>
          <w:p w:rsidR="00353D8D" w:rsidRDefault="006667A9">
            <w:pPr>
              <w:spacing w:after="0" w:line="259" w:lineRule="auto"/>
              <w:ind w:left="360" w:hanging="360"/>
            </w:pPr>
            <w:r>
              <w:rPr>
                <w:rFonts w:ascii="Segoe UI Symbol" w:eastAsia="Segoe UI Symbol" w:hAnsi="Segoe UI Symbol" w:cs="Segoe UI Symbol"/>
              </w:rPr>
              <w:t>•</w:t>
            </w:r>
            <w:r>
              <w:rPr>
                <w:rFonts w:ascii="Arial" w:eastAsia="Arial" w:hAnsi="Arial" w:cs="Arial"/>
              </w:rPr>
              <w:t xml:space="preserve"> </w:t>
            </w:r>
            <w:r>
              <w:t xml:space="preserve">Rigorously following social </w:t>
            </w:r>
          </w:p>
        </w:tc>
        <w:tc>
          <w:tcPr>
            <w:tcW w:w="1661" w:type="dxa"/>
            <w:tcBorders>
              <w:top w:val="single" w:sz="4" w:space="0" w:color="000000"/>
              <w:left w:val="single" w:sz="4" w:space="0" w:color="000000"/>
              <w:bottom w:val="single" w:sz="4" w:space="0" w:color="000000"/>
              <w:right w:val="single" w:sz="4" w:space="0" w:color="000000"/>
            </w:tcBorders>
          </w:tcPr>
          <w:p w:rsidR="00353D8D" w:rsidRDefault="006667A9">
            <w:pPr>
              <w:numPr>
                <w:ilvl w:val="0"/>
                <w:numId w:val="3"/>
              </w:numPr>
              <w:spacing w:after="67" w:line="259" w:lineRule="auto"/>
              <w:ind w:hanging="360"/>
            </w:pPr>
            <w:r>
              <w:t xml:space="preserve">Less </w:t>
            </w:r>
          </w:p>
          <w:p w:rsidR="00353D8D" w:rsidRDefault="006667A9">
            <w:pPr>
              <w:spacing w:after="142" w:line="259" w:lineRule="auto"/>
              <w:ind w:left="2" w:firstLine="0"/>
              <w:jc w:val="center"/>
            </w:pPr>
            <w:r>
              <w:t xml:space="preserve">exercise </w:t>
            </w:r>
          </w:p>
          <w:p w:rsidR="00353D8D" w:rsidRDefault="006667A9">
            <w:pPr>
              <w:numPr>
                <w:ilvl w:val="0"/>
                <w:numId w:val="3"/>
              </w:numPr>
              <w:spacing w:after="0" w:line="259" w:lineRule="auto"/>
              <w:ind w:hanging="360"/>
            </w:pPr>
            <w:r>
              <w:t xml:space="preserve">Noisier at home </w:t>
            </w:r>
          </w:p>
        </w:tc>
        <w:tc>
          <w:tcPr>
            <w:tcW w:w="2242" w:type="dxa"/>
            <w:tcBorders>
              <w:top w:val="single" w:sz="4" w:space="0" w:color="000000"/>
              <w:left w:val="single" w:sz="4" w:space="0" w:color="000000"/>
              <w:bottom w:val="single" w:sz="4" w:space="0" w:color="000000"/>
              <w:right w:val="single" w:sz="4" w:space="0" w:color="000000"/>
            </w:tcBorders>
          </w:tcPr>
          <w:p w:rsidR="00353D8D" w:rsidRDefault="006667A9">
            <w:pPr>
              <w:numPr>
                <w:ilvl w:val="0"/>
                <w:numId w:val="4"/>
              </w:numPr>
              <w:spacing w:after="93" w:line="259" w:lineRule="auto"/>
              <w:ind w:hanging="360"/>
            </w:pPr>
            <w:r>
              <w:t xml:space="preserve">Frustrations </w:t>
            </w:r>
          </w:p>
          <w:p w:rsidR="00353D8D" w:rsidRDefault="006667A9">
            <w:pPr>
              <w:numPr>
                <w:ilvl w:val="0"/>
                <w:numId w:val="4"/>
              </w:numPr>
              <w:spacing w:after="0" w:line="259" w:lineRule="auto"/>
              <w:ind w:hanging="360"/>
            </w:pPr>
            <w:r>
              <w:t xml:space="preserve">Relationship problems </w:t>
            </w:r>
          </w:p>
        </w:tc>
      </w:tr>
    </w:tbl>
    <w:p w:rsidR="00353D8D" w:rsidRDefault="00353D8D">
      <w:pPr>
        <w:spacing w:after="0" w:line="259" w:lineRule="auto"/>
        <w:ind w:left="-1440" w:right="166" w:firstLine="0"/>
      </w:pPr>
    </w:p>
    <w:tbl>
      <w:tblPr>
        <w:tblStyle w:val="TableGrid"/>
        <w:tblW w:w="9011" w:type="dxa"/>
        <w:tblInd w:w="5" w:type="dxa"/>
        <w:tblCellMar>
          <w:top w:w="14" w:type="dxa"/>
          <w:left w:w="0" w:type="dxa"/>
          <w:bottom w:w="0" w:type="dxa"/>
          <w:right w:w="67" w:type="dxa"/>
        </w:tblCellMar>
        <w:tblLook w:val="04A0" w:firstRow="1" w:lastRow="0" w:firstColumn="1" w:lastColumn="0" w:noHBand="0" w:noVBand="1"/>
      </w:tblPr>
      <w:tblGrid>
        <w:gridCol w:w="1449"/>
        <w:gridCol w:w="464"/>
        <w:gridCol w:w="1334"/>
        <w:gridCol w:w="464"/>
        <w:gridCol w:w="1411"/>
        <w:gridCol w:w="464"/>
        <w:gridCol w:w="1193"/>
        <w:gridCol w:w="464"/>
        <w:gridCol w:w="1768"/>
      </w:tblGrid>
      <w:tr w:rsidR="00353D8D">
        <w:trPr>
          <w:trHeight w:val="11740"/>
        </w:trPr>
        <w:tc>
          <w:tcPr>
            <w:tcW w:w="1457" w:type="dxa"/>
            <w:tcBorders>
              <w:top w:val="single" w:sz="4" w:space="0" w:color="000000"/>
              <w:left w:val="single" w:sz="4" w:space="0" w:color="000000"/>
              <w:bottom w:val="single" w:sz="4" w:space="0" w:color="000000"/>
              <w:right w:val="single" w:sz="4" w:space="0" w:color="000000"/>
            </w:tcBorders>
          </w:tcPr>
          <w:p w:rsidR="00353D8D" w:rsidRDefault="00353D8D">
            <w:pPr>
              <w:spacing w:after="160" w:line="259" w:lineRule="auto"/>
              <w:ind w:left="0" w:firstLine="0"/>
            </w:pPr>
          </w:p>
        </w:tc>
        <w:tc>
          <w:tcPr>
            <w:tcW w:w="468" w:type="dxa"/>
            <w:tcBorders>
              <w:top w:val="single" w:sz="4" w:space="0" w:color="000000"/>
              <w:left w:val="single" w:sz="4" w:space="0" w:color="000000"/>
              <w:bottom w:val="single" w:sz="4" w:space="0" w:color="000000"/>
              <w:right w:val="nil"/>
            </w:tcBorders>
          </w:tcPr>
          <w:p w:rsidR="00353D8D" w:rsidRDefault="006667A9">
            <w:pPr>
              <w:spacing w:after="948"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1361"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948"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53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945"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1776"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948"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335" w:type="dxa"/>
            <w:tcBorders>
              <w:top w:val="single" w:sz="4" w:space="0" w:color="000000"/>
              <w:left w:val="nil"/>
              <w:bottom w:val="single" w:sz="4" w:space="0" w:color="000000"/>
              <w:right w:val="single" w:sz="4" w:space="0" w:color="000000"/>
            </w:tcBorders>
          </w:tcPr>
          <w:p w:rsidR="00353D8D" w:rsidRDefault="006667A9">
            <w:pPr>
              <w:spacing w:after="0" w:line="362" w:lineRule="auto"/>
              <w:ind w:left="0" w:right="102" w:firstLine="0"/>
            </w:pPr>
            <w:r>
              <w:t xml:space="preserve">Family health concerns </w:t>
            </w:r>
            <w:r>
              <w:t xml:space="preserve">Concerned about contracting the virus Effects of having the virus Future healthcare  Difficulty accessing healthcare Reduced </w:t>
            </w:r>
          </w:p>
          <w:p w:rsidR="00353D8D" w:rsidRDefault="006667A9">
            <w:pPr>
              <w:spacing w:after="0" w:line="259" w:lineRule="auto"/>
              <w:ind w:left="0" w:right="10" w:firstLine="0"/>
            </w:pPr>
            <w:r>
              <w:t xml:space="preserve">ability to access hearing healthcare Medication/ vitamins taken Fluctuations in the tinnitus sounds heard </w:t>
            </w:r>
          </w:p>
        </w:tc>
        <w:tc>
          <w:tcPr>
            <w:tcW w:w="468" w:type="dxa"/>
            <w:tcBorders>
              <w:top w:val="single" w:sz="4" w:space="0" w:color="000000"/>
              <w:left w:val="single" w:sz="4" w:space="0" w:color="000000"/>
              <w:bottom w:val="single" w:sz="4" w:space="0" w:color="000000"/>
              <w:right w:val="nil"/>
            </w:tcBorders>
          </w:tcPr>
          <w:p w:rsidR="00353D8D" w:rsidRDefault="006667A9">
            <w:pPr>
              <w:spacing w:after="53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53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120"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120"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380" w:type="dxa"/>
            <w:tcBorders>
              <w:top w:val="single" w:sz="4" w:space="0" w:color="000000"/>
              <w:left w:val="nil"/>
              <w:bottom w:val="single" w:sz="4" w:space="0" w:color="000000"/>
              <w:right w:val="single" w:sz="4" w:space="0" w:color="000000"/>
            </w:tcBorders>
          </w:tcPr>
          <w:p w:rsidR="00353D8D" w:rsidRDefault="006667A9">
            <w:pPr>
              <w:spacing w:after="9" w:line="365" w:lineRule="auto"/>
              <w:ind w:left="0" w:right="28" w:firstLine="0"/>
            </w:pPr>
            <w:r>
              <w:t xml:space="preserve">distancing advice Fewer engagements Fewer social interactions Housebound </w:t>
            </w:r>
          </w:p>
          <w:p w:rsidR="00353D8D" w:rsidRDefault="006667A9">
            <w:pPr>
              <w:spacing w:after="0" w:line="364" w:lineRule="auto"/>
              <w:ind w:left="0" w:firstLine="0"/>
            </w:pPr>
            <w:r>
              <w:t xml:space="preserve">Loneliness Listening difficulties </w:t>
            </w:r>
          </w:p>
          <w:p w:rsidR="00353D8D" w:rsidRDefault="006667A9">
            <w:pPr>
              <w:spacing w:after="0" w:line="259" w:lineRule="auto"/>
              <w:ind w:left="0" w:firstLine="0"/>
            </w:pPr>
            <w:r>
              <w:t xml:space="preserve"> </w:t>
            </w:r>
          </w:p>
        </w:tc>
        <w:tc>
          <w:tcPr>
            <w:tcW w:w="468" w:type="dxa"/>
            <w:tcBorders>
              <w:top w:val="single" w:sz="4" w:space="0" w:color="000000"/>
              <w:left w:val="single" w:sz="4" w:space="0" w:color="000000"/>
              <w:bottom w:val="single" w:sz="4" w:space="0" w:color="000000"/>
              <w:right w:val="nil"/>
            </w:tcBorders>
          </w:tcPr>
          <w:p w:rsidR="00353D8D" w:rsidRDefault="006667A9">
            <w:pPr>
              <w:spacing w:after="120"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53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948"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1774"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1776"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117"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948"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193" w:type="dxa"/>
            <w:tcBorders>
              <w:top w:val="single" w:sz="4" w:space="0" w:color="000000"/>
              <w:left w:val="nil"/>
              <w:bottom w:val="single" w:sz="4" w:space="0" w:color="000000"/>
              <w:right w:val="single" w:sz="4" w:space="0" w:color="000000"/>
            </w:tcBorders>
          </w:tcPr>
          <w:p w:rsidR="00353D8D" w:rsidRDefault="006667A9">
            <w:pPr>
              <w:spacing w:after="0" w:line="362" w:lineRule="auto"/>
              <w:ind w:left="0" w:right="68" w:firstLine="0"/>
            </w:pPr>
            <w:r>
              <w:t xml:space="preserve">Too quiet Increased alcohol Increased caffeine intake  Diet less healthy than prior to the </w:t>
            </w:r>
          </w:p>
          <w:p w:rsidR="00353D8D" w:rsidRDefault="006667A9">
            <w:pPr>
              <w:spacing w:after="0" w:line="259" w:lineRule="auto"/>
              <w:ind w:left="0" w:right="53" w:firstLine="0"/>
            </w:pPr>
            <w:r>
              <w:t xml:space="preserve">pandemic Higher workload </w:t>
            </w:r>
            <w:r>
              <w:t xml:space="preserve">(work, schooling, household) Busier Decreased activity levels Poor sleep </w:t>
            </w:r>
          </w:p>
        </w:tc>
        <w:tc>
          <w:tcPr>
            <w:tcW w:w="468" w:type="dxa"/>
            <w:tcBorders>
              <w:top w:val="single" w:sz="4" w:space="0" w:color="000000"/>
              <w:left w:val="single" w:sz="4" w:space="0" w:color="000000"/>
              <w:bottom w:val="single" w:sz="4" w:space="0" w:color="000000"/>
              <w:right w:val="nil"/>
            </w:tcBorders>
          </w:tcPr>
          <w:p w:rsidR="00353D8D" w:rsidRDefault="006667A9">
            <w:pPr>
              <w:spacing w:after="53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120"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120"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53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53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774" w:type="dxa"/>
            <w:tcBorders>
              <w:top w:val="single" w:sz="4" w:space="0" w:color="000000"/>
              <w:left w:val="nil"/>
              <w:bottom w:val="single" w:sz="4" w:space="0" w:color="000000"/>
              <w:right w:val="single" w:sz="4" w:space="0" w:color="000000"/>
            </w:tcBorders>
          </w:tcPr>
          <w:p w:rsidR="00353D8D" w:rsidRDefault="006667A9">
            <w:pPr>
              <w:spacing w:after="10" w:line="365" w:lineRule="auto"/>
              <w:ind w:left="0" w:right="13" w:firstLine="0"/>
            </w:pPr>
            <w:r>
              <w:t xml:space="preserve">Stress, worrying and anxiety More depressed </w:t>
            </w:r>
          </w:p>
          <w:p w:rsidR="00353D8D" w:rsidRDefault="006667A9">
            <w:pPr>
              <w:spacing w:after="0" w:line="259" w:lineRule="auto"/>
              <w:ind w:left="0" w:right="168" w:firstLine="0"/>
            </w:pPr>
            <w:r>
              <w:t xml:space="preserve">More irritable Financial worries Lack of relaxation time Being furloughed/ laid off from work </w:t>
            </w:r>
          </w:p>
        </w:tc>
      </w:tr>
      <w:tr w:rsidR="00353D8D">
        <w:trPr>
          <w:trHeight w:val="1860"/>
        </w:trPr>
        <w:tc>
          <w:tcPr>
            <w:tcW w:w="1457" w:type="dxa"/>
            <w:tcBorders>
              <w:top w:val="single" w:sz="4" w:space="0" w:color="000000"/>
              <w:left w:val="single" w:sz="4" w:space="0" w:color="000000"/>
              <w:bottom w:val="single" w:sz="4" w:space="0" w:color="000000"/>
              <w:right w:val="single" w:sz="4" w:space="0" w:color="000000"/>
            </w:tcBorders>
          </w:tcPr>
          <w:p w:rsidR="00353D8D" w:rsidRDefault="006667A9">
            <w:pPr>
              <w:spacing w:after="0" w:line="259" w:lineRule="auto"/>
              <w:ind w:left="108" w:firstLine="0"/>
            </w:pPr>
            <w:r>
              <w:rPr>
                <w:b/>
              </w:rPr>
              <w:lastRenderedPageBreak/>
              <w:t xml:space="preserve">Tinnitus better (2%) </w:t>
            </w:r>
          </w:p>
        </w:tc>
        <w:tc>
          <w:tcPr>
            <w:tcW w:w="468" w:type="dxa"/>
            <w:tcBorders>
              <w:top w:val="single" w:sz="4" w:space="0" w:color="000000"/>
              <w:left w:val="single" w:sz="4" w:space="0" w:color="000000"/>
              <w:bottom w:val="single" w:sz="4" w:space="0" w:color="000000"/>
              <w:right w:val="nil"/>
            </w:tcBorders>
          </w:tcPr>
          <w:p w:rsidR="00353D8D" w:rsidRDefault="006667A9">
            <w:pPr>
              <w:spacing w:after="53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335" w:type="dxa"/>
            <w:tcBorders>
              <w:top w:val="single" w:sz="4" w:space="0" w:color="000000"/>
              <w:left w:val="nil"/>
              <w:bottom w:val="single" w:sz="4" w:space="0" w:color="000000"/>
              <w:right w:val="single" w:sz="4" w:space="0" w:color="000000"/>
            </w:tcBorders>
          </w:tcPr>
          <w:p w:rsidR="00353D8D" w:rsidRDefault="006667A9">
            <w:pPr>
              <w:spacing w:after="0" w:line="259" w:lineRule="auto"/>
              <w:ind w:left="0" w:firstLine="0"/>
            </w:pPr>
            <w:r>
              <w:t xml:space="preserve">Reframing problems Fighting the virus </w:t>
            </w:r>
          </w:p>
        </w:tc>
        <w:tc>
          <w:tcPr>
            <w:tcW w:w="468" w:type="dxa"/>
            <w:tcBorders>
              <w:top w:val="single" w:sz="4" w:space="0" w:color="000000"/>
              <w:left w:val="single" w:sz="4" w:space="0" w:color="000000"/>
              <w:bottom w:val="single" w:sz="4" w:space="0" w:color="000000"/>
              <w:right w:val="nil"/>
            </w:tcBorders>
          </w:tcPr>
          <w:p w:rsidR="00353D8D" w:rsidRDefault="006667A9">
            <w:pPr>
              <w:spacing w:after="1058"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0" w:line="259" w:lineRule="auto"/>
              <w:ind w:left="108" w:firstLine="0"/>
            </w:pPr>
            <w:r>
              <w:t xml:space="preserve"> </w:t>
            </w:r>
          </w:p>
        </w:tc>
        <w:tc>
          <w:tcPr>
            <w:tcW w:w="1380" w:type="dxa"/>
            <w:tcBorders>
              <w:top w:val="single" w:sz="4" w:space="0" w:color="000000"/>
              <w:left w:val="nil"/>
              <w:bottom w:val="single" w:sz="4" w:space="0" w:color="000000"/>
              <w:right w:val="single" w:sz="4" w:space="0" w:color="000000"/>
            </w:tcBorders>
          </w:tcPr>
          <w:p w:rsidR="00353D8D" w:rsidRDefault="006667A9">
            <w:pPr>
              <w:spacing w:after="112" w:line="259" w:lineRule="auto"/>
              <w:ind w:left="0" w:firstLine="0"/>
            </w:pPr>
            <w:r>
              <w:t xml:space="preserve">Reduced </w:t>
            </w:r>
          </w:p>
          <w:p w:rsidR="00353D8D" w:rsidRDefault="006667A9">
            <w:pPr>
              <w:spacing w:after="0" w:line="259" w:lineRule="auto"/>
              <w:ind w:left="0" w:firstLine="0"/>
            </w:pPr>
            <w:r>
              <w:t xml:space="preserve">listening frustration </w:t>
            </w:r>
          </w:p>
        </w:tc>
        <w:tc>
          <w:tcPr>
            <w:tcW w:w="468" w:type="dxa"/>
            <w:tcBorders>
              <w:top w:val="single" w:sz="4" w:space="0" w:color="000000"/>
              <w:left w:val="single" w:sz="4" w:space="0" w:color="000000"/>
              <w:bottom w:val="single" w:sz="4" w:space="0" w:color="000000"/>
              <w:right w:val="nil"/>
            </w:tcBorders>
          </w:tcPr>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193" w:type="dxa"/>
            <w:tcBorders>
              <w:top w:val="single" w:sz="4" w:space="0" w:color="000000"/>
              <w:left w:val="nil"/>
              <w:bottom w:val="single" w:sz="4" w:space="0" w:color="000000"/>
              <w:right w:val="single" w:sz="4" w:space="0" w:color="000000"/>
            </w:tcBorders>
          </w:tcPr>
          <w:p w:rsidR="00353D8D" w:rsidRDefault="006667A9">
            <w:pPr>
              <w:spacing w:after="2" w:line="356" w:lineRule="auto"/>
              <w:ind w:left="0" w:firstLine="0"/>
            </w:pPr>
            <w:r>
              <w:t xml:space="preserve">Healthier than prior to the </w:t>
            </w:r>
          </w:p>
          <w:p w:rsidR="00353D8D" w:rsidRDefault="006667A9">
            <w:pPr>
              <w:spacing w:after="0" w:line="259" w:lineRule="auto"/>
              <w:ind w:left="0" w:firstLine="0"/>
            </w:pPr>
            <w:r>
              <w:t xml:space="preserve">pandemic </w:t>
            </w:r>
          </w:p>
        </w:tc>
        <w:tc>
          <w:tcPr>
            <w:tcW w:w="468" w:type="dxa"/>
            <w:tcBorders>
              <w:top w:val="single" w:sz="4" w:space="0" w:color="000000"/>
              <w:left w:val="single" w:sz="4" w:space="0" w:color="000000"/>
              <w:bottom w:val="single" w:sz="4" w:space="0" w:color="000000"/>
              <w:right w:val="nil"/>
            </w:tcBorders>
          </w:tcPr>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774" w:type="dxa"/>
            <w:tcBorders>
              <w:top w:val="single" w:sz="4" w:space="0" w:color="000000"/>
              <w:left w:val="nil"/>
              <w:bottom w:val="single" w:sz="4" w:space="0" w:color="000000"/>
              <w:right w:val="single" w:sz="4" w:space="0" w:color="000000"/>
            </w:tcBorders>
          </w:tcPr>
          <w:p w:rsidR="00353D8D" w:rsidRDefault="006667A9">
            <w:pPr>
              <w:spacing w:after="0" w:line="259" w:lineRule="auto"/>
              <w:ind w:left="0" w:firstLine="0"/>
            </w:pPr>
            <w:r>
              <w:t xml:space="preserve">Homeworking </w:t>
            </w:r>
          </w:p>
        </w:tc>
      </w:tr>
      <w:tr w:rsidR="00353D8D">
        <w:trPr>
          <w:trHeight w:val="795"/>
        </w:trPr>
        <w:tc>
          <w:tcPr>
            <w:tcW w:w="1457" w:type="dxa"/>
            <w:tcBorders>
              <w:top w:val="single" w:sz="4" w:space="0" w:color="000000"/>
              <w:left w:val="single" w:sz="4" w:space="0" w:color="000000"/>
              <w:bottom w:val="nil"/>
              <w:right w:val="single" w:sz="4" w:space="0" w:color="000000"/>
            </w:tcBorders>
          </w:tcPr>
          <w:p w:rsidR="00353D8D" w:rsidRDefault="00353D8D">
            <w:pPr>
              <w:spacing w:after="160" w:line="259" w:lineRule="auto"/>
              <w:ind w:left="0" w:firstLine="0"/>
            </w:pPr>
          </w:p>
        </w:tc>
        <w:tc>
          <w:tcPr>
            <w:tcW w:w="468" w:type="dxa"/>
            <w:tcBorders>
              <w:top w:val="single" w:sz="4" w:space="0" w:color="000000"/>
              <w:left w:val="single" w:sz="4" w:space="0" w:color="000000"/>
              <w:bottom w:val="nil"/>
              <w:right w:val="nil"/>
            </w:tcBorders>
          </w:tcPr>
          <w:p w:rsidR="00353D8D" w:rsidRDefault="006667A9">
            <w:pPr>
              <w:spacing w:after="0" w:line="259" w:lineRule="auto"/>
              <w:ind w:left="108" w:firstLine="0"/>
            </w:pPr>
            <w:r>
              <w:t xml:space="preserve"> </w:t>
            </w:r>
          </w:p>
        </w:tc>
        <w:tc>
          <w:tcPr>
            <w:tcW w:w="1335" w:type="dxa"/>
            <w:tcBorders>
              <w:top w:val="single" w:sz="4" w:space="0" w:color="000000"/>
              <w:left w:val="nil"/>
              <w:bottom w:val="nil"/>
              <w:right w:val="single" w:sz="4" w:space="0" w:color="000000"/>
            </w:tcBorders>
          </w:tcPr>
          <w:p w:rsidR="00353D8D" w:rsidRDefault="00353D8D">
            <w:pPr>
              <w:spacing w:after="160" w:line="259" w:lineRule="auto"/>
              <w:ind w:left="0" w:firstLine="0"/>
            </w:pPr>
          </w:p>
        </w:tc>
        <w:tc>
          <w:tcPr>
            <w:tcW w:w="468" w:type="dxa"/>
            <w:tcBorders>
              <w:top w:val="single" w:sz="4" w:space="0" w:color="000000"/>
              <w:left w:val="single" w:sz="4" w:space="0" w:color="000000"/>
              <w:bottom w:val="nil"/>
              <w:right w:val="nil"/>
            </w:tcBorders>
          </w:tcPr>
          <w:p w:rsidR="00353D8D" w:rsidRDefault="00353D8D">
            <w:pPr>
              <w:spacing w:after="160" w:line="259" w:lineRule="auto"/>
              <w:ind w:left="0" w:firstLine="0"/>
            </w:pPr>
          </w:p>
        </w:tc>
        <w:tc>
          <w:tcPr>
            <w:tcW w:w="1380" w:type="dxa"/>
            <w:tcBorders>
              <w:top w:val="single" w:sz="4" w:space="0" w:color="000000"/>
              <w:left w:val="nil"/>
              <w:bottom w:val="nil"/>
              <w:right w:val="single" w:sz="4" w:space="0" w:color="000000"/>
            </w:tcBorders>
          </w:tcPr>
          <w:p w:rsidR="00353D8D" w:rsidRDefault="00353D8D">
            <w:pPr>
              <w:spacing w:after="160" w:line="259" w:lineRule="auto"/>
              <w:ind w:left="0" w:firstLine="0"/>
            </w:pPr>
          </w:p>
        </w:tc>
        <w:tc>
          <w:tcPr>
            <w:tcW w:w="468" w:type="dxa"/>
            <w:tcBorders>
              <w:top w:val="single" w:sz="4" w:space="0" w:color="000000"/>
              <w:left w:val="single" w:sz="4" w:space="0" w:color="000000"/>
              <w:bottom w:val="nil"/>
              <w:right w:val="nil"/>
            </w:tcBorders>
          </w:tcPr>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193" w:type="dxa"/>
            <w:tcBorders>
              <w:top w:val="single" w:sz="4" w:space="0" w:color="000000"/>
              <w:left w:val="nil"/>
              <w:bottom w:val="nil"/>
              <w:right w:val="single" w:sz="4" w:space="0" w:color="000000"/>
            </w:tcBorders>
          </w:tcPr>
          <w:p w:rsidR="00353D8D" w:rsidRDefault="006667A9">
            <w:pPr>
              <w:spacing w:after="0" w:line="259" w:lineRule="auto"/>
              <w:ind w:left="0" w:firstLine="0"/>
            </w:pPr>
            <w:r>
              <w:t xml:space="preserve">Increased relaxation  </w:t>
            </w:r>
          </w:p>
        </w:tc>
        <w:tc>
          <w:tcPr>
            <w:tcW w:w="468" w:type="dxa"/>
            <w:tcBorders>
              <w:top w:val="single" w:sz="4" w:space="0" w:color="000000"/>
              <w:left w:val="single" w:sz="4" w:space="0" w:color="000000"/>
              <w:bottom w:val="nil"/>
              <w:right w:val="nil"/>
            </w:tcBorders>
          </w:tcPr>
          <w:p w:rsidR="00353D8D" w:rsidRDefault="00353D8D">
            <w:pPr>
              <w:spacing w:after="160" w:line="259" w:lineRule="auto"/>
              <w:ind w:left="0" w:firstLine="0"/>
            </w:pPr>
          </w:p>
        </w:tc>
        <w:tc>
          <w:tcPr>
            <w:tcW w:w="1774" w:type="dxa"/>
            <w:tcBorders>
              <w:top w:val="single" w:sz="4" w:space="0" w:color="000000"/>
              <w:left w:val="nil"/>
              <w:bottom w:val="nil"/>
              <w:right w:val="single" w:sz="4" w:space="0" w:color="000000"/>
            </w:tcBorders>
          </w:tcPr>
          <w:p w:rsidR="00353D8D" w:rsidRDefault="00353D8D">
            <w:pPr>
              <w:spacing w:after="160" w:line="259" w:lineRule="auto"/>
              <w:ind w:left="0" w:firstLine="0"/>
            </w:pPr>
          </w:p>
        </w:tc>
      </w:tr>
      <w:tr w:rsidR="00353D8D">
        <w:trPr>
          <w:trHeight w:val="845"/>
        </w:trPr>
        <w:tc>
          <w:tcPr>
            <w:tcW w:w="1457" w:type="dxa"/>
            <w:tcBorders>
              <w:top w:val="nil"/>
              <w:left w:val="single" w:sz="4" w:space="0" w:color="000000"/>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335" w:type="dxa"/>
            <w:tcBorders>
              <w:top w:val="nil"/>
              <w:left w:val="nil"/>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380" w:type="dxa"/>
            <w:tcBorders>
              <w:top w:val="nil"/>
              <w:left w:val="nil"/>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193" w:type="dxa"/>
            <w:tcBorders>
              <w:top w:val="nil"/>
              <w:left w:val="nil"/>
              <w:bottom w:val="nil"/>
              <w:right w:val="single" w:sz="4" w:space="0" w:color="000000"/>
            </w:tcBorders>
          </w:tcPr>
          <w:p w:rsidR="00353D8D" w:rsidRDefault="006667A9">
            <w:pPr>
              <w:spacing w:after="0" w:line="259" w:lineRule="auto"/>
              <w:ind w:left="0" w:firstLine="0"/>
            </w:pPr>
            <w:r>
              <w:t xml:space="preserve">Sleeping better </w:t>
            </w: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774" w:type="dxa"/>
            <w:tcBorders>
              <w:top w:val="nil"/>
              <w:left w:val="nil"/>
              <w:bottom w:val="nil"/>
              <w:right w:val="single" w:sz="4" w:space="0" w:color="000000"/>
            </w:tcBorders>
          </w:tcPr>
          <w:p w:rsidR="00353D8D" w:rsidRDefault="00353D8D">
            <w:pPr>
              <w:spacing w:after="160" w:line="259" w:lineRule="auto"/>
              <w:ind w:left="0" w:firstLine="0"/>
            </w:pPr>
          </w:p>
        </w:tc>
      </w:tr>
      <w:tr w:rsidR="00353D8D">
        <w:trPr>
          <w:trHeight w:val="1260"/>
        </w:trPr>
        <w:tc>
          <w:tcPr>
            <w:tcW w:w="1457" w:type="dxa"/>
            <w:tcBorders>
              <w:top w:val="nil"/>
              <w:left w:val="single" w:sz="4" w:space="0" w:color="000000"/>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335" w:type="dxa"/>
            <w:tcBorders>
              <w:top w:val="nil"/>
              <w:left w:val="nil"/>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380" w:type="dxa"/>
            <w:tcBorders>
              <w:top w:val="nil"/>
              <w:left w:val="nil"/>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193" w:type="dxa"/>
            <w:tcBorders>
              <w:top w:val="nil"/>
              <w:left w:val="nil"/>
              <w:bottom w:val="nil"/>
              <w:right w:val="single" w:sz="4" w:space="0" w:color="000000"/>
            </w:tcBorders>
          </w:tcPr>
          <w:p w:rsidR="00353D8D" w:rsidRDefault="006667A9">
            <w:pPr>
              <w:spacing w:after="0" w:line="259" w:lineRule="auto"/>
              <w:ind w:left="0" w:firstLine="0"/>
            </w:pPr>
            <w:r>
              <w:t xml:space="preserve">More peaceful lifestyle </w:t>
            </w: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774" w:type="dxa"/>
            <w:tcBorders>
              <w:top w:val="nil"/>
              <w:left w:val="nil"/>
              <w:bottom w:val="nil"/>
              <w:right w:val="single" w:sz="4" w:space="0" w:color="000000"/>
            </w:tcBorders>
          </w:tcPr>
          <w:p w:rsidR="00353D8D" w:rsidRDefault="00353D8D">
            <w:pPr>
              <w:spacing w:after="160" w:line="259" w:lineRule="auto"/>
              <w:ind w:left="0" w:firstLine="0"/>
            </w:pPr>
          </w:p>
        </w:tc>
      </w:tr>
      <w:tr w:rsidR="00353D8D">
        <w:trPr>
          <w:trHeight w:val="433"/>
        </w:trPr>
        <w:tc>
          <w:tcPr>
            <w:tcW w:w="1457" w:type="dxa"/>
            <w:tcBorders>
              <w:top w:val="nil"/>
              <w:left w:val="single" w:sz="4" w:space="0" w:color="000000"/>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335" w:type="dxa"/>
            <w:tcBorders>
              <w:top w:val="nil"/>
              <w:left w:val="nil"/>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380" w:type="dxa"/>
            <w:tcBorders>
              <w:top w:val="nil"/>
              <w:left w:val="nil"/>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193" w:type="dxa"/>
            <w:tcBorders>
              <w:top w:val="nil"/>
              <w:left w:val="nil"/>
              <w:bottom w:val="nil"/>
              <w:right w:val="single" w:sz="4" w:space="0" w:color="000000"/>
            </w:tcBorders>
          </w:tcPr>
          <w:p w:rsidR="00353D8D" w:rsidRDefault="006667A9">
            <w:pPr>
              <w:spacing w:after="0" w:line="259" w:lineRule="auto"/>
              <w:ind w:left="0" w:firstLine="0"/>
            </w:pPr>
            <w:r>
              <w:t xml:space="preserve">Quieter </w:t>
            </w: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774" w:type="dxa"/>
            <w:tcBorders>
              <w:top w:val="nil"/>
              <w:left w:val="nil"/>
              <w:bottom w:val="nil"/>
              <w:right w:val="single" w:sz="4" w:space="0" w:color="000000"/>
            </w:tcBorders>
          </w:tcPr>
          <w:p w:rsidR="00353D8D" w:rsidRDefault="00353D8D">
            <w:pPr>
              <w:spacing w:after="160" w:line="259" w:lineRule="auto"/>
              <w:ind w:left="0" w:firstLine="0"/>
            </w:pPr>
          </w:p>
        </w:tc>
      </w:tr>
      <w:tr w:rsidR="00353D8D">
        <w:trPr>
          <w:trHeight w:val="843"/>
        </w:trPr>
        <w:tc>
          <w:tcPr>
            <w:tcW w:w="1457" w:type="dxa"/>
            <w:tcBorders>
              <w:top w:val="nil"/>
              <w:left w:val="single" w:sz="4" w:space="0" w:color="000000"/>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335" w:type="dxa"/>
            <w:tcBorders>
              <w:top w:val="nil"/>
              <w:left w:val="nil"/>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380" w:type="dxa"/>
            <w:tcBorders>
              <w:top w:val="nil"/>
              <w:left w:val="nil"/>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193" w:type="dxa"/>
            <w:tcBorders>
              <w:top w:val="nil"/>
              <w:left w:val="nil"/>
              <w:bottom w:val="nil"/>
              <w:right w:val="single" w:sz="4" w:space="0" w:color="000000"/>
            </w:tcBorders>
          </w:tcPr>
          <w:p w:rsidR="00353D8D" w:rsidRDefault="006667A9">
            <w:pPr>
              <w:spacing w:after="0" w:line="259" w:lineRule="auto"/>
              <w:ind w:left="0" w:firstLine="0"/>
            </w:pPr>
            <w:r>
              <w:t xml:space="preserve">More time in nature </w:t>
            </w: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774" w:type="dxa"/>
            <w:tcBorders>
              <w:top w:val="nil"/>
              <w:left w:val="nil"/>
              <w:bottom w:val="nil"/>
              <w:right w:val="single" w:sz="4" w:space="0" w:color="000000"/>
            </w:tcBorders>
          </w:tcPr>
          <w:p w:rsidR="00353D8D" w:rsidRDefault="00353D8D">
            <w:pPr>
              <w:spacing w:after="160" w:line="259" w:lineRule="auto"/>
              <w:ind w:left="0" w:firstLine="0"/>
            </w:pPr>
          </w:p>
        </w:tc>
      </w:tr>
      <w:tr w:rsidR="00353D8D">
        <w:trPr>
          <w:trHeight w:val="846"/>
        </w:trPr>
        <w:tc>
          <w:tcPr>
            <w:tcW w:w="1457" w:type="dxa"/>
            <w:tcBorders>
              <w:top w:val="nil"/>
              <w:left w:val="single" w:sz="4" w:space="0" w:color="000000"/>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335" w:type="dxa"/>
            <w:tcBorders>
              <w:top w:val="nil"/>
              <w:left w:val="nil"/>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380" w:type="dxa"/>
            <w:tcBorders>
              <w:top w:val="nil"/>
              <w:left w:val="nil"/>
              <w:bottom w:val="nil"/>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nil"/>
              <w:right w:val="nil"/>
            </w:tcBorders>
          </w:tcPr>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193" w:type="dxa"/>
            <w:tcBorders>
              <w:top w:val="nil"/>
              <w:left w:val="nil"/>
              <w:bottom w:val="nil"/>
              <w:right w:val="single" w:sz="4" w:space="0" w:color="000000"/>
            </w:tcBorders>
          </w:tcPr>
          <w:p w:rsidR="00353D8D" w:rsidRDefault="006667A9">
            <w:pPr>
              <w:spacing w:after="112" w:line="259" w:lineRule="auto"/>
              <w:ind w:left="0" w:firstLine="0"/>
            </w:pPr>
            <w:r>
              <w:t xml:space="preserve">More </w:t>
            </w:r>
          </w:p>
          <w:p w:rsidR="00353D8D" w:rsidRDefault="006667A9">
            <w:pPr>
              <w:spacing w:after="0" w:line="259" w:lineRule="auto"/>
              <w:ind w:left="0" w:firstLine="0"/>
            </w:pPr>
            <w:r>
              <w:t xml:space="preserve">exercise </w:t>
            </w:r>
          </w:p>
        </w:tc>
        <w:tc>
          <w:tcPr>
            <w:tcW w:w="468" w:type="dxa"/>
            <w:tcBorders>
              <w:top w:val="nil"/>
              <w:left w:val="single" w:sz="4" w:space="0" w:color="000000"/>
              <w:bottom w:val="nil"/>
              <w:right w:val="nil"/>
            </w:tcBorders>
          </w:tcPr>
          <w:p w:rsidR="00353D8D" w:rsidRDefault="00353D8D">
            <w:pPr>
              <w:spacing w:after="160" w:line="259" w:lineRule="auto"/>
              <w:ind w:left="0" w:firstLine="0"/>
            </w:pPr>
          </w:p>
        </w:tc>
        <w:tc>
          <w:tcPr>
            <w:tcW w:w="1774" w:type="dxa"/>
            <w:tcBorders>
              <w:top w:val="nil"/>
              <w:left w:val="nil"/>
              <w:bottom w:val="nil"/>
              <w:right w:val="single" w:sz="4" w:space="0" w:color="000000"/>
            </w:tcBorders>
          </w:tcPr>
          <w:p w:rsidR="00353D8D" w:rsidRDefault="00353D8D">
            <w:pPr>
              <w:spacing w:after="160" w:line="259" w:lineRule="auto"/>
              <w:ind w:left="0" w:firstLine="0"/>
            </w:pPr>
          </w:p>
        </w:tc>
      </w:tr>
      <w:tr w:rsidR="00353D8D">
        <w:trPr>
          <w:trHeight w:val="1065"/>
        </w:trPr>
        <w:tc>
          <w:tcPr>
            <w:tcW w:w="1457" w:type="dxa"/>
            <w:tcBorders>
              <w:top w:val="nil"/>
              <w:left w:val="single" w:sz="4" w:space="0" w:color="000000"/>
              <w:bottom w:val="single" w:sz="4" w:space="0" w:color="000000"/>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single" w:sz="4" w:space="0" w:color="000000"/>
              <w:right w:val="nil"/>
            </w:tcBorders>
          </w:tcPr>
          <w:p w:rsidR="00353D8D" w:rsidRDefault="00353D8D">
            <w:pPr>
              <w:spacing w:after="160" w:line="259" w:lineRule="auto"/>
              <w:ind w:left="0" w:firstLine="0"/>
            </w:pPr>
          </w:p>
        </w:tc>
        <w:tc>
          <w:tcPr>
            <w:tcW w:w="1335" w:type="dxa"/>
            <w:tcBorders>
              <w:top w:val="nil"/>
              <w:left w:val="nil"/>
              <w:bottom w:val="single" w:sz="4" w:space="0" w:color="000000"/>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single" w:sz="4" w:space="0" w:color="000000"/>
              <w:right w:val="nil"/>
            </w:tcBorders>
          </w:tcPr>
          <w:p w:rsidR="00353D8D" w:rsidRDefault="00353D8D">
            <w:pPr>
              <w:spacing w:after="160" w:line="259" w:lineRule="auto"/>
              <w:ind w:left="0" w:firstLine="0"/>
            </w:pPr>
          </w:p>
        </w:tc>
        <w:tc>
          <w:tcPr>
            <w:tcW w:w="1380" w:type="dxa"/>
            <w:tcBorders>
              <w:top w:val="nil"/>
              <w:left w:val="nil"/>
              <w:bottom w:val="single" w:sz="4" w:space="0" w:color="000000"/>
              <w:right w:val="single" w:sz="4" w:space="0" w:color="000000"/>
            </w:tcBorders>
          </w:tcPr>
          <w:p w:rsidR="00353D8D" w:rsidRDefault="00353D8D">
            <w:pPr>
              <w:spacing w:after="160" w:line="259" w:lineRule="auto"/>
              <w:ind w:left="0" w:firstLine="0"/>
            </w:pPr>
          </w:p>
        </w:tc>
        <w:tc>
          <w:tcPr>
            <w:tcW w:w="468" w:type="dxa"/>
            <w:tcBorders>
              <w:top w:val="nil"/>
              <w:left w:val="single" w:sz="4" w:space="0" w:color="000000"/>
              <w:bottom w:val="single" w:sz="4" w:space="0" w:color="000000"/>
              <w:right w:val="nil"/>
            </w:tcBorders>
            <w:vAlign w:val="center"/>
          </w:tcPr>
          <w:p w:rsidR="00353D8D" w:rsidRDefault="006667A9">
            <w:pPr>
              <w:spacing w:after="227"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0" w:line="259" w:lineRule="auto"/>
              <w:ind w:left="108" w:firstLine="0"/>
            </w:pPr>
            <w:r>
              <w:t xml:space="preserve"> </w:t>
            </w:r>
          </w:p>
        </w:tc>
        <w:tc>
          <w:tcPr>
            <w:tcW w:w="1193" w:type="dxa"/>
            <w:tcBorders>
              <w:top w:val="nil"/>
              <w:left w:val="nil"/>
              <w:bottom w:val="single" w:sz="4" w:space="0" w:color="000000"/>
              <w:right w:val="single" w:sz="4" w:space="0" w:color="000000"/>
            </w:tcBorders>
          </w:tcPr>
          <w:p w:rsidR="00353D8D" w:rsidRDefault="006667A9">
            <w:pPr>
              <w:spacing w:after="0" w:line="259" w:lineRule="auto"/>
              <w:ind w:left="0" w:firstLine="0"/>
            </w:pPr>
            <w:r>
              <w:t xml:space="preserve">Better diet </w:t>
            </w:r>
          </w:p>
        </w:tc>
        <w:tc>
          <w:tcPr>
            <w:tcW w:w="468" w:type="dxa"/>
            <w:tcBorders>
              <w:top w:val="nil"/>
              <w:left w:val="single" w:sz="4" w:space="0" w:color="000000"/>
              <w:bottom w:val="single" w:sz="4" w:space="0" w:color="000000"/>
              <w:right w:val="nil"/>
            </w:tcBorders>
          </w:tcPr>
          <w:p w:rsidR="00353D8D" w:rsidRDefault="00353D8D">
            <w:pPr>
              <w:spacing w:after="160" w:line="259" w:lineRule="auto"/>
              <w:ind w:left="0" w:firstLine="0"/>
            </w:pPr>
          </w:p>
        </w:tc>
        <w:tc>
          <w:tcPr>
            <w:tcW w:w="1774" w:type="dxa"/>
            <w:tcBorders>
              <w:top w:val="nil"/>
              <w:left w:val="nil"/>
              <w:bottom w:val="single" w:sz="4" w:space="0" w:color="000000"/>
              <w:right w:val="single" w:sz="4" w:space="0" w:color="000000"/>
            </w:tcBorders>
            <w:vAlign w:val="center"/>
          </w:tcPr>
          <w:p w:rsidR="00353D8D" w:rsidRDefault="00353D8D">
            <w:pPr>
              <w:spacing w:after="160" w:line="259" w:lineRule="auto"/>
              <w:ind w:left="0" w:firstLine="0"/>
            </w:pPr>
          </w:p>
        </w:tc>
      </w:tr>
      <w:tr w:rsidR="00353D8D">
        <w:trPr>
          <w:trHeight w:val="4220"/>
        </w:trPr>
        <w:tc>
          <w:tcPr>
            <w:tcW w:w="1457" w:type="dxa"/>
            <w:tcBorders>
              <w:top w:val="single" w:sz="4" w:space="0" w:color="000000"/>
              <w:left w:val="single" w:sz="4" w:space="0" w:color="000000"/>
              <w:bottom w:val="single" w:sz="4" w:space="0" w:color="000000"/>
              <w:right w:val="single" w:sz="4" w:space="0" w:color="000000"/>
            </w:tcBorders>
          </w:tcPr>
          <w:p w:rsidR="00353D8D" w:rsidRDefault="006667A9">
            <w:pPr>
              <w:spacing w:after="115" w:line="259" w:lineRule="auto"/>
              <w:ind w:left="108" w:firstLine="0"/>
            </w:pPr>
            <w:r>
              <w:rPr>
                <w:b/>
              </w:rPr>
              <w:t xml:space="preserve">Tinnitus </w:t>
            </w:r>
          </w:p>
          <w:p w:rsidR="00353D8D" w:rsidRDefault="006667A9">
            <w:pPr>
              <w:spacing w:after="113" w:line="259" w:lineRule="auto"/>
              <w:ind w:left="108" w:firstLine="0"/>
            </w:pPr>
            <w:r>
              <w:rPr>
                <w:b/>
              </w:rPr>
              <w:t xml:space="preserve">Stable </w:t>
            </w:r>
          </w:p>
          <w:p w:rsidR="00353D8D" w:rsidRDefault="006667A9">
            <w:pPr>
              <w:spacing w:after="0" w:line="259" w:lineRule="auto"/>
              <w:ind w:left="108" w:firstLine="0"/>
            </w:pPr>
            <w:r>
              <w:rPr>
                <w:b/>
              </w:rPr>
              <w:t xml:space="preserve">(67%) </w:t>
            </w:r>
          </w:p>
        </w:tc>
        <w:tc>
          <w:tcPr>
            <w:tcW w:w="468" w:type="dxa"/>
            <w:tcBorders>
              <w:top w:val="single" w:sz="4" w:space="0" w:color="000000"/>
              <w:left w:val="single" w:sz="4" w:space="0" w:color="000000"/>
              <w:bottom w:val="single" w:sz="4" w:space="0" w:color="000000"/>
              <w:right w:val="nil"/>
            </w:tcBorders>
          </w:tcPr>
          <w:p w:rsidR="00353D8D" w:rsidRDefault="006667A9">
            <w:pPr>
              <w:spacing w:after="1361"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53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53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335" w:type="dxa"/>
            <w:tcBorders>
              <w:top w:val="single" w:sz="4" w:space="0" w:color="000000"/>
              <w:left w:val="nil"/>
              <w:bottom w:val="single" w:sz="4" w:space="0" w:color="000000"/>
              <w:right w:val="single" w:sz="4" w:space="0" w:color="000000"/>
            </w:tcBorders>
          </w:tcPr>
          <w:p w:rsidR="00353D8D" w:rsidRDefault="006667A9">
            <w:pPr>
              <w:spacing w:after="112" w:line="259" w:lineRule="auto"/>
              <w:ind w:left="0" w:firstLine="0"/>
            </w:pPr>
            <w:r>
              <w:t xml:space="preserve">No </w:t>
            </w:r>
          </w:p>
          <w:p w:rsidR="00353D8D" w:rsidRDefault="006667A9">
            <w:pPr>
              <w:spacing w:after="0" w:line="259" w:lineRule="auto"/>
              <w:ind w:left="0" w:right="73" w:firstLine="0"/>
            </w:pPr>
            <w:r>
              <w:t xml:space="preserve">additional health concerns Tinnitus not severe Not had virus Family healthy </w:t>
            </w:r>
          </w:p>
        </w:tc>
        <w:tc>
          <w:tcPr>
            <w:tcW w:w="468" w:type="dxa"/>
            <w:tcBorders>
              <w:top w:val="single" w:sz="4" w:space="0" w:color="000000"/>
              <w:left w:val="single" w:sz="4" w:space="0" w:color="000000"/>
              <w:bottom w:val="single" w:sz="4" w:space="0" w:color="000000"/>
              <w:right w:val="nil"/>
            </w:tcBorders>
          </w:tcPr>
          <w:p w:rsidR="00353D8D" w:rsidRDefault="006667A9">
            <w:pPr>
              <w:spacing w:after="948"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53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1055"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0" w:line="259" w:lineRule="auto"/>
              <w:ind w:left="108" w:firstLine="0"/>
            </w:pPr>
            <w:r>
              <w:t xml:space="preserve"> </w:t>
            </w:r>
          </w:p>
        </w:tc>
        <w:tc>
          <w:tcPr>
            <w:tcW w:w="1380" w:type="dxa"/>
            <w:tcBorders>
              <w:top w:val="single" w:sz="4" w:space="0" w:color="000000"/>
              <w:left w:val="nil"/>
              <w:bottom w:val="single" w:sz="4" w:space="0" w:color="000000"/>
              <w:right w:val="single" w:sz="4" w:space="0" w:color="000000"/>
            </w:tcBorders>
          </w:tcPr>
          <w:p w:rsidR="00353D8D" w:rsidRDefault="006667A9">
            <w:pPr>
              <w:spacing w:after="17" w:line="361" w:lineRule="auto"/>
              <w:ind w:left="0" w:right="170" w:firstLine="0"/>
            </w:pPr>
            <w:r>
              <w:t xml:space="preserve">Acceptance of new routine Not </w:t>
            </w:r>
            <w:proofErr w:type="spellStart"/>
            <w:r>
              <w:t>self</w:t>
            </w:r>
            <w:r>
              <w:t>isolating</w:t>
            </w:r>
            <w:proofErr w:type="spellEnd"/>
            <w:r>
              <w:t xml:space="preserve"> </w:t>
            </w:r>
          </w:p>
          <w:p w:rsidR="00353D8D" w:rsidRDefault="006667A9">
            <w:pPr>
              <w:spacing w:after="0" w:line="259" w:lineRule="auto"/>
              <w:ind w:left="0" w:firstLine="0"/>
            </w:pPr>
            <w:r>
              <w:t xml:space="preserve">Continuing social interactions </w:t>
            </w:r>
          </w:p>
        </w:tc>
        <w:tc>
          <w:tcPr>
            <w:tcW w:w="468" w:type="dxa"/>
            <w:tcBorders>
              <w:top w:val="single" w:sz="4" w:space="0" w:color="000000"/>
              <w:left w:val="single" w:sz="4" w:space="0" w:color="000000"/>
              <w:bottom w:val="single" w:sz="4" w:space="0" w:color="000000"/>
              <w:right w:val="nil"/>
            </w:tcBorders>
          </w:tcPr>
          <w:p w:rsidR="00353D8D" w:rsidRDefault="006667A9">
            <w:pPr>
              <w:spacing w:after="948"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53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0" w:line="259" w:lineRule="auto"/>
              <w:ind w:left="108" w:firstLine="0"/>
            </w:pPr>
            <w:r>
              <w:rPr>
                <w:rFonts w:ascii="Segoe UI Symbol" w:eastAsia="Segoe UI Symbol" w:hAnsi="Segoe UI Symbol" w:cs="Segoe UI Symbol"/>
              </w:rPr>
              <w:t>•</w:t>
            </w:r>
            <w:r>
              <w:rPr>
                <w:rFonts w:ascii="Arial" w:eastAsia="Arial" w:hAnsi="Arial" w:cs="Arial"/>
              </w:rPr>
              <w:t xml:space="preserve"> </w:t>
            </w:r>
          </w:p>
        </w:tc>
        <w:tc>
          <w:tcPr>
            <w:tcW w:w="1193" w:type="dxa"/>
            <w:tcBorders>
              <w:top w:val="single" w:sz="4" w:space="0" w:color="000000"/>
              <w:left w:val="nil"/>
              <w:bottom w:val="single" w:sz="4" w:space="0" w:color="000000"/>
              <w:right w:val="single" w:sz="4" w:space="0" w:color="000000"/>
            </w:tcBorders>
          </w:tcPr>
          <w:p w:rsidR="00353D8D" w:rsidRDefault="006667A9">
            <w:pPr>
              <w:spacing w:after="17" w:line="361" w:lineRule="auto"/>
              <w:ind w:left="0" w:right="1" w:firstLine="0"/>
            </w:pPr>
            <w:r>
              <w:t xml:space="preserve">Access to outdoor spaces Diet unchanged </w:t>
            </w:r>
          </w:p>
          <w:p w:rsidR="00353D8D" w:rsidRDefault="006667A9">
            <w:pPr>
              <w:spacing w:after="0" w:line="259" w:lineRule="auto"/>
              <w:ind w:left="0" w:firstLine="0"/>
            </w:pPr>
            <w:r>
              <w:t xml:space="preserve"> </w:t>
            </w:r>
          </w:p>
        </w:tc>
        <w:tc>
          <w:tcPr>
            <w:tcW w:w="468" w:type="dxa"/>
            <w:tcBorders>
              <w:top w:val="single" w:sz="4" w:space="0" w:color="000000"/>
              <w:left w:val="single" w:sz="4" w:space="0" w:color="000000"/>
              <w:bottom w:val="single" w:sz="4" w:space="0" w:color="000000"/>
              <w:right w:val="nil"/>
            </w:tcBorders>
          </w:tcPr>
          <w:p w:rsidR="00353D8D" w:rsidRDefault="006667A9">
            <w:pPr>
              <w:spacing w:after="948"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53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643" w:line="259" w:lineRule="auto"/>
              <w:ind w:left="108" w:firstLine="0"/>
            </w:pPr>
            <w:r>
              <w:rPr>
                <w:rFonts w:ascii="Segoe UI Symbol" w:eastAsia="Segoe UI Symbol" w:hAnsi="Segoe UI Symbol" w:cs="Segoe UI Symbol"/>
              </w:rPr>
              <w:t>•</w:t>
            </w:r>
            <w:r>
              <w:rPr>
                <w:rFonts w:ascii="Arial" w:eastAsia="Arial" w:hAnsi="Arial" w:cs="Arial"/>
              </w:rPr>
              <w:t xml:space="preserve"> </w:t>
            </w:r>
          </w:p>
          <w:p w:rsidR="00353D8D" w:rsidRDefault="006667A9">
            <w:pPr>
              <w:spacing w:after="112" w:line="259" w:lineRule="auto"/>
              <w:ind w:left="108" w:firstLine="0"/>
            </w:pPr>
            <w:r>
              <w:t xml:space="preserve"> </w:t>
            </w:r>
          </w:p>
          <w:p w:rsidR="00353D8D" w:rsidRDefault="006667A9">
            <w:pPr>
              <w:spacing w:after="0" w:line="259" w:lineRule="auto"/>
              <w:ind w:left="108" w:firstLine="0"/>
            </w:pPr>
            <w:r>
              <w:t xml:space="preserve"> </w:t>
            </w:r>
          </w:p>
        </w:tc>
        <w:tc>
          <w:tcPr>
            <w:tcW w:w="1774" w:type="dxa"/>
            <w:tcBorders>
              <w:top w:val="single" w:sz="4" w:space="0" w:color="000000"/>
              <w:left w:val="nil"/>
              <w:bottom w:val="single" w:sz="4" w:space="0" w:color="000000"/>
              <w:right w:val="single" w:sz="4" w:space="0" w:color="000000"/>
            </w:tcBorders>
          </w:tcPr>
          <w:p w:rsidR="00353D8D" w:rsidRDefault="006667A9">
            <w:pPr>
              <w:spacing w:after="0" w:line="259" w:lineRule="auto"/>
              <w:ind w:left="0" w:right="367" w:firstLine="0"/>
            </w:pPr>
            <w:r>
              <w:t xml:space="preserve">No additional mental health concerns No financial changes Similar work patterns </w:t>
            </w:r>
          </w:p>
        </w:tc>
      </w:tr>
    </w:tbl>
    <w:p w:rsidR="00353D8D" w:rsidRDefault="006667A9">
      <w:pPr>
        <w:spacing w:after="112" w:line="259" w:lineRule="auto"/>
        <w:ind w:left="0" w:firstLine="0"/>
      </w:pPr>
      <w:r>
        <w:t xml:space="preserve"> </w:t>
      </w:r>
    </w:p>
    <w:p w:rsidR="00353D8D" w:rsidRDefault="006667A9">
      <w:pPr>
        <w:spacing w:after="252" w:line="259" w:lineRule="auto"/>
        <w:ind w:left="0" w:firstLine="0"/>
      </w:pPr>
      <w:r>
        <w:rPr>
          <w:b/>
        </w:rPr>
        <w:t xml:space="preserve"> </w:t>
      </w:r>
    </w:p>
    <w:p w:rsidR="00353D8D" w:rsidRDefault="006667A9">
      <w:pPr>
        <w:pStyle w:val="Heading1"/>
        <w:ind w:left="-5"/>
      </w:pPr>
      <w:r>
        <w:lastRenderedPageBreak/>
        <w:t xml:space="preserve">Discussion </w:t>
      </w:r>
    </w:p>
    <w:p w:rsidR="00353D8D" w:rsidRDefault="006667A9">
      <w:pPr>
        <w:ind w:left="-5" w:right="159"/>
      </w:pPr>
      <w:r>
        <w:t xml:space="preserve">This survey, </w:t>
      </w:r>
      <w:r>
        <w:t xml:space="preserve">completed by 3103 individuals from 48 countries, provides insights regarding tinnitus experiences during the COVID-19 pandemic. Being diagnosed with COVID-19 did not </w:t>
      </w:r>
      <w:proofErr w:type="gramStart"/>
      <w:r>
        <w:t>impact</w:t>
      </w:r>
      <w:proofErr w:type="gramEnd"/>
      <w:r>
        <w:t xml:space="preserve"> upon tinnitus for 57% and exacerbated it for 42% of participants/responders. For so</w:t>
      </w:r>
      <w:r>
        <w:t xml:space="preserve">me, focusing on surviving the virus helped reframe problems and push tinnitus into the background of their thoughts. Having COVID-19 was </w:t>
      </w:r>
      <w:proofErr w:type="spellStart"/>
      <w:r>
        <w:t>antidotally</w:t>
      </w:r>
      <w:proofErr w:type="spellEnd"/>
      <w:r>
        <w:t xml:space="preserve"> reported to initiate tinnitus (</w:t>
      </w:r>
      <w:r>
        <w:rPr>
          <w:i/>
        </w:rPr>
        <w:t>n</w:t>
      </w:r>
      <w:r>
        <w:t xml:space="preserve"> = 7) and hearing loss (</w:t>
      </w:r>
      <w:r>
        <w:rPr>
          <w:i/>
        </w:rPr>
        <w:t>n</w:t>
      </w:r>
      <w:r>
        <w:t xml:space="preserve"> =3). Tracking and managing hearing-related change</w:t>
      </w:r>
      <w:r>
        <w:t>s due to having the COVID-19 will be important as clinical services resume (Cui, et al., 2020). A rapid systematic review indicated only a few reports of audio-vestibular symptoms in confirmed COVID-19 cases but emphasized the need for understanding the lo</w:t>
      </w:r>
      <w:r>
        <w:t>nger-term risks (</w:t>
      </w:r>
      <w:proofErr w:type="spellStart"/>
      <w:r>
        <w:t>Almufarrij</w:t>
      </w:r>
      <w:proofErr w:type="spellEnd"/>
      <w:r>
        <w:t xml:space="preserve">, </w:t>
      </w:r>
      <w:proofErr w:type="spellStart"/>
      <w:r>
        <w:t>Uus</w:t>
      </w:r>
      <w:proofErr w:type="spellEnd"/>
      <w:r>
        <w:t xml:space="preserve">, &amp; Munro, 2020). A change in hearing status </w:t>
      </w:r>
      <w:proofErr w:type="gramStart"/>
      <w:r>
        <w:t>has been reported</w:t>
      </w:r>
      <w:proofErr w:type="gramEnd"/>
      <w:r>
        <w:t xml:space="preserve"> by 1 in 10 </w:t>
      </w:r>
    </w:p>
    <w:p w:rsidR="00353D8D" w:rsidRDefault="006667A9">
      <w:pPr>
        <w:ind w:left="-5" w:right="159"/>
      </w:pPr>
      <w:r>
        <w:t xml:space="preserve">COVID-19 adults after discharge from one hospital in Manchester in the UK (Munro, </w:t>
      </w:r>
      <w:proofErr w:type="spellStart"/>
      <w:r>
        <w:t>Uus</w:t>
      </w:r>
      <w:proofErr w:type="spellEnd"/>
      <w:r>
        <w:t xml:space="preserve">, </w:t>
      </w:r>
      <w:proofErr w:type="spellStart"/>
      <w:r>
        <w:t>Almufarrij</w:t>
      </w:r>
      <w:proofErr w:type="spellEnd"/>
      <w:r>
        <w:t xml:space="preserve">, Chaudhuri, &amp; </w:t>
      </w:r>
      <w:proofErr w:type="spellStart"/>
      <w:r>
        <w:t>Yioe</w:t>
      </w:r>
      <w:proofErr w:type="spellEnd"/>
      <w:r>
        <w:t>, 2020) highlighting the need for</w:t>
      </w:r>
      <w:r>
        <w:t xml:space="preserve"> further monitoring. This is particularly important for those who </w:t>
      </w:r>
      <w:proofErr w:type="gramStart"/>
      <w:r>
        <w:t>may have been treated</w:t>
      </w:r>
      <w:proofErr w:type="gramEnd"/>
      <w:r>
        <w:t xml:space="preserve"> with ototoxic medications (</w:t>
      </w:r>
      <w:proofErr w:type="spellStart"/>
      <w:r>
        <w:t>Ciorba</w:t>
      </w:r>
      <w:proofErr w:type="spellEnd"/>
      <w:r>
        <w:t xml:space="preserve">, et al., 2020). </w:t>
      </w:r>
    </w:p>
    <w:p w:rsidR="00353D8D" w:rsidRDefault="006667A9">
      <w:pPr>
        <w:spacing w:after="252" w:line="259" w:lineRule="auto"/>
        <w:ind w:left="0" w:firstLine="0"/>
      </w:pPr>
      <w:r>
        <w:t xml:space="preserve"> </w:t>
      </w:r>
    </w:p>
    <w:p w:rsidR="00353D8D" w:rsidRDefault="006667A9">
      <w:pPr>
        <w:ind w:left="-5" w:right="159"/>
      </w:pPr>
      <w:r>
        <w:t xml:space="preserve">Overall tinnitus </w:t>
      </w:r>
      <w:proofErr w:type="gramStart"/>
      <w:r>
        <w:t>was rated</w:t>
      </w:r>
      <w:proofErr w:type="gramEnd"/>
      <w:r>
        <w:t xml:space="preserve"> as more bothersome during the pandemic than before. An increase in the number of individ</w:t>
      </w:r>
      <w:r>
        <w:t>uals complaining of the revival of intense tinnitus since access to their clinics were reinstated post lockdown has also been reported in Italy (</w:t>
      </w:r>
      <w:proofErr w:type="spellStart"/>
      <w:r>
        <w:t>Anzivino</w:t>
      </w:r>
      <w:proofErr w:type="spellEnd"/>
      <w:r>
        <w:t xml:space="preserve">, </w:t>
      </w:r>
      <w:proofErr w:type="spellStart"/>
      <w:r>
        <w:t>Sciancalepore</w:t>
      </w:r>
      <w:proofErr w:type="spellEnd"/>
      <w:r>
        <w:t xml:space="preserve">, </w:t>
      </w:r>
      <w:proofErr w:type="spellStart"/>
      <w:r>
        <w:t>Petrone</w:t>
      </w:r>
      <w:proofErr w:type="spellEnd"/>
      <w:r>
        <w:t xml:space="preserve">, </w:t>
      </w:r>
      <w:proofErr w:type="spellStart"/>
      <w:r>
        <w:t>D'Ella</w:t>
      </w:r>
      <w:proofErr w:type="spellEnd"/>
      <w:r>
        <w:t xml:space="preserve">, &amp; </w:t>
      </w:r>
      <w:proofErr w:type="spellStart"/>
      <w:r>
        <w:t>Quaranta</w:t>
      </w:r>
      <w:proofErr w:type="spellEnd"/>
      <w:r>
        <w:t>, 2020). Those who were female and younger were more likely</w:t>
      </w:r>
      <w:r>
        <w:t xml:space="preserve"> to find tinnitus more bothersome. From the explanations provided it appears this may be partly attributed to greater lifestyle changes in these groups during the pandemic, such as changes in employment, increased </w:t>
      </w:r>
      <w:proofErr w:type="gramStart"/>
      <w:r>
        <w:t>childcare,</w:t>
      </w:r>
      <w:proofErr w:type="gramEnd"/>
      <w:r>
        <w:t xml:space="preserve"> and household responsibilities.</w:t>
      </w:r>
      <w:r>
        <w:t xml:space="preserve"> A study involving tinnitus patients attending a clinic in Germany found that COVID-19 brought increased grief, frustration, stress, and nervousness, although there was only a small increase </w:t>
      </w:r>
      <w:r>
        <w:lastRenderedPageBreak/>
        <w:t>in tinnitus distress compared with two years prior to lockdown. T</w:t>
      </w:r>
      <w:r>
        <w:t>innitus distress was worst for those with high neuroticism, indicating that both external and internal factors contribute to tinnitus distress (</w:t>
      </w:r>
      <w:proofErr w:type="spellStart"/>
      <w:r>
        <w:t>Schlee</w:t>
      </w:r>
      <w:proofErr w:type="spellEnd"/>
      <w:r>
        <w:t xml:space="preserve"> et al., 2020). </w:t>
      </w:r>
    </w:p>
    <w:p w:rsidR="00353D8D" w:rsidRDefault="006667A9">
      <w:pPr>
        <w:spacing w:after="0" w:line="259" w:lineRule="auto"/>
        <w:ind w:left="0" w:firstLine="0"/>
      </w:pPr>
      <w:r>
        <w:t xml:space="preserve"> </w:t>
      </w:r>
    </w:p>
    <w:p w:rsidR="00353D8D" w:rsidRDefault="006667A9">
      <w:pPr>
        <w:ind w:left="-5" w:right="159"/>
      </w:pPr>
      <w:r>
        <w:t>Lifestyle changes imposed by the pandemic appeared to be one of the factors making tinn</w:t>
      </w:r>
      <w:r>
        <w:t xml:space="preserve">itus worse, as reported by a third of the respondents and conversely the greatest factor in improving tinnitus for a small minority. The same experience such as </w:t>
      </w:r>
      <w:proofErr w:type="gramStart"/>
      <w:r>
        <w:t>home-working</w:t>
      </w:r>
      <w:proofErr w:type="gramEnd"/>
      <w:r>
        <w:t>, for some worsened tinnitus, and for others, improved tinnitus, highlighting the h</w:t>
      </w:r>
      <w:r>
        <w:t>eterogeneous nature of tinnitus experiences. Being away from all the noise associated with crowded places lowered tinnitus levels for some respondents, whereas due to it being quieter working from home, many found their tinnitus was more bothersome. Tinnit</w:t>
      </w:r>
      <w:r>
        <w:t xml:space="preserve">us is often reported to be more noticeable in quiet and has led to tinnitus treatments often using some form of background noise to help prevent the starkness of the tinnitus </w:t>
      </w:r>
      <w:proofErr w:type="gramStart"/>
      <w:r>
        <w:t>percept  (</w:t>
      </w:r>
      <w:proofErr w:type="spellStart"/>
      <w:proofErr w:type="gramEnd"/>
      <w:r>
        <w:t>Zenner</w:t>
      </w:r>
      <w:proofErr w:type="spellEnd"/>
      <w:r>
        <w:t>, et al., 2017). Others reported that homeworking exposed them to</w:t>
      </w:r>
      <w:r>
        <w:t xml:space="preserve"> more noise than usual from </w:t>
      </w:r>
      <w:proofErr w:type="spellStart"/>
      <w:r>
        <w:t>neighbors</w:t>
      </w:r>
      <w:proofErr w:type="spellEnd"/>
      <w:r>
        <w:t xml:space="preserve">, electrical tools, and children, which escalated tinnitus. Those with tinnitus often report trying to avoid noisy situations (Beukes et al., 2018).  </w:t>
      </w:r>
    </w:p>
    <w:p w:rsidR="00353D8D" w:rsidRDefault="006667A9">
      <w:pPr>
        <w:spacing w:after="252" w:line="259" w:lineRule="auto"/>
        <w:ind w:left="0" w:firstLine="0"/>
      </w:pPr>
      <w:r>
        <w:t xml:space="preserve"> </w:t>
      </w:r>
    </w:p>
    <w:p w:rsidR="00353D8D" w:rsidRDefault="006667A9">
      <w:pPr>
        <w:ind w:left="-5" w:right="159"/>
      </w:pPr>
      <w:r>
        <w:t>Diverting attention by focusing on other activities and being phys</w:t>
      </w:r>
      <w:r>
        <w:t xml:space="preserve">ically </w:t>
      </w:r>
      <w:proofErr w:type="gramStart"/>
      <w:r>
        <w:t>active,</w:t>
      </w:r>
      <w:proofErr w:type="gramEnd"/>
      <w:r>
        <w:t xml:space="preserve"> is a common strategy used to cope with tinnitus (Beukes et al., 2018). Thus, not </w:t>
      </w:r>
      <w:proofErr w:type="gramStart"/>
      <w:r>
        <w:t>being distracted</w:t>
      </w:r>
      <w:proofErr w:type="gramEnd"/>
      <w:r>
        <w:t xml:space="preserve"> by these activities due to the lockdown restrictions was found to exacerbate tinnitus. Being too busy, however, resulted in more stress and les</w:t>
      </w:r>
      <w:r>
        <w:t xml:space="preserve">s sleep, which appeared to aggravate tinnitus. The majority of respondents reported lower sleep quality, more trouble sleeping, waking up more during the night, and </w:t>
      </w:r>
      <w:proofErr w:type="gramStart"/>
      <w:r>
        <w:t>being less rested</w:t>
      </w:r>
      <w:proofErr w:type="gramEnd"/>
      <w:r>
        <w:t>, which was significantly associated with tinnitus being worse, whereas 6%</w:t>
      </w:r>
      <w:r>
        <w:t xml:space="preserve"> reported better sleep due to having more time to relax. Tinnitus related distress </w:t>
      </w:r>
      <w:proofErr w:type="gramStart"/>
      <w:r>
        <w:t>has also previously been related</w:t>
      </w:r>
      <w:proofErr w:type="gramEnd"/>
      <w:r>
        <w:t xml:space="preserve"> to insomnia (</w:t>
      </w:r>
      <w:proofErr w:type="spellStart"/>
      <w:r>
        <w:t>Crönlein</w:t>
      </w:r>
      <w:proofErr w:type="spellEnd"/>
      <w:r>
        <w:t xml:space="preserve">, et al., 2016). Some </w:t>
      </w:r>
      <w:r>
        <w:lastRenderedPageBreak/>
        <w:t>respondents reported having a more relaxed and peaceful lifestyle that made their tinnitus less n</w:t>
      </w:r>
      <w:r>
        <w:t xml:space="preserve">oticeable. This highlights the importance of relaxation techniques and mindfulness training during the provision of tinnitus therapies (Marks, McKenna, </w:t>
      </w:r>
      <w:proofErr w:type="spellStart"/>
      <w:r>
        <w:t>Hallsworth</w:t>
      </w:r>
      <w:proofErr w:type="spellEnd"/>
      <w:r>
        <w:t xml:space="preserve">, &amp; </w:t>
      </w:r>
      <w:proofErr w:type="spellStart"/>
      <w:r>
        <w:t>Schaette</w:t>
      </w:r>
      <w:proofErr w:type="spellEnd"/>
      <w:r>
        <w:t xml:space="preserve">, 2017). Similar to the present survey, it </w:t>
      </w:r>
      <w:proofErr w:type="gramStart"/>
      <w:r>
        <w:t>has previously been reported</w:t>
      </w:r>
      <w:proofErr w:type="gramEnd"/>
      <w:r>
        <w:t xml:space="preserve"> that tinni</w:t>
      </w:r>
      <w:r>
        <w:t xml:space="preserve">tus is worse in both quiet and noisy situations when stressed, and due to lack of sleep (Pan, Tyler, Ji, Coelho, &amp; </w:t>
      </w:r>
      <w:proofErr w:type="spellStart"/>
      <w:r>
        <w:t>Gogel</w:t>
      </w:r>
      <w:proofErr w:type="spellEnd"/>
      <w:r>
        <w:t xml:space="preserve">, 2015). Tinnitus was significantly worse for those with less healthy diets. Drinking more coffee, alcohol, and taking more supplements </w:t>
      </w:r>
      <w:r>
        <w:t xml:space="preserve">to build immunity were reported to negatively </w:t>
      </w:r>
      <w:proofErr w:type="gramStart"/>
      <w:r>
        <w:t>impact</w:t>
      </w:r>
      <w:proofErr w:type="gramEnd"/>
      <w:r>
        <w:t xml:space="preserve"> tinnitus for some respondents. Although no clear relationship exists, previous studies have also noted that caffeine may exacerbate tinnitus (Pan, Tyler, Ji, Coelho, </w:t>
      </w:r>
    </w:p>
    <w:p w:rsidR="00353D8D" w:rsidRDefault="006667A9">
      <w:pPr>
        <w:ind w:left="-5" w:right="159"/>
      </w:pPr>
      <w:r>
        <w:t xml:space="preserve">&amp; </w:t>
      </w:r>
      <w:proofErr w:type="spellStart"/>
      <w:r>
        <w:t>Gogel</w:t>
      </w:r>
      <w:proofErr w:type="spellEnd"/>
      <w:r>
        <w:t>, 2015). Diversity in the fac</w:t>
      </w:r>
      <w:r>
        <w:t xml:space="preserve">tors found to improve or worsen tinnitus across respondents, amplify the difficulty in attempting to subtype tinnitus (Beukes, </w:t>
      </w:r>
      <w:proofErr w:type="spellStart"/>
      <w:r>
        <w:t>Manchaiah</w:t>
      </w:r>
      <w:proofErr w:type="spellEnd"/>
      <w:r>
        <w:t xml:space="preserve">, Allen, </w:t>
      </w:r>
      <w:proofErr w:type="spellStart"/>
      <w:r>
        <w:t>Andersson</w:t>
      </w:r>
      <w:proofErr w:type="spellEnd"/>
      <w:r>
        <w:t xml:space="preserve">, &amp; </w:t>
      </w:r>
      <w:proofErr w:type="spellStart"/>
      <w:r>
        <w:t>Baguley</w:t>
      </w:r>
      <w:proofErr w:type="spellEnd"/>
      <w:r>
        <w:t xml:space="preserve">, 2020).  </w:t>
      </w:r>
    </w:p>
    <w:p w:rsidR="00353D8D" w:rsidRDefault="006667A9">
      <w:pPr>
        <w:spacing w:after="252" w:line="259" w:lineRule="auto"/>
        <w:ind w:left="0" w:firstLine="0"/>
      </w:pPr>
      <w:r>
        <w:t xml:space="preserve"> </w:t>
      </w:r>
    </w:p>
    <w:p w:rsidR="00353D8D" w:rsidRDefault="006667A9">
      <w:pPr>
        <w:ind w:left="-5" w:right="159"/>
      </w:pPr>
      <w:r>
        <w:t xml:space="preserve">Increased levels of anxiety, depression, </w:t>
      </w:r>
      <w:r>
        <w:t xml:space="preserve">and irritability </w:t>
      </w:r>
      <w:proofErr w:type="gramStart"/>
      <w:r>
        <w:t>were reported</w:t>
      </w:r>
      <w:proofErr w:type="gramEnd"/>
      <w:r>
        <w:t>. These emotional factors are associated with exacerbated tinnitus annoyance (</w:t>
      </w:r>
      <w:proofErr w:type="spellStart"/>
      <w:r>
        <w:t>Mazurek</w:t>
      </w:r>
      <w:proofErr w:type="spellEnd"/>
      <w:r>
        <w:t xml:space="preserve">, </w:t>
      </w:r>
      <w:proofErr w:type="spellStart"/>
      <w:r>
        <w:t>Boecking</w:t>
      </w:r>
      <w:proofErr w:type="spellEnd"/>
      <w:r>
        <w:t xml:space="preserve">, &amp; </w:t>
      </w:r>
      <w:proofErr w:type="spellStart"/>
      <w:r>
        <w:t>Brueggemann</w:t>
      </w:r>
      <w:proofErr w:type="spellEnd"/>
      <w:r>
        <w:t xml:space="preserve">, 2019). Different worries and frustrations exacerbated </w:t>
      </w:r>
      <w:proofErr w:type="gramStart"/>
      <w:r>
        <w:t>these</w:t>
      </w:r>
      <w:proofErr w:type="gramEnd"/>
      <w:r>
        <w:t xml:space="preserve"> negative feelings including more relationship problems</w:t>
      </w:r>
      <w:r>
        <w:t xml:space="preserve"> due to being confined, worrying about food supply, and concerns regarding contracting the virus. Financial worries also made tinnitus significantly worse, due to </w:t>
      </w:r>
      <w:proofErr w:type="gramStart"/>
      <w:r>
        <w:t>being made</w:t>
      </w:r>
      <w:proofErr w:type="gramEnd"/>
      <w:r>
        <w:t xml:space="preserve"> redundant, being furloughed, and reduced value of investments. These findings mirr</w:t>
      </w:r>
      <w:r>
        <w:t xml:space="preserve">or a recent systematic review regarding the impact of COVD-19 on mental health that indicated lower psychological well-being and higher levels of anxiety and depression in the </w:t>
      </w:r>
      <w:proofErr w:type="gramStart"/>
      <w:r>
        <w:t>general public</w:t>
      </w:r>
      <w:proofErr w:type="gramEnd"/>
      <w:r>
        <w:t xml:space="preserve"> compared to before COVID-19 (</w:t>
      </w:r>
      <w:proofErr w:type="spellStart"/>
      <w:r>
        <w:t>Vindegaard</w:t>
      </w:r>
      <w:proofErr w:type="spellEnd"/>
      <w:r>
        <w:t xml:space="preserve"> &amp; </w:t>
      </w:r>
      <w:proofErr w:type="spellStart"/>
      <w:r>
        <w:t>Benros</w:t>
      </w:r>
      <w:proofErr w:type="spellEnd"/>
      <w:r>
        <w:t>, 2020). This emp</w:t>
      </w:r>
      <w:r>
        <w:t xml:space="preserve">hasizes the support needed for both those experiencing tinnitus and the general population to reduce anxiety and depression and improve well-being during the pandemic. This support is likely to </w:t>
      </w:r>
      <w:proofErr w:type="gramStart"/>
      <w:r>
        <w:t>be needed</w:t>
      </w:r>
      <w:proofErr w:type="gramEnd"/>
      <w:r>
        <w:t xml:space="preserve"> after the pandemic as well, due to the likely contin</w:t>
      </w:r>
      <w:r>
        <w:t xml:space="preserve">ued </w:t>
      </w:r>
      <w:r>
        <w:lastRenderedPageBreak/>
        <w:t xml:space="preserve">financial difficulties and impact on many aspects of society. A common theme was that concerns regarding contracting the virus made tinnitus worse. These concerns could trigger additional fear-avoidance </w:t>
      </w:r>
      <w:proofErr w:type="spellStart"/>
      <w:r>
        <w:t>behaviors</w:t>
      </w:r>
      <w:proofErr w:type="spellEnd"/>
      <w:r>
        <w:t xml:space="preserve"> (</w:t>
      </w:r>
      <w:proofErr w:type="spellStart"/>
      <w:r>
        <w:t>Kleinstãuber</w:t>
      </w:r>
      <w:proofErr w:type="spellEnd"/>
      <w:r>
        <w:t>, et al., 2013), where res</w:t>
      </w:r>
      <w:r>
        <w:t xml:space="preserve">pondents rigorously followed social distancing advice or self-isolated, to avoid risks of contracting COVID-19, despite a desire for more social interactions. This </w:t>
      </w:r>
      <w:proofErr w:type="gramStart"/>
      <w:r>
        <w:t>may have, however, let</w:t>
      </w:r>
      <w:proofErr w:type="gramEnd"/>
      <w:r>
        <w:t xml:space="preserve"> them have fewer social interactions and feel lonelier, which was asso</w:t>
      </w:r>
      <w:r>
        <w:t xml:space="preserve">ciated with tinnitus being significantly worse. This aligns with previous literature indicating that self-isolation results in negative psychological effects (Brooks, et al., 2020) and poorer mental health outcomes (Leigh-Hunt, et al., 2017).  When social </w:t>
      </w:r>
      <w:r>
        <w:t xml:space="preserve">interactions were possible, having to stand further away and follow the conversation while people were wearing a mask </w:t>
      </w:r>
      <w:proofErr w:type="gramStart"/>
      <w:r>
        <w:t>was reported</w:t>
      </w:r>
      <w:proofErr w:type="gramEnd"/>
      <w:r>
        <w:t xml:space="preserve"> to make conversing more difficult.  </w:t>
      </w:r>
    </w:p>
    <w:p w:rsidR="00353D8D" w:rsidRDefault="006667A9">
      <w:pPr>
        <w:spacing w:after="252" w:line="259" w:lineRule="auto"/>
        <w:ind w:left="0" w:firstLine="0"/>
      </w:pPr>
      <w:r>
        <w:t xml:space="preserve"> </w:t>
      </w:r>
    </w:p>
    <w:p w:rsidR="00353D8D" w:rsidRDefault="006667A9">
      <w:pPr>
        <w:ind w:left="-5" w:right="159"/>
      </w:pPr>
      <w:r>
        <w:t>Around half of the respondents reported occupational changes due to the pandemic.  Hav</w:t>
      </w:r>
      <w:r>
        <w:t xml:space="preserve">ing to wear headphones and participate in video conferencing calls </w:t>
      </w:r>
      <w:proofErr w:type="gramStart"/>
      <w:r>
        <w:t>was often mentioned</w:t>
      </w:r>
      <w:proofErr w:type="gramEnd"/>
      <w:r>
        <w:t xml:space="preserve"> to negatively impact on tinnitus. Neck strain from working on computers all day long had an additional negative impact. For others, juggling </w:t>
      </w:r>
      <w:proofErr w:type="spellStart"/>
      <w:r>
        <w:t>homeschooling</w:t>
      </w:r>
      <w:proofErr w:type="spellEnd"/>
      <w:r>
        <w:t>, work, and mor</w:t>
      </w:r>
      <w:r>
        <w:t xml:space="preserve">e household tasks resulted in more stress and little relaxation time. For some, homeworking meant not commuting and having more time to relax which positively </w:t>
      </w:r>
      <w:proofErr w:type="gramStart"/>
      <w:r>
        <w:t>impacted</w:t>
      </w:r>
      <w:proofErr w:type="gramEnd"/>
      <w:r>
        <w:t xml:space="preserve"> tinnitus.  </w:t>
      </w:r>
    </w:p>
    <w:p w:rsidR="00353D8D" w:rsidRDefault="006667A9">
      <w:pPr>
        <w:spacing w:after="252" w:line="259" w:lineRule="auto"/>
        <w:ind w:left="0" w:firstLine="0"/>
      </w:pPr>
      <w:r>
        <w:t xml:space="preserve"> </w:t>
      </w:r>
    </w:p>
    <w:p w:rsidR="00353D8D" w:rsidRDefault="006667A9">
      <w:pPr>
        <w:ind w:left="-5" w:right="159"/>
      </w:pPr>
      <w:r>
        <w:t>This survey has highlighted how emotional state, health concerns, social c</w:t>
      </w:r>
      <w:r>
        <w:t>ontact, and lifestyle contribute to tinnitus distress. The relationship between tinnitus and these internal and external factors is complex. Interestingly, respondents living in the UK were most likely to report how the pandemic negatively affected their t</w:t>
      </w:r>
      <w:r>
        <w:t xml:space="preserve">innitus, which </w:t>
      </w:r>
      <w:proofErr w:type="gramStart"/>
      <w:r>
        <w:t>may be linked</w:t>
      </w:r>
      <w:proofErr w:type="gramEnd"/>
      <w:r>
        <w:t xml:space="preserve"> to the rapid spread of the virus and the high death rate in the UK during the time of the survey. The knowledge of these factors is of value during the clinical management of those with tinnitus </w:t>
      </w:r>
      <w:r>
        <w:lastRenderedPageBreak/>
        <w:t xml:space="preserve">and special attention </w:t>
      </w:r>
      <w:proofErr w:type="gramStart"/>
      <w:r>
        <w:t xml:space="preserve">should be </w:t>
      </w:r>
      <w:r>
        <w:t>placed</w:t>
      </w:r>
      <w:proofErr w:type="gramEnd"/>
      <w:r>
        <w:t xml:space="preserve"> to fully explore health, social, occupational, and emotional factors that may contribute to tinnitus severity. </w:t>
      </w:r>
    </w:p>
    <w:p w:rsidR="00353D8D" w:rsidRDefault="006667A9">
      <w:pPr>
        <w:spacing w:after="252" w:line="259" w:lineRule="auto"/>
        <w:ind w:left="0" w:firstLine="0"/>
      </w:pPr>
      <w:r>
        <w:t xml:space="preserve"> </w:t>
      </w:r>
    </w:p>
    <w:p w:rsidR="00353D8D" w:rsidRDefault="006667A9">
      <w:pPr>
        <w:pStyle w:val="Heading1"/>
        <w:ind w:left="-5"/>
      </w:pPr>
      <w:r>
        <w:t xml:space="preserve">Limitations and future studies </w:t>
      </w:r>
    </w:p>
    <w:p w:rsidR="00353D8D" w:rsidRDefault="006667A9">
      <w:pPr>
        <w:ind w:left="-5" w:right="159"/>
      </w:pPr>
      <w:r>
        <w:t>Although this study attempted to capture a range of views regarding the impact of the COVID-19 pandemic</w:t>
      </w:r>
      <w:r>
        <w:t xml:space="preserve"> on tinnitus experiences </w:t>
      </w:r>
      <w:proofErr w:type="gramStart"/>
      <w:r>
        <w:t>world-wide</w:t>
      </w:r>
      <w:proofErr w:type="gramEnd"/>
      <w:r>
        <w:t>, it is not fully representative. Most responses were from the USA and Europe. Furthermore, not all ethnic minority groups are represented as white ethnic representation dominate this survey, although similar ethnic domin</w:t>
      </w:r>
      <w:r>
        <w:t xml:space="preserve">ance has previously been found from other surveys (e.g. </w:t>
      </w:r>
      <w:proofErr w:type="spellStart"/>
      <w:r>
        <w:t>Shargorodsky</w:t>
      </w:r>
      <w:proofErr w:type="spellEnd"/>
      <w:r>
        <w:t xml:space="preserve">, </w:t>
      </w:r>
      <w:proofErr w:type="spellStart"/>
      <w:r>
        <w:t>Curhan</w:t>
      </w:r>
      <w:proofErr w:type="spellEnd"/>
      <w:r>
        <w:t xml:space="preserve">, &amp; Farwell, 2010). A further drawback is that it was not possible to use a psychometrically validated questionnaire for this survey due to the time sensitive nature of the study. </w:t>
      </w:r>
      <w:r>
        <w:t xml:space="preserve"> The timescale did also not allow scope to perform both forward and backward translation and fully pilot the translated questionnaires. The study design did not allow for longitudinal comparison as there were no comparative scores (e.g. of tinnitus severit</w:t>
      </w:r>
      <w:r>
        <w:t xml:space="preserve">y) before the pandemic. A further limitation of this study is that there was no clinical evaluation of the respondents. Findings </w:t>
      </w:r>
      <w:proofErr w:type="gramStart"/>
      <w:r>
        <w:t>are based</w:t>
      </w:r>
      <w:proofErr w:type="gramEnd"/>
      <w:r>
        <w:t xml:space="preserve"> only on self-reported survey data without any clinical data. Additionally, standardized self-reported questionnaires </w:t>
      </w:r>
      <w:r>
        <w:t xml:space="preserve">were not included to measure levels of anxiety, depression, hearing loss and </w:t>
      </w:r>
      <w:proofErr w:type="spellStart"/>
      <w:r>
        <w:t>hyperacusis</w:t>
      </w:r>
      <w:proofErr w:type="spellEnd"/>
      <w:r>
        <w:t xml:space="preserve">. Moreover, limited data </w:t>
      </w:r>
      <w:proofErr w:type="gramStart"/>
      <w:r>
        <w:t>were collected</w:t>
      </w:r>
      <w:proofErr w:type="gramEnd"/>
      <w:r>
        <w:t xml:space="preserve"> regarding dimensions of the tinnitus such as its location, type, and number of sounds </w:t>
      </w:r>
      <w:proofErr w:type="spellStart"/>
      <w:r>
        <w:t>heard.The</w:t>
      </w:r>
      <w:proofErr w:type="spellEnd"/>
      <w:r>
        <w:t xml:space="preserve"> cross-sectional design limits ca</w:t>
      </w:r>
      <w:r>
        <w:t>usal relationships, although this was countered by the use of direct quotes to formulated probable paths for causal relationships. This study also did not capture the population who may have developed tinnitus due to COVID-19 or during the pandemic, as tho</w:t>
      </w:r>
      <w:r>
        <w:t xml:space="preserve">se with chronic tinnitus </w:t>
      </w:r>
      <w:proofErr w:type="gramStart"/>
      <w:r>
        <w:t>were targeted</w:t>
      </w:r>
      <w:proofErr w:type="gramEnd"/>
      <w:r>
        <w:t xml:space="preserve">. Furthermore, it </w:t>
      </w:r>
      <w:proofErr w:type="gramStart"/>
      <w:r>
        <w:t>is not presently known</w:t>
      </w:r>
      <w:proofErr w:type="gramEnd"/>
      <w:r>
        <w:t xml:space="preserve"> if the tinnitus would become chronic if it developed after having COVID-19, and therefore should be monitored. However, as there were a few accounts of tinnitus and hearing </w:t>
      </w:r>
      <w:r>
        <w:lastRenderedPageBreak/>
        <w:t>loss</w:t>
      </w:r>
      <w:r>
        <w:t xml:space="preserve"> initiation after contracting the COVID-19, exploring how frequently this happened in those with COVID-19 symptoms </w:t>
      </w:r>
      <w:proofErr w:type="gramStart"/>
      <w:r>
        <w:t>should be investigated</w:t>
      </w:r>
      <w:proofErr w:type="gramEnd"/>
      <w:r>
        <w:t>. Identifying how people with tinnitus are coping during the COVID-19 pandemic and what support is required is importan</w:t>
      </w:r>
      <w:r>
        <w:t xml:space="preserve">t and is currently being investigated. Future studies should focus on whether these effects change over time as the true impact of COVID-19 experienced or as </w:t>
      </w:r>
      <w:proofErr w:type="gramStart"/>
      <w:r>
        <w:t>lockdown</w:t>
      </w:r>
      <w:proofErr w:type="gramEnd"/>
      <w:r>
        <w:t xml:space="preserve"> restrictions are lifted.</w:t>
      </w:r>
      <w:r>
        <w:rPr>
          <w:i/>
        </w:rPr>
        <w:t xml:space="preserve"> </w:t>
      </w:r>
    </w:p>
    <w:p w:rsidR="00353D8D" w:rsidRDefault="006667A9">
      <w:pPr>
        <w:spacing w:after="252" w:line="259" w:lineRule="auto"/>
        <w:ind w:left="0" w:firstLine="0"/>
      </w:pPr>
      <w:r>
        <w:t xml:space="preserve"> </w:t>
      </w:r>
    </w:p>
    <w:p w:rsidR="00353D8D" w:rsidRDefault="006667A9">
      <w:pPr>
        <w:pStyle w:val="Heading1"/>
        <w:ind w:left="-5"/>
      </w:pPr>
      <w:r>
        <w:t xml:space="preserve">Clinical implications </w:t>
      </w:r>
    </w:p>
    <w:p w:rsidR="00353D8D" w:rsidRDefault="006667A9">
      <w:pPr>
        <w:ind w:left="-5" w:right="159"/>
      </w:pPr>
      <w:r>
        <w:t xml:space="preserve">Although the initial impact of the COVID-19 pandemic may be passing, the health, social, and emotional implications are likely to continue for some time. Ways of supporting those experiencing the most profound effects, such as individuals who are socially </w:t>
      </w:r>
      <w:r>
        <w:t xml:space="preserve">isolated, </w:t>
      </w:r>
      <w:proofErr w:type="gramStart"/>
      <w:r>
        <w:t>should be prioritized</w:t>
      </w:r>
      <w:proofErr w:type="gramEnd"/>
      <w:r>
        <w:t xml:space="preserve"> by patient organizations and support services. Although in-person support may be restricted for the foreseeable future for non-essential healthcare concerns, online interventions such as Internet-based cognitive </w:t>
      </w:r>
      <w:proofErr w:type="spellStart"/>
      <w:r>
        <w:t>behavioral</w:t>
      </w:r>
      <w:proofErr w:type="spellEnd"/>
      <w:r>
        <w:t xml:space="preserve"> t</w:t>
      </w:r>
      <w:r>
        <w:t xml:space="preserve">herapy (Beukes, </w:t>
      </w:r>
      <w:proofErr w:type="spellStart"/>
      <w:r>
        <w:t>Andersson</w:t>
      </w:r>
      <w:proofErr w:type="spellEnd"/>
      <w:r>
        <w:t xml:space="preserve">, Allen, </w:t>
      </w:r>
      <w:proofErr w:type="spellStart"/>
      <w:r>
        <w:t>Manchaiah</w:t>
      </w:r>
      <w:proofErr w:type="spellEnd"/>
      <w:r>
        <w:t xml:space="preserve">, &amp; </w:t>
      </w:r>
      <w:proofErr w:type="spellStart"/>
      <w:r>
        <w:t>Baguley</w:t>
      </w:r>
      <w:proofErr w:type="spellEnd"/>
      <w:r>
        <w:t xml:space="preserve">, 2018) or other remote tinnitus interventions could be valuable for those in need. Investment </w:t>
      </w:r>
      <w:proofErr w:type="gramStart"/>
      <w:r>
        <w:t>should be increased</w:t>
      </w:r>
      <w:proofErr w:type="gramEnd"/>
      <w:r>
        <w:t xml:space="preserve"> into such services to provide continuation of tinnitus services. A careful case history</w:t>
      </w:r>
      <w:r>
        <w:t xml:space="preserve"> is required as survivors of COVID-19 treated with certain ototoxic medications such as chloroquine or </w:t>
      </w:r>
      <w:proofErr w:type="spellStart"/>
      <w:r>
        <w:t>hydroxychloroquine</w:t>
      </w:r>
      <w:proofErr w:type="spellEnd"/>
      <w:r>
        <w:t xml:space="preserve"> may be at an increased risk for developing hearing loss, tinnitus, or imbalance (</w:t>
      </w:r>
      <w:proofErr w:type="spellStart"/>
      <w:r>
        <w:t>Prayuenyong</w:t>
      </w:r>
      <w:proofErr w:type="spellEnd"/>
      <w:r>
        <w:t xml:space="preserve">, </w:t>
      </w:r>
      <w:proofErr w:type="spellStart"/>
      <w:r>
        <w:t>Kasbekar</w:t>
      </w:r>
      <w:proofErr w:type="spellEnd"/>
      <w:r>
        <w:t xml:space="preserve">, &amp; </w:t>
      </w:r>
      <w:proofErr w:type="spellStart"/>
      <w:r>
        <w:t>Baguley</w:t>
      </w:r>
      <w:proofErr w:type="spellEnd"/>
      <w:r>
        <w:t>, 2020). Those who ha</w:t>
      </w:r>
      <w:r>
        <w:t xml:space="preserve">ve had COVID-19 </w:t>
      </w:r>
      <w:proofErr w:type="gramStart"/>
      <w:r>
        <w:t>should be monitored</w:t>
      </w:r>
      <w:proofErr w:type="gramEnd"/>
      <w:r>
        <w:t xml:space="preserve"> for changes in hearing-related problems such as initiation or worsening of tinnitus. </w:t>
      </w:r>
      <w:proofErr w:type="gramStart"/>
      <w:r>
        <w:t>There is most likely also a cohort of patients who experienced an onset of tinnitus during this period and who will need access to clin</w:t>
      </w:r>
      <w:r>
        <w:t>ical care for their tinnitus.</w:t>
      </w:r>
      <w:proofErr w:type="gramEnd"/>
      <w:r>
        <w:t xml:space="preserve"> Those who are most socially isolated, lonely, as well as those with poor sleep, are at most risk for tinnitus severity increasing. It highlights the heterogeneity of tinnitus with many people responding well, and others strugg</w:t>
      </w:r>
      <w:r>
        <w:t xml:space="preserve">ling during the pandemic and in need of additional support.  </w:t>
      </w:r>
    </w:p>
    <w:p w:rsidR="00353D8D" w:rsidRDefault="006667A9">
      <w:pPr>
        <w:spacing w:after="252" w:line="259" w:lineRule="auto"/>
        <w:ind w:left="0" w:firstLine="0"/>
      </w:pPr>
      <w:r>
        <w:lastRenderedPageBreak/>
        <w:t xml:space="preserve"> </w:t>
      </w:r>
    </w:p>
    <w:p w:rsidR="00353D8D" w:rsidRDefault="006667A9">
      <w:pPr>
        <w:pStyle w:val="Heading1"/>
        <w:ind w:left="-5"/>
      </w:pPr>
      <w:r>
        <w:t xml:space="preserve">Acknowledgments </w:t>
      </w:r>
    </w:p>
    <w:p w:rsidR="00353D8D" w:rsidRDefault="006667A9">
      <w:pPr>
        <w:ind w:left="-5" w:right="159"/>
      </w:pPr>
      <w:r>
        <w:t xml:space="preserve">We would like to thank the British Tinnitus Association for covering the costs of this open access of this publication. Appreciation </w:t>
      </w:r>
      <w:proofErr w:type="gramStart"/>
      <w:r>
        <w:t>goes to those involved helping</w:t>
      </w:r>
      <w:proofErr w:type="gramEnd"/>
      <w:r>
        <w:t xml:space="preserve"> with the tr</w:t>
      </w:r>
      <w:r>
        <w:t xml:space="preserve">anslations including </w:t>
      </w:r>
      <w:proofErr w:type="spellStart"/>
      <w:r>
        <w:t>Dorte</w:t>
      </w:r>
      <w:proofErr w:type="spellEnd"/>
      <w:r>
        <w:t xml:space="preserve"> Dye, Flavia Bueno, </w:t>
      </w:r>
      <w:proofErr w:type="spellStart"/>
      <w:r>
        <w:t>Vendela</w:t>
      </w:r>
      <w:proofErr w:type="spellEnd"/>
      <w:r>
        <w:t xml:space="preserve"> </w:t>
      </w:r>
      <w:proofErr w:type="spellStart"/>
      <w:r>
        <w:t>Cyrén</w:t>
      </w:r>
      <w:proofErr w:type="spellEnd"/>
      <w:r>
        <w:t>, and Joao Guerra. Many thanks to the individuals who helped review and pilot the survey including James Jackson and the Cambridge Tinnitus Support Group. Thank you also to the individuals who help</w:t>
      </w:r>
      <w:r>
        <w:t xml:space="preserve">ed distribute the survey including </w:t>
      </w:r>
      <w:proofErr w:type="spellStart"/>
      <w:r>
        <w:t>Roulla</w:t>
      </w:r>
      <w:proofErr w:type="spellEnd"/>
      <w:r>
        <w:t xml:space="preserve"> </w:t>
      </w:r>
      <w:proofErr w:type="spellStart"/>
      <w:r>
        <w:t>Kaitri</w:t>
      </w:r>
      <w:proofErr w:type="spellEnd"/>
      <w:r>
        <w:t xml:space="preserve">, </w:t>
      </w:r>
      <w:proofErr w:type="spellStart"/>
      <w:r>
        <w:t>Saima</w:t>
      </w:r>
      <w:proofErr w:type="spellEnd"/>
      <w:r>
        <w:t xml:space="preserve"> </w:t>
      </w:r>
      <w:proofErr w:type="spellStart"/>
      <w:r>
        <w:t>Rajasingam</w:t>
      </w:r>
      <w:proofErr w:type="spellEnd"/>
      <w:r>
        <w:t xml:space="preserve">, </w:t>
      </w:r>
      <w:proofErr w:type="spellStart"/>
      <w:r>
        <w:t>Fabrice</w:t>
      </w:r>
      <w:proofErr w:type="spellEnd"/>
      <w:r>
        <w:t xml:space="preserve"> </w:t>
      </w:r>
      <w:proofErr w:type="spellStart"/>
      <w:r>
        <w:t>Bardy</w:t>
      </w:r>
      <w:proofErr w:type="spellEnd"/>
      <w:r>
        <w:t xml:space="preserve">, and Winifred </w:t>
      </w:r>
      <w:proofErr w:type="spellStart"/>
      <w:r>
        <w:t>Schlee</w:t>
      </w:r>
      <w:proofErr w:type="spellEnd"/>
      <w:r>
        <w:t>. Our thanks are extended to the networks and patient organizations that distributed the survey including the British Tinnitus Association, The American T</w:t>
      </w:r>
      <w:r>
        <w:t xml:space="preserve">innitus Association, </w:t>
      </w:r>
      <w:proofErr w:type="gramStart"/>
      <w:r>
        <w:t>The</w:t>
      </w:r>
      <w:proofErr w:type="gramEnd"/>
      <w:r>
        <w:t xml:space="preserve"> East of </w:t>
      </w:r>
    </w:p>
    <w:p w:rsidR="00353D8D" w:rsidRDefault="006667A9">
      <w:pPr>
        <w:spacing w:after="252" w:line="259" w:lineRule="auto"/>
        <w:ind w:left="-5" w:right="159"/>
      </w:pPr>
      <w:r>
        <w:t xml:space="preserve">England Tinnitus Network, The </w:t>
      </w:r>
      <w:proofErr w:type="spellStart"/>
      <w:r>
        <w:t>Hörselskadades</w:t>
      </w:r>
      <w:proofErr w:type="spellEnd"/>
      <w:r>
        <w:t xml:space="preserve"> </w:t>
      </w:r>
      <w:proofErr w:type="spellStart"/>
      <w:r>
        <w:t>Riksförbund</w:t>
      </w:r>
      <w:proofErr w:type="spellEnd"/>
      <w:r>
        <w:t xml:space="preserve"> in Sweden, </w:t>
      </w:r>
      <w:proofErr w:type="spellStart"/>
      <w:r>
        <w:t>Tu</w:t>
      </w:r>
      <w:proofErr w:type="spellEnd"/>
      <w:r>
        <w:t xml:space="preserve"> van </w:t>
      </w:r>
    </w:p>
    <w:p w:rsidR="00353D8D" w:rsidRDefault="006667A9">
      <w:pPr>
        <w:spacing w:after="252" w:line="259" w:lineRule="auto"/>
        <w:ind w:left="-5" w:right="159"/>
      </w:pPr>
      <w:proofErr w:type="spellStart"/>
      <w:r>
        <w:t>Tegenwoordig</w:t>
      </w:r>
      <w:proofErr w:type="spellEnd"/>
      <w:r>
        <w:t xml:space="preserve"> (</w:t>
      </w:r>
      <w:proofErr w:type="gramStart"/>
      <w:r>
        <w:t>Belgium),</w:t>
      </w:r>
      <w:proofErr w:type="gramEnd"/>
      <w:r>
        <w:t xml:space="preserve"> and </w:t>
      </w:r>
      <w:proofErr w:type="spellStart"/>
      <w:r>
        <w:t>Hoorzaken</w:t>
      </w:r>
      <w:proofErr w:type="spellEnd"/>
      <w:r>
        <w:t xml:space="preserve"> (The Netherlands). </w:t>
      </w:r>
    </w:p>
    <w:p w:rsidR="00353D8D" w:rsidRDefault="006667A9">
      <w:pPr>
        <w:spacing w:after="252" w:line="259" w:lineRule="auto"/>
        <w:ind w:left="0" w:firstLine="0"/>
      </w:pPr>
      <w:r>
        <w:t xml:space="preserve"> </w:t>
      </w:r>
    </w:p>
    <w:p w:rsidR="00353D8D" w:rsidRDefault="006667A9">
      <w:pPr>
        <w:pStyle w:val="Heading1"/>
        <w:ind w:left="-5"/>
      </w:pPr>
      <w:r>
        <w:t xml:space="preserve">Funding </w:t>
      </w:r>
    </w:p>
    <w:p w:rsidR="00353D8D" w:rsidRDefault="006667A9">
      <w:pPr>
        <w:ind w:left="-5" w:right="159"/>
      </w:pPr>
      <w:r>
        <w:t xml:space="preserve">This work </w:t>
      </w:r>
      <w:proofErr w:type="gramStart"/>
      <w:r>
        <w:t>is partly funded</w:t>
      </w:r>
      <w:proofErr w:type="gramEnd"/>
      <w:r>
        <w:t xml:space="preserve"> by the National Institute on Deafness and Other Co</w:t>
      </w:r>
      <w:r>
        <w:t xml:space="preserve">mmunication Disorders (NIDCD) of the National Institutes of Health (NIH) under the award number </w:t>
      </w:r>
    </w:p>
    <w:p w:rsidR="00353D8D" w:rsidRDefault="006667A9">
      <w:pPr>
        <w:spacing w:after="252" w:line="259" w:lineRule="auto"/>
        <w:ind w:left="-5" w:right="159"/>
      </w:pPr>
      <w:r>
        <w:t xml:space="preserve">R21DC017214. </w:t>
      </w:r>
    </w:p>
    <w:p w:rsidR="00353D8D" w:rsidRDefault="006667A9">
      <w:pPr>
        <w:spacing w:after="252" w:line="259" w:lineRule="auto"/>
        <w:ind w:left="0" w:firstLine="0"/>
      </w:pPr>
      <w:r>
        <w:t xml:space="preserve"> </w:t>
      </w:r>
    </w:p>
    <w:p w:rsidR="00353D8D" w:rsidRDefault="006667A9">
      <w:pPr>
        <w:spacing w:after="249" w:line="259" w:lineRule="auto"/>
        <w:ind w:left="-5"/>
      </w:pPr>
      <w:r>
        <w:rPr>
          <w:b/>
        </w:rPr>
        <w:t xml:space="preserve">Figure and Table legends. </w:t>
      </w:r>
    </w:p>
    <w:p w:rsidR="00353D8D" w:rsidRDefault="006667A9">
      <w:pPr>
        <w:ind w:left="-5" w:right="159"/>
      </w:pPr>
      <w:r>
        <w:rPr>
          <w:b/>
        </w:rPr>
        <w:t xml:space="preserve">Table 1. </w:t>
      </w:r>
      <w:r>
        <w:t>Factors related to tinnitus being stable, better, or exasperated during the pandemic that were identified t</w:t>
      </w:r>
      <w:r>
        <w:t xml:space="preserve">hrough thematic qualitative analysis of free text responses. </w:t>
      </w:r>
    </w:p>
    <w:p w:rsidR="00353D8D" w:rsidRDefault="006667A9">
      <w:pPr>
        <w:spacing w:after="252" w:line="259" w:lineRule="auto"/>
        <w:ind w:left="0" w:firstLine="0"/>
      </w:pPr>
      <w:r>
        <w:t xml:space="preserve"> </w:t>
      </w:r>
    </w:p>
    <w:p w:rsidR="00353D8D" w:rsidRDefault="006667A9">
      <w:pPr>
        <w:spacing w:after="252" w:line="259" w:lineRule="auto"/>
        <w:ind w:left="-5" w:right="159"/>
      </w:pPr>
      <w:r>
        <w:rPr>
          <w:b/>
        </w:rPr>
        <w:t>Figure 1:</w:t>
      </w:r>
      <w:r>
        <w:t xml:space="preserve"> Distribution of respondents  </w:t>
      </w:r>
    </w:p>
    <w:p w:rsidR="00353D8D" w:rsidRDefault="006667A9">
      <w:pPr>
        <w:ind w:left="-5" w:right="159"/>
      </w:pPr>
      <w:r>
        <w:rPr>
          <w:b/>
        </w:rPr>
        <w:t>Figure 2.</w:t>
      </w:r>
      <w:r>
        <w:t xml:space="preserve"> Comparison of how bothersome tinnitus was before and after the COVID-19 pandemic. </w:t>
      </w:r>
    </w:p>
    <w:p w:rsidR="00353D8D" w:rsidRDefault="006667A9">
      <w:pPr>
        <w:ind w:left="-5" w:right="159"/>
      </w:pPr>
      <w:r>
        <w:rPr>
          <w:b/>
        </w:rPr>
        <w:lastRenderedPageBreak/>
        <w:t xml:space="preserve">Figure 3. </w:t>
      </w:r>
      <w:r>
        <w:t>The impact of lifestyle changes, social distancin</w:t>
      </w:r>
      <w:r>
        <w:t>g restrictions, and health concerns during the pandemic on tinnitus experiences</w:t>
      </w:r>
      <w:r>
        <w:rPr>
          <w:b/>
        </w:rPr>
        <w:t xml:space="preserve"> </w:t>
      </w:r>
    </w:p>
    <w:p w:rsidR="00353D8D" w:rsidRDefault="006667A9">
      <w:pPr>
        <w:spacing w:after="252" w:line="259" w:lineRule="auto"/>
        <w:ind w:left="-5" w:right="159"/>
      </w:pPr>
      <w:r>
        <w:rPr>
          <w:b/>
        </w:rPr>
        <w:t>Figure 4.</w:t>
      </w:r>
      <w:r>
        <w:t xml:space="preserve"> The following social distancing advice across different locations</w:t>
      </w:r>
    </w:p>
    <w:p w:rsidR="00353D8D" w:rsidRDefault="006667A9">
      <w:pPr>
        <w:spacing w:after="252" w:line="259" w:lineRule="auto"/>
        <w:ind w:left="0" w:firstLine="0"/>
      </w:pPr>
      <w:r>
        <w:rPr>
          <w:b/>
        </w:rPr>
        <w:t xml:space="preserve"> </w:t>
      </w:r>
    </w:p>
    <w:p w:rsidR="00353D8D" w:rsidRDefault="006667A9">
      <w:pPr>
        <w:ind w:left="-5" w:right="159"/>
      </w:pPr>
      <w:r>
        <w:rPr>
          <w:b/>
        </w:rPr>
        <w:t>Figure 5.</w:t>
      </w:r>
      <w:r>
        <w:t xml:space="preserve"> The frequency of social interactions and desire for more interactions and loneliness ex</w:t>
      </w:r>
      <w:r>
        <w:t xml:space="preserve">periences during social distancing restrictions across different locations </w:t>
      </w:r>
    </w:p>
    <w:p w:rsidR="00353D8D" w:rsidRDefault="006667A9">
      <w:pPr>
        <w:spacing w:after="252" w:line="259" w:lineRule="auto"/>
        <w:ind w:left="0" w:firstLine="0"/>
      </w:pPr>
      <w:r>
        <w:t xml:space="preserve"> </w:t>
      </w:r>
    </w:p>
    <w:p w:rsidR="00353D8D" w:rsidRDefault="006667A9">
      <w:pPr>
        <w:spacing w:after="252" w:line="259" w:lineRule="auto"/>
        <w:ind w:left="0" w:firstLine="0"/>
      </w:pPr>
      <w:r>
        <w:t xml:space="preserve"> </w:t>
      </w:r>
    </w:p>
    <w:p w:rsidR="00353D8D" w:rsidRDefault="006667A9">
      <w:pPr>
        <w:spacing w:after="252" w:line="259" w:lineRule="auto"/>
        <w:ind w:left="0" w:firstLine="0"/>
      </w:pPr>
      <w:r>
        <w:t xml:space="preserve"> </w:t>
      </w:r>
    </w:p>
    <w:p w:rsidR="00353D8D" w:rsidRDefault="006667A9">
      <w:pPr>
        <w:ind w:left="-5" w:right="159"/>
      </w:pPr>
      <w:r>
        <w:rPr>
          <w:b/>
        </w:rPr>
        <w:t>Figure 6.</w:t>
      </w:r>
      <w:r>
        <w:t xml:space="preserve"> Comparison of emotional state during the COVID-19 pandemic across different locations </w:t>
      </w:r>
    </w:p>
    <w:p w:rsidR="00353D8D" w:rsidRDefault="006667A9">
      <w:pPr>
        <w:spacing w:after="252" w:line="259" w:lineRule="auto"/>
        <w:ind w:left="0" w:firstLine="0"/>
      </w:pPr>
      <w:r>
        <w:t xml:space="preserve"> </w:t>
      </w:r>
    </w:p>
    <w:p w:rsidR="00353D8D" w:rsidRDefault="006667A9">
      <w:pPr>
        <w:ind w:left="-5" w:right="159"/>
      </w:pPr>
      <w:r>
        <w:rPr>
          <w:b/>
        </w:rPr>
        <w:t xml:space="preserve">Figure 7. </w:t>
      </w:r>
      <w:r>
        <w:t>Comparison of changes to work patterns during the COVID-</w:t>
      </w:r>
      <w:r>
        <w:t>19 pandemic across different locations</w:t>
      </w:r>
      <w:r>
        <w:rPr>
          <w:b/>
        </w:rPr>
        <w:t xml:space="preserve"> </w:t>
      </w:r>
    </w:p>
    <w:p w:rsidR="00353D8D" w:rsidRDefault="006667A9">
      <w:pPr>
        <w:spacing w:after="252" w:line="259" w:lineRule="auto"/>
        <w:ind w:left="0" w:firstLine="0"/>
      </w:pPr>
      <w:r>
        <w:t xml:space="preserve"> </w:t>
      </w:r>
    </w:p>
    <w:p w:rsidR="00353D8D" w:rsidRDefault="006667A9">
      <w:pPr>
        <w:pStyle w:val="Heading1"/>
        <w:ind w:left="-5"/>
      </w:pPr>
      <w:r>
        <w:t xml:space="preserve">References </w:t>
      </w:r>
    </w:p>
    <w:p w:rsidR="00353D8D" w:rsidRDefault="006667A9">
      <w:pPr>
        <w:ind w:left="705" w:right="159" w:hanging="720"/>
      </w:pPr>
      <w:bookmarkStart w:id="0" w:name="_GoBack"/>
      <w:bookmarkEnd w:id="0"/>
      <w:proofErr w:type="spellStart"/>
      <w:r>
        <w:t>Almufarrij</w:t>
      </w:r>
      <w:proofErr w:type="spellEnd"/>
      <w:r>
        <w:t xml:space="preserve">, I., </w:t>
      </w:r>
      <w:proofErr w:type="spellStart"/>
      <w:r>
        <w:t>Uus</w:t>
      </w:r>
      <w:proofErr w:type="spellEnd"/>
      <w:r>
        <w:t xml:space="preserve">, K., &amp; Munro, K. (2020). Does coronavirus affect the audio-vestibular system? A rapid systematic review. </w:t>
      </w:r>
      <w:r>
        <w:rPr>
          <w:i/>
        </w:rPr>
        <w:t>International Journal of Audiology, 59</w:t>
      </w:r>
      <w:r>
        <w:t>(7), 487-</w:t>
      </w:r>
    </w:p>
    <w:p w:rsidR="00353D8D" w:rsidRDefault="006667A9">
      <w:pPr>
        <w:spacing w:after="252" w:line="259" w:lineRule="auto"/>
        <w:ind w:left="730" w:right="159"/>
      </w:pPr>
      <w:r>
        <w:t xml:space="preserve">491. </w:t>
      </w:r>
      <w:proofErr w:type="spellStart"/>
      <w:r>
        <w:t>doi:https</w:t>
      </w:r>
      <w:proofErr w:type="spellEnd"/>
      <w:r>
        <w:t xml:space="preserve">://doi.org/10.1080/14992027.2020.1776406  </w:t>
      </w:r>
    </w:p>
    <w:p w:rsidR="00353D8D" w:rsidRDefault="006667A9">
      <w:pPr>
        <w:spacing w:after="252" w:line="259" w:lineRule="auto"/>
        <w:ind w:left="-5" w:right="159"/>
      </w:pPr>
      <w:proofErr w:type="spellStart"/>
      <w:r>
        <w:t>Anzivino</w:t>
      </w:r>
      <w:proofErr w:type="spellEnd"/>
      <w:r>
        <w:t xml:space="preserve">, R., </w:t>
      </w:r>
      <w:proofErr w:type="spellStart"/>
      <w:r>
        <w:t>Sciancalepore</w:t>
      </w:r>
      <w:proofErr w:type="spellEnd"/>
      <w:r>
        <w:t xml:space="preserve">, P., </w:t>
      </w:r>
      <w:proofErr w:type="spellStart"/>
      <w:r>
        <w:t>Petrone</w:t>
      </w:r>
      <w:proofErr w:type="spellEnd"/>
      <w:r>
        <w:t xml:space="preserve">, P., </w:t>
      </w:r>
      <w:proofErr w:type="spellStart"/>
      <w:r>
        <w:t>D'Ella</w:t>
      </w:r>
      <w:proofErr w:type="spellEnd"/>
      <w:r>
        <w:t xml:space="preserve">, A., &amp; </w:t>
      </w:r>
      <w:proofErr w:type="spellStart"/>
      <w:r>
        <w:t>Quaranta</w:t>
      </w:r>
      <w:proofErr w:type="spellEnd"/>
      <w:r>
        <w:t xml:space="preserve">, N. (2020). </w:t>
      </w:r>
      <w:proofErr w:type="spellStart"/>
      <w:r>
        <w:t>Anzivino</w:t>
      </w:r>
      <w:proofErr w:type="spellEnd"/>
      <w:r>
        <w:t xml:space="preserve">, </w:t>
      </w:r>
    </w:p>
    <w:p w:rsidR="00353D8D" w:rsidRDefault="006667A9">
      <w:pPr>
        <w:spacing w:after="252" w:line="259" w:lineRule="auto"/>
        <w:ind w:left="730" w:right="159"/>
      </w:pPr>
      <w:r>
        <w:t xml:space="preserve">Roberta, et al. "Tinnitus revival during COVID-19 lockdown: how to deal with it? </w:t>
      </w:r>
    </w:p>
    <w:p w:rsidR="00353D8D" w:rsidRDefault="006667A9">
      <w:pPr>
        <w:spacing w:after="252" w:line="259" w:lineRule="auto"/>
        <w:ind w:left="715"/>
      </w:pPr>
      <w:r>
        <w:rPr>
          <w:i/>
        </w:rPr>
        <w:t>European Archives of Oto-</w:t>
      </w:r>
      <w:r>
        <w:rPr>
          <w:i/>
        </w:rPr>
        <w:t>Rhino-Laryngology</w:t>
      </w:r>
      <w:r>
        <w:t xml:space="preserve">, 1-2. </w:t>
      </w:r>
    </w:p>
    <w:p w:rsidR="00353D8D" w:rsidRDefault="006667A9">
      <w:pPr>
        <w:ind w:left="705" w:right="159" w:hanging="720"/>
      </w:pPr>
      <w:proofErr w:type="spellStart"/>
      <w:r>
        <w:t>Baguley</w:t>
      </w:r>
      <w:proofErr w:type="spellEnd"/>
      <w:r>
        <w:t xml:space="preserve">, D., </w:t>
      </w:r>
      <w:proofErr w:type="spellStart"/>
      <w:r>
        <w:t>McFerran</w:t>
      </w:r>
      <w:proofErr w:type="spellEnd"/>
      <w:r>
        <w:t xml:space="preserve">, D., &amp; Hall, D. (2013). Tinnitus. </w:t>
      </w:r>
      <w:r>
        <w:rPr>
          <w:i/>
        </w:rPr>
        <w:t>The Lancet, 382</w:t>
      </w:r>
      <w:r>
        <w:t xml:space="preserve">(9904), 1600-1607. </w:t>
      </w:r>
      <w:proofErr w:type="spellStart"/>
      <w:r>
        <w:t>doi</w:t>
      </w:r>
      <w:proofErr w:type="spellEnd"/>
      <w:r>
        <w:t>:/doi.org/10.1016/S0140-</w:t>
      </w:r>
      <w:proofErr w:type="gramStart"/>
      <w:r>
        <w:t>6736(</w:t>
      </w:r>
      <w:proofErr w:type="gramEnd"/>
      <w:r>
        <w:t xml:space="preserve">13)60142-7 </w:t>
      </w:r>
    </w:p>
    <w:p w:rsidR="00353D8D" w:rsidRDefault="006667A9">
      <w:pPr>
        <w:ind w:left="705" w:right="159" w:hanging="720"/>
      </w:pPr>
      <w:r>
        <w:lastRenderedPageBreak/>
        <w:t xml:space="preserve">Beukes, E., </w:t>
      </w:r>
      <w:proofErr w:type="spellStart"/>
      <w:r>
        <w:t>Andersson</w:t>
      </w:r>
      <w:proofErr w:type="spellEnd"/>
      <w:r>
        <w:t xml:space="preserve">, G., Allen, P., </w:t>
      </w:r>
      <w:proofErr w:type="spellStart"/>
      <w:r>
        <w:t>Manchaiah</w:t>
      </w:r>
      <w:proofErr w:type="spellEnd"/>
      <w:r>
        <w:t xml:space="preserve">, V., &amp; </w:t>
      </w:r>
      <w:proofErr w:type="spellStart"/>
      <w:r>
        <w:t>Baguley</w:t>
      </w:r>
      <w:proofErr w:type="spellEnd"/>
      <w:r>
        <w:t xml:space="preserve">, D. (2018). Beukes, E. W., </w:t>
      </w:r>
      <w:proofErr w:type="spellStart"/>
      <w:r>
        <w:t>Anderss</w:t>
      </w:r>
      <w:r>
        <w:t>on</w:t>
      </w:r>
      <w:proofErr w:type="spellEnd"/>
      <w:r>
        <w:t xml:space="preserve">, G., Allen, P. M., </w:t>
      </w:r>
      <w:proofErr w:type="spellStart"/>
      <w:r>
        <w:t>Manchaiah</w:t>
      </w:r>
      <w:proofErr w:type="spellEnd"/>
      <w:r>
        <w:t xml:space="preserve">, V., &amp; </w:t>
      </w:r>
      <w:proofErr w:type="spellStart"/>
      <w:r>
        <w:t>Baguley</w:t>
      </w:r>
      <w:proofErr w:type="spellEnd"/>
      <w:r>
        <w:t xml:space="preserve">, D. M. (2018). Effectiveness of guided internet-based cognitive </w:t>
      </w:r>
      <w:proofErr w:type="spellStart"/>
      <w:r>
        <w:t>behavioral</w:t>
      </w:r>
      <w:proofErr w:type="spellEnd"/>
      <w:r>
        <w:t xml:space="preserve"> therapy vs face-to-face clinical care for treatment of tinnitus: a randomized clinical trial. </w:t>
      </w:r>
      <w:r>
        <w:rPr>
          <w:i/>
        </w:rPr>
        <w:t>JAMA Otolaryngology–Head &amp; Neck Surgery,</w:t>
      </w:r>
      <w:r>
        <w:rPr>
          <w:i/>
        </w:rPr>
        <w:t xml:space="preserve"> 144</w:t>
      </w:r>
      <w:r>
        <w:t xml:space="preserve">(12), 1126-1133. </w:t>
      </w:r>
    </w:p>
    <w:p w:rsidR="00353D8D" w:rsidRDefault="006667A9">
      <w:pPr>
        <w:ind w:left="705" w:right="159" w:hanging="720"/>
      </w:pPr>
      <w:r>
        <w:t xml:space="preserve">Beukes, E., </w:t>
      </w:r>
      <w:proofErr w:type="spellStart"/>
      <w:r>
        <w:t>Manchaiah</w:t>
      </w:r>
      <w:proofErr w:type="spellEnd"/>
      <w:r>
        <w:t xml:space="preserve">, V., Allen, P., </w:t>
      </w:r>
      <w:proofErr w:type="spellStart"/>
      <w:r>
        <w:t>Andersson</w:t>
      </w:r>
      <w:proofErr w:type="spellEnd"/>
      <w:r>
        <w:t xml:space="preserve">, G., &amp; </w:t>
      </w:r>
      <w:proofErr w:type="spellStart"/>
      <w:r>
        <w:t>Baguley</w:t>
      </w:r>
      <w:proofErr w:type="spellEnd"/>
      <w:r>
        <w:t xml:space="preserve">, D. (2020). </w:t>
      </w:r>
      <w:proofErr w:type="spellStart"/>
      <w:r>
        <w:t>Expolring</w:t>
      </w:r>
      <w:proofErr w:type="spellEnd"/>
      <w:r>
        <w:t xml:space="preserve"> tinnitus heterogeneity. </w:t>
      </w:r>
      <w:r>
        <w:rPr>
          <w:i/>
        </w:rPr>
        <w:t>Progress in Brain Research</w:t>
      </w:r>
      <w:r>
        <w:t xml:space="preserve">, </w:t>
      </w:r>
      <w:proofErr w:type="gramStart"/>
      <w:r>
        <w:t>In</w:t>
      </w:r>
      <w:proofErr w:type="gramEnd"/>
      <w:r>
        <w:t xml:space="preserve"> press. </w:t>
      </w:r>
    </w:p>
    <w:p w:rsidR="00353D8D" w:rsidRDefault="006667A9">
      <w:pPr>
        <w:spacing w:after="252" w:line="259" w:lineRule="auto"/>
        <w:ind w:left="-5" w:right="159"/>
      </w:pPr>
      <w:r>
        <w:t xml:space="preserve">Beukes, E., </w:t>
      </w:r>
      <w:proofErr w:type="spellStart"/>
      <w:r>
        <w:t>Manchaiah</w:t>
      </w:r>
      <w:proofErr w:type="spellEnd"/>
      <w:r>
        <w:t xml:space="preserve">, V., </w:t>
      </w:r>
      <w:proofErr w:type="spellStart"/>
      <w:r>
        <w:t>Andersson</w:t>
      </w:r>
      <w:proofErr w:type="spellEnd"/>
      <w:r>
        <w:t xml:space="preserve">, G., Allen, P., </w:t>
      </w:r>
      <w:proofErr w:type="spellStart"/>
      <w:r>
        <w:t>Terlizzi</w:t>
      </w:r>
      <w:proofErr w:type="spellEnd"/>
      <w:r>
        <w:t xml:space="preserve">, P., &amp; </w:t>
      </w:r>
      <w:proofErr w:type="spellStart"/>
      <w:r>
        <w:t>Baguley</w:t>
      </w:r>
      <w:proofErr w:type="spellEnd"/>
      <w:r>
        <w:t>, D. (2017</w:t>
      </w:r>
      <w:r>
        <w:t xml:space="preserve">). </w:t>
      </w:r>
    </w:p>
    <w:p w:rsidR="00353D8D" w:rsidRDefault="006667A9">
      <w:pPr>
        <w:spacing w:after="252" w:line="259" w:lineRule="auto"/>
        <w:ind w:left="730" w:right="159"/>
      </w:pPr>
      <w:r>
        <w:t xml:space="preserve">Situationally influenced tinnitus coping strategies: a mixed methods approach. </w:t>
      </w:r>
    </w:p>
    <w:p w:rsidR="00353D8D" w:rsidRDefault="006667A9">
      <w:pPr>
        <w:spacing w:after="252" w:line="259" w:lineRule="auto"/>
        <w:ind w:left="715"/>
      </w:pPr>
      <w:r>
        <w:rPr>
          <w:i/>
        </w:rPr>
        <w:t>Disability and Rehabilitation, 40</w:t>
      </w:r>
      <w:r>
        <w:t xml:space="preserve">(24), 2884-2894. </w:t>
      </w:r>
    </w:p>
    <w:p w:rsidR="00353D8D" w:rsidRDefault="006667A9">
      <w:pPr>
        <w:spacing w:after="252" w:line="259" w:lineRule="auto"/>
        <w:ind w:left="-5" w:right="159"/>
      </w:pPr>
      <w:r>
        <w:t xml:space="preserve">Beukes, E., </w:t>
      </w:r>
      <w:proofErr w:type="spellStart"/>
      <w:r>
        <w:t>Manchaiah</w:t>
      </w:r>
      <w:proofErr w:type="spellEnd"/>
      <w:r>
        <w:t xml:space="preserve">, V., </w:t>
      </w:r>
      <w:proofErr w:type="spellStart"/>
      <w:r>
        <w:t>Andersson</w:t>
      </w:r>
      <w:proofErr w:type="spellEnd"/>
      <w:r>
        <w:t xml:space="preserve">, G., Allen, P., </w:t>
      </w:r>
      <w:proofErr w:type="spellStart"/>
      <w:r>
        <w:t>Terlizzi</w:t>
      </w:r>
      <w:proofErr w:type="spellEnd"/>
      <w:r>
        <w:t xml:space="preserve">, P., &amp; </w:t>
      </w:r>
      <w:proofErr w:type="spellStart"/>
      <w:r>
        <w:t>Baguley</w:t>
      </w:r>
      <w:proofErr w:type="spellEnd"/>
      <w:r>
        <w:t xml:space="preserve">, D. (2018). </w:t>
      </w:r>
    </w:p>
    <w:p w:rsidR="00353D8D" w:rsidRDefault="006667A9">
      <w:pPr>
        <w:ind w:left="730" w:right="159"/>
      </w:pPr>
      <w:r>
        <w:t xml:space="preserve">Beukes, E. W., </w:t>
      </w:r>
      <w:proofErr w:type="spellStart"/>
      <w:r>
        <w:t>Manchaiah</w:t>
      </w:r>
      <w:proofErr w:type="spellEnd"/>
      <w:r>
        <w:t xml:space="preserve">, V., </w:t>
      </w:r>
      <w:proofErr w:type="spellStart"/>
      <w:r>
        <w:t>Andersson</w:t>
      </w:r>
      <w:proofErr w:type="spellEnd"/>
      <w:r>
        <w:t xml:space="preserve">, G., Allen, P. M., </w:t>
      </w:r>
      <w:proofErr w:type="spellStart"/>
      <w:r>
        <w:t>Terlizzi</w:t>
      </w:r>
      <w:proofErr w:type="spellEnd"/>
      <w:r>
        <w:t xml:space="preserve">, P. M., &amp; </w:t>
      </w:r>
      <w:proofErr w:type="spellStart"/>
      <w:r>
        <w:t>Baguley</w:t>
      </w:r>
      <w:proofErr w:type="spellEnd"/>
      <w:r>
        <w:t xml:space="preserve">, D. M. (2018). Situationally influenced tinnitus coping strategies: a mixed methods approach. </w:t>
      </w:r>
      <w:r>
        <w:rPr>
          <w:i/>
        </w:rPr>
        <w:t>Disability and Rehabilitation, 40</w:t>
      </w:r>
      <w:r>
        <w:t xml:space="preserve">(24), 2884-2894. </w:t>
      </w:r>
    </w:p>
    <w:p w:rsidR="00353D8D" w:rsidRDefault="006667A9">
      <w:pPr>
        <w:spacing w:after="252" w:line="259" w:lineRule="auto"/>
        <w:ind w:left="-5" w:right="159"/>
      </w:pPr>
      <w:r>
        <w:t xml:space="preserve">Beukes, E., </w:t>
      </w:r>
      <w:proofErr w:type="spellStart"/>
      <w:r>
        <w:t>Manchaiah</w:t>
      </w:r>
      <w:proofErr w:type="spellEnd"/>
      <w:r>
        <w:t>, V.</w:t>
      </w:r>
      <w:r>
        <w:t xml:space="preserve">, </w:t>
      </w:r>
      <w:proofErr w:type="spellStart"/>
      <w:r>
        <w:t>Andersson</w:t>
      </w:r>
      <w:proofErr w:type="spellEnd"/>
      <w:r>
        <w:t xml:space="preserve">, G., Allen, P., </w:t>
      </w:r>
      <w:proofErr w:type="spellStart"/>
      <w:r>
        <w:t>Terlizzi</w:t>
      </w:r>
      <w:proofErr w:type="spellEnd"/>
      <w:r>
        <w:t xml:space="preserve">, P., &amp; </w:t>
      </w:r>
      <w:proofErr w:type="spellStart"/>
      <w:r>
        <w:t>Baguley</w:t>
      </w:r>
      <w:proofErr w:type="spellEnd"/>
      <w:r>
        <w:t xml:space="preserve">, D. (2018). </w:t>
      </w:r>
    </w:p>
    <w:p w:rsidR="00353D8D" w:rsidRDefault="006667A9">
      <w:pPr>
        <w:spacing w:after="252" w:line="259" w:lineRule="auto"/>
        <w:ind w:left="730" w:right="159"/>
      </w:pPr>
      <w:r>
        <w:t xml:space="preserve">Situationally influenced tinnitus coping strategies: a mixed methods approach. </w:t>
      </w:r>
    </w:p>
    <w:p w:rsidR="00353D8D" w:rsidRDefault="006667A9">
      <w:pPr>
        <w:spacing w:after="252" w:line="259" w:lineRule="auto"/>
        <w:ind w:left="715"/>
      </w:pPr>
      <w:r>
        <w:rPr>
          <w:i/>
        </w:rPr>
        <w:t>Disability and Rehabilitation, 40</w:t>
      </w:r>
      <w:r>
        <w:t xml:space="preserve">(24), 2884-2894. </w:t>
      </w:r>
    </w:p>
    <w:p w:rsidR="00353D8D" w:rsidRDefault="006667A9">
      <w:pPr>
        <w:ind w:left="705" w:right="159" w:hanging="720"/>
      </w:pPr>
      <w:r>
        <w:t xml:space="preserve">Brooks, S., Webster, R., Smith, L., Woodland, L., </w:t>
      </w:r>
      <w:proofErr w:type="spellStart"/>
      <w:r>
        <w:t>Wessely</w:t>
      </w:r>
      <w:proofErr w:type="spellEnd"/>
      <w:r>
        <w:t>, S</w:t>
      </w:r>
      <w:r>
        <w:t xml:space="preserve">., Greenberg, N., &amp; Rubin, G. (2020). The psychological impact of </w:t>
      </w:r>
      <w:proofErr w:type="gramStart"/>
      <w:r>
        <w:t>quarantine and how to reduce it</w:t>
      </w:r>
      <w:proofErr w:type="gramEnd"/>
      <w:r>
        <w:t xml:space="preserve">: rapid review of the evidence. </w:t>
      </w:r>
      <w:r>
        <w:rPr>
          <w:i/>
        </w:rPr>
        <w:t>The Lancet, 395</w:t>
      </w:r>
      <w:r>
        <w:t xml:space="preserve">(10227), 912-920. </w:t>
      </w:r>
    </w:p>
    <w:p w:rsidR="00353D8D" w:rsidRDefault="006667A9">
      <w:pPr>
        <w:spacing w:after="252" w:line="259" w:lineRule="auto"/>
        <w:ind w:left="-5" w:right="159"/>
      </w:pPr>
      <w:proofErr w:type="spellStart"/>
      <w:r>
        <w:t>Cederroth</w:t>
      </w:r>
      <w:proofErr w:type="spellEnd"/>
      <w:r>
        <w:t xml:space="preserve">, C. R., Gallus, S., Hall, D. A., </w:t>
      </w:r>
      <w:proofErr w:type="spellStart"/>
      <w:r>
        <w:t>Kleinjung</w:t>
      </w:r>
      <w:proofErr w:type="spellEnd"/>
      <w:r>
        <w:t xml:space="preserve">, T., </w:t>
      </w:r>
      <w:proofErr w:type="spellStart"/>
      <w:r>
        <w:t>Langguth</w:t>
      </w:r>
      <w:proofErr w:type="spellEnd"/>
      <w:r>
        <w:t xml:space="preserve">, B., </w:t>
      </w:r>
      <w:proofErr w:type="spellStart"/>
      <w:r>
        <w:t>Maruotti</w:t>
      </w:r>
      <w:proofErr w:type="spellEnd"/>
      <w:r>
        <w:t>, A</w:t>
      </w:r>
      <w:proofErr w:type="gramStart"/>
      <w:r>
        <w:t>., …</w:t>
      </w:r>
      <w:proofErr w:type="gramEnd"/>
      <w:r>
        <w:t xml:space="preserve">  </w:t>
      </w:r>
    </w:p>
    <w:p w:rsidR="00353D8D" w:rsidRDefault="006667A9">
      <w:pPr>
        <w:spacing w:after="252" w:line="259" w:lineRule="auto"/>
        <w:ind w:left="730" w:right="159"/>
      </w:pPr>
      <w:proofErr w:type="spellStart"/>
      <w:r>
        <w:t>Sch</w:t>
      </w:r>
      <w:r>
        <w:t>lee</w:t>
      </w:r>
      <w:proofErr w:type="spellEnd"/>
      <w:r>
        <w:t xml:space="preserve">, W., 2019. Editorial: Towards an Understanding of Tinnitus  </w:t>
      </w:r>
    </w:p>
    <w:p w:rsidR="00353D8D" w:rsidRDefault="006667A9">
      <w:pPr>
        <w:spacing w:after="252" w:line="259" w:lineRule="auto"/>
        <w:ind w:left="730" w:right="159"/>
      </w:pPr>
      <w:r>
        <w:t xml:space="preserve">Heterogeneity. Front Aging </w:t>
      </w:r>
      <w:proofErr w:type="spellStart"/>
      <w:r>
        <w:t>Neurosci</w:t>
      </w:r>
      <w:proofErr w:type="spellEnd"/>
      <w:r>
        <w:t xml:space="preserve">. 11, 53. doi:10.3389/fnagi.2019.00053 </w:t>
      </w:r>
    </w:p>
    <w:p w:rsidR="00353D8D" w:rsidRDefault="006667A9">
      <w:pPr>
        <w:ind w:left="705" w:right="159" w:hanging="720"/>
      </w:pPr>
      <w:r>
        <w:t xml:space="preserve">Chan, J., Yuan, S., </w:t>
      </w:r>
      <w:proofErr w:type="spellStart"/>
      <w:r>
        <w:t>Kok</w:t>
      </w:r>
      <w:proofErr w:type="spellEnd"/>
      <w:r>
        <w:t xml:space="preserve">, K., To, K., Yang, J., &amp; et al. (2020). Chan, J. F. W., Yuan, S., </w:t>
      </w:r>
      <w:proofErr w:type="spellStart"/>
      <w:r>
        <w:t>Kok</w:t>
      </w:r>
      <w:proofErr w:type="spellEnd"/>
      <w:r>
        <w:t xml:space="preserve">, K. H., To, K. K. W., </w:t>
      </w:r>
      <w:r>
        <w:t xml:space="preserve">Chu, H., Yang, J., ... &amp; </w:t>
      </w:r>
      <w:proofErr w:type="spellStart"/>
      <w:r>
        <w:t>Tsoi</w:t>
      </w:r>
      <w:proofErr w:type="spellEnd"/>
      <w:r>
        <w:t xml:space="preserve">, H. W. (2020). A familial cluster of </w:t>
      </w:r>
      <w:r>
        <w:lastRenderedPageBreak/>
        <w:t xml:space="preserve">pneumonia associated with the 2019 novel coronavirus indicating person-to-person transmission: a study of a family cluster. . </w:t>
      </w:r>
      <w:r>
        <w:rPr>
          <w:i/>
        </w:rPr>
        <w:t>The Lancet</w:t>
      </w:r>
      <w:r>
        <w:t xml:space="preserve">, 514-523. </w:t>
      </w:r>
    </w:p>
    <w:p w:rsidR="00353D8D" w:rsidRDefault="006667A9">
      <w:pPr>
        <w:ind w:left="705" w:right="159" w:hanging="720"/>
      </w:pPr>
      <w:proofErr w:type="spellStart"/>
      <w:r>
        <w:t>Ciorba</w:t>
      </w:r>
      <w:proofErr w:type="spellEnd"/>
      <w:r>
        <w:t xml:space="preserve">, A., </w:t>
      </w:r>
      <w:proofErr w:type="spellStart"/>
      <w:r>
        <w:t>Corazzi</w:t>
      </w:r>
      <w:proofErr w:type="spellEnd"/>
      <w:r>
        <w:t xml:space="preserve">, P., </w:t>
      </w:r>
      <w:proofErr w:type="spellStart"/>
      <w:r>
        <w:t>Skarzynski</w:t>
      </w:r>
      <w:proofErr w:type="spellEnd"/>
      <w:r>
        <w:t xml:space="preserve">, M., </w:t>
      </w:r>
      <w:proofErr w:type="spellStart"/>
      <w:r>
        <w:t>Skarzynska</w:t>
      </w:r>
      <w:proofErr w:type="spellEnd"/>
      <w:r>
        <w:t xml:space="preserve">, C., </w:t>
      </w:r>
      <w:proofErr w:type="spellStart"/>
      <w:r>
        <w:t>Bianchini</w:t>
      </w:r>
      <w:proofErr w:type="spellEnd"/>
      <w:r>
        <w:t xml:space="preserve">, S., </w:t>
      </w:r>
      <w:proofErr w:type="spellStart"/>
      <w:r>
        <w:t>Pelucchi</w:t>
      </w:r>
      <w:proofErr w:type="spellEnd"/>
      <w:r>
        <w:t xml:space="preserve">, &amp; </w:t>
      </w:r>
      <w:proofErr w:type="spellStart"/>
      <w:r>
        <w:t>Hatzopoulos</w:t>
      </w:r>
      <w:proofErr w:type="spellEnd"/>
      <w:r>
        <w:t xml:space="preserve">. (2020). </w:t>
      </w:r>
      <w:proofErr w:type="gramStart"/>
      <w:r>
        <w:t>Don't</w:t>
      </w:r>
      <w:proofErr w:type="gramEnd"/>
      <w:r>
        <w:t xml:space="preserve"> Forget Ototoxicity During the SARS-CoV-2 (Covid-19) </w:t>
      </w:r>
    </w:p>
    <w:p w:rsidR="00353D8D" w:rsidRDefault="006667A9">
      <w:pPr>
        <w:spacing w:after="252" w:line="259" w:lineRule="auto"/>
        <w:ind w:left="715"/>
      </w:pPr>
      <w:r>
        <w:t xml:space="preserve">Pandemic. </w:t>
      </w:r>
      <w:r>
        <w:rPr>
          <w:i/>
        </w:rPr>
        <w:t>International Journal of Immunopathology and Pharmacology, 34</w:t>
      </w:r>
      <w:r>
        <w:t xml:space="preserve">, 1-3. </w:t>
      </w:r>
    </w:p>
    <w:p w:rsidR="00353D8D" w:rsidRDefault="006667A9">
      <w:pPr>
        <w:spacing w:after="252" w:line="259" w:lineRule="auto"/>
        <w:ind w:left="730" w:right="159"/>
      </w:pPr>
      <w:proofErr w:type="gramStart"/>
      <w:r>
        <w:t>doi:</w:t>
      </w:r>
      <w:proofErr w:type="gramEnd"/>
      <w:r>
        <w:t xml:space="preserve">doi:10.1177/2058738420941754 </w:t>
      </w:r>
    </w:p>
    <w:p w:rsidR="00353D8D" w:rsidRDefault="006667A9">
      <w:pPr>
        <w:spacing w:after="252" w:line="259" w:lineRule="auto"/>
        <w:ind w:left="-5" w:right="159"/>
      </w:pPr>
      <w:r>
        <w:t xml:space="preserve">Clark, A., </w:t>
      </w:r>
      <w:proofErr w:type="spellStart"/>
      <w:r>
        <w:t>Jit</w:t>
      </w:r>
      <w:proofErr w:type="spellEnd"/>
      <w:r>
        <w:t xml:space="preserve">, M., </w:t>
      </w:r>
      <w:r>
        <w:t xml:space="preserve">Warren-Gash, C., Guthrie, B., Wang, H., Mercer, S., &amp; et al. (2020). </w:t>
      </w:r>
    </w:p>
    <w:p w:rsidR="00353D8D" w:rsidRDefault="006667A9">
      <w:pPr>
        <w:spacing w:after="252" w:line="259" w:lineRule="auto"/>
        <w:ind w:left="730" w:right="159"/>
      </w:pPr>
      <w:r>
        <w:t xml:space="preserve">Global, regional, and national estimates of the population at increased risk of severe </w:t>
      </w:r>
    </w:p>
    <w:p w:rsidR="00353D8D" w:rsidRDefault="006667A9">
      <w:pPr>
        <w:spacing w:after="252" w:line="259" w:lineRule="auto"/>
        <w:ind w:left="730" w:right="159"/>
      </w:pPr>
      <w:r>
        <w:t xml:space="preserve">COVID-19 due to underlying health conditions in 2020: a modelling study. </w:t>
      </w:r>
      <w:r>
        <w:rPr>
          <w:i/>
        </w:rPr>
        <w:t xml:space="preserve">The </w:t>
      </w:r>
    </w:p>
    <w:p w:rsidR="00353D8D" w:rsidRDefault="006667A9">
      <w:pPr>
        <w:spacing w:after="252" w:line="259" w:lineRule="auto"/>
        <w:ind w:left="730" w:right="159"/>
      </w:pPr>
      <w:r>
        <w:rPr>
          <w:i/>
        </w:rPr>
        <w:t>Lancet. Global Healt</w:t>
      </w:r>
      <w:r>
        <w:rPr>
          <w:i/>
        </w:rPr>
        <w:t>h</w:t>
      </w:r>
      <w:r>
        <w:t>, https://doi.org/10.1016/S2214-</w:t>
      </w:r>
      <w:proofErr w:type="gramStart"/>
      <w:r>
        <w:t>109X(</w:t>
      </w:r>
      <w:proofErr w:type="gramEnd"/>
      <w:r>
        <w:t xml:space="preserve">20)30264-3. </w:t>
      </w:r>
    </w:p>
    <w:p w:rsidR="00353D8D" w:rsidRDefault="006667A9">
      <w:pPr>
        <w:ind w:left="705" w:right="159" w:hanging="720"/>
      </w:pPr>
      <w:proofErr w:type="spellStart"/>
      <w:r>
        <w:t>Crönlein</w:t>
      </w:r>
      <w:proofErr w:type="spellEnd"/>
      <w:r>
        <w:t xml:space="preserve">, T., </w:t>
      </w:r>
      <w:proofErr w:type="spellStart"/>
      <w:r>
        <w:t>Langguth</w:t>
      </w:r>
      <w:proofErr w:type="spellEnd"/>
      <w:r>
        <w:t xml:space="preserve">, B., </w:t>
      </w:r>
      <w:proofErr w:type="spellStart"/>
      <w:r>
        <w:t>Pregler</w:t>
      </w:r>
      <w:proofErr w:type="spellEnd"/>
      <w:r>
        <w:t xml:space="preserve">, M., </w:t>
      </w:r>
      <w:proofErr w:type="spellStart"/>
      <w:r>
        <w:t>Kreuzer</w:t>
      </w:r>
      <w:proofErr w:type="spellEnd"/>
      <w:r>
        <w:t xml:space="preserve">, P., Wetter, T., &amp; </w:t>
      </w:r>
      <w:proofErr w:type="spellStart"/>
      <w:r>
        <w:t>Schecklemann</w:t>
      </w:r>
      <w:proofErr w:type="spellEnd"/>
      <w:r>
        <w:t xml:space="preserve">, M. (2016). Insomnia in patients with chronic tinnitus: Cognitive and emotional distress as moderator variables. </w:t>
      </w:r>
      <w:r>
        <w:rPr>
          <w:i/>
        </w:rPr>
        <w:t xml:space="preserve">Journal of </w:t>
      </w:r>
      <w:r>
        <w:rPr>
          <w:i/>
        </w:rPr>
        <w:t>Psychosomatic Research, 83</w:t>
      </w:r>
      <w:r>
        <w:t xml:space="preserve">, 65-68. </w:t>
      </w:r>
    </w:p>
    <w:p w:rsidR="00353D8D" w:rsidRDefault="006667A9">
      <w:pPr>
        <w:spacing w:after="252" w:line="259" w:lineRule="auto"/>
        <w:ind w:left="-5" w:right="159"/>
      </w:pPr>
      <w:r>
        <w:t>Cui, C., Yao, Q., Di Zhang, Y., Zhang, K., Nisenbaum, E., Cao, P</w:t>
      </w:r>
      <w:proofErr w:type="gramStart"/>
      <w:r>
        <w:t>., . . .</w:t>
      </w:r>
      <w:proofErr w:type="gramEnd"/>
      <w:r>
        <w:t xml:space="preserve"> et al. (2020). </w:t>
      </w:r>
    </w:p>
    <w:p w:rsidR="00353D8D" w:rsidRDefault="006667A9">
      <w:pPr>
        <w:spacing w:after="252" w:line="259" w:lineRule="auto"/>
        <w:ind w:left="730" w:right="159"/>
      </w:pPr>
      <w:r>
        <w:t xml:space="preserve">Approaching otolaryngology patients during the COVID-19 pandemic. </w:t>
      </w:r>
    </w:p>
    <w:p w:rsidR="00353D8D" w:rsidRDefault="006667A9">
      <w:pPr>
        <w:spacing w:after="252" w:line="259" w:lineRule="auto"/>
        <w:ind w:left="715"/>
      </w:pPr>
      <w:r>
        <w:rPr>
          <w:i/>
        </w:rPr>
        <w:t>Otolaryngology-Head and Neck Surgery</w:t>
      </w:r>
      <w:r>
        <w:t xml:space="preserve">, </w:t>
      </w:r>
      <w:proofErr w:type="spellStart"/>
      <w:r>
        <w:t>doi</w:t>
      </w:r>
      <w:proofErr w:type="spellEnd"/>
      <w:r>
        <w:t>: 10.1177/0194599820926</w:t>
      </w:r>
      <w:r>
        <w:t xml:space="preserve">144. </w:t>
      </w:r>
    </w:p>
    <w:p w:rsidR="00353D8D" w:rsidRDefault="006667A9">
      <w:pPr>
        <w:spacing w:after="252" w:line="259" w:lineRule="auto"/>
        <w:ind w:left="-5" w:right="159"/>
      </w:pPr>
      <w:r>
        <w:t xml:space="preserve">Ferrari, S., </w:t>
      </w:r>
      <w:proofErr w:type="spellStart"/>
      <w:r>
        <w:t>Monzani</w:t>
      </w:r>
      <w:proofErr w:type="spellEnd"/>
      <w:r>
        <w:t xml:space="preserve">, D., </w:t>
      </w:r>
      <w:proofErr w:type="spellStart"/>
      <w:r>
        <w:t>Gherpelli</w:t>
      </w:r>
      <w:proofErr w:type="spellEnd"/>
      <w:r>
        <w:t xml:space="preserve">, C., MacKinnon, F., </w:t>
      </w:r>
      <w:proofErr w:type="spellStart"/>
      <w:proofErr w:type="gramStart"/>
      <w:r>
        <w:t>Mongelli</w:t>
      </w:r>
      <w:proofErr w:type="spellEnd"/>
      <w:r>
        <w:t xml:space="preserve"> ,</w:t>
      </w:r>
      <w:proofErr w:type="gramEnd"/>
      <w:r>
        <w:t xml:space="preserve"> F., </w:t>
      </w:r>
      <w:proofErr w:type="spellStart"/>
      <w:r>
        <w:t>Federici</w:t>
      </w:r>
      <w:proofErr w:type="spellEnd"/>
      <w:r>
        <w:t xml:space="preserve">, G., &amp; </w:t>
      </w:r>
    </w:p>
    <w:p w:rsidR="00353D8D" w:rsidRDefault="006667A9">
      <w:pPr>
        <w:ind w:left="730" w:right="159"/>
      </w:pPr>
      <w:proofErr w:type="spellStart"/>
      <w:r>
        <w:t>Galeazzi</w:t>
      </w:r>
      <w:proofErr w:type="spellEnd"/>
      <w:r>
        <w:t xml:space="preserve">, G. M. (2019). Acquired Hearing Loss, Anger, and Emotional Distress: The Mediating Role of Perceived Disability. </w:t>
      </w:r>
      <w:r>
        <w:rPr>
          <w:i/>
        </w:rPr>
        <w:t>The Journal of Nervous and Mental Diseas</w:t>
      </w:r>
      <w:r>
        <w:rPr>
          <w:i/>
        </w:rPr>
        <w:t xml:space="preserve">e, </w:t>
      </w:r>
    </w:p>
    <w:p w:rsidR="00353D8D" w:rsidRDefault="006667A9">
      <w:pPr>
        <w:spacing w:after="252" w:line="259" w:lineRule="auto"/>
        <w:ind w:left="730" w:right="159"/>
      </w:pPr>
      <w:r>
        <w:rPr>
          <w:i/>
        </w:rPr>
        <w:t>207</w:t>
      </w:r>
      <w:r>
        <w:t xml:space="preserve">(6), 459-466. </w:t>
      </w:r>
    </w:p>
    <w:p w:rsidR="00353D8D" w:rsidRDefault="006667A9">
      <w:pPr>
        <w:ind w:left="705" w:right="159" w:hanging="720"/>
      </w:pPr>
      <w:r>
        <w:t xml:space="preserve">Hall, D., </w:t>
      </w:r>
      <w:proofErr w:type="spellStart"/>
      <w:r>
        <w:t>Fackrell</w:t>
      </w:r>
      <w:proofErr w:type="spellEnd"/>
      <w:r>
        <w:t xml:space="preserve">, K., Li, A., </w:t>
      </w:r>
      <w:proofErr w:type="spellStart"/>
      <w:r>
        <w:t>Thavayogan</w:t>
      </w:r>
      <w:proofErr w:type="spellEnd"/>
      <w:r>
        <w:t xml:space="preserve">, R., Smith, S., Kennedy, V., &amp; et al. (2018). A narrative synthesis of research evidence for tinnitus-related complaints as reported by patients and their significant others. </w:t>
      </w:r>
      <w:r>
        <w:rPr>
          <w:i/>
        </w:rPr>
        <w:t>Health and Quality of Life Outcomes, 16</w:t>
      </w:r>
      <w:r>
        <w:t xml:space="preserve">(1), 61. </w:t>
      </w:r>
    </w:p>
    <w:p w:rsidR="00353D8D" w:rsidRDefault="006667A9">
      <w:pPr>
        <w:spacing w:after="252" w:line="259" w:lineRule="auto"/>
        <w:ind w:left="-5" w:right="159"/>
      </w:pPr>
      <w:r>
        <w:t xml:space="preserve">Hall, D. A., Zaragoza Domingo, S., </w:t>
      </w:r>
      <w:proofErr w:type="spellStart"/>
      <w:r>
        <w:t>Hamdache</w:t>
      </w:r>
      <w:proofErr w:type="spellEnd"/>
      <w:r>
        <w:t xml:space="preserve">, L. Z., </w:t>
      </w:r>
      <w:proofErr w:type="spellStart"/>
      <w:r>
        <w:t>Manchaiah</w:t>
      </w:r>
      <w:proofErr w:type="spellEnd"/>
      <w:r>
        <w:t xml:space="preserve">, V., </w:t>
      </w:r>
      <w:proofErr w:type="spellStart"/>
      <w:r>
        <w:t>Thammaiah</w:t>
      </w:r>
      <w:proofErr w:type="spellEnd"/>
      <w:r>
        <w:t xml:space="preserve">, S., Evans,  </w:t>
      </w:r>
    </w:p>
    <w:p w:rsidR="00353D8D" w:rsidRDefault="006667A9">
      <w:pPr>
        <w:spacing w:after="252" w:line="259" w:lineRule="auto"/>
        <w:ind w:left="730" w:right="159"/>
      </w:pPr>
      <w:proofErr w:type="gramStart"/>
      <w:r>
        <w:t>C., ...</w:t>
      </w:r>
      <w:proofErr w:type="gramEnd"/>
      <w:r>
        <w:t xml:space="preserve"> &amp; International Collegium of Rehabilitative Audiology and </w:t>
      </w:r>
      <w:proofErr w:type="spellStart"/>
      <w:r>
        <w:t>TINnitus</w:t>
      </w:r>
      <w:proofErr w:type="spellEnd"/>
      <w:r>
        <w:t xml:space="preserve"> </w:t>
      </w:r>
    </w:p>
    <w:p w:rsidR="00353D8D" w:rsidRDefault="006667A9">
      <w:pPr>
        <w:spacing w:line="259" w:lineRule="auto"/>
        <w:ind w:left="730" w:right="159"/>
      </w:pPr>
      <w:proofErr w:type="spellStart"/>
      <w:r>
        <w:lastRenderedPageBreak/>
        <w:t>ResearchNETwork</w:t>
      </w:r>
      <w:proofErr w:type="spellEnd"/>
      <w:r>
        <w:t>. (2018). A good practice</w:t>
      </w:r>
      <w:r>
        <w:t xml:space="preserve"> guide for translating and adapting </w:t>
      </w:r>
    </w:p>
    <w:p w:rsidR="00353D8D" w:rsidRDefault="006667A9">
      <w:pPr>
        <w:ind w:left="730" w:right="159"/>
      </w:pPr>
      <w:proofErr w:type="gramStart"/>
      <w:r>
        <w:t>hearing-related</w:t>
      </w:r>
      <w:proofErr w:type="gramEnd"/>
      <w:r>
        <w:t xml:space="preserve"> questionnaires for different languages and cultures. </w:t>
      </w:r>
      <w:r>
        <w:rPr>
          <w:i/>
        </w:rPr>
        <w:t>International Journal of Audiology</w:t>
      </w:r>
      <w:r>
        <w:t xml:space="preserve">, </w:t>
      </w:r>
      <w:r>
        <w:rPr>
          <w:i/>
        </w:rPr>
        <w:t>57</w:t>
      </w:r>
      <w:r>
        <w:t xml:space="preserve">(3), 161-175. </w:t>
      </w:r>
    </w:p>
    <w:p w:rsidR="00353D8D" w:rsidRDefault="006667A9">
      <w:pPr>
        <w:ind w:left="705" w:right="159" w:hanging="720"/>
      </w:pPr>
      <w:proofErr w:type="spellStart"/>
      <w:r>
        <w:t>Kleinstãuber</w:t>
      </w:r>
      <w:proofErr w:type="spellEnd"/>
      <w:r>
        <w:t xml:space="preserve">, M., Jasper, K., </w:t>
      </w:r>
      <w:proofErr w:type="spellStart"/>
      <w:r>
        <w:t>Schwada</w:t>
      </w:r>
      <w:proofErr w:type="spellEnd"/>
      <w:r>
        <w:t xml:space="preserve">, I., Hiller, W., </w:t>
      </w:r>
      <w:proofErr w:type="spellStart"/>
      <w:r>
        <w:t>Andersson</w:t>
      </w:r>
      <w:proofErr w:type="spellEnd"/>
      <w:r>
        <w:t>, G., &amp; Weise, C. (2013). The Rol</w:t>
      </w:r>
      <w:r>
        <w:t xml:space="preserve">e of Fear-Avoidance Cognitions and </w:t>
      </w:r>
      <w:proofErr w:type="spellStart"/>
      <w:r>
        <w:t>Behaviors</w:t>
      </w:r>
      <w:proofErr w:type="spellEnd"/>
      <w:r>
        <w:t xml:space="preserve"> in Patients with Chronic Tinnitus. </w:t>
      </w:r>
      <w:r>
        <w:rPr>
          <w:i/>
        </w:rPr>
        <w:t>Cognitive Behaviour Therapy, 42</w:t>
      </w:r>
      <w:r>
        <w:t xml:space="preserve">(2), 84-99. </w:t>
      </w:r>
    </w:p>
    <w:p w:rsidR="00353D8D" w:rsidRDefault="006667A9">
      <w:pPr>
        <w:ind w:left="705" w:right="159" w:hanging="720"/>
      </w:pPr>
      <w:r>
        <w:t xml:space="preserve">Leigh-Hunt, N., </w:t>
      </w:r>
      <w:proofErr w:type="spellStart"/>
      <w:r>
        <w:t>Bagguley</w:t>
      </w:r>
      <w:proofErr w:type="spellEnd"/>
      <w:r>
        <w:t xml:space="preserve">, D., Bash, K., Turner, V., Turnbull, S., </w:t>
      </w:r>
      <w:proofErr w:type="spellStart"/>
      <w:r>
        <w:t>Valtorta</w:t>
      </w:r>
      <w:proofErr w:type="spellEnd"/>
      <w:r>
        <w:t xml:space="preserve">, N., &amp; </w:t>
      </w:r>
      <w:proofErr w:type="spellStart"/>
      <w:r>
        <w:t>Caan</w:t>
      </w:r>
      <w:proofErr w:type="spellEnd"/>
      <w:r>
        <w:t>, W. (2017). An overview of systematic reviews</w:t>
      </w:r>
      <w:r>
        <w:t xml:space="preserve"> on the public health consequences of social isolation and loneliness. </w:t>
      </w:r>
      <w:r>
        <w:rPr>
          <w:i/>
        </w:rPr>
        <w:t>Public Health, 152</w:t>
      </w:r>
      <w:r>
        <w:t xml:space="preserve">, 157-171. </w:t>
      </w:r>
    </w:p>
    <w:p w:rsidR="00353D8D" w:rsidRDefault="006667A9">
      <w:pPr>
        <w:ind w:left="705" w:right="159" w:hanging="720"/>
      </w:pPr>
      <w:proofErr w:type="spellStart"/>
      <w:r>
        <w:t>Lewnard</w:t>
      </w:r>
      <w:proofErr w:type="spellEnd"/>
      <w:r>
        <w:t xml:space="preserve">, J., &amp; Lo, N. (2020). </w:t>
      </w:r>
      <w:proofErr w:type="spellStart"/>
      <w:r>
        <w:t>Lewnard</w:t>
      </w:r>
      <w:proofErr w:type="spellEnd"/>
      <w:r>
        <w:t xml:space="preserve">, Joseph A., and Nathan C. Lo. "Scientific and ethical basis for social-distancing interventions against COVID-19. </w:t>
      </w:r>
      <w:r>
        <w:rPr>
          <w:i/>
        </w:rPr>
        <w:t>The</w:t>
      </w:r>
      <w:r>
        <w:rPr>
          <w:i/>
        </w:rPr>
        <w:t xml:space="preserve"> Lancet. Infectious diseases, 20</w:t>
      </w:r>
      <w:r>
        <w:t xml:space="preserve">(6), 631. </w:t>
      </w:r>
    </w:p>
    <w:p w:rsidR="00353D8D" w:rsidRDefault="006667A9">
      <w:pPr>
        <w:ind w:left="705" w:right="159" w:hanging="720"/>
      </w:pPr>
      <w:r>
        <w:t xml:space="preserve">Marks, E., McKenna, L., </w:t>
      </w:r>
      <w:proofErr w:type="spellStart"/>
      <w:r>
        <w:t>Hallsworth</w:t>
      </w:r>
      <w:proofErr w:type="spellEnd"/>
      <w:r>
        <w:t xml:space="preserve">, C., &amp; </w:t>
      </w:r>
      <w:proofErr w:type="spellStart"/>
      <w:r>
        <w:t>Schaette</w:t>
      </w:r>
      <w:proofErr w:type="spellEnd"/>
      <w:r>
        <w:t xml:space="preserve">, R. (2017). Mindfulness Based Cognitive Therapy for tinnitus: Results of a Randomized Controlled Trial. </w:t>
      </w:r>
      <w:r>
        <w:rPr>
          <w:i/>
        </w:rPr>
        <w:t xml:space="preserve">Journal of </w:t>
      </w:r>
    </w:p>
    <w:p w:rsidR="00353D8D" w:rsidRDefault="006667A9">
      <w:pPr>
        <w:spacing w:after="252" w:line="259" w:lineRule="auto"/>
        <w:ind w:left="715"/>
      </w:pPr>
      <w:r>
        <w:rPr>
          <w:i/>
        </w:rPr>
        <w:t>Hearing Science, 7</w:t>
      </w:r>
      <w:r>
        <w:t xml:space="preserve">(2), 112. </w:t>
      </w:r>
    </w:p>
    <w:p w:rsidR="00353D8D" w:rsidRDefault="006667A9">
      <w:pPr>
        <w:ind w:left="705" w:right="159" w:hanging="720"/>
      </w:pPr>
      <w:r>
        <w:t>McCormack, A., Ed</w:t>
      </w:r>
      <w:r>
        <w:t xml:space="preserve">mondson-Jones, M., Somerset, S., &amp; Hall, D. (2016). A systematic review of the reporting of tinnitus prevalence and severity. </w:t>
      </w:r>
      <w:r>
        <w:rPr>
          <w:i/>
        </w:rPr>
        <w:t>Hearing Research</w:t>
      </w:r>
      <w:r>
        <w:t xml:space="preserve">, 70-79. </w:t>
      </w:r>
    </w:p>
    <w:p w:rsidR="00353D8D" w:rsidRDefault="006667A9">
      <w:pPr>
        <w:ind w:left="705" w:right="159" w:hanging="720"/>
      </w:pPr>
      <w:proofErr w:type="spellStart"/>
      <w:r>
        <w:t>Mertens</w:t>
      </w:r>
      <w:proofErr w:type="spellEnd"/>
      <w:r>
        <w:t xml:space="preserve">, G., </w:t>
      </w:r>
      <w:proofErr w:type="spellStart"/>
      <w:r>
        <w:t>Gerritsen</w:t>
      </w:r>
      <w:proofErr w:type="spellEnd"/>
      <w:r>
        <w:t xml:space="preserve">, L., </w:t>
      </w:r>
      <w:proofErr w:type="spellStart"/>
      <w:r>
        <w:t>Duijndam</w:t>
      </w:r>
      <w:proofErr w:type="spellEnd"/>
      <w:r>
        <w:t xml:space="preserve">, S., </w:t>
      </w:r>
      <w:proofErr w:type="spellStart"/>
      <w:r>
        <w:t>Salemink</w:t>
      </w:r>
      <w:proofErr w:type="spellEnd"/>
      <w:r>
        <w:t xml:space="preserve">, E., &amp; Engelhard, I. (2020). Fear of the coronavirus </w:t>
      </w:r>
      <w:r>
        <w:t xml:space="preserve">(COVID-19): Predictors in an online study conducted in March 2020. </w:t>
      </w:r>
    </w:p>
    <w:p w:rsidR="00353D8D" w:rsidRDefault="006667A9">
      <w:pPr>
        <w:spacing w:after="252" w:line="259" w:lineRule="auto"/>
        <w:ind w:left="730" w:right="159"/>
      </w:pPr>
      <w:r>
        <w:rPr>
          <w:i/>
        </w:rPr>
        <w:t>Journal of Anxiety Disorders</w:t>
      </w:r>
      <w:r>
        <w:t xml:space="preserve">, https://doi.org/10.1016/j.janxdis.2020.102258. </w:t>
      </w:r>
    </w:p>
    <w:p w:rsidR="00353D8D" w:rsidRDefault="006667A9">
      <w:pPr>
        <w:ind w:left="705" w:right="159" w:hanging="720"/>
      </w:pPr>
      <w:r>
        <w:t xml:space="preserve">Munro, K., </w:t>
      </w:r>
      <w:proofErr w:type="spellStart"/>
      <w:r>
        <w:t>Uus</w:t>
      </w:r>
      <w:proofErr w:type="spellEnd"/>
      <w:r>
        <w:t xml:space="preserve">, K., </w:t>
      </w:r>
      <w:proofErr w:type="spellStart"/>
      <w:r>
        <w:t>Almufarrij</w:t>
      </w:r>
      <w:proofErr w:type="spellEnd"/>
      <w:r>
        <w:t xml:space="preserve">, I., Chaudhuri, N., &amp; </w:t>
      </w:r>
      <w:proofErr w:type="spellStart"/>
      <w:r>
        <w:t>Yioe</w:t>
      </w:r>
      <w:proofErr w:type="spellEnd"/>
      <w:r>
        <w:t>, V. (2020). Persistent self-reported changes in hear</w:t>
      </w:r>
      <w:r>
        <w:t xml:space="preserve">ing and tinnitus in post-hospitalisation COVID-19 cases. </w:t>
      </w:r>
      <w:r>
        <w:rPr>
          <w:i/>
        </w:rPr>
        <w:t xml:space="preserve">International </w:t>
      </w:r>
    </w:p>
    <w:p w:rsidR="00353D8D" w:rsidRDefault="006667A9">
      <w:pPr>
        <w:spacing w:after="252" w:line="259" w:lineRule="auto"/>
        <w:ind w:left="730" w:right="159"/>
      </w:pPr>
      <w:r>
        <w:rPr>
          <w:i/>
        </w:rPr>
        <w:t>Journal of Audiology</w:t>
      </w:r>
      <w:r>
        <w:t xml:space="preserve">. </w:t>
      </w:r>
      <w:proofErr w:type="spellStart"/>
      <w:r>
        <w:t>doi:https</w:t>
      </w:r>
      <w:proofErr w:type="spellEnd"/>
      <w:r>
        <w:t xml:space="preserve">://doi.org/10.1080/14992027.2020.1798519  </w:t>
      </w:r>
    </w:p>
    <w:p w:rsidR="00353D8D" w:rsidRDefault="006667A9">
      <w:pPr>
        <w:spacing w:after="253" w:line="259" w:lineRule="auto"/>
        <w:ind w:left="-5" w:right="159"/>
      </w:pPr>
      <w:proofErr w:type="spellStart"/>
      <w:r>
        <w:t>Mazurek</w:t>
      </w:r>
      <w:proofErr w:type="spellEnd"/>
      <w:r>
        <w:t xml:space="preserve">, B., </w:t>
      </w:r>
      <w:proofErr w:type="spellStart"/>
      <w:r>
        <w:t>Boecking</w:t>
      </w:r>
      <w:proofErr w:type="spellEnd"/>
      <w:r>
        <w:t xml:space="preserve">, B., &amp; </w:t>
      </w:r>
      <w:proofErr w:type="spellStart"/>
      <w:r>
        <w:t>Brueggemann</w:t>
      </w:r>
      <w:proofErr w:type="spellEnd"/>
      <w:r>
        <w:t xml:space="preserve">, P. (2019). Association </w:t>
      </w:r>
      <w:proofErr w:type="gramStart"/>
      <w:r>
        <w:t>Between</w:t>
      </w:r>
      <w:proofErr w:type="gramEnd"/>
      <w:r>
        <w:t xml:space="preserve"> Stress and </w:t>
      </w:r>
    </w:p>
    <w:p w:rsidR="00353D8D" w:rsidRDefault="006667A9">
      <w:pPr>
        <w:spacing w:line="259" w:lineRule="auto"/>
        <w:ind w:left="730" w:right="159"/>
      </w:pPr>
      <w:r>
        <w:t xml:space="preserve">Tinnitus—New Aspects. </w:t>
      </w:r>
      <w:r>
        <w:rPr>
          <w:i/>
        </w:rPr>
        <w:t>Oto</w:t>
      </w:r>
      <w:r>
        <w:rPr>
          <w:i/>
        </w:rPr>
        <w:t xml:space="preserve">logy &amp; </w:t>
      </w:r>
      <w:proofErr w:type="spellStart"/>
      <w:r>
        <w:rPr>
          <w:i/>
        </w:rPr>
        <w:t>Neurotology</w:t>
      </w:r>
      <w:proofErr w:type="spellEnd"/>
      <w:r>
        <w:rPr>
          <w:i/>
        </w:rPr>
        <w:t>, 40</w:t>
      </w:r>
      <w:r>
        <w:t xml:space="preserve">(4), e467-e473. </w:t>
      </w:r>
    </w:p>
    <w:p w:rsidR="00353D8D" w:rsidRDefault="006667A9">
      <w:pPr>
        <w:ind w:left="705" w:right="159" w:hanging="720"/>
      </w:pPr>
      <w:proofErr w:type="spellStart"/>
      <w:r>
        <w:lastRenderedPageBreak/>
        <w:t>Mazurek</w:t>
      </w:r>
      <w:proofErr w:type="spellEnd"/>
      <w:r>
        <w:t xml:space="preserve">, B., </w:t>
      </w:r>
      <w:proofErr w:type="spellStart"/>
      <w:r>
        <w:t>Haupt</w:t>
      </w:r>
      <w:proofErr w:type="spellEnd"/>
      <w:r>
        <w:t xml:space="preserve">, H., </w:t>
      </w:r>
      <w:proofErr w:type="spellStart"/>
      <w:r>
        <w:t>Olze</w:t>
      </w:r>
      <w:proofErr w:type="spellEnd"/>
      <w:r>
        <w:t xml:space="preserve">, H., &amp; </w:t>
      </w:r>
      <w:proofErr w:type="spellStart"/>
      <w:r>
        <w:t>Szczepek</w:t>
      </w:r>
      <w:proofErr w:type="spellEnd"/>
      <w:r>
        <w:t xml:space="preserve">, A. (2012). Stress and tinnitus—from bedside to bench and back. </w:t>
      </w:r>
      <w:proofErr w:type="spellStart"/>
      <w:r>
        <w:rPr>
          <w:i/>
        </w:rPr>
        <w:t>Fronteiers</w:t>
      </w:r>
      <w:proofErr w:type="spellEnd"/>
      <w:r>
        <w:rPr>
          <w:i/>
        </w:rPr>
        <w:t xml:space="preserve"> in Systems Neuroscience, 11</w:t>
      </w:r>
      <w:r>
        <w:t xml:space="preserve">(6), 47. </w:t>
      </w:r>
    </w:p>
    <w:p w:rsidR="00353D8D" w:rsidRDefault="006667A9">
      <w:pPr>
        <w:spacing w:after="0" w:line="476" w:lineRule="auto"/>
        <w:ind w:left="720" w:hanging="720"/>
      </w:pPr>
      <w:proofErr w:type="spellStart"/>
      <w:r>
        <w:rPr>
          <w:shd w:val="clear" w:color="auto" w:fill="FCFCFC"/>
        </w:rPr>
        <w:t>Mazurek</w:t>
      </w:r>
      <w:proofErr w:type="spellEnd"/>
      <w:r>
        <w:rPr>
          <w:shd w:val="clear" w:color="auto" w:fill="FCFCFC"/>
        </w:rPr>
        <w:t xml:space="preserve">, B., </w:t>
      </w:r>
      <w:proofErr w:type="spellStart"/>
      <w:r>
        <w:rPr>
          <w:shd w:val="clear" w:color="auto" w:fill="FCFCFC"/>
        </w:rPr>
        <w:t>Szczepek</w:t>
      </w:r>
      <w:proofErr w:type="spellEnd"/>
      <w:r>
        <w:rPr>
          <w:shd w:val="clear" w:color="auto" w:fill="FCFCFC"/>
        </w:rPr>
        <w:t xml:space="preserve">, A. &amp; Hebert, S. Stress and tinnitus. </w:t>
      </w:r>
      <w:r>
        <w:rPr>
          <w:i/>
          <w:shd w:val="clear" w:color="auto" w:fill="FCFCFC"/>
        </w:rPr>
        <w:t>HNO</w:t>
      </w:r>
      <w:r>
        <w:rPr>
          <w:shd w:val="clear" w:color="auto" w:fill="FCFCFC"/>
        </w:rPr>
        <w:t xml:space="preserve"> </w:t>
      </w:r>
      <w:r>
        <w:rPr>
          <w:b/>
          <w:shd w:val="clear" w:color="auto" w:fill="FCFCFC"/>
        </w:rPr>
        <w:t xml:space="preserve">63, </w:t>
      </w:r>
      <w:r>
        <w:rPr>
          <w:shd w:val="clear" w:color="auto" w:fill="FCFCFC"/>
        </w:rPr>
        <w:t>258–265 (2015).</w:t>
      </w:r>
      <w:r>
        <w:t xml:space="preserve">  </w:t>
      </w:r>
      <w:r>
        <w:rPr>
          <w:shd w:val="clear" w:color="auto" w:fill="FCFCFC"/>
        </w:rPr>
        <w:t>https://doi.org/10.1007/s00106-014-2973-7.</w:t>
      </w:r>
      <w:r>
        <w:t xml:space="preserve"> </w:t>
      </w:r>
    </w:p>
    <w:p w:rsidR="00353D8D" w:rsidRDefault="006667A9">
      <w:pPr>
        <w:ind w:left="705" w:right="159" w:hanging="720"/>
      </w:pPr>
      <w:r>
        <w:t xml:space="preserve">Newman, C., Jacobson, G., &amp; Spitzer, J. (1996). Development of the tinnitus handicap inventory. </w:t>
      </w:r>
      <w:r>
        <w:rPr>
          <w:i/>
        </w:rPr>
        <w:t>Archives of Otolaryngology–Head &amp; Neck Surgery, 122</w:t>
      </w:r>
      <w:r>
        <w:t xml:space="preserve">(2), 143-148. </w:t>
      </w:r>
    </w:p>
    <w:p w:rsidR="00353D8D" w:rsidRDefault="006667A9">
      <w:pPr>
        <w:ind w:left="705" w:right="159" w:hanging="720"/>
      </w:pPr>
      <w:r>
        <w:t xml:space="preserve">Newman, C. W., </w:t>
      </w:r>
      <w:proofErr w:type="spellStart"/>
      <w:r>
        <w:t>Sandridge</w:t>
      </w:r>
      <w:proofErr w:type="spellEnd"/>
      <w:r>
        <w:t>,</w:t>
      </w:r>
      <w:r>
        <w:t xml:space="preserve"> S. A., &amp; </w:t>
      </w:r>
      <w:proofErr w:type="spellStart"/>
      <w:r>
        <w:t>Bolek</w:t>
      </w:r>
      <w:proofErr w:type="spellEnd"/>
      <w:r>
        <w:t xml:space="preserve">, L. (2008). Development and </w:t>
      </w:r>
      <w:proofErr w:type="gramStart"/>
      <w:r>
        <w:t>psychometric  adequacy</w:t>
      </w:r>
      <w:proofErr w:type="gramEnd"/>
      <w:r>
        <w:t xml:space="preserve"> of the screening version of the tinnitus handicap inventory. </w:t>
      </w:r>
      <w:r>
        <w:rPr>
          <w:i/>
        </w:rPr>
        <w:t xml:space="preserve">Otology </w:t>
      </w:r>
      <w:proofErr w:type="gramStart"/>
      <w:r>
        <w:rPr>
          <w:i/>
        </w:rPr>
        <w:t xml:space="preserve">&amp;  </w:t>
      </w:r>
      <w:proofErr w:type="spellStart"/>
      <w:r>
        <w:rPr>
          <w:i/>
        </w:rPr>
        <w:t>Neurotology</w:t>
      </w:r>
      <w:proofErr w:type="spellEnd"/>
      <w:proofErr w:type="gramEnd"/>
      <w:r>
        <w:t xml:space="preserve">, </w:t>
      </w:r>
      <w:r>
        <w:rPr>
          <w:i/>
        </w:rPr>
        <w:t>29</w:t>
      </w:r>
      <w:r>
        <w:t xml:space="preserve">(3), 276-281. </w:t>
      </w:r>
    </w:p>
    <w:p w:rsidR="00353D8D" w:rsidRDefault="006667A9">
      <w:pPr>
        <w:ind w:left="705" w:right="159" w:hanging="720"/>
      </w:pPr>
      <w:r>
        <w:t xml:space="preserve">Pan, T., Tyler, R., Ji, H., Coelho, C., &amp; </w:t>
      </w:r>
      <w:proofErr w:type="spellStart"/>
      <w:r>
        <w:t>Gogel</w:t>
      </w:r>
      <w:proofErr w:type="spellEnd"/>
      <w:r>
        <w:t xml:space="preserve">, S. (2015). Differences </w:t>
      </w:r>
      <w:proofErr w:type="gramStart"/>
      <w:r>
        <w:t>Among</w:t>
      </w:r>
      <w:proofErr w:type="gramEnd"/>
      <w:r>
        <w:t xml:space="preserve"> Patients </w:t>
      </w:r>
      <w:r>
        <w:t xml:space="preserve">That Make Their Tinnitus Worse or Better. </w:t>
      </w:r>
      <w:r>
        <w:rPr>
          <w:i/>
        </w:rPr>
        <w:t>American Journal of Audiology, 24</w:t>
      </w:r>
      <w:r>
        <w:t xml:space="preserve">(4), 469476. </w:t>
      </w:r>
    </w:p>
    <w:p w:rsidR="00353D8D" w:rsidRDefault="006667A9">
      <w:pPr>
        <w:ind w:left="705" w:right="159" w:hanging="720"/>
      </w:pPr>
      <w:proofErr w:type="spellStart"/>
      <w:r>
        <w:t>Prayuenyong</w:t>
      </w:r>
      <w:proofErr w:type="spellEnd"/>
      <w:r>
        <w:t xml:space="preserve">, P., </w:t>
      </w:r>
      <w:proofErr w:type="spellStart"/>
      <w:r>
        <w:t>Kasbekar</w:t>
      </w:r>
      <w:proofErr w:type="spellEnd"/>
      <w:r>
        <w:t xml:space="preserve">, A., &amp; </w:t>
      </w:r>
      <w:proofErr w:type="spellStart"/>
      <w:r>
        <w:t>Baguley</w:t>
      </w:r>
      <w:proofErr w:type="spellEnd"/>
      <w:r>
        <w:t xml:space="preserve">, D. (2020). Clinical Implications of Chloroquine and </w:t>
      </w:r>
      <w:proofErr w:type="spellStart"/>
      <w:r>
        <w:t>Hydroxychloroquine</w:t>
      </w:r>
      <w:proofErr w:type="spellEnd"/>
      <w:r>
        <w:t xml:space="preserve"> Ototoxicity for COVID-19 Treatment: A Mini-Review. </w:t>
      </w:r>
    </w:p>
    <w:p w:rsidR="00353D8D" w:rsidRDefault="006667A9">
      <w:pPr>
        <w:spacing w:after="252" w:line="259" w:lineRule="auto"/>
        <w:ind w:left="730" w:right="159"/>
      </w:pPr>
      <w:r>
        <w:rPr>
          <w:i/>
        </w:rPr>
        <w:t>Frontiers in Public Heath</w:t>
      </w:r>
      <w:r>
        <w:t xml:space="preserve">, https://doi.org/10.3389/fpubh.2020.00252. </w:t>
      </w:r>
    </w:p>
    <w:p w:rsidR="00353D8D" w:rsidRDefault="006667A9">
      <w:pPr>
        <w:ind w:left="705" w:right="159" w:hanging="720"/>
      </w:pPr>
      <w:r>
        <w:t xml:space="preserve">Salazar, J., </w:t>
      </w:r>
      <w:proofErr w:type="spellStart"/>
      <w:r>
        <w:t>Meisel</w:t>
      </w:r>
      <w:proofErr w:type="spellEnd"/>
      <w:r>
        <w:t xml:space="preserve">, K., Smith, E., </w:t>
      </w:r>
      <w:proofErr w:type="spellStart"/>
      <w:r>
        <w:t>Quiggle</w:t>
      </w:r>
      <w:proofErr w:type="spellEnd"/>
      <w:r>
        <w:t xml:space="preserve">, A., McCoy, D., &amp; </w:t>
      </w:r>
      <w:proofErr w:type="spellStart"/>
      <w:r>
        <w:t>Amans</w:t>
      </w:r>
      <w:proofErr w:type="spellEnd"/>
      <w:r>
        <w:t xml:space="preserve">, M. (2019). Depression in Patients with Tinnitus: A Systematic Review. </w:t>
      </w:r>
      <w:r>
        <w:rPr>
          <w:i/>
        </w:rPr>
        <w:t>Otolaryngology–Head and Neck Surgery, 16</w:t>
      </w:r>
      <w:r>
        <w:t>(1), 28</w:t>
      </w:r>
      <w:r>
        <w:t xml:space="preserve">-35. </w:t>
      </w:r>
    </w:p>
    <w:p w:rsidR="00353D8D" w:rsidRDefault="006667A9">
      <w:pPr>
        <w:spacing w:after="252" w:line="259" w:lineRule="auto"/>
        <w:ind w:left="-5" w:right="159"/>
      </w:pPr>
      <w:proofErr w:type="spellStart"/>
      <w:r>
        <w:t>Schlee</w:t>
      </w:r>
      <w:proofErr w:type="spellEnd"/>
      <w:r>
        <w:t xml:space="preserve">, W., </w:t>
      </w:r>
      <w:proofErr w:type="spellStart"/>
      <w:r>
        <w:t>Hølleland</w:t>
      </w:r>
      <w:proofErr w:type="spellEnd"/>
      <w:r>
        <w:t xml:space="preserve">, S.; Bulla, J.; </w:t>
      </w:r>
      <w:proofErr w:type="spellStart"/>
      <w:r>
        <w:t>Simoes</w:t>
      </w:r>
      <w:proofErr w:type="spellEnd"/>
      <w:r>
        <w:t xml:space="preserve">, J.; Neff, P.; </w:t>
      </w:r>
      <w:proofErr w:type="spellStart"/>
      <w:r>
        <w:t>Schoisswohl</w:t>
      </w:r>
      <w:proofErr w:type="spellEnd"/>
      <w:r>
        <w:t xml:space="preserve">, S.; </w:t>
      </w:r>
      <w:proofErr w:type="spellStart"/>
      <w:r>
        <w:t>Woelflick</w:t>
      </w:r>
      <w:proofErr w:type="spellEnd"/>
      <w:r>
        <w:t xml:space="preserve">, S.;  </w:t>
      </w:r>
    </w:p>
    <w:p w:rsidR="00353D8D" w:rsidRDefault="006667A9">
      <w:pPr>
        <w:ind w:left="730" w:right="159"/>
      </w:pPr>
      <w:proofErr w:type="spellStart"/>
      <w:r>
        <w:t>Schecklmann</w:t>
      </w:r>
      <w:proofErr w:type="spellEnd"/>
      <w:r>
        <w:t xml:space="preserve">, M.; Schiller, A.; Staudinger, S.; Probst, T.; </w:t>
      </w:r>
      <w:proofErr w:type="spellStart"/>
      <w:r>
        <w:t>Langguth</w:t>
      </w:r>
      <w:proofErr w:type="spellEnd"/>
      <w:r>
        <w:t xml:space="preserve">, B. The Effect of Environmental Stressors on Tinnitus: A Prospective Longitudinal Study </w:t>
      </w:r>
      <w:r>
        <w:t xml:space="preserve">on the Impact of the COVID-19 Pandemic. </w:t>
      </w:r>
      <w:r>
        <w:rPr>
          <w:i/>
        </w:rPr>
        <w:t xml:space="preserve">J. </w:t>
      </w:r>
      <w:proofErr w:type="spellStart"/>
      <w:r>
        <w:rPr>
          <w:i/>
        </w:rPr>
        <w:t>Clin</w:t>
      </w:r>
      <w:proofErr w:type="spellEnd"/>
      <w:r>
        <w:rPr>
          <w:i/>
        </w:rPr>
        <w:t>. Med.</w:t>
      </w:r>
      <w:r>
        <w:t xml:space="preserve"> </w:t>
      </w:r>
      <w:r>
        <w:rPr>
          <w:b/>
        </w:rPr>
        <w:t>2020</w:t>
      </w:r>
      <w:r>
        <w:t xml:space="preserve">, </w:t>
      </w:r>
      <w:r>
        <w:rPr>
          <w:i/>
        </w:rPr>
        <w:t>9</w:t>
      </w:r>
      <w:r>
        <w:t xml:space="preserve">, 2756. </w:t>
      </w:r>
    </w:p>
    <w:p w:rsidR="00353D8D" w:rsidRDefault="006667A9">
      <w:pPr>
        <w:ind w:left="705" w:right="159" w:hanging="720"/>
      </w:pPr>
      <w:proofErr w:type="spellStart"/>
      <w:r>
        <w:t>Shargorodsky</w:t>
      </w:r>
      <w:proofErr w:type="spellEnd"/>
      <w:r>
        <w:t xml:space="preserve">, J., </w:t>
      </w:r>
      <w:proofErr w:type="spellStart"/>
      <w:r>
        <w:t>Curhan</w:t>
      </w:r>
      <w:proofErr w:type="spellEnd"/>
      <w:r>
        <w:t xml:space="preserve">, G., &amp; Farwell, W. (2010). Prevalence and characteristics of tinnitus among US adults. </w:t>
      </w:r>
      <w:r>
        <w:rPr>
          <w:i/>
        </w:rPr>
        <w:t>The American Journal of Medicine</w:t>
      </w:r>
      <w:r>
        <w:t xml:space="preserve">, 711-718. </w:t>
      </w:r>
    </w:p>
    <w:p w:rsidR="00353D8D" w:rsidRDefault="006667A9">
      <w:pPr>
        <w:spacing w:after="281" w:line="259" w:lineRule="auto"/>
        <w:ind w:left="-5" w:right="159"/>
      </w:pPr>
      <w:proofErr w:type="spellStart"/>
      <w:r>
        <w:t>Sohrabi</w:t>
      </w:r>
      <w:proofErr w:type="spellEnd"/>
      <w:r>
        <w:t xml:space="preserve">, C., </w:t>
      </w:r>
      <w:proofErr w:type="spellStart"/>
      <w:r>
        <w:t>Alsafi</w:t>
      </w:r>
      <w:proofErr w:type="spellEnd"/>
      <w:r>
        <w:t>, Z., O'Nei</w:t>
      </w:r>
      <w:r>
        <w:t xml:space="preserve">ll, N., Khan, M., </w:t>
      </w:r>
      <w:proofErr w:type="spellStart"/>
      <w:r>
        <w:t>Kerwan</w:t>
      </w:r>
      <w:proofErr w:type="spellEnd"/>
      <w:r>
        <w:t xml:space="preserve">, M., Al-Jabir, A., &amp; Agha, R. (2020). </w:t>
      </w:r>
    </w:p>
    <w:p w:rsidR="00353D8D" w:rsidRDefault="006667A9">
      <w:pPr>
        <w:spacing w:after="252" w:line="259" w:lineRule="auto"/>
        <w:ind w:left="730" w:right="159"/>
      </w:pPr>
      <w:proofErr w:type="spellStart"/>
      <w:r>
        <w:t>Sohrabi</w:t>
      </w:r>
      <w:proofErr w:type="spellEnd"/>
      <w:r>
        <w:t xml:space="preserve">, C., </w:t>
      </w:r>
      <w:proofErr w:type="spellStart"/>
      <w:r>
        <w:t>Alsafi</w:t>
      </w:r>
      <w:proofErr w:type="spellEnd"/>
      <w:r>
        <w:t xml:space="preserve">, Z., O’Neill, N., Khan, M., </w:t>
      </w:r>
      <w:proofErr w:type="spellStart"/>
      <w:r>
        <w:t>Kerwan</w:t>
      </w:r>
      <w:proofErr w:type="spellEnd"/>
      <w:r>
        <w:t>, A., Al-Jabir, A</w:t>
      </w:r>
      <w:proofErr w:type="gramStart"/>
      <w:r>
        <w:t>., ...</w:t>
      </w:r>
      <w:proofErr w:type="gramEnd"/>
      <w:r>
        <w:t xml:space="preserve"> &amp; Agha, </w:t>
      </w:r>
    </w:p>
    <w:p w:rsidR="00353D8D" w:rsidRDefault="006667A9">
      <w:pPr>
        <w:ind w:left="730" w:right="159"/>
      </w:pPr>
      <w:r>
        <w:lastRenderedPageBreak/>
        <w:t xml:space="preserve">R. (2020). World Health Organization declares global </w:t>
      </w:r>
      <w:proofErr w:type="gramStart"/>
      <w:r>
        <w:t>emergency:</w:t>
      </w:r>
      <w:proofErr w:type="gramEnd"/>
      <w:r>
        <w:t xml:space="preserve"> A review of the 2019 novel coronavirus (C</w:t>
      </w:r>
      <w:r>
        <w:t xml:space="preserve">OVID-19). International Journal of Surgery. </w:t>
      </w:r>
      <w:r>
        <w:rPr>
          <w:i/>
        </w:rPr>
        <w:t>International Journal of Surgery</w:t>
      </w:r>
      <w:r>
        <w:t xml:space="preserve">. </w:t>
      </w:r>
    </w:p>
    <w:p w:rsidR="00353D8D" w:rsidRDefault="006667A9">
      <w:pPr>
        <w:spacing w:after="252" w:line="259" w:lineRule="auto"/>
        <w:ind w:left="-5" w:right="159"/>
      </w:pPr>
      <w:r>
        <w:t xml:space="preserve">Stockdale, D., </w:t>
      </w:r>
      <w:proofErr w:type="spellStart"/>
      <w:r>
        <w:t>McFerran</w:t>
      </w:r>
      <w:proofErr w:type="spellEnd"/>
      <w:r>
        <w:t xml:space="preserve">, D., Brazier, P., Pritchard, C., Kay, T., </w:t>
      </w:r>
      <w:proofErr w:type="spellStart"/>
      <w:r>
        <w:t>Dowrick</w:t>
      </w:r>
      <w:proofErr w:type="spellEnd"/>
      <w:r>
        <w:t xml:space="preserve">, C., &amp; Hoare, D. </w:t>
      </w:r>
    </w:p>
    <w:p w:rsidR="00353D8D" w:rsidRDefault="006667A9">
      <w:pPr>
        <w:spacing w:after="252" w:line="259" w:lineRule="auto"/>
        <w:ind w:left="730" w:right="159"/>
      </w:pPr>
      <w:r>
        <w:t xml:space="preserve">(2017). </w:t>
      </w:r>
      <w:proofErr w:type="gramStart"/>
      <w:r>
        <w:t>An</w:t>
      </w:r>
      <w:proofErr w:type="gramEnd"/>
      <w:r>
        <w:t xml:space="preserve"> economic evaluation of the healthcare cost of tinnitus management in the </w:t>
      </w:r>
    </w:p>
    <w:p w:rsidR="00353D8D" w:rsidRDefault="006667A9">
      <w:pPr>
        <w:spacing w:after="252" w:line="259" w:lineRule="auto"/>
        <w:ind w:left="715"/>
      </w:pPr>
      <w:r>
        <w:t xml:space="preserve">UK. </w:t>
      </w:r>
      <w:r>
        <w:rPr>
          <w:i/>
        </w:rPr>
        <w:t xml:space="preserve">An economic evaluation of the healthcare cost of tinnitus management in the </w:t>
      </w:r>
    </w:p>
    <w:p w:rsidR="00353D8D" w:rsidRDefault="006667A9">
      <w:pPr>
        <w:spacing w:after="252" w:line="259" w:lineRule="auto"/>
        <w:ind w:left="730" w:right="159"/>
      </w:pPr>
      <w:proofErr w:type="gramStart"/>
      <w:r>
        <w:rPr>
          <w:i/>
        </w:rPr>
        <w:t>UK.,</w:t>
      </w:r>
      <w:proofErr w:type="gramEnd"/>
      <w:r>
        <w:rPr>
          <w:i/>
        </w:rPr>
        <w:t xml:space="preserve"> 17</w:t>
      </w:r>
      <w:r>
        <w:t xml:space="preserve">(1), 1-9. </w:t>
      </w:r>
      <w:proofErr w:type="spellStart"/>
      <w:r>
        <w:t>doi:https</w:t>
      </w:r>
      <w:proofErr w:type="spellEnd"/>
      <w:r>
        <w:t xml:space="preserve">://doi.org/10.1186/s12913-017-2527-2 </w:t>
      </w:r>
    </w:p>
    <w:p w:rsidR="00353D8D" w:rsidRDefault="006667A9">
      <w:pPr>
        <w:ind w:left="705" w:right="159" w:hanging="720"/>
      </w:pPr>
      <w:proofErr w:type="spellStart"/>
      <w:r>
        <w:t>Stohler</w:t>
      </w:r>
      <w:proofErr w:type="spellEnd"/>
      <w:r>
        <w:t xml:space="preserve">, N., </w:t>
      </w:r>
      <w:proofErr w:type="spellStart"/>
      <w:r>
        <w:t>Reinau</w:t>
      </w:r>
      <w:proofErr w:type="spellEnd"/>
      <w:r>
        <w:t xml:space="preserve">, D., </w:t>
      </w:r>
      <w:proofErr w:type="spellStart"/>
      <w:r>
        <w:t>Jick</w:t>
      </w:r>
      <w:proofErr w:type="spellEnd"/>
      <w:r>
        <w:t xml:space="preserve">, S., </w:t>
      </w:r>
      <w:proofErr w:type="spellStart"/>
      <w:r>
        <w:t>Bodmer</w:t>
      </w:r>
      <w:proofErr w:type="spellEnd"/>
      <w:r>
        <w:t xml:space="preserve">, D., &amp; Meier, C. (2019). A study on the epidemiology of tinnitus in the United Kingdom. </w:t>
      </w:r>
      <w:r>
        <w:rPr>
          <w:i/>
        </w:rPr>
        <w:t>Clinical Epidemiology, 11</w:t>
      </w:r>
      <w:r>
        <w:t xml:space="preserve">, 855-871. </w:t>
      </w:r>
    </w:p>
    <w:p w:rsidR="00353D8D" w:rsidRDefault="006667A9">
      <w:pPr>
        <w:ind w:left="705" w:right="159" w:hanging="720"/>
      </w:pPr>
      <w:proofErr w:type="spellStart"/>
      <w:r>
        <w:t>Trevis</w:t>
      </w:r>
      <w:proofErr w:type="spellEnd"/>
      <w:r>
        <w:t xml:space="preserve">, K., McLachlan, N., &amp; </w:t>
      </w:r>
      <w:proofErr w:type="spellStart"/>
      <w:r>
        <w:t>Wlison</w:t>
      </w:r>
      <w:proofErr w:type="spellEnd"/>
      <w:r>
        <w:t xml:space="preserve">, S. (2018). A systematic review and meta-analysis of </w:t>
      </w:r>
      <w:r>
        <w:t xml:space="preserve">psychological functioning in chronic tinnitus. </w:t>
      </w:r>
      <w:r>
        <w:rPr>
          <w:i/>
        </w:rPr>
        <w:t>Clinical Psychology Review, 60</w:t>
      </w:r>
      <w:r>
        <w:t xml:space="preserve">, 62-86. </w:t>
      </w:r>
    </w:p>
    <w:p w:rsidR="00353D8D" w:rsidRDefault="006667A9">
      <w:pPr>
        <w:ind w:left="705" w:right="159" w:hanging="720"/>
      </w:pPr>
      <w:proofErr w:type="spellStart"/>
      <w:r>
        <w:t>Taherdoost</w:t>
      </w:r>
      <w:proofErr w:type="spellEnd"/>
      <w:r>
        <w:t xml:space="preserve">, H. (2016). Validity and reliability of the research instrument; how to test </w:t>
      </w:r>
      <w:proofErr w:type="gramStart"/>
      <w:r>
        <w:t>the  validation</w:t>
      </w:r>
      <w:proofErr w:type="gramEnd"/>
      <w:r>
        <w:t xml:space="preserve"> of a questionnaire/survey in a research. </w:t>
      </w:r>
      <w:r>
        <w:rPr>
          <w:i/>
        </w:rPr>
        <w:t>How to Test the Validati</w:t>
      </w:r>
      <w:r>
        <w:rPr>
          <w:i/>
        </w:rPr>
        <w:t xml:space="preserve">on of a  </w:t>
      </w:r>
    </w:p>
    <w:p w:rsidR="00353D8D" w:rsidRDefault="006667A9">
      <w:pPr>
        <w:spacing w:after="252" w:line="259" w:lineRule="auto"/>
        <w:ind w:left="715"/>
      </w:pPr>
      <w:r>
        <w:rPr>
          <w:i/>
        </w:rPr>
        <w:t>Questionnaire/Survey in a Research (August 10, 2016)</w:t>
      </w:r>
      <w:r>
        <w:t xml:space="preserve">.v </w:t>
      </w:r>
    </w:p>
    <w:p w:rsidR="00353D8D" w:rsidRDefault="006667A9">
      <w:pPr>
        <w:ind w:left="705" w:right="159" w:hanging="720"/>
      </w:pPr>
      <w:proofErr w:type="spellStart"/>
      <w:r>
        <w:t>Venkatesh</w:t>
      </w:r>
      <w:proofErr w:type="spellEnd"/>
      <w:r>
        <w:t xml:space="preserve">, A., &amp; </w:t>
      </w:r>
      <w:proofErr w:type="spellStart"/>
      <w:r>
        <w:t>Edirappuli</w:t>
      </w:r>
      <w:proofErr w:type="spellEnd"/>
      <w:r>
        <w:t xml:space="preserve">, S. (2020). </w:t>
      </w:r>
      <w:proofErr w:type="spellStart"/>
      <w:r>
        <w:t>Venkatesh</w:t>
      </w:r>
      <w:proofErr w:type="spellEnd"/>
      <w:r>
        <w:t xml:space="preserve">, A., &amp; </w:t>
      </w:r>
      <w:proofErr w:type="spellStart"/>
      <w:r>
        <w:t>Edirappuli</w:t>
      </w:r>
      <w:proofErr w:type="spellEnd"/>
      <w:r>
        <w:t xml:space="preserve">, S. (2020). Social distancing in covid-19: what are the mental health implications? </w:t>
      </w:r>
      <w:r>
        <w:rPr>
          <w:i/>
        </w:rPr>
        <w:t xml:space="preserve">British Medical </w:t>
      </w:r>
    </w:p>
    <w:p w:rsidR="00353D8D" w:rsidRDefault="006667A9">
      <w:pPr>
        <w:spacing w:after="252" w:line="259" w:lineRule="auto"/>
        <w:ind w:left="715"/>
      </w:pPr>
      <w:r>
        <w:rPr>
          <w:i/>
        </w:rPr>
        <w:t>Journal</w:t>
      </w:r>
      <w:r>
        <w:t xml:space="preserve">, 369. </w:t>
      </w:r>
    </w:p>
    <w:p w:rsidR="00353D8D" w:rsidRDefault="006667A9">
      <w:pPr>
        <w:ind w:left="705" w:right="159" w:hanging="720"/>
      </w:pPr>
      <w:proofErr w:type="spellStart"/>
      <w:r>
        <w:t>Vindeg</w:t>
      </w:r>
      <w:r>
        <w:t>aard</w:t>
      </w:r>
      <w:proofErr w:type="spellEnd"/>
      <w:r>
        <w:t xml:space="preserve">, N., &amp; </w:t>
      </w:r>
      <w:proofErr w:type="spellStart"/>
      <w:r>
        <w:t>Benros</w:t>
      </w:r>
      <w:proofErr w:type="spellEnd"/>
      <w:r>
        <w:t xml:space="preserve">, M. (2020). COVID-19 pandemic and mental health consequences: Systematic review of the current evidence. </w:t>
      </w:r>
      <w:r>
        <w:rPr>
          <w:i/>
        </w:rPr>
        <w:t xml:space="preserve">Brain, </w:t>
      </w:r>
      <w:proofErr w:type="spellStart"/>
      <w:r>
        <w:rPr>
          <w:i/>
        </w:rPr>
        <w:t>Behavior</w:t>
      </w:r>
      <w:proofErr w:type="spellEnd"/>
      <w:r>
        <w:rPr>
          <w:i/>
        </w:rPr>
        <w:t>, and Immunity</w:t>
      </w:r>
      <w:r>
        <w:t xml:space="preserve">, https://doi.org/10.1016/j.bbi.2020.05.048. </w:t>
      </w:r>
    </w:p>
    <w:p w:rsidR="00353D8D" w:rsidRDefault="006667A9">
      <w:pPr>
        <w:ind w:left="705" w:right="159" w:hanging="720"/>
      </w:pPr>
      <w:r>
        <w:t xml:space="preserve">World Health Organization. (2020). </w:t>
      </w:r>
      <w:r>
        <w:rPr>
          <w:i/>
        </w:rPr>
        <w:t>Coronavirus disease 20</w:t>
      </w:r>
      <w:r>
        <w:rPr>
          <w:i/>
        </w:rPr>
        <w:t xml:space="preserve">19 </w:t>
      </w:r>
      <w:proofErr w:type="gramStart"/>
      <w:r>
        <w:rPr>
          <w:i/>
        </w:rPr>
        <w:t>( COVID</w:t>
      </w:r>
      <w:proofErr w:type="gramEnd"/>
      <w:r>
        <w:rPr>
          <w:i/>
        </w:rPr>
        <w:t>-19): situation report.</w:t>
      </w:r>
      <w:r>
        <w:t xml:space="preserve"> Geneva, Switzerland: WHO. </w:t>
      </w:r>
      <w:proofErr w:type="spellStart"/>
      <w:r>
        <w:t>Tratto</w:t>
      </w:r>
      <w:proofErr w:type="spellEnd"/>
      <w:r>
        <w:t xml:space="preserve"> da https://www.worldometers.info/coronavirus/ </w:t>
      </w:r>
    </w:p>
    <w:p w:rsidR="00353D8D" w:rsidRDefault="006667A9">
      <w:pPr>
        <w:ind w:left="705" w:right="159" w:hanging="720"/>
      </w:pPr>
      <w:proofErr w:type="spellStart"/>
      <w:r>
        <w:lastRenderedPageBreak/>
        <w:t>Zenner</w:t>
      </w:r>
      <w:proofErr w:type="spellEnd"/>
      <w:r>
        <w:t xml:space="preserve">, H., </w:t>
      </w:r>
      <w:proofErr w:type="spellStart"/>
      <w:r>
        <w:t>Delb</w:t>
      </w:r>
      <w:proofErr w:type="spellEnd"/>
      <w:r>
        <w:t xml:space="preserve">, W., </w:t>
      </w:r>
      <w:proofErr w:type="spellStart"/>
      <w:r>
        <w:t>Kröner</w:t>
      </w:r>
      <w:proofErr w:type="spellEnd"/>
      <w:r>
        <w:t>-</w:t>
      </w:r>
      <w:proofErr w:type="gramStart"/>
      <w:r>
        <w:t>Herwig ,</w:t>
      </w:r>
      <w:proofErr w:type="gramEnd"/>
      <w:r>
        <w:t xml:space="preserve"> B., </w:t>
      </w:r>
      <w:proofErr w:type="spellStart"/>
      <w:r>
        <w:t>Jäger</w:t>
      </w:r>
      <w:proofErr w:type="spellEnd"/>
      <w:r>
        <w:t xml:space="preserve">, B., </w:t>
      </w:r>
      <w:proofErr w:type="spellStart"/>
      <w:r>
        <w:t>Peroz</w:t>
      </w:r>
      <w:proofErr w:type="spellEnd"/>
      <w:r>
        <w:t xml:space="preserve">, I., Hesse, G., &amp; </w:t>
      </w:r>
      <w:proofErr w:type="spellStart"/>
      <w:r>
        <w:t>Mazurek</w:t>
      </w:r>
      <w:proofErr w:type="spellEnd"/>
      <w:r>
        <w:t xml:space="preserve">, B. (2017). A multidisciplinary systematic review of the </w:t>
      </w:r>
      <w:r>
        <w:t xml:space="preserve">treatment for chronic idiopathic tinnitus. </w:t>
      </w:r>
      <w:r>
        <w:rPr>
          <w:i/>
        </w:rPr>
        <w:t>European Archives of Oto-Rhino-Laryngology, 274</w:t>
      </w:r>
      <w:r>
        <w:t xml:space="preserve">(5), 2079-2091. </w:t>
      </w:r>
    </w:p>
    <w:p w:rsidR="00353D8D" w:rsidRDefault="006667A9">
      <w:pPr>
        <w:spacing w:after="252" w:line="259" w:lineRule="auto"/>
        <w:ind w:left="0" w:firstLine="0"/>
      </w:pPr>
      <w:r>
        <w:t xml:space="preserve"> </w:t>
      </w:r>
    </w:p>
    <w:p w:rsidR="00353D8D" w:rsidRDefault="006667A9">
      <w:pPr>
        <w:spacing w:after="252" w:line="259" w:lineRule="auto"/>
        <w:ind w:left="0" w:firstLine="0"/>
      </w:pPr>
      <w:r>
        <w:t xml:space="preserve"> </w:t>
      </w:r>
    </w:p>
    <w:p w:rsidR="00353D8D" w:rsidRDefault="006667A9">
      <w:pPr>
        <w:spacing w:after="0" w:line="259" w:lineRule="auto"/>
        <w:ind w:left="0" w:firstLine="0"/>
      </w:pPr>
      <w:r>
        <w:t xml:space="preserve"> </w:t>
      </w:r>
    </w:p>
    <w:sectPr w:rsidR="00353D8D">
      <w:footerReference w:type="even" r:id="rId17"/>
      <w:footerReference w:type="default" r:id="rId18"/>
      <w:footerReference w:type="first" r:id="rId19"/>
      <w:pgSz w:w="11899" w:h="16841"/>
      <w:pgMar w:top="1440" w:right="1277" w:bottom="1488" w:left="1440" w:header="720"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667A9">
      <w:pPr>
        <w:spacing w:after="0" w:line="240" w:lineRule="auto"/>
      </w:pPr>
      <w:r>
        <w:separator/>
      </w:r>
    </w:p>
  </w:endnote>
  <w:endnote w:type="continuationSeparator" w:id="0">
    <w:p w:rsidR="00000000" w:rsidRDefault="00666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D8D" w:rsidRDefault="00353D8D">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D8D" w:rsidRDefault="00353D8D">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D8D" w:rsidRDefault="00353D8D">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D8D" w:rsidRDefault="006667A9">
    <w:pPr>
      <w:tabs>
        <w:tab w:val="right" w:pos="9182"/>
      </w:tabs>
      <w:spacing w:after="0" w:line="259" w:lineRule="auto"/>
      <w:ind w:left="0" w:firstLine="0"/>
    </w:pPr>
    <w:r>
      <w:t xml:space="preserve"> </w:t>
    </w:r>
    <w:r>
      <w:tab/>
    </w:r>
    <w:r>
      <w:fldChar w:fldCharType="begin"/>
    </w:r>
    <w:r>
      <w:instrText xml:space="preserve"> PAGE   \* MERGEFORMAT </w:instrText>
    </w:r>
    <w:r>
      <w:fldChar w:fldCharType="separate"/>
    </w:r>
    <w:r>
      <w:t>12</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D8D" w:rsidRDefault="006667A9">
    <w:pPr>
      <w:tabs>
        <w:tab w:val="right" w:pos="9182"/>
      </w:tabs>
      <w:spacing w:after="0" w:line="259" w:lineRule="auto"/>
      <w:ind w:left="0" w:firstLine="0"/>
    </w:pPr>
    <w:r>
      <w:t xml:space="preserve"> </w:t>
    </w:r>
    <w:r>
      <w:tab/>
    </w:r>
    <w:r>
      <w:fldChar w:fldCharType="begin"/>
    </w:r>
    <w:r>
      <w:instrText xml:space="preserve"> PAGE   \* MERGEFORMAT </w:instrText>
    </w:r>
    <w:r>
      <w:fldChar w:fldCharType="separate"/>
    </w:r>
    <w:r>
      <w:rPr>
        <w:noProof/>
      </w:rPr>
      <w:t>38</w:t>
    </w:r>
    <w:r>
      <w:fldChar w:fldCharType="end"/>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D8D" w:rsidRDefault="006667A9">
    <w:pPr>
      <w:tabs>
        <w:tab w:val="right" w:pos="9182"/>
      </w:tabs>
      <w:spacing w:after="0" w:line="259" w:lineRule="auto"/>
      <w:ind w:left="0" w:firstLine="0"/>
    </w:pPr>
    <w:r>
      <w:t xml:space="preserve"> </w:t>
    </w:r>
    <w:r>
      <w:tab/>
    </w:r>
    <w:r>
      <w:fldChar w:fldCharType="begin"/>
    </w:r>
    <w:r>
      <w:instrText xml:space="preserve"> PAGE   \* MERGEFORMAT </w:instrText>
    </w:r>
    <w:r>
      <w:fldChar w:fldCharType="separate"/>
    </w:r>
    <w:r>
      <w:t>12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667A9">
      <w:pPr>
        <w:spacing w:after="0" w:line="240" w:lineRule="auto"/>
      </w:pPr>
      <w:r>
        <w:separator/>
      </w:r>
    </w:p>
  </w:footnote>
  <w:footnote w:type="continuationSeparator" w:id="0">
    <w:p w:rsidR="00000000" w:rsidRDefault="006667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D38A8"/>
    <w:multiLevelType w:val="hybridMultilevel"/>
    <w:tmpl w:val="7BCA6710"/>
    <w:lvl w:ilvl="0" w:tplc="4680EAB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4EF878">
      <w:start w:val="1"/>
      <w:numFmt w:val="bullet"/>
      <w:lvlText w:val="o"/>
      <w:lvlJc w:val="left"/>
      <w:pPr>
        <w:ind w:left="1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9F2E0E2">
      <w:start w:val="1"/>
      <w:numFmt w:val="bullet"/>
      <w:lvlText w:val="▪"/>
      <w:lvlJc w:val="left"/>
      <w:pPr>
        <w:ind w:left="1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868F466">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3ABFE6">
      <w:start w:val="1"/>
      <w:numFmt w:val="bullet"/>
      <w:lvlText w:val="o"/>
      <w:lvlJc w:val="left"/>
      <w:pPr>
        <w:ind w:left="33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1DADB66">
      <w:start w:val="1"/>
      <w:numFmt w:val="bullet"/>
      <w:lvlText w:val="▪"/>
      <w:lvlJc w:val="left"/>
      <w:pPr>
        <w:ind w:left="4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BA88812">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E44A70">
      <w:start w:val="1"/>
      <w:numFmt w:val="bullet"/>
      <w:lvlText w:val="o"/>
      <w:lvlJc w:val="left"/>
      <w:pPr>
        <w:ind w:left="5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82825E">
      <w:start w:val="1"/>
      <w:numFmt w:val="bullet"/>
      <w:lvlText w:val="▪"/>
      <w:lvlJc w:val="left"/>
      <w:pPr>
        <w:ind w:left="6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6674569"/>
    <w:multiLevelType w:val="hybridMultilevel"/>
    <w:tmpl w:val="10448196"/>
    <w:lvl w:ilvl="0" w:tplc="C2BE8E02">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7CDAA8">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56F3B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EC9AF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48762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307BC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F45E0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CA168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20235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73736117"/>
    <w:multiLevelType w:val="hybridMultilevel"/>
    <w:tmpl w:val="0206FC18"/>
    <w:lvl w:ilvl="0" w:tplc="E6B8A57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57ECEDC">
      <w:start w:val="1"/>
      <w:numFmt w:val="bullet"/>
      <w:lvlText w:val="o"/>
      <w:lvlJc w:val="left"/>
      <w:pPr>
        <w:ind w:left="1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12C5E8C">
      <w:start w:val="1"/>
      <w:numFmt w:val="bullet"/>
      <w:lvlText w:val="▪"/>
      <w:lvlJc w:val="left"/>
      <w:pPr>
        <w:ind w:left="1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C228918">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F22AC8">
      <w:start w:val="1"/>
      <w:numFmt w:val="bullet"/>
      <w:lvlText w:val="o"/>
      <w:lvlJc w:val="left"/>
      <w:pPr>
        <w:ind w:left="33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8A0C694">
      <w:start w:val="1"/>
      <w:numFmt w:val="bullet"/>
      <w:lvlText w:val="▪"/>
      <w:lvlJc w:val="left"/>
      <w:pPr>
        <w:ind w:left="4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0C80F82">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E0C65F8">
      <w:start w:val="1"/>
      <w:numFmt w:val="bullet"/>
      <w:lvlText w:val="o"/>
      <w:lvlJc w:val="left"/>
      <w:pPr>
        <w:ind w:left="5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B815E4">
      <w:start w:val="1"/>
      <w:numFmt w:val="bullet"/>
      <w:lvlText w:val="▪"/>
      <w:lvlJc w:val="left"/>
      <w:pPr>
        <w:ind w:left="6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EBC51EB"/>
    <w:multiLevelType w:val="hybridMultilevel"/>
    <w:tmpl w:val="B2EA5FFA"/>
    <w:lvl w:ilvl="0" w:tplc="9840686A">
      <w:start w:val="1"/>
      <w:numFmt w:val="lowerRoman"/>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20E56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F46E2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AEE4F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842FB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626AB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A4BE2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D0D4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2302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D8D"/>
    <w:rsid w:val="00353D8D"/>
    <w:rsid w:val="006667A9"/>
    <w:rsid w:val="00EC28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0FC329-04A0-44FF-ABB4-138FDEF8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488" w:lineRule="auto"/>
      <w:ind w:left="368"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249"/>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4.jpg"/><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3.jpg"/><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7.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6.jpg"/><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38</Pages>
  <Words>8506</Words>
  <Characters>48485</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56878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Eldre Beukes</dc:creator>
  <cp:keywords/>
  <cp:lastModifiedBy>Blanshard, Lisa</cp:lastModifiedBy>
  <cp:revision>3</cp:revision>
  <dcterms:created xsi:type="dcterms:W3CDTF">2020-10-02T09:58:00Z</dcterms:created>
  <dcterms:modified xsi:type="dcterms:W3CDTF">2020-10-02T09:59:00Z</dcterms:modified>
</cp:coreProperties>
</file>