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1CF" w:rsidRPr="00B041CF" w:rsidRDefault="00B041CF" w:rsidP="00B041CF">
      <w:pPr>
        <w:rPr>
          <w:b/>
          <w:bCs/>
        </w:rPr>
      </w:pPr>
      <w:r w:rsidRPr="00B041CF">
        <w:t> </w:t>
      </w:r>
      <w:r w:rsidRPr="00B041CF">
        <w:rPr>
          <w:b/>
          <w:bCs/>
          <w:sz w:val="32"/>
          <w:szCs w:val="32"/>
        </w:rPr>
        <w:t>International Journal of Infectious Diseases (IJID)</w:t>
      </w:r>
    </w:p>
    <w:p w:rsidR="00C05B5D" w:rsidRPr="00C05B5D" w:rsidRDefault="00C05B5D" w:rsidP="00C05B5D"/>
    <w:p w:rsidR="00C05B5D" w:rsidRDefault="00C05B5D" w:rsidP="00953CB2">
      <w:pPr>
        <w:spacing w:line="480" w:lineRule="auto"/>
        <w:rPr>
          <w:rFonts w:eastAsia="Arial Unicode MS"/>
          <w:bCs/>
        </w:rPr>
      </w:pPr>
    </w:p>
    <w:p w:rsidR="00C637F9" w:rsidRPr="007F2716" w:rsidRDefault="00C44D47" w:rsidP="00953CB2">
      <w:pPr>
        <w:spacing w:line="480" w:lineRule="auto"/>
        <w:rPr>
          <w:rFonts w:ascii="Palatino Linotype" w:eastAsia="Arial Unicode MS" w:hAnsi="Palatino Linotype"/>
          <w:bCs/>
          <w:i/>
          <w:iCs/>
        </w:rPr>
      </w:pPr>
      <w:r w:rsidRPr="007F2716">
        <w:rPr>
          <w:rFonts w:ascii="Palatino Linotype" w:eastAsia="Arial Unicode MS" w:hAnsi="Palatino Linotype"/>
          <w:bCs/>
          <w:i/>
          <w:iCs/>
        </w:rPr>
        <w:t>Original research</w:t>
      </w:r>
      <w:r w:rsidR="00B00FFF" w:rsidRPr="007F2716">
        <w:rPr>
          <w:rFonts w:ascii="Palatino Linotype" w:eastAsia="Arial Unicode MS" w:hAnsi="Palatino Linotype"/>
          <w:bCs/>
          <w:i/>
          <w:iCs/>
        </w:rPr>
        <w:t xml:space="preserve"> article</w:t>
      </w:r>
    </w:p>
    <w:p w:rsidR="00C637F9" w:rsidRPr="00632F23" w:rsidRDefault="00C637F9" w:rsidP="000A4433">
      <w:pPr>
        <w:pStyle w:val="Heading1"/>
        <w:rPr>
          <w:rFonts w:eastAsia="Arial Unicode MS"/>
        </w:rPr>
      </w:pPr>
      <w:r w:rsidRPr="00632F23">
        <w:rPr>
          <w:rFonts w:eastAsia="Arial Unicode MS"/>
        </w:rPr>
        <w:t xml:space="preserve">Estimation of global case fatality rate of coronavirus disease 2019 (COVID-19) using meta-analyses: Comparison between calendar </w:t>
      </w:r>
      <w:r w:rsidRPr="00632F23">
        <w:t>date and days since</w:t>
      </w:r>
      <w:r w:rsidR="00525E9E" w:rsidRPr="00632F23">
        <w:t xml:space="preserve"> the</w:t>
      </w:r>
      <w:r w:rsidRPr="00632F23">
        <w:t xml:space="preserve"> outbreak of the first confirmed case</w:t>
      </w:r>
      <w:r w:rsidR="00D90EF8" w:rsidRPr="00632F23">
        <w:t>.</w:t>
      </w:r>
      <w:r w:rsidRPr="00632F23">
        <w:t xml:space="preserve"> </w:t>
      </w:r>
    </w:p>
    <w:p w:rsidR="00C637F9" w:rsidRPr="00632F23" w:rsidRDefault="00C637F9" w:rsidP="007C1106">
      <w:pPr>
        <w:spacing w:line="360" w:lineRule="auto"/>
        <w:rPr>
          <w:rFonts w:ascii="Palatino Linotype" w:hAnsi="Palatino Linotype"/>
        </w:rPr>
      </w:pPr>
    </w:p>
    <w:p w:rsidR="00C637F9" w:rsidRPr="00632F23" w:rsidRDefault="00C637F9" w:rsidP="007C1106">
      <w:pPr>
        <w:spacing w:line="360" w:lineRule="auto"/>
        <w:rPr>
          <w:rFonts w:ascii="Palatino Linotype" w:hAnsi="Palatino Linotype"/>
          <w:vertAlign w:val="superscript"/>
        </w:rPr>
      </w:pPr>
      <w:r w:rsidRPr="00632F23">
        <w:rPr>
          <w:rFonts w:ascii="Palatino Linotype" w:hAnsi="Palatino Linotype"/>
        </w:rPr>
        <w:t>Ramy Abou Ghayda</w:t>
      </w:r>
      <w:r w:rsidRPr="00632F23">
        <w:rPr>
          <w:rFonts w:ascii="Palatino Linotype" w:hAnsi="Palatino Linotype"/>
          <w:vertAlign w:val="superscript"/>
        </w:rPr>
        <w:t>1</w:t>
      </w:r>
      <w:r w:rsidR="0045012B" w:rsidRPr="00632F23">
        <w:rPr>
          <w:rFonts w:ascii="Palatino Linotype" w:hAnsi="Palatino Linotype"/>
          <w:vertAlign w:val="superscript"/>
        </w:rPr>
        <w:t>,2</w:t>
      </w:r>
      <w:r w:rsidR="00631AE3" w:rsidRPr="00632F23">
        <w:rPr>
          <w:rFonts w:ascii="Palatino Linotype" w:hAnsi="Palatino Linotype"/>
          <w:vertAlign w:val="superscript"/>
        </w:rPr>
        <w:t>,†</w:t>
      </w:r>
      <w:r w:rsidRPr="00632F23">
        <w:rPr>
          <w:rFonts w:ascii="Palatino Linotype" w:hAnsi="Palatino Linotype"/>
        </w:rPr>
        <w:t xml:space="preserve">, Keum Hwa </w:t>
      </w:r>
      <w:r w:rsidR="0045012B" w:rsidRPr="00632F23">
        <w:rPr>
          <w:rFonts w:ascii="Palatino Linotype" w:hAnsi="Palatino Linotype"/>
        </w:rPr>
        <w:t>Lee</w:t>
      </w:r>
      <w:r w:rsidR="0045012B" w:rsidRPr="00632F23">
        <w:rPr>
          <w:rFonts w:ascii="Palatino Linotype" w:hAnsi="Palatino Linotype"/>
          <w:vertAlign w:val="superscript"/>
        </w:rPr>
        <w:t>3</w:t>
      </w:r>
      <w:r w:rsidRPr="00632F23">
        <w:rPr>
          <w:rFonts w:ascii="Palatino Linotype" w:hAnsi="Palatino Linotype"/>
          <w:vertAlign w:val="superscript"/>
        </w:rPr>
        <w:t>,†</w:t>
      </w:r>
      <w:r w:rsidRPr="00632F23">
        <w:rPr>
          <w:rFonts w:ascii="Palatino Linotype" w:hAnsi="Palatino Linotype"/>
        </w:rPr>
        <w:t xml:space="preserve">, Young Joo </w:t>
      </w:r>
      <w:r w:rsidR="0045012B" w:rsidRPr="00632F23">
        <w:rPr>
          <w:rFonts w:ascii="Palatino Linotype" w:hAnsi="Palatino Linotype"/>
        </w:rPr>
        <w:t>Han</w:t>
      </w:r>
      <w:r w:rsidR="0045012B" w:rsidRPr="00632F23">
        <w:rPr>
          <w:rFonts w:ascii="Palatino Linotype" w:hAnsi="Palatino Linotype"/>
          <w:vertAlign w:val="superscript"/>
        </w:rPr>
        <w:t>4</w:t>
      </w:r>
      <w:r w:rsidRPr="00632F23">
        <w:rPr>
          <w:rFonts w:ascii="Palatino Linotype" w:hAnsi="Palatino Linotype"/>
          <w:vertAlign w:val="superscript"/>
        </w:rPr>
        <w:t xml:space="preserve">,† </w:t>
      </w:r>
      <w:r w:rsidRPr="00632F23">
        <w:rPr>
          <w:rFonts w:ascii="Palatino Linotype" w:hAnsi="Palatino Linotype"/>
        </w:rPr>
        <w:t xml:space="preserve">,Seohyun </w:t>
      </w:r>
      <w:r w:rsidR="0045012B" w:rsidRPr="00632F23">
        <w:rPr>
          <w:rFonts w:ascii="Palatino Linotype" w:hAnsi="Palatino Linotype"/>
        </w:rPr>
        <w:t>Ryu</w:t>
      </w:r>
      <w:r w:rsidR="0045012B" w:rsidRPr="00632F23">
        <w:rPr>
          <w:rFonts w:ascii="Palatino Linotype" w:hAnsi="Palatino Linotype"/>
          <w:vertAlign w:val="superscript"/>
        </w:rPr>
        <w:t>5</w:t>
      </w:r>
      <w:r w:rsidRPr="00632F23">
        <w:rPr>
          <w:rFonts w:ascii="Palatino Linotype" w:hAnsi="Palatino Linotype"/>
          <w:vertAlign w:val="superscript"/>
        </w:rPr>
        <w:t>,†</w:t>
      </w:r>
      <w:r w:rsidRPr="00632F23">
        <w:rPr>
          <w:rFonts w:ascii="Palatino Linotype" w:hAnsi="Palatino Linotype"/>
        </w:rPr>
        <w:t>, Sung Hwi Hong</w:t>
      </w:r>
      <w:r w:rsidRPr="00632F23">
        <w:rPr>
          <w:rFonts w:ascii="Palatino Linotype" w:hAnsi="Palatino Linotype"/>
          <w:vertAlign w:val="superscript"/>
        </w:rPr>
        <w:t>1,</w:t>
      </w:r>
      <w:r w:rsidR="0045012B" w:rsidRPr="00632F23">
        <w:rPr>
          <w:rFonts w:ascii="Palatino Linotype" w:hAnsi="Palatino Linotype"/>
          <w:vertAlign w:val="superscript"/>
        </w:rPr>
        <w:t>5</w:t>
      </w:r>
      <w:r w:rsidRPr="00632F23">
        <w:rPr>
          <w:rFonts w:ascii="Palatino Linotype" w:hAnsi="Palatino Linotype"/>
          <w:vertAlign w:val="superscript"/>
        </w:rPr>
        <w:t>,†</w:t>
      </w:r>
      <w:r w:rsidRPr="00632F23">
        <w:rPr>
          <w:rFonts w:ascii="Palatino Linotype" w:hAnsi="Palatino Linotype"/>
        </w:rPr>
        <w:t xml:space="preserve">, Sojung </w:t>
      </w:r>
      <w:r w:rsidR="0045012B" w:rsidRPr="00632F23">
        <w:rPr>
          <w:rFonts w:ascii="Palatino Linotype" w:hAnsi="Palatino Linotype"/>
        </w:rPr>
        <w:t>Yoon</w:t>
      </w:r>
      <w:r w:rsidR="0045012B" w:rsidRPr="00632F23">
        <w:rPr>
          <w:rFonts w:ascii="Palatino Linotype" w:hAnsi="Palatino Linotype"/>
          <w:vertAlign w:val="superscript"/>
        </w:rPr>
        <w:t>5</w:t>
      </w:r>
      <w:r w:rsidRPr="00632F23">
        <w:rPr>
          <w:rFonts w:ascii="Palatino Linotype" w:hAnsi="Palatino Linotype"/>
          <w:vertAlign w:val="superscript"/>
        </w:rPr>
        <w:t>,†</w:t>
      </w:r>
      <w:r w:rsidRPr="00632F23">
        <w:rPr>
          <w:rFonts w:ascii="Palatino Linotype" w:hAnsi="Palatino Linotype"/>
        </w:rPr>
        <w:t xml:space="preserve">, Gwang Hun </w:t>
      </w:r>
      <w:r w:rsidR="0045012B" w:rsidRPr="00632F23">
        <w:rPr>
          <w:rFonts w:ascii="Palatino Linotype" w:hAnsi="Palatino Linotype"/>
        </w:rPr>
        <w:t>Jeong</w:t>
      </w:r>
      <w:r w:rsidR="0045012B" w:rsidRPr="00632F23">
        <w:rPr>
          <w:rFonts w:ascii="Palatino Linotype" w:hAnsi="Palatino Linotype"/>
          <w:vertAlign w:val="superscript"/>
        </w:rPr>
        <w:t>6</w:t>
      </w:r>
      <w:r w:rsidRPr="00632F23">
        <w:rPr>
          <w:rFonts w:ascii="Palatino Linotype" w:hAnsi="Palatino Linotype"/>
          <w:vertAlign w:val="superscript"/>
        </w:rPr>
        <w:t>,†</w:t>
      </w:r>
      <w:r w:rsidRPr="00632F23">
        <w:rPr>
          <w:rFonts w:ascii="Palatino Linotype" w:hAnsi="Palatino Linotype"/>
        </w:rPr>
        <w:t xml:space="preserve">, Jinhee </w:t>
      </w:r>
      <w:r w:rsidR="0045012B" w:rsidRPr="00632F23">
        <w:rPr>
          <w:rFonts w:ascii="Palatino Linotype" w:hAnsi="Palatino Linotype"/>
        </w:rPr>
        <w:t>Lee</w:t>
      </w:r>
      <w:r w:rsidR="0045012B" w:rsidRPr="00632F23">
        <w:rPr>
          <w:rFonts w:ascii="Palatino Linotype" w:hAnsi="Palatino Linotype"/>
          <w:vertAlign w:val="superscript"/>
        </w:rPr>
        <w:t>7</w:t>
      </w:r>
      <w:r w:rsidRPr="00632F23">
        <w:rPr>
          <w:rFonts w:ascii="Palatino Linotype" w:hAnsi="Palatino Linotype"/>
        </w:rPr>
        <w:t>, Jun Young Lee</w:t>
      </w:r>
      <w:r w:rsidRPr="00632F23">
        <w:rPr>
          <w:rFonts w:ascii="Palatino Linotype" w:hAnsi="Palatino Linotype"/>
          <w:vertAlign w:val="superscript"/>
        </w:rPr>
        <w:t>8</w:t>
      </w:r>
      <w:r w:rsidRPr="00632F23">
        <w:rPr>
          <w:rFonts w:ascii="Palatino Linotype" w:hAnsi="Palatino Linotype"/>
        </w:rPr>
        <w:t>, Jae Won Yang</w:t>
      </w:r>
      <w:r w:rsidRPr="00632F23">
        <w:rPr>
          <w:rFonts w:ascii="Palatino Linotype" w:hAnsi="Palatino Linotype"/>
          <w:vertAlign w:val="superscript"/>
        </w:rPr>
        <w:t>8</w:t>
      </w:r>
      <w:r w:rsidRPr="00632F23">
        <w:rPr>
          <w:rFonts w:ascii="Palatino Linotype" w:hAnsi="Palatino Linotype"/>
        </w:rPr>
        <w:t>, Maria Effenberger</w:t>
      </w:r>
      <w:r w:rsidRPr="00632F23">
        <w:rPr>
          <w:rFonts w:ascii="Palatino Linotype" w:hAnsi="Palatino Linotype"/>
          <w:vertAlign w:val="superscript"/>
        </w:rPr>
        <w:t>9</w:t>
      </w:r>
      <w:r w:rsidRPr="00632F23">
        <w:rPr>
          <w:rFonts w:ascii="Palatino Linotype" w:hAnsi="Palatino Linotype"/>
        </w:rPr>
        <w:t>, Michael Eisenhut</w:t>
      </w:r>
      <w:r w:rsidRPr="00632F23">
        <w:rPr>
          <w:rFonts w:ascii="Palatino Linotype" w:hAnsi="Palatino Linotype"/>
          <w:vertAlign w:val="superscript"/>
        </w:rPr>
        <w:t>10</w:t>
      </w:r>
      <w:r w:rsidRPr="00632F23">
        <w:rPr>
          <w:rFonts w:ascii="Palatino Linotype" w:hAnsi="Palatino Linotype"/>
        </w:rPr>
        <w:t>, Andreas Kronbichler</w:t>
      </w:r>
      <w:r w:rsidRPr="00632F23">
        <w:rPr>
          <w:rFonts w:ascii="Palatino Linotype" w:hAnsi="Palatino Linotype"/>
          <w:vertAlign w:val="superscript"/>
        </w:rPr>
        <w:t>11</w:t>
      </w:r>
      <w:r w:rsidRPr="00632F23">
        <w:rPr>
          <w:rFonts w:ascii="Palatino Linotype" w:hAnsi="Palatino Linotype"/>
        </w:rPr>
        <w:t>, Marco Solmi</w:t>
      </w:r>
      <w:r w:rsidRPr="00632F23">
        <w:rPr>
          <w:rFonts w:ascii="Palatino Linotype" w:hAnsi="Palatino Linotype"/>
          <w:vertAlign w:val="superscript"/>
        </w:rPr>
        <w:t>12,13</w:t>
      </w:r>
      <w:r w:rsidRPr="00632F23">
        <w:rPr>
          <w:rFonts w:ascii="Palatino Linotype" w:hAnsi="Palatino Linotype"/>
        </w:rPr>
        <w:t>, Han Li</w:t>
      </w:r>
      <w:r w:rsidRPr="00632F23">
        <w:rPr>
          <w:rFonts w:ascii="Palatino Linotype" w:hAnsi="Palatino Linotype"/>
          <w:vertAlign w:val="superscript"/>
        </w:rPr>
        <w:t>14</w:t>
      </w:r>
      <w:r w:rsidRPr="00632F23">
        <w:rPr>
          <w:rFonts w:ascii="Palatino Linotype" w:hAnsi="Palatino Linotype"/>
        </w:rPr>
        <w:t xml:space="preserve"> Louis Jacob</w:t>
      </w:r>
      <w:r w:rsidRPr="00632F23">
        <w:rPr>
          <w:rFonts w:ascii="Palatino Linotype" w:hAnsi="Palatino Linotype"/>
          <w:vertAlign w:val="superscript"/>
        </w:rPr>
        <w:t>15,16</w:t>
      </w:r>
      <w:r w:rsidRPr="00632F23">
        <w:rPr>
          <w:rFonts w:ascii="Palatino Linotype" w:hAnsi="Palatino Linotype"/>
        </w:rPr>
        <w:t>, Ai Koyanagi</w:t>
      </w:r>
      <w:r w:rsidRPr="00632F23">
        <w:rPr>
          <w:rFonts w:ascii="Palatino Linotype" w:hAnsi="Palatino Linotype"/>
          <w:vertAlign w:val="superscript"/>
        </w:rPr>
        <w:t>16,17</w:t>
      </w:r>
      <w:r w:rsidRPr="00632F23">
        <w:rPr>
          <w:rFonts w:ascii="Palatino Linotype" w:hAnsi="Palatino Linotype"/>
        </w:rPr>
        <w:t>, Joaquim Radua</w:t>
      </w:r>
      <w:r w:rsidRPr="00632F23">
        <w:rPr>
          <w:rFonts w:ascii="Palatino Linotype" w:hAnsi="Palatino Linotype"/>
          <w:vertAlign w:val="superscript"/>
        </w:rPr>
        <w:t>18,19,20</w:t>
      </w:r>
      <w:r w:rsidRPr="00632F23">
        <w:rPr>
          <w:rFonts w:ascii="Palatino Linotype" w:hAnsi="Palatino Linotype"/>
        </w:rPr>
        <w:t xml:space="preserve"> and Jae Il Shin</w:t>
      </w:r>
      <w:r w:rsidR="0045012B" w:rsidRPr="00632F23">
        <w:rPr>
          <w:rFonts w:ascii="Palatino Linotype" w:hAnsi="Palatino Linotype"/>
          <w:vertAlign w:val="superscript"/>
        </w:rPr>
        <w:t>3</w:t>
      </w:r>
      <w:r w:rsidRPr="00632F23">
        <w:rPr>
          <w:rFonts w:ascii="Palatino Linotype" w:hAnsi="Palatino Linotype"/>
          <w:vertAlign w:val="superscript"/>
        </w:rPr>
        <w:t>,*</w:t>
      </w:r>
      <w:r w:rsidRPr="00632F23">
        <w:rPr>
          <w:rFonts w:ascii="Palatino Linotype" w:hAnsi="Palatino Linotype"/>
        </w:rPr>
        <w:t xml:space="preserve"> and Lee </w:t>
      </w:r>
      <w:r w:rsidR="0045012B" w:rsidRPr="00632F23">
        <w:rPr>
          <w:rFonts w:ascii="Palatino Linotype" w:hAnsi="Palatino Linotype"/>
        </w:rPr>
        <w:t>Smith</w:t>
      </w:r>
      <w:r w:rsidR="0045012B" w:rsidRPr="00632F23">
        <w:rPr>
          <w:rFonts w:ascii="Palatino Linotype" w:hAnsi="Palatino Linotype"/>
          <w:vertAlign w:val="superscript"/>
        </w:rPr>
        <w:t>21</w:t>
      </w:r>
    </w:p>
    <w:p w:rsidR="00632F23" w:rsidRPr="00632F23" w:rsidRDefault="00632F23" w:rsidP="007C1106">
      <w:pPr>
        <w:spacing w:line="360" w:lineRule="auto"/>
        <w:rPr>
          <w:rFonts w:ascii="Palatino Linotype" w:hAnsi="Palatino Linotype"/>
          <w:vertAlign w:val="superscript"/>
        </w:rPr>
      </w:pPr>
    </w:p>
    <w:p w:rsidR="00632F23" w:rsidRDefault="00632F23" w:rsidP="00632F23">
      <w:pPr>
        <w:spacing w:line="360" w:lineRule="auto"/>
        <w:rPr>
          <w:rFonts w:ascii="Palatino Linotype" w:hAnsi="Palatino Linotype"/>
          <w:sz w:val="20"/>
        </w:rPr>
      </w:pPr>
      <w:r w:rsidRPr="00632F23">
        <w:rPr>
          <w:rFonts w:ascii="Palatino Linotype" w:hAnsi="Palatino Linotype"/>
          <w:sz w:val="20"/>
        </w:rPr>
        <w:t>1.</w:t>
      </w:r>
      <w:r w:rsidRPr="00632F23">
        <w:rPr>
          <w:rFonts w:ascii="Palatino Linotype" w:hAnsi="Palatino Linotype"/>
          <w:sz w:val="20"/>
        </w:rPr>
        <w:tab/>
        <w:t xml:space="preserve">Department of Global Health and Population, Harvard T.H. Chan School of Public Health, </w:t>
      </w:r>
    </w:p>
    <w:p w:rsidR="00632F23" w:rsidRPr="00632F23" w:rsidRDefault="00632F23" w:rsidP="00632F23">
      <w:pPr>
        <w:spacing w:line="360" w:lineRule="auto"/>
        <w:ind w:firstLineChars="400" w:firstLine="800"/>
        <w:rPr>
          <w:rFonts w:ascii="Palatino Linotype" w:hAnsi="Palatino Linotype"/>
          <w:sz w:val="20"/>
        </w:rPr>
      </w:pPr>
      <w:r w:rsidRPr="00632F23">
        <w:rPr>
          <w:rFonts w:ascii="Palatino Linotype" w:hAnsi="Palatino Linotype"/>
          <w:sz w:val="20"/>
        </w:rPr>
        <w:t>Boston, MA, USA</w:t>
      </w:r>
    </w:p>
    <w:p w:rsidR="006728B9" w:rsidRDefault="00632F23" w:rsidP="00632F23">
      <w:pPr>
        <w:spacing w:line="360" w:lineRule="auto"/>
        <w:rPr>
          <w:rFonts w:ascii="Palatino Linotype" w:hAnsi="Palatino Linotype"/>
          <w:sz w:val="20"/>
        </w:rPr>
      </w:pPr>
      <w:r w:rsidRPr="00632F23">
        <w:rPr>
          <w:rFonts w:ascii="Palatino Linotype" w:hAnsi="Palatino Linotype"/>
          <w:sz w:val="20"/>
        </w:rPr>
        <w:t xml:space="preserve">2.      </w:t>
      </w:r>
      <w:r w:rsidR="006728B9">
        <w:rPr>
          <w:rFonts w:ascii="Palatino Linotype" w:hAnsi="Palatino Linotype"/>
          <w:sz w:val="20"/>
        </w:rPr>
        <w:t xml:space="preserve"> </w:t>
      </w:r>
      <w:r w:rsidRPr="00632F23">
        <w:rPr>
          <w:rFonts w:ascii="Palatino Linotype" w:hAnsi="Palatino Linotype"/>
          <w:sz w:val="20"/>
        </w:rPr>
        <w:t xml:space="preserve">Division of Urology, Brigham and Women's Hospital, and Harvard Medical School, </w:t>
      </w:r>
    </w:p>
    <w:p w:rsidR="00632F23" w:rsidRPr="00632F23" w:rsidRDefault="00632F23" w:rsidP="00632F23">
      <w:pPr>
        <w:spacing w:line="360" w:lineRule="auto"/>
        <w:ind w:firstLineChars="400" w:firstLine="800"/>
        <w:rPr>
          <w:rFonts w:ascii="Palatino Linotype" w:hAnsi="Palatino Linotype"/>
          <w:sz w:val="20"/>
        </w:rPr>
      </w:pPr>
      <w:r w:rsidRPr="00632F23">
        <w:rPr>
          <w:rFonts w:ascii="Palatino Linotype" w:hAnsi="Palatino Linotype"/>
          <w:sz w:val="20"/>
        </w:rPr>
        <w:t>Boston, MA, USA</w:t>
      </w:r>
    </w:p>
    <w:p w:rsidR="006728B9" w:rsidRDefault="00632F23" w:rsidP="00632F23">
      <w:pPr>
        <w:spacing w:line="360" w:lineRule="auto"/>
        <w:rPr>
          <w:rFonts w:ascii="Palatino Linotype" w:hAnsi="Palatino Linotype"/>
          <w:sz w:val="20"/>
        </w:rPr>
      </w:pPr>
      <w:r w:rsidRPr="00632F23">
        <w:rPr>
          <w:rFonts w:ascii="Palatino Linotype" w:hAnsi="Palatino Linotype"/>
          <w:sz w:val="20"/>
        </w:rPr>
        <w:t xml:space="preserve">3.      </w:t>
      </w:r>
      <w:r w:rsidR="006728B9">
        <w:rPr>
          <w:rFonts w:ascii="Palatino Linotype" w:hAnsi="Palatino Linotype"/>
          <w:sz w:val="20"/>
        </w:rPr>
        <w:t xml:space="preserve"> </w:t>
      </w:r>
      <w:r w:rsidRPr="00632F23">
        <w:rPr>
          <w:rFonts w:ascii="Palatino Linotype" w:hAnsi="Palatino Linotype"/>
          <w:sz w:val="20"/>
        </w:rPr>
        <w:t xml:space="preserve">Department of Pediatrics, Yonsei University College of Medicine, Seoul, Republic of </w:t>
      </w:r>
    </w:p>
    <w:p w:rsidR="00632F23" w:rsidRPr="00632F23" w:rsidRDefault="00632F23" w:rsidP="006728B9">
      <w:pPr>
        <w:spacing w:line="360" w:lineRule="auto"/>
        <w:ind w:firstLineChars="400" w:firstLine="800"/>
        <w:rPr>
          <w:rFonts w:ascii="Palatino Linotype" w:hAnsi="Palatino Linotype"/>
          <w:sz w:val="20"/>
        </w:rPr>
      </w:pPr>
      <w:r w:rsidRPr="00632F23">
        <w:rPr>
          <w:rFonts w:ascii="Palatino Linotype" w:hAnsi="Palatino Linotype"/>
          <w:sz w:val="20"/>
        </w:rPr>
        <w:t>Korea</w:t>
      </w:r>
    </w:p>
    <w:p w:rsidR="00632F23" w:rsidRPr="00632F23" w:rsidRDefault="00632F23" w:rsidP="006728B9">
      <w:pPr>
        <w:spacing w:line="360" w:lineRule="auto"/>
        <w:ind w:left="800" w:hangingChars="400" w:hanging="800"/>
        <w:rPr>
          <w:rFonts w:ascii="Palatino Linotype" w:hAnsi="Palatino Linotype"/>
          <w:sz w:val="20"/>
        </w:rPr>
      </w:pPr>
      <w:r w:rsidRPr="00632F23">
        <w:rPr>
          <w:rFonts w:ascii="Palatino Linotype" w:hAnsi="Palatino Linotype"/>
          <w:sz w:val="20"/>
        </w:rPr>
        <w:t xml:space="preserve">4.      </w:t>
      </w:r>
      <w:r w:rsidR="006728B9">
        <w:rPr>
          <w:rFonts w:ascii="Palatino Linotype" w:hAnsi="Palatino Linotype"/>
          <w:sz w:val="20"/>
        </w:rPr>
        <w:t xml:space="preserve"> </w:t>
      </w:r>
      <w:r w:rsidRPr="00632F23">
        <w:rPr>
          <w:rFonts w:ascii="Palatino Linotype" w:hAnsi="Palatino Linotype"/>
          <w:sz w:val="20"/>
        </w:rPr>
        <w:t>Department of Pediatrics, Samsung Changwon Hospital, Sungkyunkwan University School of Medicine, Changwon, Republic of Korea</w:t>
      </w:r>
    </w:p>
    <w:p w:rsidR="00632F23" w:rsidRPr="00632F23" w:rsidRDefault="00632F23" w:rsidP="00632F23">
      <w:pPr>
        <w:spacing w:line="360" w:lineRule="auto"/>
        <w:rPr>
          <w:rFonts w:ascii="Palatino Linotype" w:hAnsi="Palatino Linotype"/>
          <w:sz w:val="20"/>
        </w:rPr>
      </w:pPr>
      <w:r w:rsidRPr="00632F23">
        <w:rPr>
          <w:rFonts w:ascii="Palatino Linotype" w:hAnsi="Palatino Linotype"/>
          <w:sz w:val="20"/>
        </w:rPr>
        <w:t>5.</w:t>
      </w:r>
      <w:r w:rsidRPr="00632F23">
        <w:rPr>
          <w:rFonts w:ascii="Palatino Linotype" w:hAnsi="Palatino Linotype"/>
          <w:sz w:val="20"/>
        </w:rPr>
        <w:tab/>
        <w:t>Yonsei University College of Medicine, Seoul, Republic of Korea</w:t>
      </w:r>
    </w:p>
    <w:p w:rsidR="00632F23" w:rsidRPr="00632F23" w:rsidRDefault="00632F23" w:rsidP="00632F23">
      <w:pPr>
        <w:spacing w:line="360" w:lineRule="auto"/>
        <w:rPr>
          <w:rFonts w:ascii="Palatino Linotype" w:hAnsi="Palatino Linotype"/>
          <w:sz w:val="20"/>
        </w:rPr>
      </w:pPr>
      <w:r w:rsidRPr="00632F23">
        <w:rPr>
          <w:rFonts w:ascii="Palatino Linotype" w:hAnsi="Palatino Linotype"/>
          <w:sz w:val="20"/>
        </w:rPr>
        <w:t>6.</w:t>
      </w:r>
      <w:r w:rsidRPr="00632F23">
        <w:rPr>
          <w:rFonts w:ascii="Palatino Linotype" w:hAnsi="Palatino Linotype"/>
          <w:sz w:val="20"/>
        </w:rPr>
        <w:tab/>
        <w:t>College of Medicine, Gyeongsang National University, Jinju, Republic of Korea</w:t>
      </w:r>
    </w:p>
    <w:p w:rsidR="006728B9" w:rsidRDefault="00632F23" w:rsidP="00632F23">
      <w:pPr>
        <w:spacing w:line="360" w:lineRule="auto"/>
        <w:rPr>
          <w:rFonts w:ascii="Palatino Linotype" w:hAnsi="Palatino Linotype"/>
          <w:sz w:val="20"/>
        </w:rPr>
      </w:pPr>
      <w:r w:rsidRPr="00632F23">
        <w:rPr>
          <w:rFonts w:ascii="Palatino Linotype" w:hAnsi="Palatino Linotype"/>
          <w:sz w:val="20"/>
        </w:rPr>
        <w:t>7.</w:t>
      </w:r>
      <w:r w:rsidRPr="00632F23">
        <w:rPr>
          <w:rFonts w:ascii="Palatino Linotype" w:hAnsi="Palatino Linotype"/>
          <w:sz w:val="20"/>
        </w:rPr>
        <w:tab/>
        <w:t xml:space="preserve">Department of Psychiatry, Yonsei University Wonju College of Medicine, Wonju, </w:t>
      </w:r>
    </w:p>
    <w:p w:rsidR="00632F23" w:rsidRPr="00632F23" w:rsidRDefault="00632F23" w:rsidP="006728B9">
      <w:pPr>
        <w:spacing w:line="360" w:lineRule="auto"/>
        <w:ind w:firstLineChars="400" w:firstLine="800"/>
        <w:rPr>
          <w:rFonts w:ascii="Palatino Linotype" w:hAnsi="Palatino Linotype"/>
          <w:sz w:val="20"/>
        </w:rPr>
      </w:pPr>
      <w:r w:rsidRPr="00632F23">
        <w:rPr>
          <w:rFonts w:ascii="Palatino Linotype" w:hAnsi="Palatino Linotype"/>
          <w:sz w:val="20"/>
        </w:rPr>
        <w:t>Republic of Korea</w:t>
      </w:r>
    </w:p>
    <w:p w:rsidR="006728B9" w:rsidRDefault="00632F23" w:rsidP="006728B9">
      <w:pPr>
        <w:spacing w:line="360" w:lineRule="auto"/>
        <w:ind w:left="200" w:hangingChars="100" w:hanging="200"/>
        <w:rPr>
          <w:rFonts w:ascii="Palatino Linotype" w:hAnsi="Palatino Linotype"/>
          <w:sz w:val="20"/>
        </w:rPr>
      </w:pPr>
      <w:r w:rsidRPr="00632F23">
        <w:rPr>
          <w:rFonts w:ascii="Palatino Linotype" w:hAnsi="Palatino Linotype"/>
          <w:sz w:val="20"/>
        </w:rPr>
        <w:t>8.</w:t>
      </w:r>
      <w:r w:rsidRPr="00632F23">
        <w:rPr>
          <w:rFonts w:ascii="Palatino Linotype" w:hAnsi="Palatino Linotype"/>
          <w:sz w:val="20"/>
        </w:rPr>
        <w:tab/>
      </w:r>
      <w:r w:rsidR="006728B9">
        <w:rPr>
          <w:rFonts w:ascii="Palatino Linotype" w:hAnsi="Palatino Linotype"/>
          <w:sz w:val="20"/>
        </w:rPr>
        <w:t xml:space="preserve">       </w:t>
      </w:r>
      <w:r w:rsidRPr="00632F23">
        <w:rPr>
          <w:rFonts w:ascii="Palatino Linotype" w:hAnsi="Palatino Linotype"/>
          <w:sz w:val="20"/>
        </w:rPr>
        <w:t xml:space="preserve">Department of Nephrology, Yonsei University Wonju College of Medicine, Wonju, </w:t>
      </w:r>
    </w:p>
    <w:p w:rsidR="00632F23" w:rsidRPr="00632F23" w:rsidRDefault="00632F23" w:rsidP="006728B9">
      <w:pPr>
        <w:spacing w:line="360" w:lineRule="auto"/>
        <w:ind w:leftChars="100" w:left="240" w:firstLineChars="300" w:firstLine="600"/>
        <w:rPr>
          <w:rFonts w:ascii="Palatino Linotype" w:hAnsi="Palatino Linotype"/>
          <w:sz w:val="20"/>
        </w:rPr>
      </w:pPr>
      <w:r w:rsidRPr="00632F23">
        <w:rPr>
          <w:rFonts w:ascii="Palatino Linotype" w:hAnsi="Palatino Linotype"/>
          <w:sz w:val="20"/>
        </w:rPr>
        <w:t>Republic of Korea</w:t>
      </w:r>
    </w:p>
    <w:p w:rsidR="00632F23" w:rsidRPr="00632F23" w:rsidRDefault="00632F23" w:rsidP="001A0F1B">
      <w:pPr>
        <w:spacing w:line="360" w:lineRule="auto"/>
        <w:ind w:left="800" w:hangingChars="400" w:hanging="800"/>
        <w:rPr>
          <w:rFonts w:ascii="Palatino Linotype" w:hAnsi="Palatino Linotype"/>
          <w:sz w:val="20"/>
        </w:rPr>
      </w:pPr>
      <w:r w:rsidRPr="00632F23">
        <w:rPr>
          <w:rFonts w:ascii="Palatino Linotype" w:hAnsi="Palatino Linotype"/>
          <w:sz w:val="20"/>
        </w:rPr>
        <w:t>9.</w:t>
      </w:r>
      <w:r w:rsidRPr="00632F23">
        <w:rPr>
          <w:rFonts w:ascii="Palatino Linotype" w:hAnsi="Palatino Linotype"/>
          <w:sz w:val="20"/>
        </w:rPr>
        <w:tab/>
        <w:t>Department of Internal Medicine I, Gastroenterology, Hepatology, Endocrinology &amp; Metabolism, Medical University Innsbruck, Innsbruck, Austria</w:t>
      </w:r>
    </w:p>
    <w:p w:rsidR="00632F23" w:rsidRPr="00632F23" w:rsidRDefault="00632F23" w:rsidP="00632F23">
      <w:pPr>
        <w:spacing w:line="360" w:lineRule="auto"/>
        <w:rPr>
          <w:rFonts w:ascii="Palatino Linotype" w:hAnsi="Palatino Linotype"/>
          <w:sz w:val="20"/>
        </w:rPr>
      </w:pPr>
      <w:r w:rsidRPr="00632F23">
        <w:rPr>
          <w:rFonts w:ascii="Palatino Linotype" w:hAnsi="Palatino Linotype"/>
          <w:sz w:val="20"/>
        </w:rPr>
        <w:lastRenderedPageBreak/>
        <w:t>10.</w:t>
      </w:r>
      <w:r w:rsidRPr="00632F23">
        <w:rPr>
          <w:rFonts w:ascii="Palatino Linotype" w:hAnsi="Palatino Linotype"/>
          <w:sz w:val="20"/>
        </w:rPr>
        <w:tab/>
        <w:t>Luton &amp; Dunstable University Hospital NHS Foundation Trust, Luton, United Kingdom</w:t>
      </w:r>
    </w:p>
    <w:p w:rsidR="00632F23" w:rsidRDefault="00632F23" w:rsidP="00632F23">
      <w:pPr>
        <w:spacing w:line="360" w:lineRule="auto"/>
        <w:rPr>
          <w:rFonts w:ascii="Palatino Linotype" w:hAnsi="Palatino Linotype"/>
          <w:sz w:val="20"/>
        </w:rPr>
      </w:pPr>
      <w:r w:rsidRPr="00632F23">
        <w:rPr>
          <w:rFonts w:ascii="Palatino Linotype" w:hAnsi="Palatino Linotype"/>
          <w:sz w:val="20"/>
        </w:rPr>
        <w:t>11.</w:t>
      </w:r>
      <w:r w:rsidRPr="00632F23">
        <w:rPr>
          <w:rFonts w:ascii="Palatino Linotype" w:hAnsi="Palatino Linotype"/>
          <w:sz w:val="20"/>
        </w:rPr>
        <w:tab/>
        <w:t xml:space="preserve">Department of Internal Medicine IV, Nephrology and Hypertension, Medical University </w:t>
      </w:r>
    </w:p>
    <w:p w:rsidR="00632F23" w:rsidRPr="00632F23" w:rsidRDefault="00632F23" w:rsidP="00632F23">
      <w:pPr>
        <w:spacing w:line="360" w:lineRule="auto"/>
        <w:ind w:firstLineChars="400" w:firstLine="800"/>
        <w:rPr>
          <w:rFonts w:ascii="Palatino Linotype" w:hAnsi="Palatino Linotype"/>
          <w:sz w:val="20"/>
        </w:rPr>
      </w:pPr>
      <w:r w:rsidRPr="00632F23">
        <w:rPr>
          <w:rFonts w:ascii="Palatino Linotype" w:hAnsi="Palatino Linotype"/>
          <w:sz w:val="20"/>
        </w:rPr>
        <w:t>Innsbruck, Innsbruck, Austria</w:t>
      </w:r>
    </w:p>
    <w:p w:rsidR="00632F23" w:rsidRPr="00632F23" w:rsidRDefault="00632F23" w:rsidP="00632F23">
      <w:pPr>
        <w:spacing w:line="360" w:lineRule="auto"/>
        <w:rPr>
          <w:rFonts w:ascii="Palatino Linotype" w:hAnsi="Palatino Linotype"/>
          <w:sz w:val="20"/>
        </w:rPr>
      </w:pPr>
      <w:r w:rsidRPr="00632F23">
        <w:rPr>
          <w:rFonts w:ascii="Palatino Linotype" w:hAnsi="Palatino Linotype"/>
          <w:sz w:val="20"/>
        </w:rPr>
        <w:t>12.</w:t>
      </w:r>
      <w:r w:rsidRPr="00632F23">
        <w:rPr>
          <w:rFonts w:ascii="Palatino Linotype" w:hAnsi="Palatino Linotype"/>
          <w:sz w:val="20"/>
        </w:rPr>
        <w:tab/>
        <w:t>Neurosciences Department, University of Padua, Padua, Italy</w:t>
      </w:r>
    </w:p>
    <w:p w:rsidR="00632F23" w:rsidRPr="00632F23" w:rsidRDefault="00632F23" w:rsidP="00632F23">
      <w:pPr>
        <w:spacing w:line="360" w:lineRule="auto"/>
        <w:rPr>
          <w:rFonts w:ascii="Palatino Linotype" w:hAnsi="Palatino Linotype"/>
          <w:sz w:val="20"/>
        </w:rPr>
      </w:pPr>
      <w:r w:rsidRPr="00632F23">
        <w:rPr>
          <w:rFonts w:ascii="Palatino Linotype" w:hAnsi="Palatino Linotype"/>
          <w:sz w:val="20"/>
        </w:rPr>
        <w:t>13.</w:t>
      </w:r>
      <w:r w:rsidRPr="00632F23">
        <w:rPr>
          <w:rFonts w:ascii="Palatino Linotype" w:hAnsi="Palatino Linotype"/>
          <w:sz w:val="20"/>
        </w:rPr>
        <w:tab/>
        <w:t>Padua Neuroscience Center, Padua, Italy</w:t>
      </w:r>
    </w:p>
    <w:p w:rsidR="00632F23" w:rsidRPr="00632F23" w:rsidRDefault="00632F23" w:rsidP="00632F23">
      <w:pPr>
        <w:spacing w:line="360" w:lineRule="auto"/>
        <w:rPr>
          <w:rFonts w:ascii="Palatino Linotype" w:hAnsi="Palatino Linotype"/>
          <w:sz w:val="20"/>
        </w:rPr>
      </w:pPr>
      <w:r w:rsidRPr="00632F23">
        <w:rPr>
          <w:rFonts w:ascii="Palatino Linotype" w:hAnsi="Palatino Linotype"/>
          <w:sz w:val="20"/>
        </w:rPr>
        <w:t>14.</w:t>
      </w:r>
      <w:r w:rsidRPr="00632F23">
        <w:rPr>
          <w:rFonts w:ascii="Palatino Linotype" w:hAnsi="Palatino Linotype"/>
          <w:sz w:val="20"/>
        </w:rPr>
        <w:tab/>
        <w:t>University of Florida College of Medicine, Gainesville, FL 32610, USA</w:t>
      </w:r>
    </w:p>
    <w:p w:rsidR="00632F23" w:rsidRDefault="00632F23" w:rsidP="00632F23">
      <w:pPr>
        <w:spacing w:line="360" w:lineRule="auto"/>
        <w:rPr>
          <w:rFonts w:ascii="Palatino Linotype" w:hAnsi="Palatino Linotype"/>
          <w:sz w:val="20"/>
        </w:rPr>
      </w:pPr>
      <w:r w:rsidRPr="00632F23">
        <w:rPr>
          <w:rFonts w:ascii="Palatino Linotype" w:hAnsi="Palatino Linotype"/>
          <w:sz w:val="20"/>
        </w:rPr>
        <w:t>15.</w:t>
      </w:r>
      <w:r w:rsidRPr="00632F23">
        <w:rPr>
          <w:rFonts w:ascii="Palatino Linotype" w:hAnsi="Palatino Linotype"/>
          <w:sz w:val="20"/>
        </w:rPr>
        <w:tab/>
        <w:t>Faculty of Medicine, University of Versailles Saint-Quentin-en-Yvelines, Montigny-le-</w:t>
      </w:r>
    </w:p>
    <w:p w:rsidR="00632F23" w:rsidRPr="00632F23" w:rsidRDefault="00632F23" w:rsidP="00632F23">
      <w:pPr>
        <w:spacing w:line="360" w:lineRule="auto"/>
        <w:ind w:firstLineChars="400" w:firstLine="800"/>
        <w:rPr>
          <w:rFonts w:ascii="Palatino Linotype" w:hAnsi="Palatino Linotype"/>
          <w:sz w:val="20"/>
        </w:rPr>
      </w:pPr>
      <w:r w:rsidRPr="00632F23">
        <w:rPr>
          <w:rFonts w:ascii="Palatino Linotype" w:hAnsi="Palatino Linotype"/>
          <w:sz w:val="20"/>
        </w:rPr>
        <w:t>Bretonneux, 78180, Versailles, France.</w:t>
      </w:r>
    </w:p>
    <w:p w:rsidR="00632F23" w:rsidRDefault="00632F23" w:rsidP="00632F23">
      <w:pPr>
        <w:spacing w:line="360" w:lineRule="auto"/>
        <w:rPr>
          <w:rFonts w:ascii="Palatino Linotype" w:hAnsi="Palatino Linotype"/>
          <w:sz w:val="20"/>
        </w:rPr>
      </w:pPr>
      <w:r w:rsidRPr="00632F23">
        <w:rPr>
          <w:rFonts w:ascii="Palatino Linotype" w:hAnsi="Palatino Linotype"/>
          <w:sz w:val="20"/>
        </w:rPr>
        <w:t>16.</w:t>
      </w:r>
      <w:r w:rsidRPr="00632F23">
        <w:rPr>
          <w:rFonts w:ascii="Palatino Linotype" w:hAnsi="Palatino Linotype"/>
          <w:sz w:val="20"/>
        </w:rPr>
        <w:tab/>
        <w:t xml:space="preserve">Research and Development Unit, Parc Sanitari Sant Joan de Déu, CIBERSAM, Dr. Antoni </w:t>
      </w:r>
    </w:p>
    <w:p w:rsidR="00632F23" w:rsidRPr="00632F23" w:rsidRDefault="00632F23" w:rsidP="00632F23">
      <w:pPr>
        <w:spacing w:line="360" w:lineRule="auto"/>
        <w:ind w:firstLineChars="400" w:firstLine="800"/>
        <w:rPr>
          <w:rFonts w:ascii="Palatino Linotype" w:hAnsi="Palatino Linotype"/>
          <w:sz w:val="20"/>
        </w:rPr>
      </w:pPr>
      <w:r w:rsidRPr="00632F23">
        <w:rPr>
          <w:rFonts w:ascii="Palatino Linotype" w:hAnsi="Palatino Linotype"/>
          <w:sz w:val="20"/>
        </w:rPr>
        <w:t>Pujadas, 42, Sant Boi de Llobregat, 08830, Barcelona, Spain.</w:t>
      </w:r>
    </w:p>
    <w:p w:rsidR="00632F23" w:rsidRPr="00632F23" w:rsidRDefault="00632F23" w:rsidP="00632F23">
      <w:pPr>
        <w:spacing w:line="360" w:lineRule="auto"/>
        <w:rPr>
          <w:rFonts w:ascii="Palatino Linotype" w:hAnsi="Palatino Linotype"/>
          <w:sz w:val="20"/>
        </w:rPr>
      </w:pPr>
      <w:r w:rsidRPr="00632F23">
        <w:rPr>
          <w:rFonts w:ascii="Palatino Linotype" w:hAnsi="Palatino Linotype"/>
          <w:sz w:val="20"/>
        </w:rPr>
        <w:t>17.</w:t>
      </w:r>
      <w:r w:rsidRPr="00632F23">
        <w:rPr>
          <w:rFonts w:ascii="Palatino Linotype" w:hAnsi="Palatino Linotype"/>
          <w:sz w:val="20"/>
        </w:rPr>
        <w:tab/>
        <w:t>ICREA, Pg. Lluis Companys 23, Barcelona, Spain.</w:t>
      </w:r>
    </w:p>
    <w:p w:rsidR="001A0F1B" w:rsidRDefault="00632F23" w:rsidP="00632F23">
      <w:pPr>
        <w:spacing w:line="360" w:lineRule="auto"/>
        <w:rPr>
          <w:rFonts w:ascii="Palatino Linotype" w:hAnsi="Palatino Linotype"/>
          <w:sz w:val="20"/>
        </w:rPr>
      </w:pPr>
      <w:r w:rsidRPr="00632F23">
        <w:rPr>
          <w:rFonts w:ascii="Palatino Linotype" w:hAnsi="Palatino Linotype"/>
          <w:sz w:val="20"/>
        </w:rPr>
        <w:t>18.</w:t>
      </w:r>
      <w:r w:rsidRPr="00632F23">
        <w:rPr>
          <w:rFonts w:ascii="Palatino Linotype" w:hAnsi="Palatino Linotype"/>
          <w:sz w:val="20"/>
        </w:rPr>
        <w:tab/>
        <w:t xml:space="preserve">Institut d'Investigacions Biomèdiques August Pi i Sunyer (IDIBAPS), 08036 Barcelona, </w:t>
      </w:r>
    </w:p>
    <w:p w:rsidR="00632F23" w:rsidRPr="00632F23" w:rsidRDefault="00632F23" w:rsidP="001A0F1B">
      <w:pPr>
        <w:spacing w:line="360" w:lineRule="auto"/>
        <w:ind w:firstLineChars="400" w:firstLine="800"/>
        <w:rPr>
          <w:rFonts w:ascii="Palatino Linotype" w:hAnsi="Palatino Linotype"/>
          <w:sz w:val="20"/>
        </w:rPr>
      </w:pPr>
      <w:r w:rsidRPr="00632F23">
        <w:rPr>
          <w:rFonts w:ascii="Palatino Linotype" w:hAnsi="Palatino Linotype"/>
          <w:sz w:val="20"/>
        </w:rPr>
        <w:t xml:space="preserve">Spain </w:t>
      </w:r>
    </w:p>
    <w:p w:rsidR="00632F23" w:rsidRPr="00632F23" w:rsidRDefault="00632F23" w:rsidP="00632F23">
      <w:pPr>
        <w:spacing w:line="360" w:lineRule="auto"/>
        <w:ind w:left="800" w:hangingChars="400" w:hanging="800"/>
        <w:rPr>
          <w:rFonts w:ascii="Palatino Linotype" w:hAnsi="Palatino Linotype"/>
          <w:sz w:val="20"/>
        </w:rPr>
      </w:pPr>
      <w:r w:rsidRPr="00632F23">
        <w:rPr>
          <w:rFonts w:ascii="Palatino Linotype" w:hAnsi="Palatino Linotype"/>
          <w:sz w:val="20"/>
        </w:rPr>
        <w:t>19.</w:t>
      </w:r>
      <w:r w:rsidRPr="00632F23">
        <w:rPr>
          <w:rFonts w:ascii="Palatino Linotype" w:hAnsi="Palatino Linotype"/>
          <w:sz w:val="20"/>
        </w:rPr>
        <w:tab/>
        <w:t>Department of Psychosis Studies, Institute of Psychiatry, Psychology, and Neuroscience, King's College London, London E5 8AF, UK</w:t>
      </w:r>
    </w:p>
    <w:p w:rsidR="001A0F1B" w:rsidRDefault="00632F23" w:rsidP="00632F23">
      <w:pPr>
        <w:spacing w:line="360" w:lineRule="auto"/>
        <w:rPr>
          <w:rFonts w:ascii="Palatino Linotype" w:hAnsi="Palatino Linotype"/>
          <w:sz w:val="20"/>
        </w:rPr>
      </w:pPr>
      <w:r w:rsidRPr="00632F23">
        <w:rPr>
          <w:rFonts w:ascii="Palatino Linotype" w:hAnsi="Palatino Linotype"/>
          <w:sz w:val="20"/>
        </w:rPr>
        <w:t>20.</w:t>
      </w:r>
      <w:r w:rsidRPr="00632F23">
        <w:rPr>
          <w:rFonts w:ascii="Palatino Linotype" w:hAnsi="Palatino Linotype"/>
          <w:sz w:val="20"/>
        </w:rPr>
        <w:tab/>
        <w:t xml:space="preserve">Centre for Psychiatric Research, Department of Clinical Neuroscience, Karolinska </w:t>
      </w:r>
    </w:p>
    <w:p w:rsidR="00632F23" w:rsidRPr="00632F23" w:rsidRDefault="00632F23" w:rsidP="00632F23">
      <w:pPr>
        <w:spacing w:line="360" w:lineRule="auto"/>
        <w:ind w:firstLineChars="400" w:firstLine="800"/>
        <w:rPr>
          <w:rFonts w:ascii="Palatino Linotype" w:hAnsi="Palatino Linotype"/>
          <w:sz w:val="20"/>
        </w:rPr>
      </w:pPr>
      <w:r w:rsidRPr="00632F23">
        <w:rPr>
          <w:rFonts w:ascii="Palatino Linotype" w:hAnsi="Palatino Linotype"/>
          <w:sz w:val="20"/>
        </w:rPr>
        <w:t xml:space="preserve">Institutet, </w:t>
      </w:r>
      <w:r w:rsidR="001A0F1B">
        <w:rPr>
          <w:rFonts w:ascii="Palatino Linotype" w:hAnsi="Palatino Linotype"/>
          <w:sz w:val="20"/>
        </w:rPr>
        <w:t>1</w:t>
      </w:r>
      <w:r w:rsidRPr="00632F23">
        <w:rPr>
          <w:rFonts w:ascii="Palatino Linotype" w:hAnsi="Palatino Linotype"/>
          <w:sz w:val="20"/>
        </w:rPr>
        <w:t>13 30 Stockholm, Sweden</w:t>
      </w:r>
    </w:p>
    <w:p w:rsidR="00632F23" w:rsidRPr="00632F23" w:rsidRDefault="00632F23" w:rsidP="00632F23">
      <w:pPr>
        <w:spacing w:line="360" w:lineRule="auto"/>
        <w:ind w:left="800" w:hangingChars="400" w:hanging="800"/>
        <w:rPr>
          <w:rFonts w:ascii="Palatino Linotype" w:hAnsi="Palatino Linotype"/>
          <w:sz w:val="20"/>
        </w:rPr>
      </w:pPr>
      <w:r w:rsidRPr="00632F23">
        <w:rPr>
          <w:rFonts w:ascii="Palatino Linotype" w:hAnsi="Palatino Linotype"/>
          <w:sz w:val="20"/>
        </w:rPr>
        <w:t>21.</w:t>
      </w:r>
      <w:r w:rsidRPr="00632F23">
        <w:rPr>
          <w:rFonts w:ascii="Palatino Linotype" w:hAnsi="Palatino Linotype"/>
          <w:sz w:val="20"/>
        </w:rPr>
        <w:tab/>
        <w:t>The Cambridge Centre for Sport and Exercise Sciences, Anglia Ruskin University, Cambridge, CB1 1PT, UK.</w:t>
      </w:r>
    </w:p>
    <w:p w:rsidR="00632F23" w:rsidRPr="00632F23" w:rsidRDefault="00632F23" w:rsidP="007C1106">
      <w:pPr>
        <w:spacing w:line="360" w:lineRule="auto"/>
        <w:rPr>
          <w:rFonts w:ascii="Palatino Linotype" w:hAnsi="Palatino Linotype"/>
          <w:vertAlign w:val="superscript"/>
        </w:rPr>
      </w:pPr>
    </w:p>
    <w:p w:rsidR="00C637F9" w:rsidRPr="00632F23" w:rsidRDefault="00C637F9" w:rsidP="007C1106">
      <w:pPr>
        <w:rPr>
          <w:rFonts w:ascii="Palatino Linotype" w:hAnsi="Palatino Linotype"/>
          <w:sz w:val="22"/>
          <w:szCs w:val="22"/>
        </w:rPr>
      </w:pPr>
      <w:r w:rsidRPr="00632F23">
        <w:rPr>
          <w:rFonts w:ascii="Palatino Linotype" w:hAnsi="Palatino Linotype"/>
          <w:sz w:val="22"/>
          <w:szCs w:val="22"/>
        </w:rPr>
        <w:t>† These authors contributed equally</w:t>
      </w:r>
    </w:p>
    <w:p w:rsidR="007C1106" w:rsidRPr="00632F23" w:rsidRDefault="007C1106" w:rsidP="007C1106">
      <w:pPr>
        <w:rPr>
          <w:rFonts w:ascii="Palatino Linotype" w:hAnsi="Palatino Linotype"/>
          <w:sz w:val="22"/>
          <w:szCs w:val="22"/>
        </w:rPr>
      </w:pPr>
    </w:p>
    <w:p w:rsidR="00C637F9" w:rsidRPr="00632F23" w:rsidRDefault="00C637F9" w:rsidP="007C1106">
      <w:pPr>
        <w:rPr>
          <w:rFonts w:ascii="Palatino Linotype" w:hAnsi="Palatino Linotype"/>
          <w:sz w:val="22"/>
          <w:szCs w:val="22"/>
        </w:rPr>
      </w:pPr>
      <w:r w:rsidRPr="00632F23">
        <w:rPr>
          <w:rFonts w:ascii="Palatino Linotype" w:hAnsi="Palatino Linotype"/>
          <w:sz w:val="22"/>
          <w:szCs w:val="22"/>
        </w:rPr>
        <w:t>* Correspondence: Prof. Jae Il Shin, MD, PhD</w:t>
      </w:r>
    </w:p>
    <w:p w:rsidR="00C637F9" w:rsidRPr="00632F23" w:rsidRDefault="00C637F9" w:rsidP="007C1106">
      <w:pPr>
        <w:rPr>
          <w:rFonts w:ascii="Palatino Linotype" w:hAnsi="Palatino Linotype"/>
          <w:sz w:val="22"/>
          <w:szCs w:val="22"/>
        </w:rPr>
      </w:pPr>
      <w:r w:rsidRPr="00632F23">
        <w:rPr>
          <w:rFonts w:ascii="Palatino Linotype" w:hAnsi="Palatino Linotype"/>
          <w:sz w:val="22"/>
          <w:szCs w:val="22"/>
        </w:rPr>
        <w:t>Address: Yonsei-ro 50, Seodaemun-gu, C.P.O. Box 8044, Department of Pediatrics, Yonsei University College of Medicine, Seoul 03722, Korea</w:t>
      </w:r>
    </w:p>
    <w:p w:rsidR="00C637F9" w:rsidRPr="00632F23" w:rsidRDefault="00C637F9" w:rsidP="007C1106">
      <w:pPr>
        <w:rPr>
          <w:rFonts w:ascii="Palatino Linotype" w:hAnsi="Palatino Linotype"/>
          <w:sz w:val="22"/>
          <w:szCs w:val="22"/>
        </w:rPr>
      </w:pPr>
      <w:r w:rsidRPr="00632F23">
        <w:rPr>
          <w:rFonts w:ascii="Palatino Linotype" w:hAnsi="Palatino Linotype"/>
          <w:sz w:val="22"/>
          <w:szCs w:val="22"/>
        </w:rPr>
        <w:t>Tel.: +82-2-2228-2050; Fax: +82-2-393-9118; E-mail: shinji@yuhs.ac</w:t>
      </w:r>
    </w:p>
    <w:p w:rsidR="005E64EB" w:rsidRPr="00632F23" w:rsidRDefault="005E64EB" w:rsidP="00E66624">
      <w:pPr>
        <w:spacing w:line="480" w:lineRule="auto"/>
        <w:rPr>
          <w:rFonts w:ascii="Palatino Linotype" w:hAnsi="Palatino Linotype"/>
          <w:b/>
          <w:sz w:val="22"/>
          <w:szCs w:val="22"/>
        </w:rPr>
      </w:pPr>
    </w:p>
    <w:p w:rsidR="00D57773" w:rsidRDefault="001A0F1B" w:rsidP="000A4433">
      <w:pPr>
        <w:pStyle w:val="Heading1"/>
      </w:pPr>
      <w:r>
        <w:br w:type="page"/>
      </w:r>
      <w:r w:rsidR="00AB11CF" w:rsidRPr="00632F23">
        <w:lastRenderedPageBreak/>
        <w:t>Abstract:</w:t>
      </w:r>
    </w:p>
    <w:p w:rsidR="00D57773" w:rsidRDefault="00D57773" w:rsidP="00874E01">
      <w:pPr>
        <w:spacing w:after="160" w:line="480" w:lineRule="auto"/>
        <w:jc w:val="both"/>
        <w:rPr>
          <w:rFonts w:ascii="Palatino Linotype" w:hAnsi="Palatino Linotype"/>
          <w:bCs/>
        </w:rPr>
      </w:pPr>
      <w:r w:rsidRPr="00D57773">
        <w:rPr>
          <w:rFonts w:ascii="Palatino Linotype" w:hAnsi="Palatino Linotype"/>
          <w:b/>
          <w:i/>
          <w:iCs/>
        </w:rPr>
        <w:t>Objective:</w:t>
      </w:r>
      <w:r>
        <w:rPr>
          <w:rFonts w:ascii="Palatino Linotype" w:hAnsi="Palatino Linotype"/>
          <w:b/>
        </w:rPr>
        <w:t xml:space="preserve"> </w:t>
      </w:r>
      <w:r w:rsidR="00AB11CF" w:rsidRPr="00632F23">
        <w:rPr>
          <w:rFonts w:ascii="Palatino Linotype" w:hAnsi="Palatino Linotype"/>
          <w:bCs/>
        </w:rPr>
        <w:t>Since the outbreak of the coronavirus disease 2019 (COVID-19) in December of 2019 in China, the estimation of the pandemic’s case fatality rate (CFR) has been the focus and interest of many stakeholders. In this manuscript, we prove that the method of using the cumulative CFR is static and does not reflect the trend according to the daily change per unit of time.</w:t>
      </w:r>
    </w:p>
    <w:p w:rsidR="00D57773" w:rsidRDefault="00D57773" w:rsidP="00874E01">
      <w:pPr>
        <w:spacing w:after="160" w:line="480" w:lineRule="auto"/>
        <w:jc w:val="both"/>
        <w:rPr>
          <w:rFonts w:ascii="Palatino Linotype" w:hAnsi="Palatino Linotype"/>
          <w:bCs/>
        </w:rPr>
      </w:pPr>
      <w:r w:rsidRPr="00D57773">
        <w:rPr>
          <w:rFonts w:ascii="Palatino Linotype" w:hAnsi="Palatino Linotype"/>
          <w:b/>
          <w:i/>
          <w:iCs/>
        </w:rPr>
        <w:t>Methods:</w:t>
      </w:r>
      <w:r>
        <w:rPr>
          <w:rFonts w:ascii="Palatino Linotype" w:hAnsi="Palatino Linotype"/>
          <w:bCs/>
        </w:rPr>
        <w:t xml:space="preserve"> </w:t>
      </w:r>
      <w:r w:rsidR="00AB11CF" w:rsidRPr="00632F23">
        <w:rPr>
          <w:rFonts w:ascii="Palatino Linotype" w:hAnsi="Palatino Linotype"/>
        </w:rPr>
        <w:t>A proportion meta-analysis was carried out on CFR in every country reporting COVID-19 cases. Based on the results, we performed a meta-analysis for global COVID-19 CFR. Each analysis was performed on two different calculations of CFR: according to calendar date and according to days since the outbreak of the first confirmed case.</w:t>
      </w:r>
      <w:r w:rsidR="00AB11CF" w:rsidRPr="00632F23">
        <w:rPr>
          <w:rFonts w:ascii="Palatino Linotype" w:hAnsi="Palatino Linotype"/>
          <w:bCs/>
        </w:rPr>
        <w:t xml:space="preserve"> We thus explored an innovative and original calculation of CFR concurrently based on the date of the first confirmed case as well as on a daily basis. </w:t>
      </w:r>
    </w:p>
    <w:p w:rsidR="00D57773" w:rsidRDefault="00D57773" w:rsidP="00874E01">
      <w:pPr>
        <w:spacing w:after="160" w:line="480" w:lineRule="auto"/>
        <w:jc w:val="both"/>
        <w:rPr>
          <w:rFonts w:ascii="Palatino Linotype" w:hAnsi="Palatino Linotype"/>
          <w:bCs/>
        </w:rPr>
      </w:pPr>
      <w:r w:rsidRPr="00D57773">
        <w:rPr>
          <w:rFonts w:ascii="Palatino Linotype" w:hAnsi="Palatino Linotype"/>
          <w:b/>
          <w:i/>
          <w:iCs/>
        </w:rPr>
        <w:t xml:space="preserve">Results: </w:t>
      </w:r>
      <w:r w:rsidR="00AB11CF" w:rsidRPr="00632F23">
        <w:rPr>
          <w:rFonts w:ascii="Palatino Linotype" w:hAnsi="Palatino Linotype"/>
          <w:bCs/>
        </w:rPr>
        <w:t xml:space="preserve">For the first time, we showed that using meta-analyses, according to calendar date and days since the outbreak of the first confirmed case were different. </w:t>
      </w:r>
    </w:p>
    <w:p w:rsidR="00AB11CF" w:rsidRPr="00632F23" w:rsidRDefault="00D57773" w:rsidP="00874E01">
      <w:pPr>
        <w:spacing w:after="160" w:line="480" w:lineRule="auto"/>
        <w:jc w:val="both"/>
        <w:rPr>
          <w:rFonts w:ascii="Palatino Linotype" w:hAnsi="Palatino Linotype"/>
          <w:b/>
        </w:rPr>
      </w:pPr>
      <w:r w:rsidRPr="00D57773">
        <w:rPr>
          <w:rFonts w:ascii="Palatino Linotype" w:hAnsi="Palatino Linotype"/>
          <w:b/>
          <w:i/>
          <w:iCs/>
        </w:rPr>
        <w:t>Conclusion:</w:t>
      </w:r>
      <w:r>
        <w:rPr>
          <w:rFonts w:ascii="Palatino Linotype" w:hAnsi="Palatino Linotype"/>
          <w:bCs/>
        </w:rPr>
        <w:t xml:space="preserve"> </w:t>
      </w:r>
      <w:r w:rsidR="00AB11CF" w:rsidRPr="00632F23">
        <w:rPr>
          <w:rFonts w:ascii="Palatino Linotype" w:hAnsi="Palatino Linotype"/>
          <w:bCs/>
        </w:rPr>
        <w:t>We propose that CFR according to days since the outbreak of the first confirmed case might be a better predictor of the current CFR of COVID-19 and its kinetics.</w:t>
      </w:r>
    </w:p>
    <w:p w:rsidR="005D0E12" w:rsidRPr="00632F23" w:rsidRDefault="00AB11CF" w:rsidP="00874E01">
      <w:pPr>
        <w:spacing w:line="480" w:lineRule="auto"/>
        <w:jc w:val="both"/>
        <w:rPr>
          <w:rFonts w:ascii="Palatino Linotype" w:hAnsi="Palatino Linotype"/>
          <w:bCs/>
        </w:rPr>
      </w:pPr>
      <w:r w:rsidRPr="00632F23">
        <w:rPr>
          <w:rFonts w:ascii="Palatino Linotype" w:hAnsi="Palatino Linotype"/>
          <w:b/>
        </w:rPr>
        <w:t>K</w:t>
      </w:r>
      <w:r w:rsidRPr="00354D1C">
        <w:rPr>
          <w:rFonts w:ascii="Palatino Linotype" w:eastAsia="Malgun Gothic" w:hAnsi="Palatino Linotype"/>
          <w:b/>
          <w:kern w:val="2"/>
          <w:szCs w:val="22"/>
          <w:lang w:eastAsia="ko-KR"/>
        </w:rPr>
        <w:t>eywords</w:t>
      </w:r>
      <w:r w:rsidRPr="00632F23">
        <w:rPr>
          <w:rFonts w:ascii="Palatino Linotype" w:hAnsi="Palatino Linotype"/>
          <w:b/>
        </w:rPr>
        <w:t xml:space="preserve">: </w:t>
      </w:r>
      <w:r w:rsidRPr="00632F23">
        <w:rPr>
          <w:rFonts w:ascii="Palatino Linotype" w:hAnsi="Palatino Linotype"/>
          <w:bCs/>
        </w:rPr>
        <w:t xml:space="preserve">COVID-19, </w:t>
      </w:r>
      <w:r w:rsidRPr="00632F23">
        <w:rPr>
          <w:rFonts w:ascii="Palatino Linotype" w:eastAsia="Arial Unicode MS" w:hAnsi="Palatino Linotype"/>
          <w:bCs/>
        </w:rPr>
        <w:t xml:space="preserve">case fatality rate, </w:t>
      </w:r>
      <w:r w:rsidRPr="00632F23">
        <w:rPr>
          <w:rFonts w:ascii="Palatino Linotype" w:hAnsi="Palatino Linotype"/>
        </w:rPr>
        <w:t>proportion meta-analysis, calendar date,</w:t>
      </w:r>
      <w:r w:rsidRPr="00632F23">
        <w:rPr>
          <w:rFonts w:ascii="Palatino Linotype" w:hAnsi="Palatino Linotype"/>
          <w:bCs/>
        </w:rPr>
        <w:t xml:space="preserve"> days since first confirmed case.</w:t>
      </w:r>
    </w:p>
    <w:p w:rsidR="00632F23" w:rsidRDefault="00632F23" w:rsidP="00874E01">
      <w:pPr>
        <w:spacing w:line="480" w:lineRule="auto"/>
        <w:jc w:val="both"/>
        <w:rPr>
          <w:rFonts w:ascii="Palatino Linotype" w:hAnsi="Palatino Linotype"/>
          <w:b/>
        </w:rPr>
      </w:pPr>
    </w:p>
    <w:p w:rsidR="00C637F9" w:rsidRPr="00632F23" w:rsidRDefault="00AB11CF" w:rsidP="000A4433">
      <w:pPr>
        <w:pStyle w:val="Heading1"/>
      </w:pPr>
      <w:r w:rsidRPr="00632F23">
        <w:t>1.</w:t>
      </w:r>
      <w:r w:rsidR="005D0E12" w:rsidRPr="00632F23">
        <w:t xml:space="preserve"> </w:t>
      </w:r>
      <w:r w:rsidR="000D258C" w:rsidRPr="00632F23">
        <w:t>Introduction</w:t>
      </w:r>
    </w:p>
    <w:p w:rsidR="00C637F9" w:rsidRPr="00632F23" w:rsidRDefault="00C637F9" w:rsidP="00874E01">
      <w:pPr>
        <w:spacing w:line="480" w:lineRule="auto"/>
        <w:jc w:val="both"/>
        <w:rPr>
          <w:rFonts w:ascii="Palatino Linotype" w:hAnsi="Palatino Linotype"/>
        </w:rPr>
      </w:pPr>
      <w:r w:rsidRPr="00632F23">
        <w:rPr>
          <w:rFonts w:ascii="Palatino Linotype" w:hAnsi="Palatino Linotype"/>
        </w:rPr>
        <w:t>Since the outbreak of the coronavirus disease 2019 (COVID-19) in December of 2019 in China, COVID-19 has spread worldwide</w:t>
      </w:r>
      <w:r w:rsidR="00E66624" w:rsidRPr="00632F23">
        <w:rPr>
          <w:rFonts w:ascii="Palatino Linotype" w:hAnsi="Palatino Linotype"/>
        </w:rPr>
        <w:t xml:space="preserve"> </w:t>
      </w:r>
      <w:r w:rsidR="002C322F">
        <w:rPr>
          <w:rFonts w:ascii="Palatino Linotype" w:hAnsi="Palatino Linotype"/>
        </w:rPr>
        <w:t xml:space="preserve">(WHO, 2020; </w:t>
      </w:r>
      <w:r w:rsidR="002C322F" w:rsidRPr="00632F23">
        <w:rPr>
          <w:rFonts w:ascii="Palatino Linotype" w:hAnsi="Palatino Linotype"/>
          <w:color w:val="333333"/>
          <w:shd w:val="clear" w:color="auto" w:fill="FFFFFF"/>
        </w:rPr>
        <w:t>Zhu</w:t>
      </w:r>
      <w:r w:rsidR="002C322F">
        <w:rPr>
          <w:rFonts w:ascii="Palatino Linotype" w:hAnsi="Palatino Linotype"/>
          <w:color w:val="333333"/>
          <w:shd w:val="clear" w:color="auto" w:fill="FFFFFF"/>
        </w:rPr>
        <w:t>, 2020a</w:t>
      </w:r>
      <w:r w:rsidR="002C322F">
        <w:rPr>
          <w:rFonts w:ascii="Palatino Linotype" w:hAnsi="Palatino Linotype"/>
        </w:rPr>
        <w:t>)</w:t>
      </w:r>
      <w:r w:rsidRPr="00632F23">
        <w:rPr>
          <w:rFonts w:ascii="Palatino Linotype" w:hAnsi="Palatino Linotype"/>
        </w:rPr>
        <w:t xml:space="preserve">. As of May </w:t>
      </w:r>
      <w:r w:rsidR="00E66624" w:rsidRPr="00632F23">
        <w:rPr>
          <w:rFonts w:ascii="Palatino Linotype" w:hAnsi="Palatino Linotype"/>
        </w:rPr>
        <w:t>28</w:t>
      </w:r>
      <w:r w:rsidR="00EF4B94" w:rsidRPr="00632F23">
        <w:rPr>
          <w:rFonts w:ascii="Palatino Linotype" w:hAnsi="Palatino Linotype"/>
          <w:vertAlign w:val="superscript"/>
        </w:rPr>
        <w:t>th</w:t>
      </w:r>
      <w:r w:rsidRPr="00632F23">
        <w:rPr>
          <w:rFonts w:ascii="Palatino Linotype" w:hAnsi="Palatino Linotype"/>
        </w:rPr>
        <w:t xml:space="preserve">, 2020, </w:t>
      </w:r>
      <w:r w:rsidR="00E66624" w:rsidRPr="00632F23">
        <w:rPr>
          <w:rFonts w:ascii="Palatino Linotype" w:hAnsi="Palatino Linotype"/>
        </w:rPr>
        <w:t>5,593,631</w:t>
      </w:r>
      <w:r w:rsidRPr="00632F23">
        <w:rPr>
          <w:rFonts w:ascii="Palatino Linotype" w:hAnsi="Palatino Linotype"/>
        </w:rPr>
        <w:t xml:space="preserve"> confirmed cases with </w:t>
      </w:r>
      <w:r w:rsidR="00E66624" w:rsidRPr="00632F23">
        <w:rPr>
          <w:rFonts w:ascii="Palatino Linotype" w:hAnsi="Palatino Linotype"/>
        </w:rPr>
        <w:t>353,334</w:t>
      </w:r>
      <w:r w:rsidRPr="00632F23">
        <w:rPr>
          <w:rFonts w:ascii="Palatino Linotype" w:hAnsi="Palatino Linotype"/>
        </w:rPr>
        <w:t xml:space="preserve"> deaths were reported across the 216 affected countries, territories, or areas</w:t>
      </w:r>
      <w:r w:rsidR="00E66624" w:rsidRPr="00632F23">
        <w:rPr>
          <w:rFonts w:ascii="Palatino Linotype" w:hAnsi="Palatino Linotype"/>
        </w:rPr>
        <w:t xml:space="preserve"> </w:t>
      </w:r>
      <w:r w:rsidR="002C322F">
        <w:rPr>
          <w:rFonts w:ascii="Palatino Linotype" w:hAnsi="Palatino Linotype"/>
        </w:rPr>
        <w:t>(WHO, 2020b)</w:t>
      </w:r>
      <w:r w:rsidRPr="00632F23">
        <w:rPr>
          <w:rFonts w:ascii="Palatino Linotype" w:hAnsi="Palatino Linotype"/>
        </w:rPr>
        <w:t>.</w:t>
      </w:r>
      <w:r w:rsidR="004A7EFB" w:rsidRPr="00632F23">
        <w:rPr>
          <w:rFonts w:ascii="Palatino Linotype" w:hAnsi="Palatino Linotype"/>
        </w:rPr>
        <w:t xml:space="preserve"> Among other clinical and epidemiologic features of the virus,</w:t>
      </w:r>
      <w:r w:rsidRPr="00632F23">
        <w:rPr>
          <w:rFonts w:ascii="Palatino Linotype" w:hAnsi="Palatino Linotype"/>
        </w:rPr>
        <w:t xml:space="preserve"> </w:t>
      </w:r>
      <w:r w:rsidR="004A7EFB" w:rsidRPr="00632F23">
        <w:rPr>
          <w:rFonts w:ascii="Palatino Linotype" w:hAnsi="Palatino Linotype"/>
        </w:rPr>
        <w:t xml:space="preserve">predicting the estimates of mortality of this pandemic </w:t>
      </w:r>
      <w:r w:rsidRPr="00632F23">
        <w:rPr>
          <w:rFonts w:ascii="Palatino Linotype" w:hAnsi="Palatino Linotype"/>
        </w:rPr>
        <w:t xml:space="preserve">is </w:t>
      </w:r>
      <w:r w:rsidR="005A6B70" w:rsidRPr="00632F23">
        <w:rPr>
          <w:rFonts w:ascii="Palatino Linotype" w:hAnsi="Palatino Linotype"/>
        </w:rPr>
        <w:t xml:space="preserve">crucial </w:t>
      </w:r>
      <w:r w:rsidR="004A7EFB" w:rsidRPr="00632F23">
        <w:rPr>
          <w:rFonts w:ascii="Palatino Linotype" w:hAnsi="Palatino Linotype"/>
        </w:rPr>
        <w:t xml:space="preserve">and indispensable. </w:t>
      </w:r>
    </w:p>
    <w:p w:rsidR="00C637F9" w:rsidRPr="00632F23" w:rsidRDefault="00C637F9" w:rsidP="00D241D4">
      <w:pPr>
        <w:spacing w:line="480" w:lineRule="auto"/>
        <w:jc w:val="both"/>
        <w:rPr>
          <w:rFonts w:ascii="Palatino Linotype" w:hAnsi="Palatino Linotype"/>
        </w:rPr>
      </w:pPr>
      <w:r w:rsidRPr="00632F23">
        <w:rPr>
          <w:rFonts w:ascii="Palatino Linotype" w:hAnsi="Palatino Linotype"/>
        </w:rPr>
        <w:t xml:space="preserve"> </w:t>
      </w:r>
      <w:r w:rsidR="00D343E8" w:rsidRPr="00632F23">
        <w:rPr>
          <w:rFonts w:ascii="Palatino Linotype" w:hAnsi="Palatino Linotype"/>
        </w:rPr>
        <w:t>T</w:t>
      </w:r>
      <w:r w:rsidRPr="00632F23">
        <w:rPr>
          <w:rFonts w:ascii="Palatino Linotype" w:hAnsi="Palatino Linotype"/>
        </w:rPr>
        <w:t xml:space="preserve">he estimate of </w:t>
      </w:r>
      <w:r w:rsidR="00951265" w:rsidRPr="00632F23">
        <w:rPr>
          <w:rFonts w:ascii="Palatino Linotype" w:hAnsi="Palatino Linotype"/>
        </w:rPr>
        <w:t xml:space="preserve">the </w:t>
      </w:r>
      <w:r w:rsidRPr="00632F23">
        <w:rPr>
          <w:rFonts w:ascii="Palatino Linotype" w:hAnsi="Palatino Linotype"/>
        </w:rPr>
        <w:t>case fatality rate (CFR</w:t>
      </w:r>
      <w:r w:rsidR="00DC3219" w:rsidRPr="00632F23">
        <w:rPr>
          <w:rFonts w:ascii="Palatino Linotype" w:hAnsi="Palatino Linotype"/>
        </w:rPr>
        <w:t>)</w:t>
      </w:r>
      <w:r w:rsidRPr="00632F23">
        <w:rPr>
          <w:rFonts w:ascii="Palatino Linotype" w:hAnsi="Palatino Linotype"/>
        </w:rPr>
        <w:t>,</w:t>
      </w:r>
      <w:r w:rsidR="00DC3219" w:rsidRPr="00632F23">
        <w:rPr>
          <w:rFonts w:ascii="Palatino Linotype" w:hAnsi="Palatino Linotype"/>
        </w:rPr>
        <w:t xml:space="preserve"> is defined as the</w:t>
      </w:r>
      <w:r w:rsidRPr="00632F23">
        <w:rPr>
          <w:rFonts w:ascii="Palatino Linotype" w:hAnsi="Palatino Linotype"/>
        </w:rPr>
        <w:t xml:space="preserve"> number of death</w:t>
      </w:r>
      <w:r w:rsidR="00D343E8" w:rsidRPr="00632F23">
        <w:rPr>
          <w:rFonts w:ascii="Palatino Linotype" w:hAnsi="Palatino Linotype"/>
        </w:rPr>
        <w:t xml:space="preserve">s </w:t>
      </w:r>
      <w:r w:rsidRPr="00632F23">
        <w:rPr>
          <w:rFonts w:ascii="Palatino Linotype" w:hAnsi="Palatino Linotype"/>
        </w:rPr>
        <w:t>with COVID-19 divided by the number of</w:t>
      </w:r>
      <w:r w:rsidR="00951265" w:rsidRPr="00632F23">
        <w:rPr>
          <w:rFonts w:ascii="Palatino Linotype" w:hAnsi="Palatino Linotype"/>
        </w:rPr>
        <w:t xml:space="preserve"> </w:t>
      </w:r>
      <w:r w:rsidRPr="00632F23">
        <w:rPr>
          <w:rFonts w:ascii="Palatino Linotype" w:hAnsi="Palatino Linotype"/>
        </w:rPr>
        <w:t>confirmed</w:t>
      </w:r>
      <w:r w:rsidR="00DC3219" w:rsidRPr="00632F23">
        <w:rPr>
          <w:rFonts w:ascii="Palatino Linotype" w:hAnsi="Palatino Linotype"/>
        </w:rPr>
        <w:t xml:space="preserve"> COVID-19</w:t>
      </w:r>
      <w:r w:rsidRPr="00632F23">
        <w:rPr>
          <w:rFonts w:ascii="Palatino Linotype" w:hAnsi="Palatino Linotype"/>
        </w:rPr>
        <w:t xml:space="preserve"> cases</w:t>
      </w:r>
      <w:r w:rsidR="00DC3219" w:rsidRPr="00632F23">
        <w:rPr>
          <w:rFonts w:ascii="Palatino Linotype" w:hAnsi="Palatino Linotype"/>
        </w:rPr>
        <w:t>.</w:t>
      </w:r>
      <w:r w:rsidR="00C6264E" w:rsidRPr="00632F23">
        <w:rPr>
          <w:rFonts w:ascii="Palatino Linotype" w:hAnsi="Palatino Linotype"/>
        </w:rPr>
        <w:t xml:space="preserve"> CFR </w:t>
      </w:r>
      <w:r w:rsidRPr="00632F23">
        <w:rPr>
          <w:rFonts w:ascii="Palatino Linotype" w:hAnsi="Palatino Linotype"/>
        </w:rPr>
        <w:t>has been developed to understand the mortality and epidemiological features reporting for emerging infectious diseases</w:t>
      </w:r>
      <w:r w:rsidR="00E66624" w:rsidRPr="00632F23">
        <w:rPr>
          <w:rFonts w:ascii="Palatino Linotype" w:hAnsi="Palatino Linotype"/>
        </w:rPr>
        <w:t xml:space="preserve"> </w:t>
      </w:r>
      <w:r w:rsidR="002C322F">
        <w:rPr>
          <w:rFonts w:ascii="Palatino Linotype" w:hAnsi="Palatino Linotype"/>
        </w:rPr>
        <w:t>(</w:t>
      </w:r>
      <w:r w:rsidR="002C322F" w:rsidRPr="002C322F">
        <w:rPr>
          <w:rFonts w:ascii="Palatino Linotype" w:hAnsi="Palatino Linotype"/>
        </w:rPr>
        <w:t>Porta</w:t>
      </w:r>
      <w:r w:rsidR="00D57773">
        <w:rPr>
          <w:rFonts w:ascii="Palatino Linotype" w:hAnsi="Palatino Linotype"/>
        </w:rPr>
        <w:t xml:space="preserve"> et al.</w:t>
      </w:r>
      <w:r w:rsidR="002C322F">
        <w:rPr>
          <w:rFonts w:ascii="Palatino Linotype" w:hAnsi="Palatino Linotype"/>
        </w:rPr>
        <w:t xml:space="preserve">, </w:t>
      </w:r>
      <w:r w:rsidR="002C322F" w:rsidRPr="002C322F">
        <w:rPr>
          <w:rFonts w:ascii="Palatino Linotype" w:hAnsi="Palatino Linotype"/>
        </w:rPr>
        <w:t>2008</w:t>
      </w:r>
      <w:r w:rsidR="002C322F">
        <w:rPr>
          <w:rFonts w:ascii="Palatino Linotype" w:hAnsi="Palatino Linotype"/>
        </w:rPr>
        <w:t>;</w:t>
      </w:r>
      <w:r w:rsidR="00D241D4">
        <w:rPr>
          <w:rFonts w:ascii="Palatino Linotype" w:hAnsi="Palatino Linotype"/>
        </w:rPr>
        <w:t xml:space="preserve"> </w:t>
      </w:r>
      <w:r w:rsidR="002C322F" w:rsidRPr="002C322F">
        <w:rPr>
          <w:rFonts w:ascii="Palatino Linotype" w:hAnsi="Palatino Linotype"/>
        </w:rPr>
        <w:t>Battegay</w:t>
      </w:r>
      <w:r w:rsidR="00D57773">
        <w:rPr>
          <w:rFonts w:ascii="Palatino Linotype" w:hAnsi="Palatino Linotype"/>
        </w:rPr>
        <w:t xml:space="preserve"> et al.</w:t>
      </w:r>
      <w:r w:rsidR="002C322F">
        <w:rPr>
          <w:rFonts w:ascii="Palatino Linotype" w:hAnsi="Palatino Linotype"/>
        </w:rPr>
        <w:t>, 2020)</w:t>
      </w:r>
      <w:r w:rsidR="00951265" w:rsidRPr="00632F23">
        <w:rPr>
          <w:rFonts w:ascii="Palatino Linotype" w:hAnsi="Palatino Linotype"/>
        </w:rPr>
        <w:t>,</w:t>
      </w:r>
      <w:r w:rsidRPr="00632F23">
        <w:rPr>
          <w:rFonts w:ascii="Palatino Linotype" w:hAnsi="Palatino Linotype"/>
        </w:rPr>
        <w:t xml:space="preserve"> such as </w:t>
      </w:r>
      <w:r w:rsidR="008756D3" w:rsidRPr="00632F23">
        <w:rPr>
          <w:rFonts w:ascii="Palatino Linotype" w:eastAsia="Arial Unicode MS" w:hAnsi="Palatino Linotype"/>
        </w:rPr>
        <w:t>S</w:t>
      </w:r>
      <w:r w:rsidRPr="00632F23">
        <w:rPr>
          <w:rFonts w:ascii="Palatino Linotype" w:eastAsia="Arial Unicode MS" w:hAnsi="Palatino Linotype"/>
        </w:rPr>
        <w:t xml:space="preserve">evere </w:t>
      </w:r>
      <w:r w:rsidR="008756D3" w:rsidRPr="00632F23">
        <w:rPr>
          <w:rFonts w:ascii="Palatino Linotype" w:eastAsia="Arial Unicode MS" w:hAnsi="Palatino Linotype"/>
        </w:rPr>
        <w:t>A</w:t>
      </w:r>
      <w:r w:rsidRPr="00632F23">
        <w:rPr>
          <w:rFonts w:ascii="Palatino Linotype" w:eastAsia="Arial Unicode MS" w:hAnsi="Palatino Linotype"/>
        </w:rPr>
        <w:t xml:space="preserve">cute </w:t>
      </w:r>
      <w:r w:rsidR="008756D3" w:rsidRPr="00632F23">
        <w:rPr>
          <w:rFonts w:ascii="Palatino Linotype" w:eastAsia="Arial Unicode MS" w:hAnsi="Palatino Linotype"/>
        </w:rPr>
        <w:t>R</w:t>
      </w:r>
      <w:r w:rsidRPr="00632F23">
        <w:rPr>
          <w:rFonts w:ascii="Palatino Linotype" w:eastAsia="Arial Unicode MS" w:hAnsi="Palatino Linotype"/>
        </w:rPr>
        <w:t xml:space="preserve">espiratory </w:t>
      </w:r>
      <w:r w:rsidR="008756D3" w:rsidRPr="00632F23">
        <w:rPr>
          <w:rFonts w:ascii="Palatino Linotype" w:eastAsia="Arial Unicode MS" w:hAnsi="Palatino Linotype"/>
        </w:rPr>
        <w:t>S</w:t>
      </w:r>
      <w:r w:rsidRPr="00632F23">
        <w:rPr>
          <w:rFonts w:ascii="Palatino Linotype" w:eastAsia="Arial Unicode MS" w:hAnsi="Palatino Linotype"/>
        </w:rPr>
        <w:t>yndrome-coronavirus (</w:t>
      </w:r>
      <w:r w:rsidRPr="00632F23">
        <w:rPr>
          <w:rFonts w:ascii="Palatino Linotype" w:hAnsi="Palatino Linotype"/>
        </w:rPr>
        <w:t>SARS, CFR 9.6% on a global scale)</w:t>
      </w:r>
      <w:r w:rsidR="00E66624" w:rsidRPr="00632F23">
        <w:rPr>
          <w:rFonts w:ascii="Palatino Linotype" w:hAnsi="Palatino Linotype"/>
        </w:rPr>
        <w:t xml:space="preserve"> </w:t>
      </w:r>
      <w:r w:rsidR="002C322F">
        <w:rPr>
          <w:rFonts w:ascii="Palatino Linotype" w:hAnsi="Palatino Linotype"/>
        </w:rPr>
        <w:t>(</w:t>
      </w:r>
      <w:r w:rsidR="002C322F" w:rsidRPr="002C322F">
        <w:rPr>
          <w:rFonts w:ascii="Palatino Linotype" w:hAnsi="Palatino Linotype"/>
        </w:rPr>
        <w:t>Donnelly</w:t>
      </w:r>
      <w:r w:rsidR="00D57773">
        <w:rPr>
          <w:rFonts w:ascii="Palatino Linotype" w:hAnsi="Palatino Linotype"/>
        </w:rPr>
        <w:t xml:space="preserve"> et al.</w:t>
      </w:r>
      <w:r w:rsidR="00D241D4">
        <w:rPr>
          <w:rFonts w:ascii="Palatino Linotype" w:hAnsi="Palatino Linotype"/>
        </w:rPr>
        <w:t xml:space="preserve">, </w:t>
      </w:r>
      <w:r w:rsidR="002C322F" w:rsidRPr="002C322F">
        <w:rPr>
          <w:rFonts w:ascii="Palatino Linotype" w:hAnsi="Palatino Linotype"/>
        </w:rPr>
        <w:t>2003</w:t>
      </w:r>
      <w:r w:rsidR="00D241D4">
        <w:rPr>
          <w:rFonts w:ascii="Palatino Linotype" w:hAnsi="Palatino Linotype"/>
        </w:rPr>
        <w:t xml:space="preserve">) </w:t>
      </w:r>
      <w:r w:rsidRPr="00632F23">
        <w:rPr>
          <w:rFonts w:ascii="Palatino Linotype" w:hAnsi="Palatino Linotype"/>
        </w:rPr>
        <w:t xml:space="preserve">and </w:t>
      </w:r>
      <w:r w:rsidRPr="00632F23">
        <w:rPr>
          <w:rFonts w:ascii="Palatino Linotype" w:eastAsia="Arial Unicode MS" w:hAnsi="Palatino Linotype"/>
        </w:rPr>
        <w:t xml:space="preserve">Middle East </w:t>
      </w:r>
      <w:r w:rsidR="008756D3" w:rsidRPr="00632F23">
        <w:rPr>
          <w:rFonts w:ascii="Palatino Linotype" w:eastAsia="Arial Unicode MS" w:hAnsi="Palatino Linotype"/>
        </w:rPr>
        <w:t>R</w:t>
      </w:r>
      <w:r w:rsidRPr="00632F23">
        <w:rPr>
          <w:rFonts w:ascii="Palatino Linotype" w:eastAsia="Arial Unicode MS" w:hAnsi="Palatino Linotype"/>
        </w:rPr>
        <w:t xml:space="preserve">espiratory </w:t>
      </w:r>
      <w:r w:rsidR="008756D3" w:rsidRPr="00632F23">
        <w:rPr>
          <w:rFonts w:ascii="Palatino Linotype" w:eastAsia="Arial Unicode MS" w:hAnsi="Palatino Linotype"/>
        </w:rPr>
        <w:t>S</w:t>
      </w:r>
      <w:r w:rsidRPr="00632F23">
        <w:rPr>
          <w:rFonts w:ascii="Palatino Linotype" w:eastAsia="Arial Unicode MS" w:hAnsi="Palatino Linotype"/>
        </w:rPr>
        <w:t>yndrome-coronavirus (</w:t>
      </w:r>
      <w:r w:rsidRPr="00632F23">
        <w:rPr>
          <w:rFonts w:ascii="Palatino Linotype" w:hAnsi="Palatino Linotype"/>
        </w:rPr>
        <w:t>MERS, CFR 34.5%)</w:t>
      </w:r>
      <w:r w:rsidR="00D241D4">
        <w:rPr>
          <w:rFonts w:ascii="Palatino Linotype" w:hAnsi="Palatino Linotype"/>
        </w:rPr>
        <w:t xml:space="preserve"> (</w:t>
      </w:r>
      <w:r w:rsidR="00D241D4" w:rsidRPr="002C322F">
        <w:rPr>
          <w:rFonts w:ascii="Palatino Linotype" w:hAnsi="Palatino Linotype"/>
        </w:rPr>
        <w:t>Fisman</w:t>
      </w:r>
      <w:r w:rsidR="00D57773">
        <w:rPr>
          <w:rFonts w:ascii="Palatino Linotype" w:hAnsi="Palatino Linotype"/>
        </w:rPr>
        <w:t xml:space="preserve"> et al</w:t>
      </w:r>
      <w:r w:rsidR="00D241D4" w:rsidRPr="002C322F">
        <w:rPr>
          <w:rFonts w:ascii="Palatino Linotype" w:hAnsi="Palatino Linotype"/>
        </w:rPr>
        <w:t>,</w:t>
      </w:r>
      <w:r w:rsidR="00D241D4">
        <w:rPr>
          <w:rFonts w:ascii="Palatino Linotype" w:hAnsi="Palatino Linotype"/>
        </w:rPr>
        <w:t xml:space="preserve"> 2014)</w:t>
      </w:r>
      <w:r w:rsidRPr="00632F23">
        <w:rPr>
          <w:rFonts w:ascii="Palatino Linotype" w:hAnsi="Palatino Linotype"/>
        </w:rPr>
        <w:t xml:space="preserve">. To date, there have been many attempts to estimate </w:t>
      </w:r>
      <w:r w:rsidR="00D343E8" w:rsidRPr="00632F23">
        <w:rPr>
          <w:rFonts w:ascii="Palatino Linotype" w:hAnsi="Palatino Linotype"/>
        </w:rPr>
        <w:t xml:space="preserve">the underlying </w:t>
      </w:r>
      <w:r w:rsidR="00951265" w:rsidRPr="00632F23">
        <w:rPr>
          <w:rFonts w:ascii="Palatino Linotype" w:hAnsi="Palatino Linotype"/>
        </w:rPr>
        <w:t>"</w:t>
      </w:r>
      <w:r w:rsidR="00D343E8" w:rsidRPr="00632F23">
        <w:rPr>
          <w:rFonts w:ascii="Palatino Linotype" w:hAnsi="Palatino Linotype"/>
        </w:rPr>
        <w:t>true</w:t>
      </w:r>
      <w:r w:rsidRPr="00632F23">
        <w:rPr>
          <w:rFonts w:ascii="Palatino Linotype" w:hAnsi="Palatino Linotype"/>
        </w:rPr>
        <w:t xml:space="preserve"> </w:t>
      </w:r>
      <w:r w:rsidR="00D343E8" w:rsidRPr="00632F23">
        <w:rPr>
          <w:rFonts w:ascii="Palatino Linotype" w:hAnsi="Palatino Linotype"/>
        </w:rPr>
        <w:t>CFR</w:t>
      </w:r>
      <w:r w:rsidR="00951265" w:rsidRPr="00632F23">
        <w:rPr>
          <w:rFonts w:ascii="Palatino Linotype" w:hAnsi="Palatino Linotype"/>
        </w:rPr>
        <w:t>"</w:t>
      </w:r>
      <w:r w:rsidRPr="00632F23">
        <w:rPr>
          <w:rFonts w:ascii="Palatino Linotype" w:hAnsi="Palatino Linotype"/>
        </w:rPr>
        <w:t xml:space="preserve"> </w:t>
      </w:r>
      <w:r w:rsidR="00D343E8" w:rsidRPr="00632F23">
        <w:rPr>
          <w:rFonts w:ascii="Palatino Linotype" w:hAnsi="Palatino Linotype"/>
        </w:rPr>
        <w:t xml:space="preserve">of </w:t>
      </w:r>
      <w:r w:rsidRPr="00632F23">
        <w:rPr>
          <w:rFonts w:ascii="Palatino Linotype" w:hAnsi="Palatino Linotype"/>
        </w:rPr>
        <w:t>COVID-19</w:t>
      </w:r>
      <w:r w:rsidR="00E66624" w:rsidRPr="00632F23">
        <w:rPr>
          <w:rFonts w:ascii="Palatino Linotype" w:hAnsi="Palatino Linotype"/>
        </w:rPr>
        <w:t xml:space="preserve"> </w:t>
      </w:r>
      <w:r w:rsidR="00D241D4">
        <w:rPr>
          <w:rFonts w:ascii="Palatino Linotype" w:hAnsi="Palatino Linotype"/>
        </w:rPr>
        <w:t>(</w:t>
      </w:r>
      <w:r w:rsidR="00D241D4" w:rsidRPr="00D241D4">
        <w:rPr>
          <w:rFonts w:ascii="Palatino Linotype" w:hAnsi="Palatino Linotype"/>
        </w:rPr>
        <w:t>Baud</w:t>
      </w:r>
      <w:r w:rsidR="00D57773">
        <w:rPr>
          <w:rFonts w:ascii="Palatino Linotype" w:hAnsi="Palatino Linotype"/>
        </w:rPr>
        <w:t xml:space="preserve"> et al.</w:t>
      </w:r>
      <w:r w:rsidR="00D241D4" w:rsidRPr="00D241D4">
        <w:rPr>
          <w:rFonts w:ascii="Palatino Linotype" w:hAnsi="Palatino Linotype"/>
        </w:rPr>
        <w:t xml:space="preserve">, </w:t>
      </w:r>
      <w:r w:rsidR="00D241D4">
        <w:rPr>
          <w:rFonts w:ascii="Palatino Linotype" w:hAnsi="Palatino Linotype"/>
        </w:rPr>
        <w:t xml:space="preserve">2020; </w:t>
      </w:r>
      <w:r w:rsidR="00D241D4" w:rsidRPr="00D241D4">
        <w:rPr>
          <w:rFonts w:ascii="Palatino Linotype" w:hAnsi="Palatino Linotype"/>
        </w:rPr>
        <w:t>Wilson</w:t>
      </w:r>
      <w:r w:rsidR="00D57773">
        <w:rPr>
          <w:rFonts w:ascii="Palatino Linotype" w:hAnsi="Palatino Linotype"/>
        </w:rPr>
        <w:t xml:space="preserve"> et al.</w:t>
      </w:r>
      <w:r w:rsidR="00D241D4" w:rsidRPr="00D241D4">
        <w:rPr>
          <w:rFonts w:ascii="Palatino Linotype" w:hAnsi="Palatino Linotype"/>
        </w:rPr>
        <w:t>,</w:t>
      </w:r>
      <w:r w:rsidR="00D241D4">
        <w:rPr>
          <w:rFonts w:ascii="Palatino Linotype" w:hAnsi="Palatino Linotype"/>
        </w:rPr>
        <w:t xml:space="preserve"> 2020; </w:t>
      </w:r>
      <w:r w:rsidR="00D241D4" w:rsidRPr="00D241D4">
        <w:rPr>
          <w:rFonts w:ascii="Palatino Linotype" w:hAnsi="Palatino Linotype"/>
        </w:rPr>
        <w:t>Rajgor</w:t>
      </w:r>
      <w:r w:rsidR="00D57773">
        <w:rPr>
          <w:rFonts w:ascii="Palatino Linotype" w:hAnsi="Palatino Linotype"/>
        </w:rPr>
        <w:t xml:space="preserve"> et al.</w:t>
      </w:r>
      <w:r w:rsidR="00D241D4" w:rsidRPr="00D241D4">
        <w:rPr>
          <w:rFonts w:ascii="Palatino Linotype" w:hAnsi="Palatino Linotype"/>
        </w:rPr>
        <w:t>,</w:t>
      </w:r>
      <w:r w:rsidR="00D241D4">
        <w:rPr>
          <w:rFonts w:ascii="Palatino Linotype" w:hAnsi="Palatino Linotype"/>
        </w:rPr>
        <w:t xml:space="preserve"> 2020; </w:t>
      </w:r>
      <w:r w:rsidR="00D241D4" w:rsidRPr="00D241D4">
        <w:rPr>
          <w:rFonts w:ascii="Palatino Linotype" w:hAnsi="Palatino Linotype"/>
        </w:rPr>
        <w:t>Kim</w:t>
      </w:r>
      <w:r w:rsidR="00D57773" w:rsidRPr="00D57773">
        <w:rPr>
          <w:rFonts w:ascii="Palatino Linotype" w:hAnsi="Palatino Linotype"/>
        </w:rPr>
        <w:t xml:space="preserve"> </w:t>
      </w:r>
      <w:r w:rsidR="00D57773">
        <w:rPr>
          <w:rFonts w:ascii="Palatino Linotype" w:hAnsi="Palatino Linotype"/>
        </w:rPr>
        <w:t>et al.</w:t>
      </w:r>
      <w:r w:rsidR="00D241D4">
        <w:rPr>
          <w:rFonts w:ascii="Palatino Linotype" w:hAnsi="Palatino Linotype"/>
        </w:rPr>
        <w:t xml:space="preserve">, 2020; </w:t>
      </w:r>
      <w:r w:rsidR="00D241D4" w:rsidRPr="00D241D4">
        <w:rPr>
          <w:rFonts w:ascii="Palatino Linotype" w:hAnsi="Palatino Linotype"/>
        </w:rPr>
        <w:t>Spychalski</w:t>
      </w:r>
      <w:r w:rsidR="00D57773" w:rsidRPr="00D57773">
        <w:rPr>
          <w:rFonts w:ascii="Palatino Linotype" w:hAnsi="Palatino Linotype"/>
        </w:rPr>
        <w:t xml:space="preserve"> </w:t>
      </w:r>
      <w:r w:rsidR="00D57773">
        <w:rPr>
          <w:rFonts w:ascii="Palatino Linotype" w:hAnsi="Palatino Linotype"/>
        </w:rPr>
        <w:t>et al.</w:t>
      </w:r>
      <w:r w:rsidR="00D241D4" w:rsidRPr="00D241D4">
        <w:rPr>
          <w:rFonts w:ascii="Palatino Linotype" w:hAnsi="Palatino Linotype"/>
        </w:rPr>
        <w:t xml:space="preserve">, </w:t>
      </w:r>
      <w:r w:rsidR="00D241D4">
        <w:rPr>
          <w:rFonts w:ascii="Palatino Linotype" w:hAnsi="Palatino Linotype"/>
        </w:rPr>
        <w:t xml:space="preserve">2020; </w:t>
      </w:r>
      <w:r w:rsidR="00D241D4" w:rsidRPr="00D241D4">
        <w:rPr>
          <w:rFonts w:ascii="Palatino Linotype" w:hAnsi="Palatino Linotype"/>
        </w:rPr>
        <w:t>Lipsitch</w:t>
      </w:r>
      <w:r w:rsidR="00D57773" w:rsidRPr="00D57773">
        <w:rPr>
          <w:rFonts w:ascii="Palatino Linotype" w:hAnsi="Palatino Linotype"/>
        </w:rPr>
        <w:t xml:space="preserve"> </w:t>
      </w:r>
      <w:r w:rsidR="00D57773">
        <w:rPr>
          <w:rFonts w:ascii="Palatino Linotype" w:hAnsi="Palatino Linotype"/>
        </w:rPr>
        <w:t>et al.</w:t>
      </w:r>
      <w:r w:rsidR="00D241D4">
        <w:rPr>
          <w:rFonts w:ascii="Palatino Linotype" w:hAnsi="Palatino Linotype"/>
        </w:rPr>
        <w:t xml:space="preserve">, </w:t>
      </w:r>
      <w:r w:rsidR="00D241D4" w:rsidRPr="00D241D4">
        <w:rPr>
          <w:rFonts w:ascii="Palatino Linotype" w:hAnsi="Palatino Linotype"/>
        </w:rPr>
        <w:t>2020)</w:t>
      </w:r>
      <w:r w:rsidRPr="00632F23">
        <w:rPr>
          <w:rFonts w:ascii="Palatino Linotype" w:hAnsi="Palatino Linotype"/>
        </w:rPr>
        <w:t xml:space="preserve">. However, these CFR </w:t>
      </w:r>
      <w:r w:rsidR="00C6264E" w:rsidRPr="00632F23">
        <w:rPr>
          <w:rFonts w:ascii="Palatino Linotype" w:hAnsi="Palatino Linotype"/>
        </w:rPr>
        <w:t xml:space="preserve">are not without limitations. These </w:t>
      </w:r>
      <w:r w:rsidRPr="00632F23">
        <w:rPr>
          <w:rFonts w:ascii="Palatino Linotype" w:hAnsi="Palatino Linotype"/>
        </w:rPr>
        <w:t>estimates need to be treated with extreme caution</w:t>
      </w:r>
      <w:r w:rsidR="00B05E88" w:rsidRPr="00632F23">
        <w:rPr>
          <w:rFonts w:ascii="Palatino Linotype" w:hAnsi="Palatino Linotype"/>
        </w:rPr>
        <w:t xml:space="preserve"> because </w:t>
      </w:r>
      <w:r w:rsidRPr="00632F23">
        <w:rPr>
          <w:rFonts w:ascii="Palatino Linotype" w:hAnsi="Palatino Linotype"/>
        </w:rPr>
        <w:t>each region of the world is experiencing a different stage of the pandemic</w:t>
      </w:r>
      <w:r w:rsidR="00B05E88" w:rsidRPr="00632F23">
        <w:rPr>
          <w:rFonts w:ascii="Palatino Linotype" w:hAnsi="Palatino Linotype"/>
        </w:rPr>
        <w:t>.</w:t>
      </w:r>
      <w:r w:rsidR="002331B4" w:rsidRPr="00632F23">
        <w:rPr>
          <w:rFonts w:ascii="Palatino Linotype" w:hAnsi="Palatino Linotype"/>
        </w:rPr>
        <w:t xml:space="preserve"> In addition</w:t>
      </w:r>
      <w:r w:rsidR="0065630C" w:rsidRPr="00632F23">
        <w:rPr>
          <w:rFonts w:ascii="Palatino Linotype" w:hAnsi="Palatino Linotype"/>
        </w:rPr>
        <w:t>, CFR is contingent on many other factors, including</w:t>
      </w:r>
      <w:r w:rsidR="00EB54F8" w:rsidRPr="00632F23">
        <w:rPr>
          <w:rFonts w:ascii="Palatino Linotype" w:hAnsi="Palatino Linotype"/>
        </w:rPr>
        <w:t xml:space="preserve"> the extensiveness</w:t>
      </w:r>
      <w:r w:rsidR="0065630C" w:rsidRPr="00632F23">
        <w:rPr>
          <w:rFonts w:ascii="Palatino Linotype" w:hAnsi="Palatino Linotype"/>
        </w:rPr>
        <w:t xml:space="preserve"> </w:t>
      </w:r>
      <w:r w:rsidR="00EB54F8" w:rsidRPr="00632F23">
        <w:rPr>
          <w:rFonts w:ascii="Palatino Linotype" w:hAnsi="Palatino Linotype"/>
        </w:rPr>
        <w:t xml:space="preserve">detection and testing efficiency, local health and pandemic </w:t>
      </w:r>
      <w:r w:rsidR="00EB54F8" w:rsidRPr="00632F23">
        <w:rPr>
          <w:rFonts w:ascii="Palatino Linotype" w:hAnsi="Palatino Linotype"/>
        </w:rPr>
        <w:lastRenderedPageBreak/>
        <w:t xml:space="preserve">response policies, and the condition and inclusiveness of the already </w:t>
      </w:r>
      <w:r w:rsidR="00951265" w:rsidRPr="00632F23">
        <w:rPr>
          <w:rFonts w:ascii="Palatino Linotype" w:hAnsi="Palatino Linotype"/>
        </w:rPr>
        <w:t>existing</w:t>
      </w:r>
      <w:r w:rsidR="00EB54F8" w:rsidRPr="00632F23">
        <w:rPr>
          <w:rFonts w:ascii="Palatino Linotype" w:hAnsi="Palatino Linotype"/>
        </w:rPr>
        <w:t xml:space="preserve"> health systems. </w:t>
      </w:r>
      <w:r w:rsidR="00677ACE" w:rsidRPr="00354D1C">
        <w:rPr>
          <w:rFonts w:ascii="Palatino Linotype" w:hAnsi="Palatino Linotype"/>
          <w:color w:val="000000"/>
        </w:rPr>
        <w:t xml:space="preserve">Failure to consider these </w:t>
      </w:r>
      <w:r w:rsidR="003B73F9" w:rsidRPr="00354D1C">
        <w:rPr>
          <w:rFonts w:ascii="Palatino Linotype" w:hAnsi="Palatino Linotype"/>
          <w:color w:val="000000"/>
        </w:rPr>
        <w:t>former</w:t>
      </w:r>
      <w:r w:rsidR="00677ACE" w:rsidRPr="00354D1C">
        <w:rPr>
          <w:rFonts w:ascii="Palatino Linotype" w:hAnsi="Palatino Linotype"/>
          <w:color w:val="000000"/>
        </w:rPr>
        <w:t xml:space="preserve"> factors and</w:t>
      </w:r>
      <w:r w:rsidR="00B05E88" w:rsidRPr="00354D1C">
        <w:rPr>
          <w:rFonts w:ascii="Palatino Linotype" w:hAnsi="Palatino Linotype"/>
          <w:color w:val="000000"/>
        </w:rPr>
        <w:t xml:space="preserve"> s</w:t>
      </w:r>
      <w:r w:rsidRPr="00354D1C">
        <w:rPr>
          <w:rFonts w:ascii="Palatino Linotype" w:hAnsi="Palatino Linotype"/>
          <w:color w:val="000000"/>
        </w:rPr>
        <w:t xml:space="preserve">imply dividing </w:t>
      </w:r>
      <w:r w:rsidR="00B05E88" w:rsidRPr="00354D1C">
        <w:rPr>
          <w:rFonts w:ascii="Palatino Linotype" w:hAnsi="Palatino Linotype"/>
          <w:color w:val="000000"/>
        </w:rPr>
        <w:t xml:space="preserve">the </w:t>
      </w:r>
      <w:r w:rsidR="007C2080" w:rsidRPr="00354D1C">
        <w:rPr>
          <w:rFonts w:ascii="Palatino Linotype" w:hAnsi="Palatino Linotype"/>
          <w:color w:val="000000"/>
        </w:rPr>
        <w:t xml:space="preserve">cumulative </w:t>
      </w:r>
      <w:r w:rsidRPr="00354D1C">
        <w:rPr>
          <w:rFonts w:ascii="Palatino Linotype" w:hAnsi="Palatino Linotype"/>
          <w:color w:val="000000"/>
        </w:rPr>
        <w:t>death</w:t>
      </w:r>
      <w:r w:rsidR="00B05E88" w:rsidRPr="00354D1C">
        <w:rPr>
          <w:rFonts w:ascii="Palatino Linotype" w:hAnsi="Palatino Linotype"/>
          <w:color w:val="000000"/>
        </w:rPr>
        <w:t>s with COVID-19</w:t>
      </w:r>
      <w:r w:rsidRPr="00354D1C">
        <w:rPr>
          <w:rFonts w:ascii="Palatino Linotype" w:hAnsi="Palatino Linotype"/>
          <w:color w:val="000000"/>
        </w:rPr>
        <w:t xml:space="preserve"> by </w:t>
      </w:r>
      <w:r w:rsidR="007C2080" w:rsidRPr="00354D1C">
        <w:rPr>
          <w:rFonts w:ascii="Palatino Linotype" w:hAnsi="Palatino Linotype"/>
          <w:color w:val="000000"/>
        </w:rPr>
        <w:t xml:space="preserve">cumulative </w:t>
      </w:r>
      <w:r w:rsidRPr="00354D1C">
        <w:rPr>
          <w:rFonts w:ascii="Palatino Linotype" w:hAnsi="Palatino Linotype"/>
          <w:color w:val="000000"/>
        </w:rPr>
        <w:t>confirmed cases</w:t>
      </w:r>
      <w:r w:rsidR="00B05E88" w:rsidRPr="00354D1C">
        <w:rPr>
          <w:rFonts w:ascii="Palatino Linotype" w:hAnsi="Palatino Linotype"/>
          <w:color w:val="000000"/>
        </w:rPr>
        <w:t xml:space="preserve"> based on the latest </w:t>
      </w:r>
      <w:r w:rsidR="007C2080" w:rsidRPr="00354D1C">
        <w:rPr>
          <w:rFonts w:ascii="Palatino Linotype" w:hAnsi="Palatino Linotype"/>
          <w:color w:val="000000"/>
        </w:rPr>
        <w:t xml:space="preserve">global </w:t>
      </w:r>
      <w:r w:rsidR="00B05E88" w:rsidRPr="00354D1C">
        <w:rPr>
          <w:rFonts w:ascii="Palatino Linotype" w:hAnsi="Palatino Linotype"/>
          <w:color w:val="000000"/>
        </w:rPr>
        <w:t>statistics available</w:t>
      </w:r>
      <w:r w:rsidR="00677ACE" w:rsidRPr="00354D1C">
        <w:rPr>
          <w:rFonts w:ascii="Palatino Linotype" w:hAnsi="Palatino Linotype"/>
          <w:color w:val="000000"/>
        </w:rPr>
        <w:t xml:space="preserve"> will</w:t>
      </w:r>
      <w:r w:rsidRPr="00354D1C">
        <w:rPr>
          <w:rFonts w:ascii="Palatino Linotype" w:hAnsi="Palatino Linotype"/>
          <w:color w:val="000000"/>
        </w:rPr>
        <w:t xml:space="preserve"> </w:t>
      </w:r>
      <w:r w:rsidR="00677ACE" w:rsidRPr="00354D1C">
        <w:rPr>
          <w:rFonts w:ascii="Palatino Linotype" w:hAnsi="Palatino Linotype"/>
          <w:color w:val="000000"/>
        </w:rPr>
        <w:t xml:space="preserve">inevitably </w:t>
      </w:r>
      <w:r w:rsidRPr="00354D1C">
        <w:rPr>
          <w:rFonts w:ascii="Palatino Linotype" w:hAnsi="Palatino Linotype"/>
          <w:color w:val="000000"/>
        </w:rPr>
        <w:t xml:space="preserve">distort the </w:t>
      </w:r>
      <w:r w:rsidR="00517530" w:rsidRPr="00354D1C">
        <w:rPr>
          <w:rFonts w:ascii="Palatino Linotype" w:hAnsi="Palatino Linotype"/>
          <w:color w:val="000000"/>
        </w:rPr>
        <w:t xml:space="preserve">CFR in each stage of COVID-19 into </w:t>
      </w:r>
      <w:r w:rsidRPr="00354D1C">
        <w:rPr>
          <w:rFonts w:ascii="Palatino Linotype" w:hAnsi="Palatino Linotype"/>
          <w:color w:val="000000"/>
        </w:rPr>
        <w:t>an unknown direction</w:t>
      </w:r>
      <w:r w:rsidR="00517530" w:rsidRPr="00354D1C">
        <w:rPr>
          <w:rFonts w:ascii="Palatino Linotype" w:hAnsi="Palatino Linotype"/>
          <w:color w:val="000000"/>
        </w:rPr>
        <w:t xml:space="preserve">, let alone </w:t>
      </w:r>
      <w:r w:rsidR="003B73F9" w:rsidRPr="00354D1C">
        <w:rPr>
          <w:rFonts w:ascii="Palatino Linotype" w:hAnsi="Palatino Linotype"/>
          <w:color w:val="000000"/>
        </w:rPr>
        <w:t>fail</w:t>
      </w:r>
      <w:r w:rsidR="00517530" w:rsidRPr="00354D1C">
        <w:rPr>
          <w:rFonts w:ascii="Palatino Linotype" w:hAnsi="Palatino Linotype"/>
          <w:color w:val="000000"/>
        </w:rPr>
        <w:t xml:space="preserve"> to reveal the </w:t>
      </w:r>
      <w:r w:rsidR="003B73F9" w:rsidRPr="00354D1C">
        <w:rPr>
          <w:rFonts w:ascii="Palatino Linotype" w:hAnsi="Palatino Linotype"/>
          <w:color w:val="000000"/>
        </w:rPr>
        <w:t xml:space="preserve">true </w:t>
      </w:r>
      <w:r w:rsidR="00517530" w:rsidRPr="00354D1C">
        <w:rPr>
          <w:rFonts w:ascii="Palatino Linotype" w:hAnsi="Palatino Linotype"/>
          <w:color w:val="000000"/>
        </w:rPr>
        <w:t>dynamics of CFR of the disease</w:t>
      </w:r>
      <w:r w:rsidRPr="00354D1C">
        <w:rPr>
          <w:rFonts w:ascii="Palatino Linotype" w:hAnsi="Palatino Linotype"/>
          <w:color w:val="000000"/>
        </w:rPr>
        <w:t xml:space="preserve">. </w:t>
      </w:r>
      <w:r w:rsidRPr="00632F23">
        <w:rPr>
          <w:rFonts w:ascii="Palatino Linotype" w:hAnsi="Palatino Linotype"/>
        </w:rPr>
        <w:t>In addition, several previously published papers</w:t>
      </w:r>
      <w:r w:rsidR="00D57773">
        <w:rPr>
          <w:rFonts w:ascii="Palatino Linotype" w:hAnsi="Palatino Linotype"/>
        </w:rPr>
        <w:t>(</w:t>
      </w:r>
      <w:r w:rsidR="00D241D4" w:rsidRPr="00D241D4">
        <w:rPr>
          <w:rFonts w:ascii="Palatino Linotype" w:hAnsi="Palatino Linotype"/>
        </w:rPr>
        <w:t>Yang</w:t>
      </w:r>
      <w:r w:rsidR="00D57773">
        <w:rPr>
          <w:rFonts w:ascii="Palatino Linotype" w:hAnsi="Palatino Linotype"/>
        </w:rPr>
        <w:t xml:space="preserve"> et al.</w:t>
      </w:r>
      <w:r w:rsidR="00D241D4" w:rsidRPr="00D241D4">
        <w:rPr>
          <w:rFonts w:ascii="Palatino Linotype" w:hAnsi="Palatino Linotype"/>
        </w:rPr>
        <w:t>,</w:t>
      </w:r>
      <w:r w:rsidR="00D241D4">
        <w:rPr>
          <w:rFonts w:ascii="Palatino Linotype" w:hAnsi="Palatino Linotype"/>
        </w:rPr>
        <w:t xml:space="preserve"> 2020; </w:t>
      </w:r>
      <w:r w:rsidR="00D241D4" w:rsidRPr="00D241D4">
        <w:rPr>
          <w:rFonts w:ascii="Palatino Linotype" w:hAnsi="Palatino Linotype"/>
        </w:rPr>
        <w:t>Öztoprak</w:t>
      </w:r>
      <w:r w:rsidR="00D57773" w:rsidRPr="00D57773">
        <w:rPr>
          <w:rFonts w:ascii="Palatino Linotype" w:hAnsi="Palatino Linotype"/>
        </w:rPr>
        <w:t xml:space="preserve"> </w:t>
      </w:r>
      <w:r w:rsidR="00D57773">
        <w:rPr>
          <w:rFonts w:ascii="Palatino Linotype" w:hAnsi="Palatino Linotype"/>
        </w:rPr>
        <w:t>et al.</w:t>
      </w:r>
      <w:r w:rsidR="00D241D4">
        <w:rPr>
          <w:rFonts w:ascii="Palatino Linotype" w:hAnsi="Palatino Linotype"/>
        </w:rPr>
        <w:t>, 2020</w:t>
      </w:r>
      <w:r w:rsidR="00E66624" w:rsidRPr="00632F23">
        <w:rPr>
          <w:rFonts w:ascii="Palatino Linotype" w:hAnsi="Palatino Linotype"/>
        </w:rPr>
        <w:t>]</w:t>
      </w:r>
      <w:r w:rsidRPr="00632F23">
        <w:rPr>
          <w:rFonts w:ascii="Palatino Linotype" w:hAnsi="Palatino Linotype"/>
        </w:rPr>
        <w:t xml:space="preserve"> suggested models using CFR should be based on the cumulative confirmed cases and deaths </w:t>
      </w:r>
      <w:r w:rsidR="00517530" w:rsidRPr="00632F23">
        <w:rPr>
          <w:rFonts w:ascii="Palatino Linotype" w:hAnsi="Palatino Linotype"/>
        </w:rPr>
        <w:t xml:space="preserve">with </w:t>
      </w:r>
      <w:r w:rsidRPr="00632F23">
        <w:rPr>
          <w:rFonts w:ascii="Palatino Linotype" w:hAnsi="Palatino Linotype"/>
        </w:rPr>
        <w:t>a simple linear regression analysis. However, this method of using the cumulative number</w:t>
      </w:r>
      <w:r w:rsidR="00EB54F8" w:rsidRPr="00632F23">
        <w:rPr>
          <w:rFonts w:ascii="Palatino Linotype" w:hAnsi="Palatino Linotype"/>
        </w:rPr>
        <w:t xml:space="preserve"> is static and</w:t>
      </w:r>
      <w:r w:rsidRPr="00632F23">
        <w:rPr>
          <w:rFonts w:ascii="Palatino Linotype" w:hAnsi="Palatino Linotype"/>
        </w:rPr>
        <w:t xml:space="preserve"> does not reflect the trend according to the daily change </w:t>
      </w:r>
      <w:r w:rsidR="00EB54F8" w:rsidRPr="00632F23">
        <w:rPr>
          <w:rFonts w:ascii="Palatino Linotype" w:hAnsi="Palatino Linotype"/>
        </w:rPr>
        <w:t>per unit of</w:t>
      </w:r>
      <w:r w:rsidRPr="00632F23">
        <w:rPr>
          <w:rFonts w:ascii="Palatino Linotype" w:hAnsi="Palatino Linotype"/>
        </w:rPr>
        <w:t xml:space="preserve"> time</w:t>
      </w:r>
      <w:r w:rsidR="00EB54F8" w:rsidRPr="00632F23">
        <w:rPr>
          <w:rFonts w:ascii="Palatino Linotype" w:hAnsi="Palatino Linotype"/>
        </w:rPr>
        <w:t>. Additionally, it prevents</w:t>
      </w:r>
      <w:r w:rsidRPr="00632F23">
        <w:rPr>
          <w:rFonts w:ascii="Palatino Linotype" w:hAnsi="Palatino Linotype"/>
        </w:rPr>
        <w:t xml:space="preserve"> </w:t>
      </w:r>
      <w:r w:rsidR="00EB54F8" w:rsidRPr="00632F23">
        <w:rPr>
          <w:rFonts w:ascii="Palatino Linotype" w:hAnsi="Palatino Linotype"/>
        </w:rPr>
        <w:t>an</w:t>
      </w:r>
      <w:r w:rsidRPr="00632F23">
        <w:rPr>
          <w:rFonts w:ascii="Palatino Linotype" w:hAnsi="Palatino Linotype"/>
        </w:rPr>
        <w:t xml:space="preserve"> exact estimation of CFR because the number of </w:t>
      </w:r>
      <w:r w:rsidR="00C86898" w:rsidRPr="00632F23">
        <w:rPr>
          <w:rFonts w:ascii="Palatino Linotype" w:hAnsi="Palatino Linotype"/>
        </w:rPr>
        <w:t xml:space="preserve">the </w:t>
      </w:r>
      <w:r w:rsidRPr="00632F23">
        <w:rPr>
          <w:rFonts w:ascii="Palatino Linotype" w:hAnsi="Palatino Linotype"/>
        </w:rPr>
        <w:t xml:space="preserve">confirmed </w:t>
      </w:r>
      <w:r w:rsidR="00C86898" w:rsidRPr="00632F23">
        <w:rPr>
          <w:rFonts w:ascii="Palatino Linotype" w:hAnsi="Palatino Linotype"/>
        </w:rPr>
        <w:t xml:space="preserve">cases </w:t>
      </w:r>
      <w:r w:rsidRPr="00632F23">
        <w:rPr>
          <w:rFonts w:ascii="Palatino Linotype" w:hAnsi="Palatino Linotype"/>
        </w:rPr>
        <w:t>and the onset time of the first case vary by country</w:t>
      </w:r>
      <w:r w:rsidR="00EB54F8" w:rsidRPr="00632F23">
        <w:rPr>
          <w:rFonts w:ascii="Palatino Linotype" w:hAnsi="Palatino Linotype"/>
        </w:rPr>
        <w:t>, and even within regions of the same country</w:t>
      </w:r>
      <w:r w:rsidRPr="00632F23">
        <w:rPr>
          <w:rFonts w:ascii="Palatino Linotype" w:hAnsi="Palatino Linotype"/>
        </w:rPr>
        <w:t>.</w:t>
      </w:r>
    </w:p>
    <w:p w:rsidR="00A140FE" w:rsidRPr="00632F23" w:rsidRDefault="00EB54F8" w:rsidP="00874E01">
      <w:pPr>
        <w:spacing w:line="480" w:lineRule="auto"/>
        <w:ind w:firstLineChars="50" w:firstLine="120"/>
        <w:jc w:val="both"/>
        <w:rPr>
          <w:rFonts w:ascii="Palatino Linotype" w:hAnsi="Palatino Linotype"/>
        </w:rPr>
      </w:pPr>
      <w:r w:rsidRPr="00632F23">
        <w:rPr>
          <w:rFonts w:ascii="Palatino Linotype" w:hAnsi="Palatino Linotype"/>
        </w:rPr>
        <w:t xml:space="preserve">Therefore, to get as close as possible to </w:t>
      </w:r>
      <w:r w:rsidR="009121C5" w:rsidRPr="00632F23">
        <w:rPr>
          <w:rFonts w:ascii="Palatino Linotype" w:hAnsi="Palatino Linotype"/>
        </w:rPr>
        <w:t>a</w:t>
      </w:r>
      <w:r w:rsidRPr="00632F23">
        <w:rPr>
          <w:rFonts w:ascii="Palatino Linotype" w:hAnsi="Palatino Linotype"/>
        </w:rPr>
        <w:t xml:space="preserve"> real estimate, </w:t>
      </w:r>
      <w:r w:rsidR="0031078C" w:rsidRPr="00632F23">
        <w:rPr>
          <w:rFonts w:ascii="Palatino Linotype" w:hAnsi="Palatino Linotype"/>
        </w:rPr>
        <w:t>we</w:t>
      </w:r>
      <w:r w:rsidR="00C637F9" w:rsidRPr="00632F23">
        <w:rPr>
          <w:rFonts w:ascii="Palatino Linotype" w:hAnsi="Palatino Linotype"/>
        </w:rPr>
        <w:t xml:space="preserve"> calculated</w:t>
      </w:r>
      <w:r w:rsidRPr="00632F23">
        <w:rPr>
          <w:rFonts w:ascii="Palatino Linotype" w:hAnsi="Palatino Linotype"/>
        </w:rPr>
        <w:t xml:space="preserve"> </w:t>
      </w:r>
      <w:r w:rsidR="00C86898" w:rsidRPr="00632F23">
        <w:rPr>
          <w:rFonts w:ascii="Palatino Linotype" w:hAnsi="Palatino Linotype"/>
        </w:rPr>
        <w:t xml:space="preserve">the CFR of each country, </w:t>
      </w:r>
      <w:r w:rsidR="00706346" w:rsidRPr="00632F23">
        <w:rPr>
          <w:rFonts w:ascii="Palatino Linotype" w:hAnsi="Palatino Linotype"/>
        </w:rPr>
        <w:t>concurrently</w:t>
      </w:r>
      <w:r w:rsidR="00C637F9" w:rsidRPr="00632F23">
        <w:rPr>
          <w:rFonts w:ascii="Palatino Linotype" w:hAnsi="Palatino Linotype"/>
        </w:rPr>
        <w:t xml:space="preserve"> based on the date of the first confirmed case </w:t>
      </w:r>
      <w:r w:rsidR="00706346" w:rsidRPr="00632F23">
        <w:rPr>
          <w:rFonts w:ascii="Palatino Linotype" w:hAnsi="Palatino Linotype"/>
        </w:rPr>
        <w:t xml:space="preserve">as well as </w:t>
      </w:r>
      <w:r w:rsidR="00C637F9" w:rsidRPr="00632F23">
        <w:rPr>
          <w:rFonts w:ascii="Palatino Linotype" w:hAnsi="Palatino Linotype"/>
        </w:rPr>
        <w:t>on a daily basis.</w:t>
      </w:r>
    </w:p>
    <w:p w:rsidR="00FE36E8" w:rsidRPr="00632F23" w:rsidRDefault="00FE36E8" w:rsidP="00874E01">
      <w:pPr>
        <w:spacing w:line="480" w:lineRule="auto"/>
        <w:ind w:firstLineChars="50" w:firstLine="120"/>
        <w:jc w:val="both"/>
        <w:rPr>
          <w:rFonts w:ascii="Palatino Linotype" w:hAnsi="Palatino Linotype"/>
        </w:rPr>
      </w:pPr>
    </w:p>
    <w:p w:rsidR="00F83784" w:rsidRPr="00632F23" w:rsidRDefault="005D0E12" w:rsidP="000A4433">
      <w:pPr>
        <w:pStyle w:val="Heading1"/>
      </w:pPr>
      <w:r w:rsidRPr="00632F23">
        <w:t xml:space="preserve">2. </w:t>
      </w:r>
      <w:r w:rsidR="00376E05" w:rsidRPr="00632F23">
        <w:t>Materials</w:t>
      </w:r>
      <w:r w:rsidR="009339D2" w:rsidRPr="00632F23">
        <w:t xml:space="preserve"> </w:t>
      </w:r>
      <w:r w:rsidR="00376E05" w:rsidRPr="00632F23">
        <w:t>&amp;</w:t>
      </w:r>
      <w:r w:rsidR="009339D2" w:rsidRPr="00632F23">
        <w:t xml:space="preserve"> </w:t>
      </w:r>
      <w:r w:rsidR="00F83784" w:rsidRPr="00632F23">
        <w:t>Method</w:t>
      </w:r>
      <w:r w:rsidR="00376E05" w:rsidRPr="00632F23">
        <w:t>s</w:t>
      </w:r>
    </w:p>
    <w:p w:rsidR="00C637F9" w:rsidRPr="00632F23" w:rsidRDefault="00C86898" w:rsidP="00874E01">
      <w:pPr>
        <w:spacing w:line="480" w:lineRule="auto"/>
        <w:jc w:val="both"/>
        <w:rPr>
          <w:rFonts w:ascii="Palatino Linotype" w:hAnsi="Palatino Linotype"/>
        </w:rPr>
      </w:pPr>
      <w:r w:rsidRPr="00632F23">
        <w:rPr>
          <w:rFonts w:ascii="Palatino Linotype" w:hAnsi="Palatino Linotype"/>
        </w:rPr>
        <w:t>P</w:t>
      </w:r>
      <w:r w:rsidR="00C637F9" w:rsidRPr="00632F23">
        <w:rPr>
          <w:rFonts w:ascii="Palatino Linotype" w:hAnsi="Palatino Linotype"/>
        </w:rPr>
        <w:t xml:space="preserve">roportion meta-analyses were performed to obtain the average CFR </w:t>
      </w:r>
      <w:r w:rsidR="00517530" w:rsidRPr="00632F23">
        <w:rPr>
          <w:rFonts w:ascii="Palatino Linotype" w:hAnsi="Palatino Linotype"/>
        </w:rPr>
        <w:t>for each day</w:t>
      </w:r>
      <w:r w:rsidR="00706346" w:rsidRPr="00632F23">
        <w:rPr>
          <w:rFonts w:ascii="Palatino Linotype" w:hAnsi="Palatino Linotype"/>
        </w:rPr>
        <w:t>, commencing</w:t>
      </w:r>
      <w:r w:rsidR="00517530" w:rsidRPr="00632F23">
        <w:rPr>
          <w:rFonts w:ascii="Palatino Linotype" w:hAnsi="Palatino Linotype"/>
        </w:rPr>
        <w:t xml:space="preserve"> </w:t>
      </w:r>
      <w:r w:rsidR="00C637F9" w:rsidRPr="00632F23">
        <w:rPr>
          <w:rFonts w:ascii="Palatino Linotype" w:hAnsi="Palatino Linotype"/>
        </w:rPr>
        <w:t>from the date of the first confirmed case to the present</w:t>
      </w:r>
      <w:r w:rsidR="00951265" w:rsidRPr="00632F23">
        <w:rPr>
          <w:rFonts w:ascii="Palatino Linotype" w:hAnsi="Palatino Linotype"/>
        </w:rPr>
        <w:t>,</w:t>
      </w:r>
      <w:r w:rsidR="00517530" w:rsidRPr="00632F23">
        <w:rPr>
          <w:rFonts w:ascii="Palatino Linotype" w:hAnsi="Palatino Linotype"/>
        </w:rPr>
        <w:t xml:space="preserve"> </w:t>
      </w:r>
      <w:r w:rsidR="00C637F9" w:rsidRPr="00632F23">
        <w:rPr>
          <w:rFonts w:ascii="Palatino Linotype" w:hAnsi="Palatino Linotype"/>
        </w:rPr>
        <w:t xml:space="preserve">stratified by each country. </w:t>
      </w:r>
      <w:r w:rsidR="00706346" w:rsidRPr="00632F23">
        <w:rPr>
          <w:rFonts w:ascii="Palatino Linotype" w:hAnsi="Palatino Linotype"/>
        </w:rPr>
        <w:t>Therefore</w:t>
      </w:r>
      <w:r w:rsidR="00C637F9" w:rsidRPr="00632F23">
        <w:rPr>
          <w:rFonts w:ascii="Palatino Linotype" w:hAnsi="Palatino Linotype"/>
        </w:rPr>
        <w:t xml:space="preserve">, we </w:t>
      </w:r>
      <w:r w:rsidR="00517530" w:rsidRPr="00632F23">
        <w:rPr>
          <w:rFonts w:ascii="Palatino Linotype" w:hAnsi="Palatino Linotype"/>
        </w:rPr>
        <w:t>present</w:t>
      </w:r>
      <w:r w:rsidR="00C637F9" w:rsidRPr="00632F23">
        <w:rPr>
          <w:rFonts w:ascii="Palatino Linotype" w:hAnsi="Palatino Linotype"/>
        </w:rPr>
        <w:t xml:space="preserve"> unique CFR </w:t>
      </w:r>
      <w:r w:rsidR="00517530" w:rsidRPr="00632F23">
        <w:rPr>
          <w:rFonts w:ascii="Palatino Linotype" w:hAnsi="Palatino Linotype"/>
        </w:rPr>
        <w:t>dynamics</w:t>
      </w:r>
      <w:r w:rsidR="00C637F9" w:rsidRPr="00632F23">
        <w:rPr>
          <w:rFonts w:ascii="Palatino Linotype" w:hAnsi="Palatino Linotype"/>
        </w:rPr>
        <w:t xml:space="preserve"> obtained by correcting</w:t>
      </w:r>
      <w:r w:rsidR="00706346" w:rsidRPr="00632F23">
        <w:rPr>
          <w:rFonts w:ascii="Palatino Linotype" w:hAnsi="Palatino Linotype"/>
        </w:rPr>
        <w:t xml:space="preserve"> and </w:t>
      </w:r>
      <w:r w:rsidR="002F6E14" w:rsidRPr="00632F23">
        <w:rPr>
          <w:rFonts w:ascii="Palatino Linotype" w:hAnsi="Palatino Linotype"/>
        </w:rPr>
        <w:t>theoretically</w:t>
      </w:r>
      <w:r w:rsidR="00706346" w:rsidRPr="00632F23">
        <w:rPr>
          <w:rFonts w:ascii="Palatino Linotype" w:hAnsi="Palatino Linotype"/>
        </w:rPr>
        <w:t xml:space="preserve"> </w:t>
      </w:r>
      <w:r w:rsidR="002F6E14" w:rsidRPr="00632F23">
        <w:rPr>
          <w:rFonts w:ascii="Palatino Linotype" w:hAnsi="Palatino Linotype"/>
        </w:rPr>
        <w:t>circumventing</w:t>
      </w:r>
      <w:r w:rsidR="00C637F9" w:rsidRPr="00632F23">
        <w:rPr>
          <w:rFonts w:ascii="Palatino Linotype" w:hAnsi="Palatino Linotype"/>
        </w:rPr>
        <w:t xml:space="preserve"> the bias </w:t>
      </w:r>
      <w:r w:rsidR="002F6E14" w:rsidRPr="00632F23">
        <w:rPr>
          <w:rFonts w:ascii="Palatino Linotype" w:hAnsi="Palatino Linotype"/>
        </w:rPr>
        <w:t xml:space="preserve">created by the fact that </w:t>
      </w:r>
      <w:r w:rsidR="00C637F9" w:rsidRPr="00632F23">
        <w:rPr>
          <w:rFonts w:ascii="Palatino Linotype" w:hAnsi="Palatino Linotype"/>
        </w:rPr>
        <w:t>each country</w:t>
      </w:r>
      <w:r w:rsidR="002F6E14" w:rsidRPr="00632F23">
        <w:rPr>
          <w:rFonts w:ascii="Palatino Linotype" w:hAnsi="Palatino Linotype"/>
        </w:rPr>
        <w:t xml:space="preserve"> is</w:t>
      </w:r>
      <w:r w:rsidR="00C637F9" w:rsidRPr="00632F23">
        <w:rPr>
          <w:rFonts w:ascii="Palatino Linotype" w:hAnsi="Palatino Linotype"/>
        </w:rPr>
        <w:t xml:space="preserve"> </w:t>
      </w:r>
      <w:r w:rsidR="002F6E14" w:rsidRPr="00632F23">
        <w:rPr>
          <w:rFonts w:ascii="Palatino Linotype" w:hAnsi="Palatino Linotype"/>
        </w:rPr>
        <w:lastRenderedPageBreak/>
        <w:t>facing</w:t>
      </w:r>
      <w:r w:rsidR="00C637F9" w:rsidRPr="00632F23">
        <w:rPr>
          <w:rFonts w:ascii="Palatino Linotype" w:hAnsi="Palatino Linotype"/>
        </w:rPr>
        <w:t xml:space="preserve"> different stages of the pandemic. This approach to the CFR provides a new insight that lay</w:t>
      </w:r>
      <w:r w:rsidR="00517530" w:rsidRPr="00632F23">
        <w:rPr>
          <w:rFonts w:ascii="Palatino Linotype" w:hAnsi="Palatino Linotype"/>
        </w:rPr>
        <w:t>s</w:t>
      </w:r>
      <w:r w:rsidR="00C637F9" w:rsidRPr="00632F23">
        <w:rPr>
          <w:rFonts w:ascii="Palatino Linotype" w:hAnsi="Palatino Linotype"/>
        </w:rPr>
        <w:t xml:space="preserve"> the foundation for a proper analysis of CFR.</w:t>
      </w:r>
      <w:r w:rsidR="002F6E14" w:rsidRPr="00632F23">
        <w:rPr>
          <w:rFonts w:ascii="Palatino Linotype" w:hAnsi="Palatino Linotype"/>
        </w:rPr>
        <w:t xml:space="preserve"> </w:t>
      </w:r>
      <w:r w:rsidR="003921AD" w:rsidRPr="00632F23">
        <w:rPr>
          <w:rFonts w:ascii="Palatino Linotype" w:hAnsi="Palatino Linotype"/>
        </w:rPr>
        <w:t>One caveat that we acknowledge is that many potential positive cases that were not tested might present possible</w:t>
      </w:r>
      <w:r w:rsidR="003E254D" w:rsidRPr="00632F23">
        <w:rPr>
          <w:rFonts w:ascii="Palatino Linotype" w:hAnsi="Palatino Linotype"/>
        </w:rPr>
        <w:t xml:space="preserve"> confounding </w:t>
      </w:r>
      <w:r w:rsidR="004D2716" w:rsidRPr="00632F23">
        <w:rPr>
          <w:rFonts w:ascii="Palatino Linotype" w:hAnsi="Palatino Linotype"/>
        </w:rPr>
        <w:t xml:space="preserve">variables, </w:t>
      </w:r>
      <w:r w:rsidR="003921AD" w:rsidRPr="00632F23">
        <w:rPr>
          <w:rFonts w:ascii="Palatino Linotype" w:hAnsi="Palatino Linotype"/>
        </w:rPr>
        <w:t>skew</w:t>
      </w:r>
      <w:r w:rsidR="003E254D" w:rsidRPr="00632F23">
        <w:rPr>
          <w:rFonts w:ascii="Palatino Linotype" w:hAnsi="Palatino Linotype"/>
        </w:rPr>
        <w:t>ing</w:t>
      </w:r>
      <w:r w:rsidR="003921AD" w:rsidRPr="00632F23">
        <w:rPr>
          <w:rFonts w:ascii="Palatino Linotype" w:hAnsi="Palatino Linotype"/>
        </w:rPr>
        <w:t xml:space="preserve"> our results in a specific direction. At this point</w:t>
      </w:r>
      <w:r w:rsidR="00951265" w:rsidRPr="00632F23">
        <w:rPr>
          <w:rFonts w:ascii="Palatino Linotype" w:hAnsi="Palatino Linotype"/>
        </w:rPr>
        <w:t>,</w:t>
      </w:r>
      <w:r w:rsidR="003921AD" w:rsidRPr="00632F23">
        <w:rPr>
          <w:rFonts w:ascii="Palatino Linotype" w:hAnsi="Palatino Linotype"/>
        </w:rPr>
        <w:t xml:space="preserve"> it is impossible to account for </w:t>
      </w:r>
      <w:r w:rsidR="003E254D" w:rsidRPr="00632F23">
        <w:rPr>
          <w:rFonts w:ascii="Palatino Linotype" w:hAnsi="Palatino Linotype"/>
        </w:rPr>
        <w:t>the totality</w:t>
      </w:r>
      <w:r w:rsidR="003921AD" w:rsidRPr="00632F23">
        <w:rPr>
          <w:rFonts w:ascii="Palatino Linotype" w:hAnsi="Palatino Linotype"/>
        </w:rPr>
        <w:t xml:space="preserve"> </w:t>
      </w:r>
      <w:r w:rsidR="00951265" w:rsidRPr="00632F23">
        <w:rPr>
          <w:rFonts w:ascii="Palatino Linotype" w:hAnsi="Palatino Linotype"/>
        </w:rPr>
        <w:t xml:space="preserve">of </w:t>
      </w:r>
      <w:r w:rsidR="003921AD" w:rsidRPr="00632F23">
        <w:rPr>
          <w:rFonts w:ascii="Palatino Linotype" w:hAnsi="Palatino Linotype"/>
        </w:rPr>
        <w:t>the COVID-19 cases</w:t>
      </w:r>
      <w:r w:rsidR="003E254D" w:rsidRPr="00632F23">
        <w:rPr>
          <w:rFonts w:ascii="Palatino Linotype" w:hAnsi="Palatino Linotype"/>
        </w:rPr>
        <w:t xml:space="preserve"> (tested and not tested)</w:t>
      </w:r>
      <w:r w:rsidR="003921AD" w:rsidRPr="00632F23">
        <w:rPr>
          <w:rFonts w:ascii="Palatino Linotype" w:hAnsi="Palatino Linotype"/>
        </w:rPr>
        <w:t>, and this calculation is out of the scope of this study.</w:t>
      </w:r>
      <w:r w:rsidR="003E254D" w:rsidRPr="00632F23">
        <w:rPr>
          <w:rFonts w:ascii="Palatino Linotype" w:hAnsi="Palatino Linotype"/>
        </w:rPr>
        <w:t xml:space="preserve"> </w:t>
      </w:r>
    </w:p>
    <w:p w:rsidR="00C637F9" w:rsidRPr="00632F23" w:rsidRDefault="00C637F9" w:rsidP="00874E01">
      <w:pPr>
        <w:spacing w:line="480" w:lineRule="auto"/>
        <w:ind w:firstLineChars="50" w:firstLine="120"/>
        <w:jc w:val="both"/>
        <w:rPr>
          <w:rFonts w:ascii="Palatino Linotype" w:hAnsi="Palatino Linotype"/>
        </w:rPr>
      </w:pPr>
      <w:r w:rsidRPr="00632F23">
        <w:rPr>
          <w:rFonts w:ascii="Palatino Linotype" w:hAnsi="Palatino Linotype"/>
        </w:rPr>
        <w:t xml:space="preserve">Global data of </w:t>
      </w:r>
      <w:r w:rsidR="00F663CA" w:rsidRPr="00632F23">
        <w:rPr>
          <w:rFonts w:ascii="Palatino Linotype" w:hAnsi="Palatino Linotype"/>
        </w:rPr>
        <w:t xml:space="preserve">COVID-19 </w:t>
      </w:r>
      <w:r w:rsidRPr="00632F23">
        <w:rPr>
          <w:rFonts w:ascii="Palatino Linotype" w:hAnsi="Palatino Linotype"/>
        </w:rPr>
        <w:t xml:space="preserve">confirmed cases and deaths with COVID-19 were collected from the European Centre for Disease Prevention and Control (ECDC, </w:t>
      </w:r>
      <w:r w:rsidR="003C3028" w:rsidRPr="00632F23">
        <w:rPr>
          <w:rFonts w:ascii="Palatino Linotype" w:hAnsi="Palatino Linotype"/>
        </w:rPr>
        <w:t>https://www.ecdc.europa.eu/en/geographical-distribution-2019-ncov-cases</w:t>
      </w:r>
      <w:r w:rsidRPr="00632F23">
        <w:rPr>
          <w:rFonts w:ascii="Palatino Linotype" w:hAnsi="Palatino Linotype"/>
        </w:rPr>
        <w:t xml:space="preserve">), which showed each </w:t>
      </w:r>
      <w:r w:rsidR="00951265" w:rsidRPr="00632F23">
        <w:rPr>
          <w:rFonts w:ascii="Palatino Linotype" w:hAnsi="Palatino Linotype"/>
        </w:rPr>
        <w:t>country's</w:t>
      </w:r>
      <w:r w:rsidRPr="00632F23">
        <w:rPr>
          <w:rFonts w:ascii="Palatino Linotype" w:hAnsi="Palatino Linotype"/>
        </w:rPr>
        <w:t xml:space="preserve"> data from Dec 31, 2019</w:t>
      </w:r>
      <w:r w:rsidR="00951265" w:rsidRPr="00632F23">
        <w:rPr>
          <w:rFonts w:ascii="Palatino Linotype" w:hAnsi="Palatino Linotype"/>
        </w:rPr>
        <w:t>,</w:t>
      </w:r>
      <w:r w:rsidRPr="00632F23">
        <w:rPr>
          <w:rFonts w:ascii="Palatino Linotype" w:hAnsi="Palatino Linotype"/>
        </w:rPr>
        <w:t xml:space="preserve"> to </w:t>
      </w:r>
      <w:r w:rsidR="00EE5BBB">
        <w:rPr>
          <w:rFonts w:ascii="Palatino Linotype" w:eastAsia="Malgun Gothic" w:hAnsi="Palatino Linotype" w:hint="eastAsia"/>
          <w:lang w:eastAsia="ko-KR"/>
        </w:rPr>
        <w:t>August 12</w:t>
      </w:r>
      <w:r w:rsidRPr="00632F23">
        <w:rPr>
          <w:rFonts w:ascii="Palatino Linotype" w:hAnsi="Palatino Linotype"/>
        </w:rPr>
        <w:t xml:space="preserve">, 2020. The CFR was defined as follows: </w:t>
      </w:r>
    </w:p>
    <w:p w:rsidR="00C637F9" w:rsidRPr="007E40A6" w:rsidRDefault="007E40A6" w:rsidP="00874E01">
      <w:pPr>
        <w:spacing w:line="480" w:lineRule="auto"/>
        <w:ind w:firstLineChars="50" w:firstLine="120"/>
        <w:jc w:val="both"/>
        <w:rPr>
          <w:rFonts w:ascii="Palatino Linotype" w:hAnsi="Palatino Linotype"/>
        </w:rPr>
      </w:pPr>
      <m:oMathPara>
        <m:oMath>
          <m:f>
            <m:fPr>
              <m:ctrlPr>
                <w:rPr>
                  <w:rFonts w:ascii="Cambria Math" w:hAnsi="Cambria Math"/>
                  <w:i/>
                  <w:szCs w:val="28"/>
                </w:rPr>
              </m:ctrlPr>
            </m:fPr>
            <m:num>
              <m:r>
                <w:rPr>
                  <w:rFonts w:ascii="Cambria Math" w:hAnsi="Cambria Math"/>
                  <w:szCs w:val="28"/>
                </w:rPr>
                <m:t>number of deaths with COVID-19</m:t>
              </m:r>
            </m:num>
            <m:den>
              <m:r>
                <w:rPr>
                  <w:rFonts w:ascii="Cambria Math" w:hAnsi="Cambria Math"/>
                  <w:szCs w:val="28"/>
                </w:rPr>
                <m:t>number of confirmed cases of COVID-19</m:t>
              </m:r>
            </m:den>
          </m:f>
          <m:r>
            <w:rPr>
              <w:rFonts w:ascii="Cambria Math" w:hAnsi="Cambria Math"/>
              <w:szCs w:val="28"/>
            </w:rPr>
            <m:t>×100 (%)</m:t>
          </m:r>
        </m:oMath>
      </m:oMathPara>
    </w:p>
    <w:p w:rsidR="00C637F9" w:rsidRPr="00632F23" w:rsidRDefault="00CC126B" w:rsidP="00874E01">
      <w:pPr>
        <w:spacing w:line="480" w:lineRule="auto"/>
        <w:ind w:firstLineChars="50" w:firstLine="120"/>
        <w:jc w:val="both"/>
        <w:rPr>
          <w:rFonts w:ascii="Palatino Linotype" w:hAnsi="Palatino Linotype"/>
        </w:rPr>
      </w:pPr>
      <w:r w:rsidRPr="00632F23">
        <w:rPr>
          <w:rFonts w:ascii="Palatino Linotype" w:hAnsi="Palatino Linotype"/>
        </w:rPr>
        <w:t xml:space="preserve">To note, our analysis of CFR included only confirmed cases by molecular or serological testing. </w:t>
      </w:r>
      <w:r w:rsidR="00C637F9" w:rsidRPr="00632F23">
        <w:rPr>
          <w:rFonts w:ascii="Palatino Linotype" w:hAnsi="Palatino Linotype"/>
        </w:rPr>
        <w:t xml:space="preserve">The data had blanks since the reports from each country were not continuous on a daily basis, especially during the early </w:t>
      </w:r>
      <w:r w:rsidR="00F663CA" w:rsidRPr="00632F23">
        <w:rPr>
          <w:rFonts w:ascii="Palatino Linotype" w:hAnsi="Palatino Linotype"/>
        </w:rPr>
        <w:t xml:space="preserve">stages of the </w:t>
      </w:r>
      <w:r w:rsidR="00C637F9" w:rsidRPr="00632F23">
        <w:rPr>
          <w:rFonts w:ascii="Palatino Linotype" w:hAnsi="Palatino Linotype"/>
        </w:rPr>
        <w:t>epidemic</w:t>
      </w:r>
      <w:r w:rsidR="002F6E14" w:rsidRPr="00632F23">
        <w:rPr>
          <w:rFonts w:ascii="Palatino Linotype" w:hAnsi="Palatino Linotype"/>
        </w:rPr>
        <w:t xml:space="preserve"> secondary to </w:t>
      </w:r>
      <w:r w:rsidR="00951265" w:rsidRPr="00632F23">
        <w:rPr>
          <w:rFonts w:ascii="Palatino Linotype" w:hAnsi="Palatino Linotype"/>
        </w:rPr>
        <w:t>under-testing</w:t>
      </w:r>
      <w:r w:rsidR="002F6E14" w:rsidRPr="00632F23">
        <w:rPr>
          <w:rFonts w:ascii="Palatino Linotype" w:hAnsi="Palatino Linotype"/>
        </w:rPr>
        <w:t xml:space="preserve"> and under-reporting of cases</w:t>
      </w:r>
      <w:r w:rsidR="00C637F9" w:rsidRPr="00632F23">
        <w:rPr>
          <w:rFonts w:ascii="Palatino Linotype" w:hAnsi="Palatino Linotype"/>
        </w:rPr>
        <w:t xml:space="preserve">. </w:t>
      </w:r>
      <w:r w:rsidR="00F663CA" w:rsidRPr="00632F23">
        <w:rPr>
          <w:rFonts w:ascii="Palatino Linotype" w:hAnsi="Palatino Linotype"/>
        </w:rPr>
        <w:t xml:space="preserve">After multiple rounds of </w:t>
      </w:r>
      <w:r w:rsidR="00C637F9" w:rsidRPr="00632F23">
        <w:rPr>
          <w:rFonts w:ascii="Palatino Linotype" w:hAnsi="Palatino Linotype"/>
        </w:rPr>
        <w:t>discussion</w:t>
      </w:r>
      <w:r w:rsidR="00F663CA" w:rsidRPr="00632F23">
        <w:rPr>
          <w:rFonts w:ascii="Palatino Linotype" w:hAnsi="Palatino Linotype"/>
        </w:rPr>
        <w:t>s</w:t>
      </w:r>
      <w:r w:rsidR="00C637F9" w:rsidRPr="00632F23">
        <w:rPr>
          <w:rFonts w:ascii="Palatino Linotype" w:hAnsi="Palatino Linotype"/>
        </w:rPr>
        <w:t>,</w:t>
      </w:r>
      <w:r w:rsidR="004D2716" w:rsidRPr="00632F23">
        <w:rPr>
          <w:rFonts w:ascii="Palatino Linotype" w:hAnsi="Palatino Linotype"/>
        </w:rPr>
        <w:t xml:space="preserve"> for calculation simplicity</w:t>
      </w:r>
      <w:r w:rsidR="00951265" w:rsidRPr="00632F23">
        <w:rPr>
          <w:rFonts w:ascii="Palatino Linotype" w:hAnsi="Palatino Linotype"/>
        </w:rPr>
        <w:t>,</w:t>
      </w:r>
      <w:r w:rsidR="004D2716" w:rsidRPr="00632F23">
        <w:rPr>
          <w:rFonts w:ascii="Palatino Linotype" w:hAnsi="Palatino Linotype"/>
        </w:rPr>
        <w:t xml:space="preserve"> </w:t>
      </w:r>
      <w:r w:rsidR="00C637F9" w:rsidRPr="00632F23">
        <w:rPr>
          <w:rFonts w:ascii="Palatino Linotype" w:hAnsi="Palatino Linotype"/>
        </w:rPr>
        <w:t xml:space="preserve">the blanks were </w:t>
      </w:r>
      <w:r w:rsidR="00F663CA" w:rsidRPr="00632F23">
        <w:rPr>
          <w:rFonts w:ascii="Palatino Linotype" w:hAnsi="Palatino Linotype"/>
        </w:rPr>
        <w:t xml:space="preserve">decided to be </w:t>
      </w:r>
      <w:r w:rsidR="00C637F9" w:rsidRPr="00632F23">
        <w:rPr>
          <w:rFonts w:ascii="Palatino Linotype" w:hAnsi="Palatino Linotype"/>
        </w:rPr>
        <w:t>processed as the number of cases in the most recent report before the blank</w:t>
      </w:r>
      <w:r w:rsidR="003E254D" w:rsidRPr="00632F23">
        <w:rPr>
          <w:rFonts w:ascii="Palatino Linotype" w:hAnsi="Palatino Linotype"/>
        </w:rPr>
        <w:t xml:space="preserve"> rather than splitting the number of cases equally</w:t>
      </w:r>
      <w:r w:rsidR="004D2716" w:rsidRPr="00632F23">
        <w:rPr>
          <w:rFonts w:ascii="Palatino Linotype" w:hAnsi="Palatino Linotype"/>
        </w:rPr>
        <w:t xml:space="preserve"> among the missing days</w:t>
      </w:r>
      <w:r w:rsidR="00C637F9" w:rsidRPr="00DF1345">
        <w:rPr>
          <w:rFonts w:ascii="Palatino Linotype" w:hAnsi="Palatino Linotype"/>
        </w:rPr>
        <w:t>. We stratified the confirmed and death</w:t>
      </w:r>
      <w:r w:rsidR="00F663CA" w:rsidRPr="00DF1345">
        <w:rPr>
          <w:rFonts w:ascii="Palatino Linotype" w:hAnsi="Palatino Linotype"/>
        </w:rPr>
        <w:t>s</w:t>
      </w:r>
      <w:r w:rsidR="00C637F9" w:rsidRPr="00DF1345">
        <w:rPr>
          <w:rFonts w:ascii="Palatino Linotype" w:hAnsi="Palatino Linotype"/>
        </w:rPr>
        <w:t xml:space="preserve"> of COVID-19 for each country according to days since</w:t>
      </w:r>
      <w:r w:rsidR="004D2716" w:rsidRPr="00DF1345">
        <w:rPr>
          <w:rFonts w:ascii="Palatino Linotype" w:hAnsi="Palatino Linotype"/>
        </w:rPr>
        <w:t xml:space="preserve"> this country</w:t>
      </w:r>
      <w:r w:rsidR="00C637F9" w:rsidRPr="00DF1345">
        <w:rPr>
          <w:rFonts w:ascii="Palatino Linotype" w:hAnsi="Palatino Linotype"/>
        </w:rPr>
        <w:t xml:space="preserve"> report</w:t>
      </w:r>
      <w:r w:rsidR="004D2716" w:rsidRPr="00DF1345">
        <w:rPr>
          <w:rFonts w:ascii="Palatino Linotype" w:hAnsi="Palatino Linotype"/>
        </w:rPr>
        <w:t>ed</w:t>
      </w:r>
      <w:r w:rsidR="00C637F9" w:rsidRPr="00DF1345">
        <w:rPr>
          <w:rFonts w:ascii="Palatino Linotype" w:hAnsi="Palatino Linotype"/>
        </w:rPr>
        <w:t xml:space="preserve"> </w:t>
      </w:r>
      <w:r w:rsidR="004D2716" w:rsidRPr="00DF1345">
        <w:rPr>
          <w:rFonts w:ascii="Palatino Linotype" w:hAnsi="Palatino Linotype"/>
        </w:rPr>
        <w:t>its</w:t>
      </w:r>
      <w:r w:rsidR="00C637F9" w:rsidRPr="00DF1345">
        <w:rPr>
          <w:rFonts w:ascii="Palatino Linotype" w:hAnsi="Palatino Linotype"/>
        </w:rPr>
        <w:t xml:space="preserve"> first </w:t>
      </w:r>
      <w:r w:rsidR="00DF1345">
        <w:rPr>
          <w:rFonts w:ascii="Palatino Linotype" w:eastAsia="Malgun Gothic" w:hAnsi="Palatino Linotype" w:hint="eastAsia"/>
          <w:lang w:eastAsia="ko-KR"/>
        </w:rPr>
        <w:t xml:space="preserve">100 </w:t>
      </w:r>
      <w:r w:rsidR="00C637F9" w:rsidRPr="00DF1345">
        <w:rPr>
          <w:rFonts w:ascii="Palatino Linotype" w:hAnsi="Palatino Linotype"/>
        </w:rPr>
        <w:t>confirmed case</w:t>
      </w:r>
      <w:r w:rsidR="00DF1345">
        <w:rPr>
          <w:rFonts w:ascii="Palatino Linotype" w:eastAsia="Malgun Gothic" w:hAnsi="Palatino Linotype" w:hint="eastAsia"/>
          <w:lang w:eastAsia="ko-KR"/>
        </w:rPr>
        <w:t>s</w:t>
      </w:r>
      <w:r w:rsidR="004D2716" w:rsidRPr="00DF1345">
        <w:rPr>
          <w:rFonts w:ascii="Palatino Linotype" w:hAnsi="Palatino Linotype"/>
        </w:rPr>
        <w:t xml:space="preserve"> of COVID-19</w:t>
      </w:r>
      <w:r w:rsidR="00C637F9" w:rsidRPr="00DF1345">
        <w:rPr>
          <w:rFonts w:ascii="Palatino Linotype" w:hAnsi="Palatino Linotype"/>
        </w:rPr>
        <w:t>.</w:t>
      </w:r>
      <w:r w:rsidR="00C637F9" w:rsidRPr="00632F23">
        <w:rPr>
          <w:rFonts w:ascii="Palatino Linotype" w:hAnsi="Palatino Linotype"/>
        </w:rPr>
        <w:t xml:space="preserve"> </w:t>
      </w:r>
    </w:p>
    <w:p w:rsidR="00C637F9" w:rsidRPr="00632F23" w:rsidRDefault="00C637F9" w:rsidP="00874E01">
      <w:pPr>
        <w:spacing w:line="480" w:lineRule="auto"/>
        <w:ind w:firstLineChars="50" w:firstLine="120"/>
        <w:jc w:val="both"/>
        <w:rPr>
          <w:rFonts w:ascii="Palatino Linotype" w:hAnsi="Palatino Linotype"/>
        </w:rPr>
      </w:pPr>
      <w:r w:rsidRPr="00632F23">
        <w:rPr>
          <w:rFonts w:ascii="Palatino Linotype" w:hAnsi="Palatino Linotype"/>
        </w:rPr>
        <w:lastRenderedPageBreak/>
        <w:t>A proportion meta-analysis was then carried out on CFR in every country reporting COVID-19 cases</w:t>
      </w:r>
      <w:r w:rsidR="00A85A27" w:rsidRPr="00632F23">
        <w:rPr>
          <w:rFonts w:ascii="Palatino Linotype" w:hAnsi="Palatino Linotype"/>
        </w:rPr>
        <w:t>.</w:t>
      </w:r>
      <w:r w:rsidRPr="00632F23">
        <w:rPr>
          <w:rFonts w:ascii="Palatino Linotype" w:hAnsi="Palatino Linotype"/>
        </w:rPr>
        <w:t xml:space="preserve"> </w:t>
      </w:r>
      <w:r w:rsidR="00A85A27" w:rsidRPr="00632F23">
        <w:rPr>
          <w:rFonts w:ascii="Palatino Linotype" w:hAnsi="Palatino Linotype"/>
        </w:rPr>
        <w:t xml:space="preserve">Based on the results, we </w:t>
      </w:r>
      <w:r w:rsidRPr="00632F23">
        <w:rPr>
          <w:rFonts w:ascii="Palatino Linotype" w:hAnsi="Palatino Linotype"/>
        </w:rPr>
        <w:t xml:space="preserve">performed </w:t>
      </w:r>
      <w:r w:rsidR="00A85A27" w:rsidRPr="00632F23">
        <w:rPr>
          <w:rFonts w:ascii="Palatino Linotype" w:hAnsi="Palatino Linotype"/>
        </w:rPr>
        <w:t xml:space="preserve">a </w:t>
      </w:r>
      <w:r w:rsidRPr="00632F23">
        <w:rPr>
          <w:rFonts w:ascii="Palatino Linotype" w:hAnsi="Palatino Linotype"/>
        </w:rPr>
        <w:t xml:space="preserve">meta-analysis </w:t>
      </w:r>
      <w:r w:rsidR="00A85A27" w:rsidRPr="00632F23">
        <w:rPr>
          <w:rFonts w:ascii="Palatino Linotype" w:hAnsi="Palatino Linotype"/>
        </w:rPr>
        <w:t>for global COVID-19 CFR</w:t>
      </w:r>
      <w:r w:rsidRPr="00632F23">
        <w:rPr>
          <w:rFonts w:ascii="Palatino Linotype" w:hAnsi="Palatino Linotype"/>
        </w:rPr>
        <w:t xml:space="preserve">. Each analysis was performed on two </w:t>
      </w:r>
      <w:r w:rsidR="006E0281" w:rsidRPr="00632F23">
        <w:rPr>
          <w:rFonts w:ascii="Palatino Linotype" w:hAnsi="Palatino Linotype"/>
        </w:rPr>
        <w:t xml:space="preserve">different calculations </w:t>
      </w:r>
      <w:r w:rsidRPr="00632F23">
        <w:rPr>
          <w:rFonts w:ascii="Palatino Linotype" w:hAnsi="Palatino Linotype"/>
        </w:rPr>
        <w:t xml:space="preserve">of CFR: according to </w:t>
      </w:r>
      <w:r w:rsidR="004D2716" w:rsidRPr="00632F23">
        <w:rPr>
          <w:rFonts w:ascii="Palatino Linotype" w:hAnsi="Palatino Linotype"/>
        </w:rPr>
        <w:t xml:space="preserve">cases </w:t>
      </w:r>
      <w:r w:rsidRPr="00632F23">
        <w:rPr>
          <w:rFonts w:ascii="Palatino Linotype" w:hAnsi="Palatino Linotype"/>
        </w:rPr>
        <w:t xml:space="preserve">calendar date and according to days since the outbreak of </w:t>
      </w:r>
      <w:r w:rsidR="004D2716" w:rsidRPr="00632F23">
        <w:rPr>
          <w:rFonts w:ascii="Palatino Linotype" w:hAnsi="Palatino Linotype"/>
        </w:rPr>
        <w:t xml:space="preserve">the </w:t>
      </w:r>
      <w:r w:rsidRPr="00632F23">
        <w:rPr>
          <w:rFonts w:ascii="Palatino Linotype" w:hAnsi="Palatino Linotype"/>
        </w:rPr>
        <w:t xml:space="preserve">first confirmed case. Every analysis was based on reports until </w:t>
      </w:r>
      <w:r w:rsidR="00EE5BBB">
        <w:rPr>
          <w:rFonts w:ascii="Palatino Linotype" w:eastAsia="Malgun Gothic" w:hAnsi="Palatino Linotype" w:hint="eastAsia"/>
          <w:lang w:eastAsia="ko-KR"/>
        </w:rPr>
        <w:t>August 12</w:t>
      </w:r>
      <w:r w:rsidRPr="00632F23">
        <w:rPr>
          <w:rFonts w:ascii="Palatino Linotype" w:hAnsi="Palatino Linotype"/>
        </w:rPr>
        <w:t xml:space="preserve">, 2020. </w:t>
      </w:r>
    </w:p>
    <w:p w:rsidR="00C637F9" w:rsidRPr="00632F23" w:rsidRDefault="00C637F9" w:rsidP="00874E01">
      <w:pPr>
        <w:spacing w:line="480" w:lineRule="auto"/>
        <w:ind w:firstLineChars="50" w:firstLine="120"/>
        <w:jc w:val="both"/>
        <w:rPr>
          <w:rFonts w:ascii="Palatino Linotype" w:hAnsi="Palatino Linotype"/>
        </w:rPr>
      </w:pPr>
      <w:r w:rsidRPr="00632F23">
        <w:rPr>
          <w:rFonts w:ascii="Palatino Linotype" w:hAnsi="Palatino Linotype"/>
        </w:rPr>
        <w:t xml:space="preserve">For a meta-analysis of the CFR of COVID-19, </w:t>
      </w:r>
      <w:r w:rsidR="007B1B4D" w:rsidRPr="00632F23">
        <w:rPr>
          <w:rFonts w:ascii="Palatino Linotype" w:hAnsi="Palatino Linotype"/>
        </w:rPr>
        <w:t>MedCalc version 19.2.1 software (MedCalc Software, Ostend, Belgium</w:t>
      </w:r>
      <w:r w:rsidR="00CC126B" w:rsidRPr="00632F23">
        <w:rPr>
          <w:rFonts w:ascii="Palatino Linotype" w:hAnsi="Palatino Linotype"/>
        </w:rPr>
        <w:t>, trial version</w:t>
      </w:r>
      <w:r w:rsidR="007B1B4D" w:rsidRPr="00632F23">
        <w:rPr>
          <w:rFonts w:ascii="Palatino Linotype" w:hAnsi="Palatino Linotype"/>
        </w:rPr>
        <w:t xml:space="preserve">) </w:t>
      </w:r>
      <w:r w:rsidRPr="00632F23">
        <w:rPr>
          <w:rFonts w:ascii="Palatino Linotype" w:hAnsi="Palatino Linotype"/>
        </w:rPr>
        <w:t xml:space="preserve">was used to analyze the summary effects with 95% confidence interval (CI) and between-study heterogeneity. We performed </w:t>
      </w:r>
      <w:r w:rsidR="00951265" w:rsidRPr="00632F23">
        <w:rPr>
          <w:rFonts w:ascii="Palatino Linotype" w:hAnsi="Palatino Linotype"/>
        </w:rPr>
        <w:t xml:space="preserve">a </w:t>
      </w:r>
      <w:r w:rsidRPr="00632F23">
        <w:rPr>
          <w:rFonts w:ascii="Palatino Linotype" w:hAnsi="Palatino Linotype"/>
        </w:rPr>
        <w:t>proportion meta-analysis to estimate the summary effects. The summary effects obtained by the proportion meta-analysis of the CFR under the fixed- and random-effect model for each data over time were presented</w:t>
      </w:r>
      <w:r w:rsidR="009357BB" w:rsidRPr="00632F23">
        <w:rPr>
          <w:rFonts w:ascii="Palatino Linotype" w:hAnsi="Palatino Linotype"/>
        </w:rPr>
        <w:t xml:space="preserve"> </w:t>
      </w:r>
      <w:r w:rsidR="009357BB" w:rsidRPr="00354D1C">
        <w:rPr>
          <w:rFonts w:ascii="Palatino Linotype" w:hAnsi="Palatino Linotype"/>
          <w:color w:val="000000"/>
        </w:rPr>
        <w:t>as figures</w:t>
      </w:r>
      <w:r w:rsidR="00B35CF6" w:rsidRPr="00354D1C">
        <w:rPr>
          <w:rFonts w:ascii="Palatino Linotype" w:hAnsi="Palatino Linotype"/>
          <w:color w:val="000000"/>
        </w:rPr>
        <w:t>,</w:t>
      </w:r>
      <w:r w:rsidR="009357BB" w:rsidRPr="00354D1C">
        <w:rPr>
          <w:rFonts w:ascii="Palatino Linotype" w:hAnsi="Palatino Linotype"/>
          <w:color w:val="000000"/>
        </w:rPr>
        <w:t xml:space="preserve"> and the 95% C</w:t>
      </w:r>
      <w:r w:rsidR="00B35CF6" w:rsidRPr="00354D1C">
        <w:rPr>
          <w:rFonts w:ascii="Palatino Linotype" w:hAnsi="Palatino Linotype"/>
          <w:color w:val="000000"/>
        </w:rPr>
        <w:t>onfidence Interval, C</w:t>
      </w:r>
      <w:r w:rsidR="009357BB" w:rsidRPr="00354D1C">
        <w:rPr>
          <w:rFonts w:ascii="Palatino Linotype" w:hAnsi="Palatino Linotype"/>
          <w:color w:val="000000"/>
        </w:rPr>
        <w:t>I</w:t>
      </w:r>
      <w:r w:rsidR="00B35CF6" w:rsidRPr="00354D1C">
        <w:rPr>
          <w:rFonts w:ascii="Palatino Linotype" w:hAnsi="Palatino Linotype"/>
          <w:color w:val="000000"/>
        </w:rPr>
        <w:t>,</w:t>
      </w:r>
      <w:r w:rsidR="009357BB" w:rsidRPr="00354D1C">
        <w:rPr>
          <w:rFonts w:ascii="Palatino Linotype" w:hAnsi="Palatino Linotype"/>
          <w:color w:val="000000"/>
        </w:rPr>
        <w:t xml:space="preserve"> </w:t>
      </w:r>
      <w:r w:rsidR="003B73F9" w:rsidRPr="00354D1C">
        <w:rPr>
          <w:rFonts w:ascii="Palatino Linotype" w:hAnsi="Palatino Linotype"/>
          <w:color w:val="000000"/>
        </w:rPr>
        <w:t>are</w:t>
      </w:r>
      <w:r w:rsidR="009357BB" w:rsidRPr="00354D1C">
        <w:rPr>
          <w:rFonts w:ascii="Palatino Linotype" w:hAnsi="Palatino Linotype"/>
          <w:color w:val="000000"/>
        </w:rPr>
        <w:t xml:space="preserve"> summarized in </w:t>
      </w:r>
      <w:r w:rsidR="003B73F9" w:rsidRPr="00354D1C">
        <w:rPr>
          <w:rFonts w:ascii="Palatino Linotype" w:hAnsi="Palatino Linotype"/>
          <w:color w:val="000000"/>
        </w:rPr>
        <w:t xml:space="preserve">the </w:t>
      </w:r>
      <w:r w:rsidR="00E91303" w:rsidRPr="00354D1C">
        <w:rPr>
          <w:rFonts w:ascii="Palatino Linotype" w:hAnsi="Palatino Linotype"/>
          <w:color w:val="000000"/>
        </w:rPr>
        <w:t>Supplementary</w:t>
      </w:r>
      <w:r w:rsidR="009357BB" w:rsidRPr="00354D1C">
        <w:rPr>
          <w:rFonts w:ascii="Palatino Linotype" w:hAnsi="Palatino Linotype"/>
          <w:color w:val="000000"/>
        </w:rPr>
        <w:t xml:space="preserve"> </w:t>
      </w:r>
      <w:r w:rsidR="00E91303" w:rsidRPr="00354D1C">
        <w:rPr>
          <w:rFonts w:ascii="Palatino Linotype" w:hAnsi="Palatino Linotype"/>
          <w:color w:val="000000"/>
        </w:rPr>
        <w:t>Table 1 and 2.</w:t>
      </w:r>
      <w:r w:rsidRPr="00354D1C">
        <w:rPr>
          <w:rFonts w:ascii="Palatino Linotype" w:hAnsi="Palatino Linotype"/>
          <w:color w:val="000000"/>
        </w:rPr>
        <w:t xml:space="preserve"> </w:t>
      </w:r>
      <w:r w:rsidR="00DC6465" w:rsidRPr="00354D1C">
        <w:rPr>
          <w:rFonts w:ascii="Palatino Linotype" w:hAnsi="Palatino Linotype"/>
          <w:color w:val="000000"/>
        </w:rPr>
        <w:t xml:space="preserve">As we mentioned, we used MedCalc for the proportion of meta-analysis of the COVID-19 CFR. MedCalc uses a Freeman-Tukey transformation to calculate weighted summary proportions and the default random-effects model is DerSimonian and Laird. The procedure suggested by DerSimonian and Laird is the most commonly used method for fitting the random effects model for meta-analysis. This meta‐analytical method was used to pool CFR proportions. The calculated fixed effect and random effects meta-analysis methods were used to combine single proportions. Prior to that, proportions were </w:t>
      </w:r>
      <w:r w:rsidR="00DC6465" w:rsidRPr="00354D1C">
        <w:rPr>
          <w:rFonts w:ascii="Palatino Linotype" w:hAnsi="Palatino Linotype"/>
          <w:color w:val="000000"/>
        </w:rPr>
        <w:lastRenderedPageBreak/>
        <w:t xml:space="preserve">transformed using either the Freeman‐Tukey double arcsine transformations. </w:t>
      </w:r>
      <w:r w:rsidRPr="00632F23">
        <w:rPr>
          <w:rFonts w:ascii="Palatino Linotype" w:hAnsi="Palatino Linotype"/>
        </w:rPr>
        <w:t xml:space="preserve">To determine the extent of variation between the studies, we did heterogeneity tests with </w:t>
      </w:r>
      <w:r w:rsidR="00951265" w:rsidRPr="00632F23">
        <w:rPr>
          <w:rFonts w:ascii="Palatino Linotype" w:hAnsi="Palatino Linotype"/>
        </w:rPr>
        <w:t>Higgins'</w:t>
      </w:r>
      <w:r w:rsidRPr="00632F23">
        <w:rPr>
          <w:rFonts w:ascii="Palatino Linotype" w:hAnsi="Palatino Linotype"/>
        </w:rPr>
        <w:t xml:space="preserve"> I</w:t>
      </w:r>
      <w:r w:rsidRPr="00632F23">
        <w:rPr>
          <w:rFonts w:ascii="Palatino Linotype" w:hAnsi="Palatino Linotype"/>
          <w:vertAlign w:val="superscript"/>
        </w:rPr>
        <w:t>2</w:t>
      </w:r>
      <w:r w:rsidRPr="00632F23">
        <w:rPr>
          <w:rFonts w:ascii="Palatino Linotype" w:hAnsi="Palatino Linotype"/>
        </w:rPr>
        <w:t xml:space="preserve"> statistic</w:t>
      </w:r>
      <w:r w:rsidRPr="00632F23">
        <w:rPr>
          <w:rFonts w:ascii="Palatino Linotype" w:hAnsi="Palatino Linotype"/>
          <w:vertAlign w:val="superscript"/>
        </w:rPr>
        <w:t>14</w:t>
      </w:r>
      <w:r w:rsidRPr="00632F23">
        <w:rPr>
          <w:rFonts w:ascii="Palatino Linotype" w:hAnsi="Palatino Linotype"/>
        </w:rPr>
        <w:t>. An I</w:t>
      </w:r>
      <w:r w:rsidRPr="00632F23">
        <w:rPr>
          <w:rFonts w:ascii="Palatino Linotype" w:hAnsi="Palatino Linotype"/>
          <w:vertAlign w:val="superscript"/>
        </w:rPr>
        <w:t>2</w:t>
      </w:r>
      <w:r w:rsidRPr="00632F23">
        <w:rPr>
          <w:rFonts w:ascii="Palatino Linotype" w:hAnsi="Palatino Linotype"/>
        </w:rPr>
        <w:t xml:space="preserve"> value below 50% represented low or moderate heterogeneity</w:t>
      </w:r>
      <w:r w:rsidR="00951265" w:rsidRPr="00632F23">
        <w:rPr>
          <w:rFonts w:ascii="Palatino Linotype" w:hAnsi="Palatino Linotype"/>
        </w:rPr>
        <w:t>,</w:t>
      </w:r>
      <w:r w:rsidRPr="00632F23">
        <w:rPr>
          <w:rFonts w:ascii="Palatino Linotype" w:hAnsi="Palatino Linotype"/>
        </w:rPr>
        <w:t xml:space="preserve"> while I</w:t>
      </w:r>
      <w:r w:rsidRPr="00632F23">
        <w:rPr>
          <w:rFonts w:ascii="Palatino Linotype" w:hAnsi="Palatino Linotype"/>
          <w:vertAlign w:val="superscript"/>
        </w:rPr>
        <w:t>2</w:t>
      </w:r>
      <w:r w:rsidRPr="00632F23">
        <w:rPr>
          <w:rFonts w:ascii="Palatino Linotype" w:hAnsi="Palatino Linotype"/>
        </w:rPr>
        <w:t xml:space="preserve"> &gt;50% represented high heterogeneity</w:t>
      </w:r>
      <w:r w:rsidR="00E66624" w:rsidRPr="00632F23">
        <w:rPr>
          <w:rFonts w:ascii="Palatino Linotype" w:hAnsi="Palatino Linotype"/>
        </w:rPr>
        <w:t xml:space="preserve"> </w:t>
      </w:r>
      <w:r w:rsidR="003E5F8D">
        <w:rPr>
          <w:rFonts w:ascii="Palatino Linotype" w:hAnsi="Palatino Linotype"/>
        </w:rPr>
        <w:t>(</w:t>
      </w:r>
      <w:r w:rsidR="003E5F8D" w:rsidRPr="00632F23">
        <w:rPr>
          <w:rFonts w:ascii="Palatino Linotype" w:hAnsi="Palatino Linotype"/>
        </w:rPr>
        <w:t>Higgins</w:t>
      </w:r>
      <w:r w:rsidR="00D57773">
        <w:rPr>
          <w:rFonts w:ascii="Palatino Linotype" w:hAnsi="Palatino Linotype"/>
        </w:rPr>
        <w:t xml:space="preserve"> et al.</w:t>
      </w:r>
      <w:r w:rsidR="003E5F8D">
        <w:rPr>
          <w:rFonts w:ascii="Palatino Linotype" w:hAnsi="Palatino Linotype"/>
        </w:rPr>
        <w:t xml:space="preserve">, 2003). </w:t>
      </w:r>
      <w:r w:rsidRPr="00632F23">
        <w:rPr>
          <w:rFonts w:ascii="Palatino Linotype" w:hAnsi="Palatino Linotype"/>
        </w:rPr>
        <w:t xml:space="preserve">For graphing the patterns of CFR in all countries, </w:t>
      </w:r>
      <w:r w:rsidR="00EE5BBB">
        <w:rPr>
          <w:rFonts w:ascii="Palatino Linotype" w:eastAsia="Arial Unicode MS" w:hAnsi="Palatino Linotype" w:hint="eastAsia"/>
          <w:lang w:eastAsia="ko-KR"/>
        </w:rPr>
        <w:t>RStudio version 1.3.1073</w:t>
      </w:r>
      <w:r w:rsidRPr="00632F23">
        <w:rPr>
          <w:rFonts w:ascii="Palatino Linotype" w:eastAsia="Arial Unicode MS" w:hAnsi="Palatino Linotype"/>
        </w:rPr>
        <w:t xml:space="preserve"> was used. </w:t>
      </w:r>
      <w:r w:rsidR="00DC6465" w:rsidRPr="00DC6465">
        <w:rPr>
          <w:rFonts w:ascii="Palatino Linotype" w:eastAsia="Arial Unicode MS" w:hAnsi="Palatino Linotype"/>
        </w:rPr>
        <w:t>We used a weighted average to ensure the precision of the overall estimates, i.e. having the smallest possible variance and standard variation. In our study, we used inverse variance weights of our data in order to give less weight to the nosier and less relevant data. The weight for each size estimate was proportional to the inverse of its variance, ensuring that larger countries with high number of infections and mortality, will have more weight compared to those countries with few cases and noisy data</w:t>
      </w:r>
      <w:r w:rsidR="00DC6465">
        <w:rPr>
          <w:rFonts w:ascii="Palatino Linotype" w:eastAsia="Arial Unicode MS" w:hAnsi="Palatino Linotype"/>
        </w:rPr>
        <w:t>.</w:t>
      </w:r>
    </w:p>
    <w:p w:rsidR="00C637F9" w:rsidRPr="00632F23" w:rsidRDefault="00C637F9" w:rsidP="00874E01">
      <w:pPr>
        <w:spacing w:line="480" w:lineRule="auto"/>
        <w:ind w:firstLineChars="50" w:firstLine="120"/>
        <w:jc w:val="both"/>
        <w:rPr>
          <w:rFonts w:ascii="Palatino Linotype" w:hAnsi="Palatino Linotype"/>
        </w:rPr>
      </w:pPr>
    </w:p>
    <w:p w:rsidR="00F83784" w:rsidRPr="00632F23" w:rsidRDefault="005D0E12" w:rsidP="000A4433">
      <w:pPr>
        <w:pStyle w:val="Heading1"/>
      </w:pPr>
      <w:r w:rsidRPr="00632F23">
        <w:t xml:space="preserve">3. </w:t>
      </w:r>
      <w:r w:rsidR="00F83784" w:rsidRPr="00632F23">
        <w:t>Results</w:t>
      </w:r>
    </w:p>
    <w:p w:rsidR="00C637F9" w:rsidRPr="000A4433" w:rsidRDefault="006503E1" w:rsidP="000A4433">
      <w:pPr>
        <w:pStyle w:val="Heading2"/>
      </w:pPr>
      <w:r w:rsidRPr="000A4433">
        <w:t xml:space="preserve">3.1 </w:t>
      </w:r>
      <w:r w:rsidR="00C637F9" w:rsidRPr="000A4433">
        <w:t xml:space="preserve">The </w:t>
      </w:r>
      <w:r w:rsidR="004D2716" w:rsidRPr="000A4433">
        <w:t xml:space="preserve">new </w:t>
      </w:r>
      <w:r w:rsidR="00C637F9" w:rsidRPr="000A4433">
        <w:t>dynamics of CFR revealed after the meta-analyses</w:t>
      </w:r>
    </w:p>
    <w:p w:rsidR="006503E1" w:rsidRPr="00632F23" w:rsidRDefault="00C637F9" w:rsidP="00874E01">
      <w:pPr>
        <w:spacing w:line="480" w:lineRule="auto"/>
        <w:jc w:val="both"/>
        <w:rPr>
          <w:rFonts w:ascii="Palatino Linotype" w:hAnsi="Palatino Linotype"/>
        </w:rPr>
      </w:pPr>
      <w:r w:rsidRPr="00632F23">
        <w:rPr>
          <w:rFonts w:ascii="Palatino Linotype" w:hAnsi="Palatino Linotype"/>
        </w:rPr>
        <w:t xml:space="preserve">Figure 1 presents the following data over time: the fixed- and the random-model results of the meta-analysis, the pooled estimate, and the number of total cases included in each analysis. </w:t>
      </w: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3E5F8D" w:rsidRDefault="003E5F8D"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DC6465" w:rsidRDefault="00DC6465" w:rsidP="00632F23">
      <w:pPr>
        <w:spacing w:line="276" w:lineRule="auto"/>
        <w:rPr>
          <w:rFonts w:ascii="Palatino Linotype" w:hAnsi="Palatino Linotype"/>
          <w:b/>
          <w:sz w:val="22"/>
        </w:rPr>
      </w:pPr>
    </w:p>
    <w:p w:rsidR="006503E1" w:rsidRPr="00BC50D8" w:rsidRDefault="006503E1" w:rsidP="00632F23">
      <w:pPr>
        <w:spacing w:line="276" w:lineRule="auto"/>
        <w:rPr>
          <w:rFonts w:ascii="Palatino Linotype" w:hAnsi="Palatino Linotype"/>
          <w:b/>
          <w:color w:val="00B0F0"/>
          <w:sz w:val="22"/>
        </w:rPr>
      </w:pPr>
      <w:r w:rsidRPr="00632F23">
        <w:rPr>
          <w:rFonts w:ascii="Palatino Linotype" w:hAnsi="Palatino Linotype"/>
          <w:b/>
          <w:sz w:val="22"/>
        </w:rPr>
        <w:t xml:space="preserve">Figure 1. Timeline of CFR in worldwide among countries with COVID-19 reports until </w:t>
      </w:r>
      <w:r w:rsidR="00BC50D8">
        <w:rPr>
          <w:rFonts w:ascii="Palatino Linotype" w:eastAsia="Malgun Gothic" w:hAnsi="Palatino Linotype" w:hint="eastAsia"/>
          <w:b/>
          <w:sz w:val="22"/>
          <w:lang w:eastAsia="ko-KR"/>
        </w:rPr>
        <w:t xml:space="preserve">August 12, 2020 </w:t>
      </w:r>
      <w:r w:rsidRPr="00632F23">
        <w:rPr>
          <w:rFonts w:ascii="Palatino Linotype" w:hAnsi="Palatino Linotype"/>
          <w:b/>
          <w:sz w:val="22"/>
        </w:rPr>
        <w:t xml:space="preserve">: (A) According to date and (B) According to days since </w:t>
      </w:r>
      <w:r w:rsidR="00BC50D8" w:rsidRPr="00BC50D8">
        <w:rPr>
          <w:rFonts w:ascii="Palatino Linotype" w:eastAsia="Malgun Gothic" w:hAnsi="Palatino Linotype" w:hint="eastAsia"/>
          <w:b/>
          <w:color w:val="00B0F0"/>
          <w:sz w:val="22"/>
          <w:lang w:eastAsia="ko-KR"/>
        </w:rPr>
        <w:t>first 100</w:t>
      </w:r>
      <w:r w:rsidRPr="00BC50D8">
        <w:rPr>
          <w:rFonts w:ascii="Palatino Linotype" w:hAnsi="Palatino Linotype"/>
          <w:b/>
          <w:color w:val="00B0F0"/>
          <w:sz w:val="22"/>
        </w:rPr>
        <w:t xml:space="preserve"> confirmed case</w:t>
      </w:r>
      <w:r w:rsidR="00BC50D8" w:rsidRPr="00BC50D8">
        <w:rPr>
          <w:rFonts w:ascii="Palatino Linotype" w:eastAsia="Malgun Gothic" w:hAnsi="Palatino Linotype" w:hint="eastAsia"/>
          <w:b/>
          <w:color w:val="00B0F0"/>
          <w:sz w:val="22"/>
          <w:lang w:eastAsia="ko-KR"/>
        </w:rPr>
        <w:t>s</w:t>
      </w:r>
      <w:r w:rsidRPr="00BC50D8">
        <w:rPr>
          <w:rFonts w:ascii="Palatino Linotype" w:hAnsi="Palatino Linotype"/>
          <w:b/>
          <w:color w:val="00B0F0"/>
          <w:sz w:val="22"/>
        </w:rPr>
        <w:t xml:space="preserve"> </w:t>
      </w:r>
    </w:p>
    <w:p w:rsidR="006503E1" w:rsidRPr="00632F23" w:rsidRDefault="006503E1" w:rsidP="006503E1">
      <w:pPr>
        <w:rPr>
          <w:rFonts w:ascii="Palatino Linotype" w:hAnsi="Palatino Linotype"/>
          <w:b/>
          <w:sz w:val="22"/>
        </w:rPr>
      </w:pPr>
    </w:p>
    <w:p w:rsidR="006503E1" w:rsidRPr="00632F23" w:rsidRDefault="00632F23" w:rsidP="006503E1">
      <w:pPr>
        <w:rPr>
          <w:rFonts w:ascii="Palatino Linotype" w:hAnsi="Palatino Linotype"/>
          <w:b/>
          <w:sz w:val="22"/>
        </w:rPr>
      </w:pPr>
      <w:r>
        <w:rPr>
          <w:rFonts w:ascii="Palatino Linotype" w:hAnsi="Palatino Linotype"/>
          <w:b/>
          <w:sz w:val="22"/>
        </w:rPr>
        <w:t>(</w:t>
      </w:r>
      <w:r w:rsidR="006503E1" w:rsidRPr="00632F23">
        <w:rPr>
          <w:rFonts w:ascii="Palatino Linotype" w:hAnsi="Palatino Linotype"/>
          <w:b/>
          <w:sz w:val="22"/>
        </w:rPr>
        <w:t>A</w:t>
      </w:r>
      <w:r>
        <w:rPr>
          <w:rFonts w:ascii="Palatino Linotype" w:hAnsi="Palatino Linotype"/>
          <w:b/>
          <w:sz w:val="22"/>
        </w:rPr>
        <w:t>)</w:t>
      </w:r>
    </w:p>
    <w:p w:rsidR="006503E1" w:rsidRDefault="006503E1" w:rsidP="006503E1">
      <w:pPr>
        <w:rPr>
          <w:rFonts w:ascii="Palatino Linotype" w:eastAsia="Malgun Gothic" w:hAnsi="Palatino Linotype" w:hint="eastAsia"/>
          <w:noProof/>
          <w:lang w:eastAsia="ko-KR"/>
        </w:rPr>
      </w:pPr>
    </w:p>
    <w:p w:rsidR="00BC50D8" w:rsidRDefault="007E40A6" w:rsidP="006503E1">
      <w:pPr>
        <w:rPr>
          <w:rFonts w:ascii="Palatino Linotype" w:eastAsia="Malgun Gothic" w:hAnsi="Palatino Linotype" w:hint="eastAsia"/>
          <w:b/>
          <w:sz w:val="22"/>
          <w:lang w:eastAsia="ko-KR"/>
        </w:rPr>
      </w:pPr>
      <w:r>
        <w:rPr>
          <w:rFonts w:ascii="Palatino Linotype" w:hAnsi="Palatino Linotype" w:hint="eastAsia"/>
          <w:b/>
          <w:noProof/>
          <w:sz w:val="22"/>
          <w:lang w:val="en-GB" w:eastAsia="en-GB"/>
        </w:rPr>
        <w:lastRenderedPageBreak/>
        <w:drawing>
          <wp:inline distT="0" distB="0" distL="0" distR="0">
            <wp:extent cx="4543425" cy="3819525"/>
            <wp:effectExtent l="0" t="0" r="0" b="0"/>
            <wp:docPr id="2" name="Picture 2" descr="figure 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3425" cy="3819525"/>
                    </a:xfrm>
                    <a:prstGeom prst="rect">
                      <a:avLst/>
                    </a:prstGeom>
                    <a:noFill/>
                    <a:ln>
                      <a:noFill/>
                    </a:ln>
                  </pic:spPr>
                </pic:pic>
              </a:graphicData>
            </a:graphic>
          </wp:inline>
        </w:drawing>
      </w:r>
    </w:p>
    <w:p w:rsidR="00BC50D8" w:rsidRDefault="00BC50D8" w:rsidP="006503E1">
      <w:pPr>
        <w:rPr>
          <w:rFonts w:ascii="Palatino Linotype" w:eastAsia="Malgun Gothic" w:hAnsi="Palatino Linotype" w:hint="eastAsia"/>
          <w:b/>
          <w:sz w:val="22"/>
          <w:lang w:eastAsia="ko-KR"/>
        </w:rPr>
      </w:pPr>
    </w:p>
    <w:p w:rsidR="006503E1" w:rsidRPr="00632F23" w:rsidRDefault="00632F23" w:rsidP="006503E1">
      <w:pPr>
        <w:rPr>
          <w:rFonts w:ascii="Palatino Linotype" w:hAnsi="Palatino Linotype"/>
          <w:b/>
          <w:sz w:val="22"/>
        </w:rPr>
      </w:pPr>
      <w:r>
        <w:rPr>
          <w:rFonts w:ascii="Palatino Linotype" w:hAnsi="Palatino Linotype"/>
          <w:b/>
          <w:sz w:val="22"/>
        </w:rPr>
        <w:t>(</w:t>
      </w:r>
      <w:r w:rsidR="006503E1" w:rsidRPr="00632F23">
        <w:rPr>
          <w:rFonts w:ascii="Palatino Linotype" w:hAnsi="Palatino Linotype"/>
          <w:b/>
          <w:sz w:val="22"/>
        </w:rPr>
        <w:t>B</w:t>
      </w:r>
      <w:r>
        <w:rPr>
          <w:rFonts w:ascii="Palatino Linotype" w:hAnsi="Palatino Linotype"/>
          <w:b/>
          <w:sz w:val="22"/>
        </w:rPr>
        <w:t>)</w:t>
      </w:r>
      <w:r w:rsidR="007E40A6">
        <w:rPr>
          <w:rFonts w:ascii="Palatino Linotype" w:hAnsi="Palatino Linotype"/>
          <w:b/>
          <w:noProof/>
          <w:sz w:val="22"/>
          <w:lang w:val="en-GB" w:eastAsia="en-GB"/>
        </w:rPr>
        <w:drawing>
          <wp:inline distT="0" distB="0" distL="0" distR="0">
            <wp:extent cx="4581525" cy="3838575"/>
            <wp:effectExtent l="0" t="0" r="0" b="0"/>
            <wp:docPr id="3" name="Picture 3" descr="Figure 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1525" cy="3838575"/>
                    </a:xfrm>
                    <a:prstGeom prst="rect">
                      <a:avLst/>
                    </a:prstGeom>
                    <a:noFill/>
                    <a:ln>
                      <a:noFill/>
                    </a:ln>
                  </pic:spPr>
                </pic:pic>
              </a:graphicData>
            </a:graphic>
          </wp:inline>
        </w:drawing>
      </w:r>
    </w:p>
    <w:p w:rsidR="006503E1" w:rsidRPr="00632F23" w:rsidRDefault="006503E1" w:rsidP="006503E1">
      <w:pPr>
        <w:rPr>
          <w:rFonts w:ascii="Palatino Linotype" w:hAnsi="Palatino Linotype"/>
          <w:b/>
          <w:sz w:val="22"/>
        </w:rPr>
      </w:pPr>
    </w:p>
    <w:p w:rsidR="006503E1" w:rsidRPr="00632F23" w:rsidRDefault="006503E1" w:rsidP="006503E1">
      <w:pPr>
        <w:rPr>
          <w:rFonts w:ascii="Palatino Linotype" w:hAnsi="Palatino Linotype"/>
          <w:b/>
          <w:sz w:val="22"/>
        </w:rPr>
      </w:pPr>
    </w:p>
    <w:p w:rsidR="006503E1" w:rsidRPr="003E5F8D" w:rsidRDefault="006503E1" w:rsidP="006503E1">
      <w:pPr>
        <w:rPr>
          <w:rFonts w:ascii="Palatino Linotype" w:hAnsi="Palatino Linotype"/>
          <w:sz w:val="15"/>
          <w:szCs w:val="21"/>
        </w:rPr>
      </w:pPr>
      <w:r w:rsidRPr="003E5F8D">
        <w:rPr>
          <w:rFonts w:ascii="Palatino Linotype" w:hAnsi="Palatino Linotype"/>
          <w:sz w:val="15"/>
          <w:szCs w:val="21"/>
        </w:rPr>
        <w:t>COVID-19: Coronavirus 2019, CFR: case fatality rate, fixed: fixed-effect model, random: random-effect model, pooled: calculated CFR based on incidence and mortality data, N: number</w:t>
      </w:r>
    </w:p>
    <w:p w:rsidR="003E5F8D" w:rsidRPr="00632F23" w:rsidRDefault="00294CD0" w:rsidP="003E5F8D">
      <w:pPr>
        <w:spacing w:line="480" w:lineRule="auto"/>
        <w:jc w:val="both"/>
        <w:rPr>
          <w:rFonts w:ascii="Palatino Linotype" w:hAnsi="Palatino Linotype"/>
        </w:rPr>
      </w:pPr>
      <w:r w:rsidRPr="00632F23">
        <w:rPr>
          <w:rFonts w:ascii="Palatino Linotype" w:hAnsi="Palatino Linotype"/>
        </w:rPr>
        <w:lastRenderedPageBreak/>
        <w:t xml:space="preserve">Figure 2 presents </w:t>
      </w:r>
      <w:r w:rsidR="00356043" w:rsidRPr="00632F23">
        <w:rPr>
          <w:rFonts w:ascii="Palatino Linotype" w:hAnsi="Palatino Linotype"/>
        </w:rPr>
        <w:t>t</w:t>
      </w:r>
      <w:r w:rsidRPr="00632F23">
        <w:rPr>
          <w:rFonts w:ascii="Palatino Linotype" w:hAnsi="Palatino Linotype"/>
        </w:rPr>
        <w:t>he trend of patients with COVID-19</w:t>
      </w:r>
      <w:r w:rsidR="00356043" w:rsidRPr="00632F23">
        <w:rPr>
          <w:rFonts w:ascii="Palatino Linotype" w:hAnsi="Palatino Linotype"/>
        </w:rPr>
        <w:t xml:space="preserve"> according to date and</w:t>
      </w:r>
      <w:r w:rsidRPr="00632F23">
        <w:rPr>
          <w:rFonts w:ascii="Palatino Linotype" w:hAnsi="Palatino Linotype"/>
        </w:rPr>
        <w:t xml:space="preserve"> </w:t>
      </w:r>
      <w:r w:rsidR="00356043" w:rsidRPr="00632F23">
        <w:rPr>
          <w:rFonts w:ascii="Palatino Linotype" w:hAnsi="Palatino Linotype"/>
        </w:rPr>
        <w:t>a</w:t>
      </w:r>
      <w:r w:rsidRPr="00632F23">
        <w:rPr>
          <w:rFonts w:ascii="Palatino Linotype" w:hAnsi="Palatino Linotype"/>
        </w:rPr>
        <w:t xml:space="preserve">ccording to days. </w:t>
      </w:r>
      <w:r w:rsidR="006503E1" w:rsidRPr="00632F23">
        <w:rPr>
          <w:rFonts w:ascii="Palatino Linotype" w:hAnsi="Palatino Linotype"/>
        </w:rPr>
        <w:t>We obtained the time trend of CFR by calculating pooled estimates, fixed- and random- effect estimates from meta-analyses by the calendar date and by days since the first confirmed case</w:t>
      </w:r>
    </w:p>
    <w:p w:rsidR="006503E1" w:rsidRPr="00632F23" w:rsidRDefault="006503E1" w:rsidP="00632F23">
      <w:pPr>
        <w:spacing w:line="276" w:lineRule="auto"/>
        <w:rPr>
          <w:rFonts w:ascii="Palatino Linotype" w:eastAsia="Batang" w:hAnsi="Palatino Linotype"/>
          <w:b/>
          <w:sz w:val="22"/>
        </w:rPr>
      </w:pPr>
      <w:r w:rsidRPr="00632F23">
        <w:rPr>
          <w:rFonts w:ascii="Palatino Linotype" w:eastAsia="Batang" w:hAnsi="Palatino Linotype"/>
          <w:b/>
          <w:sz w:val="22"/>
        </w:rPr>
        <w:t>Figure 2. The trend of patients with COVID-19: (A) According to date and (B) According to days</w:t>
      </w:r>
    </w:p>
    <w:p w:rsidR="006503E1" w:rsidRPr="00632F23" w:rsidRDefault="00632F23" w:rsidP="003E5F8D">
      <w:pPr>
        <w:spacing w:after="160" w:line="259" w:lineRule="auto"/>
        <w:jc w:val="both"/>
        <w:rPr>
          <w:rFonts w:ascii="Palatino Linotype" w:eastAsia="Batang" w:hAnsi="Palatino Linotype"/>
          <w:b/>
          <w:sz w:val="22"/>
        </w:rPr>
      </w:pPr>
      <w:r>
        <w:rPr>
          <w:rFonts w:ascii="Palatino Linotype" w:eastAsia="Batang" w:hAnsi="Palatino Linotype"/>
          <w:b/>
          <w:sz w:val="22"/>
        </w:rPr>
        <w:t>(</w:t>
      </w:r>
      <w:r w:rsidR="006503E1" w:rsidRPr="00632F23">
        <w:rPr>
          <w:rFonts w:ascii="Palatino Linotype" w:eastAsia="Batang" w:hAnsi="Palatino Linotype"/>
          <w:b/>
          <w:sz w:val="22"/>
        </w:rPr>
        <w:t>A</w:t>
      </w:r>
      <w:r>
        <w:rPr>
          <w:rFonts w:ascii="Palatino Linotype" w:eastAsia="Batang" w:hAnsi="Palatino Linotype"/>
          <w:b/>
          <w:sz w:val="22"/>
        </w:rPr>
        <w:t>)</w:t>
      </w:r>
    </w:p>
    <w:p w:rsidR="006503E1" w:rsidRPr="00632F23" w:rsidRDefault="007E40A6" w:rsidP="006503E1">
      <w:pPr>
        <w:rPr>
          <w:rFonts w:ascii="Palatino Linotype" w:eastAsia="Batang" w:hAnsi="Palatino Linotype"/>
          <w:b/>
        </w:rPr>
      </w:pPr>
      <w:r>
        <w:rPr>
          <w:rFonts w:ascii="Palatino Linotype" w:hAnsi="Palatino Linotype"/>
          <w:noProof/>
          <w:lang w:val="en-GB" w:eastAsia="en-GB"/>
        </w:rPr>
        <w:drawing>
          <wp:inline distT="0" distB="0" distL="0" distR="0">
            <wp:extent cx="4352925" cy="4086225"/>
            <wp:effectExtent l="0" t="0" r="0" b="0"/>
            <wp:docPr id="4" name="Picture 4" descr="Figure 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52925" cy="4086225"/>
                    </a:xfrm>
                    <a:prstGeom prst="rect">
                      <a:avLst/>
                    </a:prstGeom>
                    <a:noFill/>
                    <a:ln>
                      <a:noFill/>
                    </a:ln>
                  </pic:spPr>
                </pic:pic>
              </a:graphicData>
            </a:graphic>
          </wp:inline>
        </w:drawing>
      </w:r>
    </w:p>
    <w:p w:rsidR="006503E1" w:rsidRPr="004930C3" w:rsidRDefault="00632F23" w:rsidP="006503E1">
      <w:pPr>
        <w:rPr>
          <w:rFonts w:ascii="Palatino Linotype" w:eastAsia="Malgun Gothic" w:hAnsi="Palatino Linotype" w:hint="eastAsia"/>
          <w:b/>
        </w:rPr>
      </w:pPr>
      <w:r>
        <w:rPr>
          <w:rFonts w:ascii="Palatino Linotype" w:eastAsia="Batang" w:hAnsi="Palatino Linotype"/>
          <w:b/>
        </w:rPr>
        <w:lastRenderedPageBreak/>
        <w:t>(</w:t>
      </w:r>
      <w:r w:rsidR="006503E1" w:rsidRPr="00632F23">
        <w:rPr>
          <w:rFonts w:ascii="Palatino Linotype" w:eastAsia="Batang" w:hAnsi="Palatino Linotype"/>
          <w:b/>
        </w:rPr>
        <w:t>B</w:t>
      </w:r>
      <w:r>
        <w:rPr>
          <w:rFonts w:ascii="Palatino Linotype" w:eastAsia="Batang" w:hAnsi="Palatino Linotype"/>
          <w:b/>
        </w:rPr>
        <w:t>)</w:t>
      </w:r>
      <w:r w:rsidR="003E5F8D" w:rsidRPr="003E5F8D">
        <w:rPr>
          <w:rFonts w:ascii="Palatino Linotype" w:hAnsi="Palatino Linotype"/>
          <w:noProof/>
          <w:lang w:eastAsia="ko-KR"/>
        </w:rPr>
        <w:t xml:space="preserve"> </w:t>
      </w:r>
      <w:r w:rsidR="007E40A6">
        <w:rPr>
          <w:rFonts w:ascii="Palatino Linotype" w:hAnsi="Palatino Linotype"/>
          <w:noProof/>
          <w:lang w:val="en-GB" w:eastAsia="en-GB"/>
        </w:rPr>
        <w:drawing>
          <wp:inline distT="0" distB="0" distL="0" distR="0">
            <wp:extent cx="4314825" cy="3686175"/>
            <wp:effectExtent l="0" t="0" r="0" b="0"/>
            <wp:docPr id="5" name="Picture 5" descr="Figure 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4825" cy="3686175"/>
                    </a:xfrm>
                    <a:prstGeom prst="rect">
                      <a:avLst/>
                    </a:prstGeom>
                    <a:noFill/>
                    <a:ln>
                      <a:noFill/>
                    </a:ln>
                  </pic:spPr>
                </pic:pic>
              </a:graphicData>
            </a:graphic>
          </wp:inline>
        </w:drawing>
      </w:r>
    </w:p>
    <w:p w:rsidR="00632F23" w:rsidRDefault="00D87FAD" w:rsidP="00D87FAD">
      <w:pPr>
        <w:spacing w:line="480" w:lineRule="auto"/>
        <w:ind w:firstLineChars="50" w:firstLine="80"/>
        <w:contextualSpacing/>
        <w:rPr>
          <w:rFonts w:ascii="Palatino Linotype" w:hAnsi="Palatino Linotype"/>
          <w:sz w:val="18"/>
        </w:rPr>
      </w:pPr>
      <w:r w:rsidRPr="00632F23">
        <w:rPr>
          <w:rFonts w:ascii="Palatino Linotype" w:hAnsi="Palatino Linotype"/>
          <w:sz w:val="16"/>
        </w:rPr>
        <w:tab/>
      </w:r>
      <w:r w:rsidRPr="00632F23">
        <w:rPr>
          <w:rFonts w:ascii="Palatino Linotype" w:hAnsi="Palatino Linotype"/>
          <w:sz w:val="16"/>
        </w:rPr>
        <w:tab/>
      </w:r>
      <w:r w:rsidRPr="00632F23">
        <w:rPr>
          <w:rFonts w:ascii="Palatino Linotype" w:hAnsi="Palatino Linotype"/>
          <w:sz w:val="16"/>
        </w:rPr>
        <w:tab/>
      </w:r>
    </w:p>
    <w:p w:rsidR="00D87FAD" w:rsidRDefault="00473C60" w:rsidP="00632F23">
      <w:pPr>
        <w:spacing w:line="480" w:lineRule="auto"/>
        <w:contextualSpacing/>
        <w:rPr>
          <w:rFonts w:ascii="Palatino Linotype" w:hAnsi="Palatino Linotype"/>
          <w:sz w:val="18"/>
        </w:rPr>
      </w:pPr>
      <w:r w:rsidRPr="00632F23">
        <w:rPr>
          <w:rFonts w:ascii="Palatino Linotype" w:hAnsi="Palatino Linotype"/>
          <w:sz w:val="18"/>
        </w:rPr>
        <w:t>COVID-19: Coronavirus 2019, CFR: case fatality rate, No.: number, fixed: fixed-effect model, pooled: calculated CFR based on incidence and mortality data</w:t>
      </w:r>
    </w:p>
    <w:p w:rsidR="00632F23" w:rsidRPr="00632F23" w:rsidRDefault="00632F23" w:rsidP="00632F23">
      <w:pPr>
        <w:spacing w:line="480" w:lineRule="auto"/>
        <w:contextualSpacing/>
        <w:rPr>
          <w:rFonts w:ascii="Palatino Linotype" w:hAnsi="Palatino Linotype"/>
        </w:rPr>
      </w:pPr>
    </w:p>
    <w:p w:rsidR="001928AA" w:rsidRDefault="00C637F9" w:rsidP="00DC6465">
      <w:pPr>
        <w:spacing w:line="480" w:lineRule="auto"/>
        <w:ind w:firstLineChars="50" w:firstLine="120"/>
        <w:contextualSpacing/>
        <w:jc w:val="both"/>
        <w:rPr>
          <w:rFonts w:ascii="Palatino Linotype" w:eastAsia="Malgun Gothic" w:hAnsi="Palatino Linotype" w:hint="eastAsia"/>
          <w:lang w:eastAsia="ko-KR"/>
        </w:rPr>
      </w:pPr>
      <w:r w:rsidRPr="00632F23">
        <w:rPr>
          <w:rFonts w:ascii="Palatino Linotype" w:hAnsi="Palatino Linotype"/>
        </w:rPr>
        <w:t xml:space="preserve">By comparing the figures that show the time trend of CFR stratified by </w:t>
      </w:r>
      <w:r w:rsidR="00931AB0" w:rsidRPr="00632F23">
        <w:rPr>
          <w:rFonts w:ascii="Palatino Linotype" w:hAnsi="Palatino Linotype"/>
        </w:rPr>
        <w:t xml:space="preserve">the </w:t>
      </w:r>
      <w:r w:rsidRPr="00632F23">
        <w:rPr>
          <w:rFonts w:ascii="Palatino Linotype" w:hAnsi="Palatino Linotype"/>
        </w:rPr>
        <w:t xml:space="preserve">two methods, it was visually observed that the CFRs calculated by each sorting method had different trends over time: Figure 1A (CFR stratified by </w:t>
      </w:r>
      <w:r w:rsidR="004F7182" w:rsidRPr="00632F23">
        <w:rPr>
          <w:rFonts w:ascii="Palatino Linotype" w:hAnsi="Palatino Linotype"/>
        </w:rPr>
        <w:t>calendar</w:t>
      </w:r>
      <w:r w:rsidRPr="00632F23">
        <w:rPr>
          <w:rFonts w:ascii="Palatino Linotype" w:hAnsi="Palatino Linotype"/>
        </w:rPr>
        <w:t xml:space="preserve"> date) vs. Figure 1B (CFR stratified by days since the first</w:t>
      </w:r>
      <w:r w:rsidR="00BC50D8">
        <w:rPr>
          <w:rFonts w:ascii="Palatino Linotype" w:eastAsia="Malgun Gothic" w:hAnsi="Palatino Linotype" w:hint="eastAsia"/>
          <w:lang w:eastAsia="ko-KR"/>
        </w:rPr>
        <w:t xml:space="preserve"> 100 </w:t>
      </w:r>
      <w:r w:rsidRPr="00632F23">
        <w:rPr>
          <w:rFonts w:ascii="Palatino Linotype" w:hAnsi="Palatino Linotype"/>
        </w:rPr>
        <w:t>confirmed case</w:t>
      </w:r>
      <w:r w:rsidR="00BC50D8">
        <w:rPr>
          <w:rFonts w:ascii="Palatino Linotype" w:eastAsia="Malgun Gothic" w:hAnsi="Palatino Linotype" w:hint="eastAsia"/>
          <w:lang w:eastAsia="ko-KR"/>
        </w:rPr>
        <w:t>s</w:t>
      </w:r>
      <w:r w:rsidRPr="00632F23">
        <w:rPr>
          <w:rFonts w:ascii="Palatino Linotype" w:hAnsi="Palatino Linotype"/>
        </w:rPr>
        <w:t>). In both figures, results from the random- and the fixed-effect model were almost identical; however, after they diverge, the fixed-effect model was similar to the pooled estimates while the random-effect model estimates were smaller.</w:t>
      </w:r>
      <w:r w:rsidR="004F7182" w:rsidRPr="00632F23">
        <w:rPr>
          <w:rFonts w:ascii="Palatino Linotype" w:hAnsi="Palatino Linotype"/>
        </w:rPr>
        <w:t xml:space="preserve"> </w:t>
      </w:r>
      <w:r w:rsidR="004F7182" w:rsidRPr="008824CF">
        <w:rPr>
          <w:rFonts w:ascii="Palatino Linotype" w:hAnsi="Palatino Linotype"/>
        </w:rPr>
        <w:t xml:space="preserve">One possible explanation for the fact that random CFR estimates were lower than </w:t>
      </w:r>
      <w:r w:rsidR="00951265" w:rsidRPr="008824CF">
        <w:rPr>
          <w:rFonts w:ascii="Palatino Linotype" w:hAnsi="Palatino Linotype"/>
        </w:rPr>
        <w:t xml:space="preserve">the </w:t>
      </w:r>
      <w:r w:rsidR="004F7182" w:rsidRPr="008824CF">
        <w:rPr>
          <w:rFonts w:ascii="Palatino Linotype" w:hAnsi="Palatino Linotype"/>
        </w:rPr>
        <w:t xml:space="preserve">fixed estimate is </w:t>
      </w:r>
      <w:r w:rsidR="000F7460" w:rsidRPr="008824CF">
        <w:rPr>
          <w:rFonts w:ascii="Palatino Linotype" w:hAnsi="Palatino Linotype"/>
        </w:rPr>
        <w:t xml:space="preserve">that </w:t>
      </w:r>
      <w:r w:rsidR="004F7182" w:rsidRPr="008824CF">
        <w:rPr>
          <w:rFonts w:ascii="Palatino Linotype" w:hAnsi="Palatino Linotype"/>
        </w:rPr>
        <w:t xml:space="preserve">less weight </w:t>
      </w:r>
      <w:r w:rsidR="000F7460" w:rsidRPr="008824CF">
        <w:rPr>
          <w:rFonts w:ascii="Palatino Linotype" w:hAnsi="Palatino Linotype"/>
        </w:rPr>
        <w:t>is given to</w:t>
      </w:r>
      <w:r w:rsidR="004F7182" w:rsidRPr="008824CF">
        <w:rPr>
          <w:rFonts w:ascii="Palatino Linotype" w:hAnsi="Palatino Linotype"/>
        </w:rPr>
        <w:t xml:space="preserve"> countries with </w:t>
      </w:r>
      <w:r w:rsidR="00951265" w:rsidRPr="008824CF">
        <w:rPr>
          <w:rFonts w:ascii="Palatino Linotype" w:hAnsi="Palatino Linotype"/>
        </w:rPr>
        <w:t xml:space="preserve">a </w:t>
      </w:r>
      <w:r w:rsidR="000F7460" w:rsidRPr="008824CF">
        <w:rPr>
          <w:rFonts w:ascii="Palatino Linotype" w:hAnsi="Palatino Linotype"/>
        </w:rPr>
        <w:t>small</w:t>
      </w:r>
      <w:r w:rsidR="004F7182" w:rsidRPr="008824CF">
        <w:rPr>
          <w:rFonts w:ascii="Palatino Linotype" w:hAnsi="Palatino Linotype"/>
        </w:rPr>
        <w:t xml:space="preserve"> number of </w:t>
      </w:r>
      <w:r w:rsidR="000F7460" w:rsidRPr="008824CF">
        <w:rPr>
          <w:rFonts w:ascii="Palatino Linotype" w:hAnsi="Palatino Linotype"/>
        </w:rPr>
        <w:t xml:space="preserve">confirmed </w:t>
      </w:r>
      <w:r w:rsidR="000F7460" w:rsidRPr="008824CF">
        <w:rPr>
          <w:rFonts w:ascii="Palatino Linotype" w:hAnsi="Palatino Linotype"/>
        </w:rPr>
        <w:lastRenderedPageBreak/>
        <w:t>cases</w:t>
      </w:r>
      <w:r w:rsidR="004F7182" w:rsidRPr="008824CF">
        <w:rPr>
          <w:rFonts w:ascii="Palatino Linotype" w:hAnsi="Palatino Linotype"/>
        </w:rPr>
        <w:t xml:space="preserve"> </w:t>
      </w:r>
      <w:r w:rsidR="000F7460" w:rsidRPr="008824CF">
        <w:rPr>
          <w:rFonts w:ascii="Palatino Linotype" w:hAnsi="Palatino Linotype"/>
        </w:rPr>
        <w:t xml:space="preserve">compared to countries with </w:t>
      </w:r>
      <w:r w:rsidR="00951265" w:rsidRPr="008824CF">
        <w:rPr>
          <w:rFonts w:ascii="Palatino Linotype" w:hAnsi="Palatino Linotype"/>
        </w:rPr>
        <w:t xml:space="preserve">a </w:t>
      </w:r>
      <w:r w:rsidR="000F7460" w:rsidRPr="008824CF">
        <w:rPr>
          <w:rFonts w:ascii="Palatino Linotype" w:hAnsi="Palatino Linotype"/>
        </w:rPr>
        <w:t>high</w:t>
      </w:r>
      <w:r w:rsidR="004F7182" w:rsidRPr="008824CF">
        <w:rPr>
          <w:rFonts w:ascii="Palatino Linotype" w:hAnsi="Palatino Linotype"/>
        </w:rPr>
        <w:t xml:space="preserve"> </w:t>
      </w:r>
      <w:r w:rsidR="000F7460" w:rsidRPr="008824CF">
        <w:rPr>
          <w:rFonts w:ascii="Palatino Linotype" w:hAnsi="Palatino Linotype"/>
        </w:rPr>
        <w:t>number of cases</w:t>
      </w:r>
      <w:r w:rsidR="004F7182" w:rsidRPr="008824CF">
        <w:rPr>
          <w:rFonts w:ascii="Palatino Linotype" w:hAnsi="Palatino Linotype"/>
        </w:rPr>
        <w:t>.</w:t>
      </w:r>
      <w:r w:rsidR="001A0F1B">
        <w:rPr>
          <w:rFonts w:ascii="Palatino Linotype" w:hAnsi="Palatino Linotype"/>
        </w:rPr>
        <w:t xml:space="preserve"> </w:t>
      </w:r>
      <w:r w:rsidR="00F0512A" w:rsidRPr="00F0512A">
        <w:rPr>
          <w:rFonts w:ascii="Palatino Linotype" w:hAnsi="Palatino Linotype"/>
        </w:rPr>
        <w:t>For example, in supplementary figure</w:t>
      </w:r>
      <w:r w:rsidR="001A0F1B">
        <w:rPr>
          <w:rFonts w:ascii="Palatino Linotype" w:hAnsi="Palatino Linotype"/>
        </w:rPr>
        <w:t>?</w:t>
      </w:r>
      <w:r w:rsidR="00F0512A" w:rsidRPr="00F0512A">
        <w:rPr>
          <w:rFonts w:ascii="Palatino Linotype" w:hAnsi="Palatino Linotype"/>
        </w:rPr>
        <w:t xml:space="preserve"> China has 81337 confirmed cases and 3254 deaths compared to Canada, with 846 confirmed cases and ten deaths</w:t>
      </w:r>
      <w:r w:rsidR="00F0512A">
        <w:rPr>
          <w:rFonts w:ascii="Palatino Linotype" w:hAnsi="Palatino Linotype"/>
        </w:rPr>
        <w:t>.</w:t>
      </w:r>
      <w:r w:rsidR="000F7460" w:rsidRPr="00632F23">
        <w:rPr>
          <w:rFonts w:ascii="Palatino Linotype" w:hAnsi="Palatino Linotype"/>
        </w:rPr>
        <w:t xml:space="preserve"> </w:t>
      </w:r>
    </w:p>
    <w:p w:rsidR="0025492B" w:rsidRPr="0025492B" w:rsidRDefault="0025492B" w:rsidP="0025492B">
      <w:pPr>
        <w:spacing w:line="480" w:lineRule="auto"/>
        <w:ind w:firstLineChars="50" w:firstLine="120"/>
        <w:contextualSpacing/>
        <w:jc w:val="both"/>
        <w:rPr>
          <w:rFonts w:ascii="Palatino Linotype" w:eastAsia="Malgun Gothic" w:hAnsi="Palatino Linotype"/>
          <w:lang w:eastAsia="ko-KR"/>
        </w:rPr>
      </w:pPr>
      <w:r>
        <w:rPr>
          <w:rFonts w:ascii="Palatino Linotype" w:eastAsia="Malgun Gothic" w:hAnsi="Palatino Linotype" w:hint="eastAsia"/>
          <w:lang w:eastAsia="ko-KR"/>
        </w:rPr>
        <w:t>**</w:t>
      </w:r>
      <w:r w:rsidRPr="0025492B">
        <w:rPr>
          <w:rFonts w:ascii="Palatino Linotype" w:eastAsia="Malgun Gothic" w:hAnsi="Palatino Linotype"/>
          <w:lang w:eastAsia="ko-KR"/>
        </w:rPr>
        <w:t xml:space="preserve">We focused on the distribution of fixed and random weights </w:t>
      </w:r>
      <w:r>
        <w:rPr>
          <w:rFonts w:ascii="Palatino Linotype" w:eastAsia="Malgun Gothic" w:hAnsi="Palatino Linotype" w:hint="eastAsia"/>
          <w:lang w:eastAsia="ko-KR"/>
        </w:rPr>
        <w:t xml:space="preserve">on </w:t>
      </w:r>
      <w:r w:rsidRPr="0025492B">
        <w:rPr>
          <w:rFonts w:ascii="Palatino Linotype" w:eastAsia="Malgun Gothic" w:hAnsi="Palatino Linotype"/>
          <w:lang w:eastAsia="ko-KR"/>
        </w:rPr>
        <w:t xml:space="preserve">analyzing the data </w:t>
      </w:r>
      <w:r>
        <w:rPr>
          <w:rFonts w:ascii="Palatino Linotype" w:eastAsia="Malgun Gothic" w:hAnsi="Palatino Linotype" w:hint="eastAsia"/>
          <w:lang w:eastAsia="ko-KR"/>
        </w:rPr>
        <w:t>from</w:t>
      </w:r>
      <w:r w:rsidRPr="0025492B">
        <w:rPr>
          <w:rFonts w:ascii="Palatino Linotype" w:eastAsia="Malgun Gothic" w:hAnsi="Palatino Linotype"/>
          <w:lang w:eastAsia="ko-KR"/>
        </w:rPr>
        <w:t xml:space="preserve"> April 24, 2020, where the difference between fixed and random effects was the largest. In the fixed estimate, as the number of confirmed cases increases, a weight that increases proportionally is given</w:t>
      </w:r>
      <w:r>
        <w:rPr>
          <w:rFonts w:ascii="Palatino Linotype" w:eastAsia="Malgun Gothic" w:hAnsi="Palatino Linotype" w:hint="eastAsia"/>
          <w:lang w:eastAsia="ko-KR"/>
        </w:rPr>
        <w:t xml:space="preserve"> (Figure 3A)</w:t>
      </w:r>
      <w:r w:rsidRPr="0025492B">
        <w:rPr>
          <w:rFonts w:ascii="Palatino Linotype" w:eastAsia="Malgun Gothic" w:hAnsi="Palatino Linotype"/>
          <w:lang w:eastAsia="ko-KR"/>
        </w:rPr>
        <w:t>. On the other hand, in the random estimates, all 63 countries with 1,981 confirmed cases or more</w:t>
      </w:r>
      <w:r>
        <w:rPr>
          <w:rFonts w:ascii="Palatino Linotype" w:eastAsia="Malgun Gothic" w:hAnsi="Palatino Linotype" w:hint="eastAsia"/>
          <w:lang w:eastAsia="ko-KR"/>
        </w:rPr>
        <w:t>,</w:t>
      </w:r>
      <w:r w:rsidRPr="0025492B">
        <w:rPr>
          <w:rFonts w:ascii="Palatino Linotype" w:eastAsia="Malgun Gothic" w:hAnsi="Palatino Linotype"/>
          <w:lang w:eastAsia="ko-KR"/>
        </w:rPr>
        <w:t xml:space="preserve"> out of 205 countries</w:t>
      </w:r>
      <w:r>
        <w:rPr>
          <w:rFonts w:ascii="Palatino Linotype" w:eastAsia="Malgun Gothic" w:hAnsi="Palatino Linotype" w:hint="eastAsia"/>
          <w:lang w:eastAsia="ko-KR"/>
        </w:rPr>
        <w:t>,</w:t>
      </w:r>
      <w:r w:rsidRPr="0025492B">
        <w:rPr>
          <w:rFonts w:ascii="Palatino Linotype" w:eastAsia="Malgun Gothic" w:hAnsi="Palatino Linotype"/>
          <w:lang w:eastAsia="ko-KR"/>
        </w:rPr>
        <w:t xml:space="preserve"> were given the same</w:t>
      </w:r>
      <w:r>
        <w:rPr>
          <w:rFonts w:ascii="Palatino Linotype" w:eastAsia="Malgun Gothic" w:hAnsi="Palatino Linotype" w:hint="eastAsia"/>
          <w:lang w:eastAsia="ko-KR"/>
        </w:rPr>
        <w:t xml:space="preserve"> highest</w:t>
      </w:r>
      <w:r w:rsidRPr="0025492B">
        <w:rPr>
          <w:rFonts w:ascii="Palatino Linotype" w:eastAsia="Malgun Gothic" w:hAnsi="Palatino Linotype"/>
          <w:lang w:eastAsia="ko-KR"/>
        </w:rPr>
        <w:t xml:space="preserve"> weight of 0.6%</w:t>
      </w:r>
      <w:r>
        <w:rPr>
          <w:rFonts w:ascii="Palatino Linotype" w:eastAsia="Malgun Gothic" w:hAnsi="Palatino Linotype" w:hint="eastAsia"/>
          <w:lang w:eastAsia="ko-KR"/>
        </w:rPr>
        <w:t xml:space="preserve"> (Figure 3B)</w:t>
      </w:r>
      <w:r w:rsidRPr="0025492B">
        <w:rPr>
          <w:rFonts w:ascii="Palatino Linotype" w:eastAsia="Malgun Gothic" w:hAnsi="Palatino Linotype"/>
          <w:lang w:eastAsia="ko-KR"/>
        </w:rPr>
        <w:t>.</w:t>
      </w:r>
    </w:p>
    <w:p w:rsidR="0025492B" w:rsidRPr="0025492B" w:rsidRDefault="0025492B" w:rsidP="0025492B">
      <w:pPr>
        <w:spacing w:line="480" w:lineRule="auto"/>
        <w:ind w:firstLineChars="50" w:firstLine="120"/>
        <w:contextualSpacing/>
        <w:jc w:val="both"/>
        <w:rPr>
          <w:rFonts w:ascii="Palatino Linotype" w:eastAsia="Malgun Gothic" w:hAnsi="Palatino Linotype"/>
          <w:lang w:eastAsia="ko-KR"/>
        </w:rPr>
      </w:pPr>
    </w:p>
    <w:p w:rsidR="001928AA" w:rsidRDefault="008E3229" w:rsidP="0025492B">
      <w:pPr>
        <w:spacing w:line="480" w:lineRule="auto"/>
        <w:ind w:firstLineChars="50" w:firstLine="120"/>
        <w:contextualSpacing/>
        <w:jc w:val="both"/>
        <w:rPr>
          <w:rFonts w:ascii="Palatino Linotype" w:eastAsia="Malgun Gothic" w:hAnsi="Palatino Linotype" w:hint="eastAsia"/>
          <w:lang w:eastAsia="ko-KR"/>
        </w:rPr>
      </w:pPr>
      <w:r>
        <w:rPr>
          <w:rFonts w:ascii="Palatino Linotype" w:eastAsia="Malgun Gothic" w:hAnsi="Palatino Linotype" w:hint="eastAsia"/>
          <w:lang w:eastAsia="ko-KR"/>
        </w:rPr>
        <w:t>**</w:t>
      </w:r>
      <w:r w:rsidR="0025492B">
        <w:rPr>
          <w:rFonts w:ascii="Palatino Linotype" w:eastAsia="Malgun Gothic" w:hAnsi="Palatino Linotype" w:hint="eastAsia"/>
          <w:lang w:eastAsia="ko-KR"/>
        </w:rPr>
        <w:t>W</w:t>
      </w:r>
      <w:r w:rsidR="0025492B" w:rsidRPr="0025492B">
        <w:rPr>
          <w:rFonts w:ascii="Palatino Linotype" w:eastAsia="Malgun Gothic" w:hAnsi="Palatino Linotype"/>
          <w:lang w:eastAsia="ko-KR"/>
        </w:rPr>
        <w:t xml:space="preserve">e analyzed the trend of CFR by placing the number of confirmed </w:t>
      </w:r>
      <w:r w:rsidR="0025492B">
        <w:rPr>
          <w:rFonts w:ascii="Palatino Linotype" w:eastAsia="Malgun Gothic" w:hAnsi="Palatino Linotype"/>
          <w:lang w:eastAsia="ko-KR"/>
        </w:rPr>
        <w:t>cases on the x-axis</w:t>
      </w:r>
      <w:r w:rsidR="0025492B">
        <w:rPr>
          <w:rFonts w:ascii="Palatino Linotype" w:eastAsia="Malgun Gothic" w:hAnsi="Palatino Linotype" w:hint="eastAsia"/>
          <w:lang w:eastAsia="ko-KR"/>
        </w:rPr>
        <w:t xml:space="preserve"> </w:t>
      </w:r>
      <w:r w:rsidR="0025492B" w:rsidRPr="0025492B">
        <w:rPr>
          <w:rFonts w:ascii="Palatino Linotype" w:eastAsia="Malgun Gothic" w:hAnsi="Palatino Linotype"/>
          <w:lang w:eastAsia="ko-KR"/>
        </w:rPr>
        <w:t>in Figure 2</w:t>
      </w:r>
      <w:r w:rsidR="00E903E4">
        <w:rPr>
          <w:rFonts w:ascii="Palatino Linotype" w:eastAsia="Malgun Gothic" w:hAnsi="Palatino Linotype" w:hint="eastAsia"/>
          <w:lang w:eastAsia="ko-KR"/>
        </w:rPr>
        <w:t>A</w:t>
      </w:r>
      <w:r w:rsidR="0025492B">
        <w:rPr>
          <w:rFonts w:ascii="Palatino Linotype" w:eastAsia="Malgun Gothic" w:hAnsi="Palatino Linotype" w:hint="eastAsia"/>
          <w:lang w:eastAsia="ko-KR"/>
        </w:rPr>
        <w:t>. There</w:t>
      </w:r>
      <w:r w:rsidR="0025492B" w:rsidRPr="0025492B">
        <w:rPr>
          <w:rFonts w:ascii="Palatino Linotype" w:eastAsia="Malgun Gothic" w:hAnsi="Palatino Linotype"/>
          <w:lang w:eastAsia="ko-KR"/>
        </w:rPr>
        <w:t xml:space="preserve"> are two contrasting </w:t>
      </w:r>
      <w:r w:rsidR="0025492B">
        <w:rPr>
          <w:rFonts w:ascii="Palatino Linotype" w:eastAsia="Malgun Gothic" w:hAnsi="Palatino Linotype" w:hint="eastAsia"/>
          <w:lang w:eastAsia="ko-KR"/>
        </w:rPr>
        <w:t>phases</w:t>
      </w:r>
      <w:r w:rsidR="0025492B" w:rsidRPr="0025492B">
        <w:rPr>
          <w:rFonts w:ascii="Palatino Linotype" w:eastAsia="Malgun Gothic" w:hAnsi="Palatino Linotype"/>
          <w:lang w:eastAsia="ko-KR"/>
        </w:rPr>
        <w:t xml:space="preserve">, </w:t>
      </w:r>
      <w:r w:rsidR="00E903E4">
        <w:rPr>
          <w:rFonts w:ascii="Palatino Linotype" w:eastAsia="Malgun Gothic" w:hAnsi="Palatino Linotype" w:hint="eastAsia"/>
          <w:lang w:eastAsia="ko-KR"/>
        </w:rPr>
        <w:t xml:space="preserve">one of those </w:t>
      </w:r>
      <w:r w:rsidR="0025492B" w:rsidRPr="0025492B">
        <w:rPr>
          <w:rFonts w:ascii="Palatino Linotype" w:eastAsia="Malgun Gothic" w:hAnsi="Palatino Linotype"/>
          <w:lang w:eastAsia="ko-KR"/>
        </w:rPr>
        <w:t xml:space="preserve">is, the </w:t>
      </w:r>
      <w:r w:rsidR="0025492B">
        <w:rPr>
          <w:rFonts w:ascii="Palatino Linotype" w:eastAsia="Malgun Gothic" w:hAnsi="Palatino Linotype" w:hint="eastAsia"/>
          <w:lang w:eastAsia="ko-KR"/>
        </w:rPr>
        <w:t xml:space="preserve">earlier phase (phase 2) </w:t>
      </w:r>
      <w:r w:rsidR="0025492B" w:rsidRPr="0025492B">
        <w:rPr>
          <w:rFonts w:ascii="Palatino Linotype" w:eastAsia="Malgun Gothic" w:hAnsi="Palatino Linotype"/>
          <w:lang w:eastAsia="ko-KR"/>
        </w:rPr>
        <w:t xml:space="preserve">in which the pooled and fixed </w:t>
      </w:r>
      <w:r w:rsidR="0025492B">
        <w:rPr>
          <w:rFonts w:ascii="Palatino Linotype" w:eastAsia="Malgun Gothic" w:hAnsi="Palatino Linotype" w:hint="eastAsia"/>
          <w:lang w:eastAsia="ko-KR"/>
        </w:rPr>
        <w:t xml:space="preserve">estimates </w:t>
      </w:r>
      <w:r w:rsidR="0025492B" w:rsidRPr="0025492B">
        <w:rPr>
          <w:rFonts w:ascii="Palatino Linotype" w:eastAsia="Malgun Gothic" w:hAnsi="Palatino Linotype"/>
          <w:lang w:eastAsia="ko-KR"/>
        </w:rPr>
        <w:t xml:space="preserve">rapidly increase </w:t>
      </w:r>
      <w:r w:rsidR="0025492B">
        <w:rPr>
          <w:rFonts w:ascii="Palatino Linotype" w:eastAsia="Malgun Gothic" w:hAnsi="Palatino Linotype" w:hint="eastAsia"/>
          <w:lang w:eastAsia="ko-KR"/>
        </w:rPr>
        <w:t>until the</w:t>
      </w:r>
      <w:r w:rsidR="0025492B" w:rsidRPr="0025492B">
        <w:rPr>
          <w:rFonts w:ascii="Palatino Linotype" w:eastAsia="Malgun Gothic" w:hAnsi="Palatino Linotype"/>
          <w:lang w:eastAsia="ko-KR"/>
        </w:rPr>
        <w:t xml:space="preserve"> number of cases </w:t>
      </w:r>
      <w:r w:rsidR="0025492B">
        <w:rPr>
          <w:rFonts w:ascii="Palatino Linotype" w:eastAsia="Malgun Gothic" w:hAnsi="Palatino Linotype" w:hint="eastAsia"/>
          <w:lang w:eastAsia="ko-KR"/>
        </w:rPr>
        <w:t>reaches</w:t>
      </w:r>
      <w:r w:rsidR="0025492B" w:rsidRPr="0025492B">
        <w:rPr>
          <w:rFonts w:ascii="Palatino Linotype" w:eastAsia="Malgun Gothic" w:hAnsi="Palatino Linotype"/>
          <w:lang w:eastAsia="ko-KR"/>
        </w:rPr>
        <w:t xml:space="preserve"> </w:t>
      </w:r>
      <w:r w:rsidR="0025492B">
        <w:rPr>
          <w:rFonts w:ascii="Palatino Linotype" w:eastAsia="Malgun Gothic" w:hAnsi="Palatino Linotype" w:hint="eastAsia"/>
          <w:lang w:eastAsia="ko-KR"/>
        </w:rPr>
        <w:t xml:space="preserve">2,198,764. </w:t>
      </w:r>
      <w:r w:rsidR="0025492B" w:rsidRPr="0025492B">
        <w:rPr>
          <w:rFonts w:ascii="Palatino Linotype" w:eastAsia="Malgun Gothic" w:hAnsi="Palatino Linotype"/>
          <w:lang w:eastAsia="ko-KR"/>
        </w:rPr>
        <w:t xml:space="preserve">After that, </w:t>
      </w:r>
      <w:r w:rsidR="0025492B">
        <w:rPr>
          <w:rFonts w:ascii="Palatino Linotype" w:eastAsia="Malgun Gothic" w:hAnsi="Palatino Linotype" w:hint="eastAsia"/>
          <w:lang w:eastAsia="ko-KR"/>
        </w:rPr>
        <w:t>when</w:t>
      </w:r>
      <w:r w:rsidR="0025492B" w:rsidRPr="0025492B">
        <w:rPr>
          <w:rFonts w:ascii="Palatino Linotype" w:eastAsia="Malgun Gothic" w:hAnsi="Palatino Linotype"/>
          <w:lang w:eastAsia="ko-KR"/>
        </w:rPr>
        <w:t xml:space="preserve"> the number of cases exceeds </w:t>
      </w:r>
      <w:r w:rsidR="0025492B">
        <w:rPr>
          <w:rFonts w:ascii="Palatino Linotype" w:eastAsia="Malgun Gothic" w:hAnsi="Palatino Linotype" w:hint="eastAsia"/>
          <w:lang w:eastAsia="ko-KR"/>
        </w:rPr>
        <w:t>3,130,785,</w:t>
      </w:r>
      <w:r w:rsidR="0025492B" w:rsidRPr="0025492B">
        <w:rPr>
          <w:rFonts w:ascii="Palatino Linotype" w:eastAsia="Malgun Gothic" w:hAnsi="Palatino Linotype"/>
          <w:lang w:eastAsia="ko-KR"/>
        </w:rPr>
        <w:t xml:space="preserve"> </w:t>
      </w:r>
      <w:r w:rsidR="0025492B">
        <w:rPr>
          <w:rFonts w:ascii="Palatino Linotype" w:eastAsia="Malgun Gothic" w:hAnsi="Palatino Linotype" w:hint="eastAsia"/>
          <w:lang w:eastAsia="ko-KR"/>
        </w:rPr>
        <w:t xml:space="preserve">the later phase (phase 4) </w:t>
      </w:r>
      <w:r w:rsidR="0025492B" w:rsidRPr="0025492B">
        <w:rPr>
          <w:rFonts w:ascii="Palatino Linotype" w:eastAsia="Malgun Gothic" w:hAnsi="Palatino Linotype"/>
          <w:lang w:eastAsia="ko-KR"/>
        </w:rPr>
        <w:t xml:space="preserve">in which the pooled and fixed </w:t>
      </w:r>
      <w:r w:rsidR="00E903E4">
        <w:rPr>
          <w:rFonts w:ascii="Palatino Linotype" w:eastAsia="Malgun Gothic" w:hAnsi="Palatino Linotype" w:hint="eastAsia"/>
          <w:lang w:eastAsia="ko-KR"/>
        </w:rPr>
        <w:t xml:space="preserve">estimates </w:t>
      </w:r>
      <w:r w:rsidR="0025492B" w:rsidRPr="0025492B">
        <w:rPr>
          <w:rFonts w:ascii="Palatino Linotype" w:eastAsia="Malgun Gothic" w:hAnsi="Palatino Linotype"/>
          <w:lang w:eastAsia="ko-KR"/>
        </w:rPr>
        <w:t xml:space="preserve">gradually decrease in the form of a </w:t>
      </w:r>
      <w:r w:rsidR="00E903E4">
        <w:rPr>
          <w:rFonts w:ascii="Palatino Linotype" w:eastAsia="Malgun Gothic" w:hAnsi="Palatino Linotype" w:hint="eastAsia"/>
          <w:lang w:eastAsia="ko-KR"/>
        </w:rPr>
        <w:t>l</w:t>
      </w:r>
      <w:r w:rsidR="00E903E4" w:rsidRPr="00E903E4">
        <w:rPr>
          <w:rFonts w:ascii="Palatino Linotype" w:eastAsia="Malgun Gothic" w:hAnsi="Palatino Linotype"/>
          <w:lang w:eastAsia="ko-KR"/>
        </w:rPr>
        <w:t>ogarithmic function</w:t>
      </w:r>
      <w:r w:rsidR="00E903E4">
        <w:rPr>
          <w:rFonts w:ascii="Palatino Linotype" w:eastAsia="Malgun Gothic" w:hAnsi="Palatino Linotype" w:hint="eastAsia"/>
          <w:lang w:eastAsia="ko-KR"/>
        </w:rPr>
        <w:t xml:space="preserve"> appears</w:t>
      </w:r>
      <w:r w:rsidR="0025492B" w:rsidRPr="0025492B">
        <w:rPr>
          <w:rFonts w:ascii="Palatino Linotype" w:eastAsia="Malgun Gothic" w:hAnsi="Palatino Linotype"/>
          <w:lang w:eastAsia="ko-KR"/>
        </w:rPr>
        <w:t>.</w:t>
      </w:r>
      <w:r w:rsidR="00E903E4">
        <w:rPr>
          <w:rFonts w:ascii="Palatino Linotype" w:eastAsia="Malgun Gothic" w:hAnsi="Palatino Linotype" w:hint="eastAsia"/>
          <w:lang w:eastAsia="ko-KR"/>
        </w:rPr>
        <w:t xml:space="preserve"> Besides, t</w:t>
      </w:r>
      <w:r w:rsidR="00E903E4" w:rsidRPr="00E903E4">
        <w:rPr>
          <w:rFonts w:ascii="Palatino Linotype" w:eastAsia="Malgun Gothic" w:hAnsi="Palatino Linotype"/>
          <w:lang w:eastAsia="ko-KR"/>
        </w:rPr>
        <w:t>he initial phase</w:t>
      </w:r>
      <w:r w:rsidR="00E903E4">
        <w:rPr>
          <w:rFonts w:ascii="Palatino Linotype" w:eastAsia="Malgun Gothic" w:hAnsi="Palatino Linotype" w:hint="eastAsia"/>
          <w:lang w:eastAsia="ko-KR"/>
        </w:rPr>
        <w:t xml:space="preserve"> (phase 1)</w:t>
      </w:r>
      <w:r w:rsidR="00E903E4" w:rsidRPr="00E903E4">
        <w:rPr>
          <w:rFonts w:ascii="Palatino Linotype" w:eastAsia="Malgun Gothic" w:hAnsi="Palatino Linotype"/>
          <w:lang w:eastAsia="ko-KR"/>
        </w:rPr>
        <w:t xml:space="preserve"> </w:t>
      </w:r>
      <w:r w:rsidR="00E903E4">
        <w:rPr>
          <w:rFonts w:ascii="Palatino Linotype" w:eastAsia="Malgun Gothic" w:hAnsi="Palatino Linotype" w:hint="eastAsia"/>
          <w:lang w:eastAsia="ko-KR"/>
        </w:rPr>
        <w:t>with lack of</w:t>
      </w:r>
      <w:r w:rsidR="00E903E4" w:rsidRPr="00E903E4">
        <w:rPr>
          <w:rFonts w:ascii="Palatino Linotype" w:eastAsia="Malgun Gothic" w:hAnsi="Palatino Linotype"/>
          <w:lang w:eastAsia="ko-KR"/>
        </w:rPr>
        <w:t xml:space="preserve"> regularity and </w:t>
      </w:r>
      <w:r w:rsidR="00E903E4">
        <w:rPr>
          <w:rFonts w:ascii="Palatino Linotype" w:eastAsia="Malgun Gothic" w:hAnsi="Palatino Linotype" w:hint="eastAsia"/>
          <w:lang w:eastAsia="ko-KR"/>
        </w:rPr>
        <w:t xml:space="preserve">a short </w:t>
      </w:r>
      <w:r w:rsidR="00E903E4" w:rsidRPr="00E903E4">
        <w:rPr>
          <w:rFonts w:ascii="Palatino Linotype" w:eastAsia="Malgun Gothic" w:hAnsi="Palatino Linotype"/>
          <w:lang w:eastAsia="ko-KR"/>
        </w:rPr>
        <w:t>plate</w:t>
      </w:r>
      <w:r w:rsidR="00E903E4">
        <w:rPr>
          <w:rFonts w:ascii="Palatino Linotype" w:eastAsia="Malgun Gothic" w:hAnsi="Palatino Linotype" w:hint="eastAsia"/>
          <w:lang w:eastAsia="ko-KR"/>
        </w:rPr>
        <w:t>a</w:t>
      </w:r>
      <w:r w:rsidR="00E903E4" w:rsidRPr="00E903E4">
        <w:rPr>
          <w:rFonts w:ascii="Palatino Linotype" w:eastAsia="Malgun Gothic" w:hAnsi="Palatino Linotype"/>
          <w:lang w:eastAsia="ko-KR"/>
        </w:rPr>
        <w:t>u phase</w:t>
      </w:r>
      <w:r w:rsidR="00E903E4">
        <w:rPr>
          <w:rFonts w:ascii="Palatino Linotype" w:eastAsia="Malgun Gothic" w:hAnsi="Palatino Linotype" w:hint="eastAsia"/>
          <w:lang w:eastAsia="ko-KR"/>
        </w:rPr>
        <w:t xml:space="preserve"> (phase 3) are also observed. </w:t>
      </w:r>
      <w:r w:rsidR="0025492B" w:rsidRPr="0025492B">
        <w:rPr>
          <w:rFonts w:ascii="Palatino Linotype" w:eastAsia="Malgun Gothic" w:hAnsi="Palatino Linotype"/>
          <w:lang w:eastAsia="ko-KR"/>
        </w:rPr>
        <w:t>A similar trend appears in the analysis according to the number of days from the date of the first confirmed case in each country (figure 2B), but in this figure, the length of the plate</w:t>
      </w:r>
      <w:r w:rsidR="00E903E4">
        <w:rPr>
          <w:rFonts w:ascii="Palatino Linotype" w:eastAsia="Malgun Gothic" w:hAnsi="Palatino Linotype" w:hint="eastAsia"/>
          <w:lang w:eastAsia="ko-KR"/>
        </w:rPr>
        <w:t>a</w:t>
      </w:r>
      <w:r w:rsidR="0025492B" w:rsidRPr="0025492B">
        <w:rPr>
          <w:rFonts w:ascii="Palatino Linotype" w:eastAsia="Malgun Gothic" w:hAnsi="Palatino Linotype"/>
          <w:lang w:eastAsia="ko-KR"/>
        </w:rPr>
        <w:t>u phase between the two contrasting phase</w:t>
      </w:r>
      <w:r w:rsidR="00E903E4">
        <w:rPr>
          <w:rFonts w:ascii="Palatino Linotype" w:eastAsia="Malgun Gothic" w:hAnsi="Palatino Linotype" w:hint="eastAsia"/>
          <w:lang w:eastAsia="ko-KR"/>
        </w:rPr>
        <w:t xml:space="preserve"> 2 and 4</w:t>
      </w:r>
      <w:r w:rsidR="0025492B" w:rsidRPr="0025492B">
        <w:rPr>
          <w:rFonts w:ascii="Palatino Linotype" w:eastAsia="Malgun Gothic" w:hAnsi="Palatino Linotype"/>
          <w:lang w:eastAsia="ko-KR"/>
        </w:rPr>
        <w:t xml:space="preserve"> is longer than that of </w:t>
      </w:r>
      <w:r w:rsidR="00E903E4">
        <w:rPr>
          <w:rFonts w:ascii="Palatino Linotype" w:eastAsia="Malgun Gothic" w:hAnsi="Palatino Linotype" w:hint="eastAsia"/>
          <w:lang w:eastAsia="ko-KR"/>
        </w:rPr>
        <w:t xml:space="preserve">figure </w:t>
      </w:r>
      <w:r w:rsidR="0025492B" w:rsidRPr="0025492B">
        <w:rPr>
          <w:rFonts w:ascii="Palatino Linotype" w:eastAsia="Malgun Gothic" w:hAnsi="Palatino Linotype"/>
          <w:lang w:eastAsia="ko-KR"/>
        </w:rPr>
        <w:t>2A.</w:t>
      </w:r>
      <w:r w:rsidR="00E903E4">
        <w:rPr>
          <w:rFonts w:ascii="Palatino Linotype" w:eastAsia="Malgun Gothic" w:hAnsi="Palatino Linotype" w:hint="eastAsia"/>
          <w:lang w:eastAsia="ko-KR"/>
        </w:rPr>
        <w:t xml:space="preserve"> </w:t>
      </w:r>
      <w:r w:rsidR="00C7603B" w:rsidRPr="00C7603B">
        <w:rPr>
          <w:rFonts w:ascii="Palatino Linotype" w:eastAsia="Malgun Gothic" w:hAnsi="Palatino Linotype"/>
          <w:lang w:eastAsia="ko-KR"/>
        </w:rPr>
        <w:t xml:space="preserve">Using </w:t>
      </w:r>
      <w:r w:rsidR="00C7603B">
        <w:rPr>
          <w:rFonts w:ascii="Palatino Linotype" w:eastAsia="Malgun Gothic" w:hAnsi="Palatino Linotype" w:hint="eastAsia"/>
          <w:lang w:eastAsia="ko-KR"/>
        </w:rPr>
        <w:t xml:space="preserve">the </w:t>
      </w:r>
      <w:r w:rsidR="00C7603B" w:rsidRPr="00C7603B">
        <w:rPr>
          <w:rFonts w:ascii="Palatino Linotype" w:eastAsia="Malgun Gothic" w:hAnsi="Palatino Linotype"/>
          <w:lang w:eastAsia="ko-KR"/>
        </w:rPr>
        <w:t xml:space="preserve">regression </w:t>
      </w:r>
      <w:r w:rsidR="00C7603B">
        <w:rPr>
          <w:rFonts w:ascii="Palatino Linotype" w:eastAsia="Malgun Gothic" w:hAnsi="Palatino Linotype"/>
          <w:lang w:eastAsia="ko-KR"/>
        </w:rPr>
        <w:t xml:space="preserve">equation </w:t>
      </w:r>
      <w:r w:rsidR="00C7603B">
        <w:rPr>
          <w:rFonts w:ascii="Palatino Linotype" w:eastAsia="Malgun Gothic" w:hAnsi="Palatino Linotype" w:hint="eastAsia"/>
          <w:lang w:eastAsia="ko-KR"/>
        </w:rPr>
        <w:t xml:space="preserve">for phase 4 </w:t>
      </w:r>
      <w:r w:rsidR="00C7603B">
        <w:rPr>
          <w:rFonts w:ascii="Palatino Linotype" w:eastAsia="Malgun Gothic" w:hAnsi="Palatino Linotype"/>
          <w:lang w:eastAsia="ko-KR"/>
        </w:rPr>
        <w:t xml:space="preserve">obtained in </w:t>
      </w:r>
      <w:r w:rsidR="00C7603B" w:rsidRPr="00C7603B">
        <w:rPr>
          <w:rFonts w:ascii="Palatino Linotype" w:eastAsia="Malgun Gothic" w:hAnsi="Palatino Linotype"/>
          <w:lang w:eastAsia="ko-KR"/>
        </w:rPr>
        <w:lastRenderedPageBreak/>
        <w:t>Figure 2</w:t>
      </w:r>
      <w:r w:rsidR="00C7603B">
        <w:rPr>
          <w:rFonts w:ascii="Palatino Linotype" w:eastAsia="Malgun Gothic" w:hAnsi="Palatino Linotype" w:hint="eastAsia"/>
          <w:lang w:eastAsia="ko-KR"/>
        </w:rPr>
        <w:t>B</w:t>
      </w:r>
      <w:r w:rsidR="00C7603B" w:rsidRPr="00C7603B">
        <w:rPr>
          <w:rFonts w:ascii="Palatino Linotype" w:eastAsia="Malgun Gothic" w:hAnsi="Palatino Linotype"/>
          <w:lang w:eastAsia="ko-KR"/>
        </w:rPr>
        <w:t xml:space="preserve">, even if the number of confirmed cases increases significantly </w:t>
      </w:r>
      <w:r w:rsidR="00C7603B">
        <w:rPr>
          <w:rFonts w:ascii="Palatino Linotype" w:eastAsia="Malgun Gothic" w:hAnsi="Palatino Linotype" w:hint="eastAsia"/>
          <w:lang w:eastAsia="ko-KR"/>
        </w:rPr>
        <w:t>up</w:t>
      </w:r>
      <w:r w:rsidR="00C7603B" w:rsidRPr="00C7603B">
        <w:rPr>
          <w:rFonts w:ascii="Palatino Linotype" w:eastAsia="Malgun Gothic" w:hAnsi="Palatino Linotype"/>
          <w:lang w:eastAsia="ko-KR"/>
        </w:rPr>
        <w:t xml:space="preserve">to </w:t>
      </w:r>
      <w:r w:rsidR="00C7603B">
        <w:rPr>
          <w:rFonts w:ascii="Palatino Linotype" w:eastAsia="Malgun Gothic" w:hAnsi="Palatino Linotype" w:hint="eastAsia"/>
          <w:lang w:eastAsia="ko-KR"/>
        </w:rPr>
        <w:t>30 milions</w:t>
      </w:r>
      <w:r w:rsidR="00C7603B" w:rsidRPr="00C7603B">
        <w:rPr>
          <w:rFonts w:ascii="Palatino Linotype" w:eastAsia="Malgun Gothic" w:hAnsi="Palatino Linotype"/>
          <w:lang w:eastAsia="ko-KR"/>
        </w:rPr>
        <w:t xml:space="preserve">, the </w:t>
      </w:r>
      <w:r w:rsidR="00C7603B">
        <w:rPr>
          <w:rFonts w:ascii="Palatino Linotype" w:eastAsia="Malgun Gothic" w:hAnsi="Palatino Linotype" w:hint="eastAsia"/>
          <w:lang w:eastAsia="ko-KR"/>
        </w:rPr>
        <w:t>fixed estimate CFR is expecte</w:t>
      </w:r>
      <w:r w:rsidR="00C7603B" w:rsidRPr="00C7603B">
        <w:rPr>
          <w:rFonts w:ascii="Palatino Linotype" w:eastAsia="Malgun Gothic" w:hAnsi="Palatino Linotype"/>
          <w:lang w:eastAsia="ko-KR"/>
        </w:rPr>
        <w:t>d to remain at 2.7%.</w:t>
      </w:r>
    </w:p>
    <w:p w:rsidR="008E3229" w:rsidRDefault="008E3229" w:rsidP="0025492B">
      <w:pPr>
        <w:spacing w:line="480" w:lineRule="auto"/>
        <w:ind w:firstLineChars="50" w:firstLine="120"/>
        <w:contextualSpacing/>
        <w:jc w:val="both"/>
        <w:rPr>
          <w:rFonts w:ascii="Palatino Linotype" w:eastAsia="Malgun Gothic" w:hAnsi="Palatino Linotype" w:hint="eastAsia"/>
          <w:lang w:eastAsia="ko-KR"/>
        </w:rPr>
      </w:pPr>
    </w:p>
    <w:p w:rsidR="00DC6465" w:rsidRDefault="008E3229" w:rsidP="00DC6465">
      <w:pPr>
        <w:spacing w:line="480" w:lineRule="auto"/>
        <w:ind w:firstLineChars="50" w:firstLine="120"/>
        <w:contextualSpacing/>
        <w:jc w:val="both"/>
        <w:rPr>
          <w:rFonts w:ascii="Palatino Linotype" w:hAnsi="Palatino Linotype"/>
        </w:rPr>
      </w:pPr>
      <w:r>
        <w:rPr>
          <w:rFonts w:ascii="Palatino Linotype" w:eastAsia="Malgun Gothic" w:hAnsi="Palatino Linotype" w:hint="eastAsia"/>
          <w:lang w:eastAsia="ko-KR"/>
        </w:rPr>
        <w:t>**</w:t>
      </w:r>
      <w:r w:rsidRPr="008E3229">
        <w:rPr>
          <w:rFonts w:ascii="Palatino Linotype" w:eastAsia="Malgun Gothic" w:hAnsi="Palatino Linotype"/>
          <w:lang w:eastAsia="ko-KR"/>
        </w:rPr>
        <w:t>For countries with more than 100 confirmed cases, the trend of CFR according to the day se</w:t>
      </w:r>
      <w:r w:rsidR="005C5C1E">
        <w:rPr>
          <w:rFonts w:ascii="Palatino Linotype" w:eastAsia="Malgun Gothic" w:hAnsi="Palatino Linotype"/>
          <w:lang w:eastAsia="ko-KR"/>
        </w:rPr>
        <w:t xml:space="preserve">t based on the day of </w:t>
      </w:r>
      <w:r w:rsidR="005C5C1E">
        <w:rPr>
          <w:rFonts w:ascii="Palatino Linotype" w:eastAsia="Malgun Gothic" w:hAnsi="Palatino Linotype" w:hint="eastAsia"/>
          <w:lang w:eastAsia="ko-KR"/>
        </w:rPr>
        <w:t xml:space="preserve">first </w:t>
      </w:r>
      <w:r w:rsidRPr="008E3229">
        <w:rPr>
          <w:rFonts w:ascii="Palatino Linotype" w:eastAsia="Malgun Gothic" w:hAnsi="Palatino Linotype"/>
          <w:lang w:eastAsia="ko-KR"/>
        </w:rPr>
        <w:t xml:space="preserve">100 cases is depicted in figure 1B. </w:t>
      </w:r>
      <w:r w:rsidR="005C5C1E" w:rsidRPr="005C5C1E">
        <w:rPr>
          <w:rFonts w:ascii="Palatino Linotype" w:eastAsia="Malgun Gothic" w:hAnsi="Palatino Linotype"/>
          <w:lang w:eastAsia="ko-KR"/>
        </w:rPr>
        <w:t>Similar to Figure 1A, the initial phase</w:t>
      </w:r>
      <w:r w:rsidR="005C5C1E">
        <w:rPr>
          <w:rFonts w:ascii="Palatino Linotype" w:eastAsia="Malgun Gothic" w:hAnsi="Palatino Linotype" w:hint="eastAsia"/>
          <w:lang w:eastAsia="ko-KR"/>
        </w:rPr>
        <w:t xml:space="preserve"> (phase 1)</w:t>
      </w:r>
      <w:r w:rsidR="005C5C1E" w:rsidRPr="005C5C1E">
        <w:rPr>
          <w:rFonts w:ascii="Palatino Linotype" w:eastAsia="Malgun Gothic" w:hAnsi="Palatino Linotype"/>
          <w:lang w:eastAsia="ko-KR"/>
        </w:rPr>
        <w:t xml:space="preserve">, </w:t>
      </w:r>
      <w:r w:rsidR="005C5C1E">
        <w:rPr>
          <w:rFonts w:ascii="Palatino Linotype" w:eastAsia="Malgun Gothic" w:hAnsi="Palatino Linotype" w:hint="eastAsia"/>
          <w:lang w:eastAsia="ko-KR"/>
        </w:rPr>
        <w:t xml:space="preserve">phase 2 in which </w:t>
      </w:r>
      <w:r w:rsidR="005C5C1E" w:rsidRPr="005C5C1E">
        <w:rPr>
          <w:rFonts w:ascii="Palatino Linotype" w:eastAsia="Malgun Gothic" w:hAnsi="Palatino Linotype"/>
          <w:lang w:eastAsia="ko-KR"/>
        </w:rPr>
        <w:t xml:space="preserve">pooled and fixed </w:t>
      </w:r>
      <w:r w:rsidR="005C5C1E">
        <w:rPr>
          <w:rFonts w:ascii="Palatino Linotype" w:eastAsia="Malgun Gothic" w:hAnsi="Palatino Linotype" w:hint="eastAsia"/>
          <w:lang w:eastAsia="ko-KR"/>
        </w:rPr>
        <w:t xml:space="preserve">estimates </w:t>
      </w:r>
      <w:r w:rsidR="005C5C1E">
        <w:rPr>
          <w:rFonts w:ascii="Palatino Linotype" w:eastAsia="Malgun Gothic" w:hAnsi="Palatino Linotype"/>
          <w:lang w:eastAsia="ko-KR"/>
        </w:rPr>
        <w:t>increase rapidly</w:t>
      </w:r>
      <w:r w:rsidR="005C5C1E" w:rsidRPr="005C5C1E">
        <w:rPr>
          <w:rFonts w:ascii="Palatino Linotype" w:eastAsia="Malgun Gothic" w:hAnsi="Palatino Linotype"/>
          <w:lang w:eastAsia="ko-KR"/>
        </w:rPr>
        <w:t xml:space="preserve"> and the random </w:t>
      </w:r>
      <w:r w:rsidR="005C5C1E">
        <w:rPr>
          <w:rFonts w:ascii="Palatino Linotype" w:eastAsia="Malgun Gothic" w:hAnsi="Palatino Linotype" w:hint="eastAsia"/>
          <w:lang w:eastAsia="ko-KR"/>
        </w:rPr>
        <w:t>estimates inc</w:t>
      </w:r>
      <w:r w:rsidR="005C5C1E">
        <w:rPr>
          <w:rFonts w:ascii="Palatino Linotype" w:eastAsia="Malgun Gothic" w:hAnsi="Palatino Linotype"/>
          <w:lang w:eastAsia="ko-KR"/>
        </w:rPr>
        <w:t>rease</w:t>
      </w:r>
      <w:r w:rsidR="005C5C1E">
        <w:rPr>
          <w:rFonts w:ascii="Palatino Linotype" w:eastAsia="Malgun Gothic" w:hAnsi="Palatino Linotype" w:hint="eastAsia"/>
          <w:lang w:eastAsia="ko-KR"/>
        </w:rPr>
        <w:t xml:space="preserve"> slowly</w:t>
      </w:r>
      <w:r w:rsidR="005C5C1E" w:rsidRPr="005C5C1E">
        <w:rPr>
          <w:rFonts w:ascii="Palatino Linotype" w:eastAsia="Malgun Gothic" w:hAnsi="Palatino Linotype"/>
          <w:lang w:eastAsia="ko-KR"/>
        </w:rPr>
        <w:t xml:space="preserve">, </w:t>
      </w:r>
      <w:r w:rsidR="005C5C1E">
        <w:rPr>
          <w:rFonts w:ascii="Palatino Linotype" w:eastAsia="Malgun Gothic" w:hAnsi="Palatino Linotype" w:hint="eastAsia"/>
          <w:lang w:eastAsia="ko-KR"/>
        </w:rPr>
        <w:t xml:space="preserve">phase 3A where </w:t>
      </w:r>
      <w:r w:rsidR="005C5C1E" w:rsidRPr="005C5C1E">
        <w:rPr>
          <w:rFonts w:ascii="Palatino Linotype" w:eastAsia="Malgun Gothic" w:hAnsi="Palatino Linotype"/>
          <w:lang w:eastAsia="ko-KR"/>
        </w:rPr>
        <w:t xml:space="preserve">pooled and fixed </w:t>
      </w:r>
      <w:r w:rsidR="005C5C1E">
        <w:rPr>
          <w:rFonts w:ascii="Palatino Linotype" w:eastAsia="Malgun Gothic" w:hAnsi="Palatino Linotype" w:hint="eastAsia"/>
          <w:lang w:eastAsia="ko-KR"/>
        </w:rPr>
        <w:t>estimates remain high</w:t>
      </w:r>
      <w:r w:rsidR="005C5C1E" w:rsidRPr="005C5C1E">
        <w:rPr>
          <w:rFonts w:ascii="Palatino Linotype" w:eastAsia="Malgun Gothic" w:hAnsi="Palatino Linotype"/>
          <w:lang w:eastAsia="ko-KR"/>
        </w:rPr>
        <w:t xml:space="preserve">, </w:t>
      </w:r>
      <w:r w:rsidR="005C5C1E">
        <w:rPr>
          <w:rFonts w:ascii="Palatino Linotype" w:eastAsia="Malgun Gothic" w:hAnsi="Palatino Linotype" w:hint="eastAsia"/>
          <w:lang w:eastAsia="ko-KR"/>
        </w:rPr>
        <w:t xml:space="preserve">and phase 3B in which </w:t>
      </w:r>
      <w:r w:rsidR="005C5C1E" w:rsidRPr="005C5C1E">
        <w:rPr>
          <w:rFonts w:ascii="Palatino Linotype" w:eastAsia="Malgun Gothic" w:hAnsi="Palatino Linotype"/>
          <w:lang w:eastAsia="ko-KR"/>
        </w:rPr>
        <w:t>the pooled and fixed</w:t>
      </w:r>
      <w:r w:rsidR="005C5C1E">
        <w:rPr>
          <w:rFonts w:ascii="Palatino Linotype" w:eastAsia="Malgun Gothic" w:hAnsi="Palatino Linotype" w:hint="eastAsia"/>
          <w:lang w:eastAsia="ko-KR"/>
        </w:rPr>
        <w:t xml:space="preserve"> estimates</w:t>
      </w:r>
      <w:r w:rsidR="005C5C1E" w:rsidRPr="005C5C1E">
        <w:rPr>
          <w:rFonts w:ascii="Palatino Linotype" w:eastAsia="Malgun Gothic" w:hAnsi="Palatino Linotype"/>
          <w:lang w:eastAsia="ko-KR"/>
        </w:rPr>
        <w:t xml:space="preserve"> gradually decrease</w:t>
      </w:r>
      <w:r w:rsidR="005C5C1E">
        <w:rPr>
          <w:rFonts w:ascii="Palatino Linotype" w:eastAsia="Malgun Gothic" w:hAnsi="Palatino Linotype" w:hint="eastAsia"/>
          <w:lang w:eastAsia="ko-KR"/>
        </w:rPr>
        <w:t xml:space="preserve">. There is also </w:t>
      </w:r>
      <w:r w:rsidR="007E31BE">
        <w:rPr>
          <w:rFonts w:ascii="Palatino Linotype" w:eastAsia="Malgun Gothic" w:hAnsi="Palatino Linotype"/>
          <w:lang w:eastAsia="ko-KR"/>
        </w:rPr>
        <w:t>“</w:t>
      </w:r>
      <w:r w:rsidR="007E31BE">
        <w:rPr>
          <w:rFonts w:ascii="Palatino Linotype" w:eastAsia="Malgun Gothic" w:hAnsi="Palatino Linotype" w:hint="eastAsia"/>
          <w:lang w:eastAsia="ko-KR"/>
        </w:rPr>
        <w:t xml:space="preserve">the </w:t>
      </w:r>
      <w:r w:rsidR="007E31BE" w:rsidRPr="005C5C1E">
        <w:rPr>
          <w:rFonts w:ascii="Palatino Linotype" w:eastAsia="Malgun Gothic" w:hAnsi="Palatino Linotype"/>
          <w:lang w:eastAsia="ko-KR"/>
        </w:rPr>
        <w:t>unreliable phase</w:t>
      </w:r>
      <w:r w:rsidR="007E31BE">
        <w:rPr>
          <w:rFonts w:ascii="Palatino Linotype" w:eastAsia="Malgun Gothic" w:hAnsi="Palatino Linotype"/>
          <w:lang w:eastAsia="ko-KR"/>
        </w:rPr>
        <w:t>”</w:t>
      </w:r>
      <w:r w:rsidR="007E31BE">
        <w:rPr>
          <w:rFonts w:ascii="Palatino Linotype" w:eastAsia="Malgun Gothic" w:hAnsi="Palatino Linotype" w:hint="eastAsia"/>
          <w:lang w:eastAsia="ko-KR"/>
        </w:rPr>
        <w:t xml:space="preserve"> where </w:t>
      </w:r>
      <w:r w:rsidR="007E31BE" w:rsidRPr="005C5C1E">
        <w:rPr>
          <w:rFonts w:ascii="Palatino Linotype" w:eastAsia="Malgun Gothic" w:hAnsi="Palatino Linotype"/>
          <w:lang w:eastAsia="ko-KR"/>
        </w:rPr>
        <w:t>the countries that have been enrolled late</w:t>
      </w:r>
      <w:r w:rsidR="007E31BE">
        <w:rPr>
          <w:rFonts w:ascii="Palatino Linotype" w:eastAsia="Malgun Gothic" w:hAnsi="Palatino Linotype" w:hint="eastAsia"/>
          <w:lang w:eastAsia="ko-KR"/>
        </w:rPr>
        <w:t>r</w:t>
      </w:r>
      <w:r w:rsidR="007E31BE" w:rsidRPr="005C5C1E">
        <w:rPr>
          <w:rFonts w:ascii="Palatino Linotype" w:eastAsia="Malgun Gothic" w:hAnsi="Palatino Linotype"/>
          <w:lang w:eastAsia="ko-KR"/>
        </w:rPr>
        <w:t xml:space="preserve"> are dropping out</w:t>
      </w:r>
      <w:r w:rsidR="007E31BE">
        <w:rPr>
          <w:rFonts w:ascii="Palatino Linotype" w:eastAsia="Malgun Gothic" w:hAnsi="Palatino Linotype" w:hint="eastAsia"/>
          <w:lang w:eastAsia="ko-KR"/>
        </w:rPr>
        <w:t xml:space="preserve"> as the day gets longer</w:t>
      </w:r>
      <w:r w:rsidR="007E31BE" w:rsidRPr="005C5C1E">
        <w:rPr>
          <w:rFonts w:ascii="Palatino Linotype" w:eastAsia="Malgun Gothic" w:hAnsi="Palatino Linotype"/>
          <w:lang w:eastAsia="ko-KR"/>
        </w:rPr>
        <w:t>,</w:t>
      </w:r>
      <w:r w:rsidR="005C5C1E" w:rsidRPr="005C5C1E">
        <w:rPr>
          <w:rFonts w:ascii="Palatino Linotype" w:eastAsia="Malgun Gothic" w:hAnsi="Palatino Linotype"/>
          <w:lang w:eastAsia="ko-KR"/>
        </w:rPr>
        <w:t xml:space="preserve"> making it difficult to interpret. It should be noted that during phases 3A and 3B, the random </w:t>
      </w:r>
      <w:r w:rsidR="007E31BE">
        <w:rPr>
          <w:rFonts w:ascii="Palatino Linotype" w:eastAsia="Malgun Gothic" w:hAnsi="Palatino Linotype" w:hint="eastAsia"/>
          <w:lang w:eastAsia="ko-KR"/>
        </w:rPr>
        <w:t xml:space="preserve">estimates </w:t>
      </w:r>
      <w:r w:rsidR="005C5C1E" w:rsidRPr="005C5C1E">
        <w:rPr>
          <w:rFonts w:ascii="Palatino Linotype" w:eastAsia="Malgun Gothic" w:hAnsi="Palatino Linotype"/>
          <w:lang w:eastAsia="ko-KR"/>
        </w:rPr>
        <w:t xml:space="preserve">remains constant, slightly below 3%. When we analyzed this data </w:t>
      </w:r>
      <w:r w:rsidR="007E31BE">
        <w:rPr>
          <w:rFonts w:ascii="Palatino Linotype" w:eastAsia="Malgun Gothic" w:hAnsi="Palatino Linotype" w:hint="eastAsia"/>
          <w:lang w:eastAsia="ko-KR"/>
        </w:rPr>
        <w:t>in</w:t>
      </w:r>
      <w:r w:rsidR="005C5C1E" w:rsidRPr="005C5C1E">
        <w:rPr>
          <w:rFonts w:ascii="Palatino Linotype" w:eastAsia="Malgun Gothic" w:hAnsi="Palatino Linotype"/>
          <w:lang w:eastAsia="ko-KR"/>
        </w:rPr>
        <w:t xml:space="preserve"> May,</w:t>
      </w:r>
      <w:r w:rsidR="007E31BE">
        <w:rPr>
          <w:rFonts w:ascii="Palatino Linotype" w:eastAsia="Malgun Gothic" w:hAnsi="Palatino Linotype" w:hint="eastAsia"/>
          <w:lang w:eastAsia="ko-KR"/>
        </w:rPr>
        <w:t xml:space="preserve"> 2020,</w:t>
      </w:r>
      <w:r w:rsidR="005C5C1E" w:rsidRPr="005C5C1E">
        <w:rPr>
          <w:rFonts w:ascii="Palatino Linotype" w:eastAsia="Malgun Gothic" w:hAnsi="Palatino Linotype"/>
          <w:lang w:eastAsia="ko-KR"/>
        </w:rPr>
        <w:t xml:space="preserve"> we could </w:t>
      </w:r>
      <w:r w:rsidR="007E31BE">
        <w:rPr>
          <w:rFonts w:ascii="Palatino Linotype" w:eastAsia="Malgun Gothic" w:hAnsi="Palatino Linotype" w:hint="eastAsia"/>
          <w:lang w:eastAsia="ko-KR"/>
        </w:rPr>
        <w:t>not see treands</w:t>
      </w:r>
      <w:r w:rsidR="005C5C1E" w:rsidRPr="005C5C1E">
        <w:rPr>
          <w:rFonts w:ascii="Palatino Linotype" w:eastAsia="Malgun Gothic" w:hAnsi="Palatino Linotype"/>
          <w:lang w:eastAsia="ko-KR"/>
        </w:rPr>
        <w:t xml:space="preserve"> </w:t>
      </w:r>
      <w:r w:rsidR="007E31BE">
        <w:rPr>
          <w:rFonts w:ascii="Palatino Linotype" w:eastAsia="Malgun Gothic" w:hAnsi="Palatino Linotype" w:hint="eastAsia"/>
          <w:lang w:eastAsia="ko-KR"/>
        </w:rPr>
        <w:t xml:space="preserve">after </w:t>
      </w:r>
      <w:r w:rsidR="007E31BE">
        <w:rPr>
          <w:rFonts w:ascii="Palatino Linotype" w:eastAsia="Malgun Gothic" w:hAnsi="Palatino Linotype"/>
          <w:lang w:eastAsia="ko-KR"/>
        </w:rPr>
        <w:t>phase 3A</w:t>
      </w:r>
      <w:r w:rsidR="007E31BE">
        <w:rPr>
          <w:rFonts w:ascii="Palatino Linotype" w:eastAsia="Malgun Gothic" w:hAnsi="Palatino Linotype" w:hint="eastAsia"/>
          <w:lang w:eastAsia="ko-KR"/>
        </w:rPr>
        <w:t xml:space="preserve">. </w:t>
      </w:r>
      <w:r w:rsidR="007E31BE" w:rsidRPr="007E31BE">
        <w:rPr>
          <w:rFonts w:ascii="Palatino Linotype" w:eastAsia="Malgun Gothic" w:hAnsi="Palatino Linotype"/>
          <w:lang w:eastAsia="ko-KR"/>
        </w:rPr>
        <w:t xml:space="preserve">From the point of view at </w:t>
      </w:r>
      <w:r w:rsidR="007E31BE">
        <w:rPr>
          <w:rFonts w:ascii="Palatino Linotype" w:eastAsia="Malgun Gothic" w:hAnsi="Palatino Linotype" w:hint="eastAsia"/>
          <w:lang w:eastAsia="ko-KR"/>
        </w:rPr>
        <w:t>that</w:t>
      </w:r>
      <w:r w:rsidR="007E31BE" w:rsidRPr="007E31BE">
        <w:rPr>
          <w:rFonts w:ascii="Palatino Linotype" w:eastAsia="Malgun Gothic" w:hAnsi="Palatino Linotype"/>
          <w:lang w:eastAsia="ko-KR"/>
        </w:rPr>
        <w:t xml:space="preserve"> time, pooled and fixed </w:t>
      </w:r>
      <w:r w:rsidR="007E31BE">
        <w:rPr>
          <w:rFonts w:ascii="Palatino Linotype" w:eastAsia="Malgun Gothic" w:hAnsi="Palatino Linotype" w:hint="eastAsia"/>
          <w:lang w:eastAsia="ko-KR"/>
        </w:rPr>
        <w:t xml:space="preserve">estimates </w:t>
      </w:r>
      <w:r w:rsidR="007E31BE" w:rsidRPr="007E31BE">
        <w:rPr>
          <w:rFonts w:ascii="Palatino Linotype" w:eastAsia="Malgun Gothic" w:hAnsi="Palatino Linotype"/>
          <w:lang w:eastAsia="ko-KR"/>
        </w:rPr>
        <w:t>tended to be quite similar, while random estimates were taken as far apart. As the data until August</w:t>
      </w:r>
      <w:r w:rsidR="007E31BE">
        <w:rPr>
          <w:rFonts w:ascii="Palatino Linotype" w:eastAsia="Malgun Gothic" w:hAnsi="Palatino Linotype" w:hint="eastAsia"/>
          <w:lang w:eastAsia="ko-KR"/>
        </w:rPr>
        <w:t xml:space="preserve"> 12, 2020</w:t>
      </w:r>
      <w:r w:rsidR="007E31BE" w:rsidRPr="007E31BE">
        <w:rPr>
          <w:rFonts w:ascii="Palatino Linotype" w:eastAsia="Malgun Gothic" w:hAnsi="Palatino Linotype"/>
          <w:lang w:eastAsia="ko-KR"/>
        </w:rPr>
        <w:t xml:space="preserve"> was updated, a long phase 3B appeared, and the pooled and fixed </w:t>
      </w:r>
      <w:r w:rsidR="007E31BE">
        <w:rPr>
          <w:rFonts w:ascii="Palatino Linotype" w:eastAsia="Malgun Gothic" w:hAnsi="Palatino Linotype" w:hint="eastAsia"/>
          <w:lang w:eastAsia="ko-KR"/>
        </w:rPr>
        <w:t xml:space="preserve">estimates </w:t>
      </w:r>
      <w:r w:rsidR="007E31BE" w:rsidRPr="007E31BE">
        <w:rPr>
          <w:rFonts w:ascii="Palatino Linotype" w:eastAsia="Malgun Gothic" w:hAnsi="Palatino Linotype"/>
          <w:lang w:eastAsia="ko-KR"/>
        </w:rPr>
        <w:t xml:space="preserve">at the end of phase 3B became more similar to </w:t>
      </w:r>
      <w:r w:rsidR="007E31BE">
        <w:rPr>
          <w:rFonts w:ascii="Palatino Linotype" w:eastAsia="Malgun Gothic" w:hAnsi="Palatino Linotype" w:hint="eastAsia"/>
          <w:lang w:eastAsia="ko-KR"/>
        </w:rPr>
        <w:t>the</w:t>
      </w:r>
      <w:r w:rsidR="007E31BE" w:rsidRPr="007E31BE">
        <w:rPr>
          <w:rFonts w:ascii="Palatino Linotype" w:eastAsia="Malgun Gothic" w:hAnsi="Palatino Linotype"/>
          <w:lang w:eastAsia="ko-KR"/>
        </w:rPr>
        <w:t xml:space="preserve"> random</w:t>
      </w:r>
      <w:r w:rsidR="007E31BE">
        <w:rPr>
          <w:rFonts w:ascii="Palatino Linotype" w:eastAsia="Malgun Gothic" w:hAnsi="Palatino Linotype" w:hint="eastAsia"/>
          <w:lang w:eastAsia="ko-KR"/>
        </w:rPr>
        <w:t xml:space="preserve"> estimates</w:t>
      </w:r>
      <w:r w:rsidR="007E31BE" w:rsidRPr="007E31BE">
        <w:rPr>
          <w:rFonts w:ascii="Palatino Linotype" w:eastAsia="Malgun Gothic" w:hAnsi="Palatino Linotype"/>
          <w:lang w:eastAsia="ko-KR"/>
        </w:rPr>
        <w:t>,</w:t>
      </w:r>
      <w:r w:rsidR="007E31BE">
        <w:rPr>
          <w:rFonts w:ascii="Palatino Linotype" w:eastAsia="Malgun Gothic" w:hAnsi="Palatino Linotype" w:hint="eastAsia"/>
          <w:lang w:eastAsia="ko-KR"/>
        </w:rPr>
        <w:t xml:space="preserve"> which had been constant for a long period of time, </w:t>
      </w:r>
      <w:r w:rsidR="007E31BE" w:rsidRPr="007E31BE">
        <w:rPr>
          <w:rFonts w:ascii="Palatino Linotype" w:eastAsia="Malgun Gothic" w:hAnsi="Palatino Linotype"/>
          <w:lang w:eastAsia="ko-KR"/>
        </w:rPr>
        <w:t>narrowing the gap considerably. In this analysis, I</w:t>
      </w:r>
      <w:r w:rsidR="007E31BE" w:rsidRPr="004930C3">
        <w:rPr>
          <w:rFonts w:ascii="Palatino Linotype" w:eastAsia="Malgun Gothic" w:hAnsi="Palatino Linotype"/>
          <w:vertAlign w:val="superscript"/>
          <w:lang w:eastAsia="ko-KR"/>
        </w:rPr>
        <w:t>2</w:t>
      </w:r>
      <w:r w:rsidR="007E31BE" w:rsidRPr="007E31BE">
        <w:rPr>
          <w:rFonts w:ascii="Palatino Linotype" w:eastAsia="Malgun Gothic" w:hAnsi="Palatino Linotype"/>
          <w:lang w:eastAsia="ko-KR"/>
        </w:rPr>
        <w:t xml:space="preserve"> is more than 70% over the entire period from day 1 to day 174, suggesting that the random estimate is more reliable.</w:t>
      </w:r>
      <w:r w:rsidR="003652A1" w:rsidRPr="00354D1C">
        <w:rPr>
          <w:rFonts w:ascii="Palatino Linotype" w:hAnsi="Palatino Linotype"/>
          <w:color w:val="000000"/>
        </w:rPr>
        <w:t xml:space="preserve">Namely, </w:t>
      </w:r>
      <w:r w:rsidR="00B35CF6" w:rsidRPr="00354D1C">
        <w:rPr>
          <w:rFonts w:ascii="Palatino Linotype" w:hAnsi="Palatino Linotype"/>
          <w:color w:val="000000"/>
        </w:rPr>
        <w:t>a higher</w:t>
      </w:r>
      <w:r w:rsidR="003652A1" w:rsidRPr="00354D1C">
        <w:rPr>
          <w:rFonts w:ascii="Palatino Linotype" w:hAnsi="Palatino Linotype"/>
          <w:color w:val="000000"/>
        </w:rPr>
        <w:t xml:space="preserve"> weight is given to countries with a large number of confirmed cases in the random estimate</w:t>
      </w:r>
      <w:r w:rsidR="00B35CF6" w:rsidRPr="00354D1C">
        <w:rPr>
          <w:rFonts w:ascii="Palatino Linotype" w:hAnsi="Palatino Linotype"/>
          <w:color w:val="000000"/>
        </w:rPr>
        <w:t>. On the other hand,</w:t>
      </w:r>
      <w:r w:rsidR="003652A1" w:rsidRPr="00354D1C">
        <w:rPr>
          <w:rFonts w:ascii="Palatino Linotype" w:hAnsi="Palatino Linotype"/>
          <w:color w:val="000000"/>
        </w:rPr>
        <w:t xml:space="preserve"> l</w:t>
      </w:r>
      <w:r w:rsidR="00B35CF6" w:rsidRPr="00354D1C">
        <w:rPr>
          <w:rFonts w:ascii="Palatino Linotype" w:hAnsi="Palatino Linotype"/>
          <w:color w:val="000000"/>
        </w:rPr>
        <w:t>ower</w:t>
      </w:r>
      <w:r w:rsidR="003652A1" w:rsidRPr="00354D1C">
        <w:rPr>
          <w:rFonts w:ascii="Palatino Linotype" w:hAnsi="Palatino Linotype"/>
          <w:color w:val="000000"/>
        </w:rPr>
        <w:t xml:space="preserve"> weight </w:t>
      </w:r>
      <w:r w:rsidR="00B35CF6" w:rsidRPr="00354D1C">
        <w:rPr>
          <w:rFonts w:ascii="Palatino Linotype" w:hAnsi="Palatino Linotype"/>
          <w:color w:val="000000"/>
        </w:rPr>
        <w:t xml:space="preserve">is given </w:t>
      </w:r>
      <w:r w:rsidR="003652A1" w:rsidRPr="00354D1C">
        <w:rPr>
          <w:rFonts w:ascii="Palatino Linotype" w:hAnsi="Palatino Linotype"/>
          <w:color w:val="000000"/>
        </w:rPr>
        <w:lastRenderedPageBreak/>
        <w:t xml:space="preserve">to countries with a low number of cases in the </w:t>
      </w:r>
      <w:r w:rsidR="003652A1" w:rsidRPr="00632F23">
        <w:rPr>
          <w:rFonts w:ascii="Palatino Linotype" w:hAnsi="Palatino Linotype"/>
        </w:rPr>
        <w:t>fixed estimate</w:t>
      </w:r>
      <w:r w:rsidR="005F77C6" w:rsidRPr="00632F23">
        <w:rPr>
          <w:rFonts w:ascii="Palatino Linotype" w:hAnsi="Palatino Linotype"/>
        </w:rPr>
        <w:t xml:space="preserve"> </w:t>
      </w:r>
      <w:r w:rsidR="00E91303" w:rsidRPr="00632F23">
        <w:rPr>
          <w:rFonts w:ascii="Palatino Linotype" w:hAnsi="Palatino Linotype"/>
        </w:rPr>
        <w:t>(</w:t>
      </w:r>
      <w:r w:rsidR="005F77C6" w:rsidRPr="00632F23">
        <w:rPr>
          <w:rFonts w:ascii="Palatino Linotype" w:hAnsi="Palatino Linotype"/>
        </w:rPr>
        <w:t>Figure 3</w:t>
      </w:r>
      <w:r w:rsidR="00E91303" w:rsidRPr="00632F23">
        <w:rPr>
          <w:rFonts w:ascii="Palatino Linotype" w:hAnsi="Palatino Linotype"/>
        </w:rPr>
        <w:t>A and 3B</w:t>
      </w:r>
      <w:r w:rsidR="005F77C6" w:rsidRPr="00632F23">
        <w:rPr>
          <w:rFonts w:ascii="Palatino Linotype" w:hAnsi="Palatino Linotype"/>
        </w:rPr>
        <w:t>)</w:t>
      </w:r>
      <w:r w:rsidR="003652A1" w:rsidRPr="00632F23">
        <w:rPr>
          <w:rFonts w:ascii="Palatino Linotype" w:hAnsi="Palatino Linotype"/>
        </w:rPr>
        <w:t>.</w:t>
      </w:r>
      <w:r w:rsidR="00DC6465" w:rsidRPr="00DC6465">
        <w:t xml:space="preserve"> </w:t>
      </w:r>
      <w:r w:rsidR="00DC6465" w:rsidRPr="00DC6465">
        <w:rPr>
          <w:rFonts w:ascii="Palatino Linotype" w:hAnsi="Palatino Linotype"/>
        </w:rPr>
        <w:t>The data of the in figure 3 shows only 50 countries. These were the only countries included because these matched the minimum number of confirmed cases, which was set at 10,000 cases. The COVID-19 is still unfolding. The pandemic did not affect all countries homogenously, and this manifested itself in the individuality of the numbers and analysis of each countries. Since March, the cases have kept increasing and COVID-19, and more countries probably have reached the 10,000 cut off to be included in this analysis. Thus, future studies should be able to analyze a larger number of countries and validate further our findings and observations</w:t>
      </w:r>
      <w:r w:rsidR="00DC6465">
        <w:rPr>
          <w:rFonts w:ascii="Palatino Linotype" w:hAnsi="Palatino Linotype"/>
        </w:rPr>
        <w:t>.</w:t>
      </w:r>
      <w:r w:rsidR="00DC6465" w:rsidRPr="00DC6465">
        <w:rPr>
          <w:rFonts w:ascii="Palatino Linotype" w:hAnsi="Palatino Linotype"/>
        </w:rPr>
        <w:t xml:space="preserve"> Extrapolating from our previous results, the CFR we choose March 20, 2020 as a cutoff date, because this date would guarantee a relative homogeneity of the data analyzed. We observed that most of the countries would have entered the observed “second phase” of the pandemic. That is following March 20, 2020, the fixed and random meta-analysis are divergent for all countries and their weight-adjustment would be guarantee consistency of the observed outcomes</w:t>
      </w:r>
      <w:r w:rsidR="00DC6465">
        <w:rPr>
          <w:rFonts w:ascii="Palatino Linotype" w:hAnsi="Palatino Linotype"/>
        </w:rPr>
        <w:t>.</w:t>
      </w:r>
    </w:p>
    <w:p w:rsidR="00DC6465" w:rsidRDefault="00DC6465" w:rsidP="00DC6465">
      <w:pPr>
        <w:spacing w:line="480" w:lineRule="auto"/>
        <w:ind w:firstLineChars="50" w:firstLine="120"/>
        <w:contextualSpacing/>
        <w:jc w:val="both"/>
        <w:rPr>
          <w:rFonts w:ascii="Palatino Linotype" w:hAnsi="Palatino Linotype"/>
        </w:rPr>
      </w:pPr>
    </w:p>
    <w:p w:rsidR="00397F61" w:rsidRPr="00632F23" w:rsidRDefault="00397F61" w:rsidP="004930C3">
      <w:pPr>
        <w:spacing w:line="480" w:lineRule="auto"/>
        <w:ind w:firstLineChars="50" w:firstLine="110"/>
        <w:contextualSpacing/>
        <w:jc w:val="both"/>
        <w:rPr>
          <w:rFonts w:ascii="Palatino Linotype" w:eastAsia="Batang" w:hAnsi="Palatino Linotype"/>
          <w:b/>
          <w:sz w:val="22"/>
        </w:rPr>
      </w:pPr>
      <w:r w:rsidRPr="00632F23">
        <w:rPr>
          <w:rFonts w:ascii="Palatino Linotype" w:eastAsia="Batang" w:hAnsi="Palatino Linotype"/>
          <w:b/>
          <w:sz w:val="22"/>
        </w:rPr>
        <w:t>Figure 3. Differences in weight between (A) Random and (B) Fixed meta-analyses to the number of patients at one point as an example (</w:t>
      </w:r>
      <w:r w:rsidR="00B7755B">
        <w:rPr>
          <w:rFonts w:ascii="Palatino Linotype" w:eastAsia="Batang" w:hAnsi="Palatino Linotype" w:hint="eastAsia"/>
          <w:b/>
          <w:sz w:val="22"/>
          <w:lang w:eastAsia="ko-KR"/>
        </w:rPr>
        <w:t xml:space="preserve">205 </w:t>
      </w:r>
      <w:r w:rsidRPr="00632F23">
        <w:rPr>
          <w:rFonts w:ascii="Palatino Linotype" w:eastAsia="Batang" w:hAnsi="Palatino Linotype"/>
          <w:b/>
          <w:sz w:val="22"/>
        </w:rPr>
        <w:t xml:space="preserve">countries, </w:t>
      </w:r>
      <w:r w:rsidR="00FB3F59" w:rsidRPr="004930C3">
        <w:rPr>
          <w:rFonts w:ascii="Palatino Linotype" w:eastAsia="Batang" w:hAnsi="Palatino Linotype" w:hint="eastAsia"/>
          <w:b/>
          <w:color w:val="00B0F0"/>
          <w:sz w:val="22"/>
          <w:lang w:eastAsia="ko-KR"/>
        </w:rPr>
        <w:t>April</w:t>
      </w:r>
      <w:r w:rsidRPr="004930C3">
        <w:rPr>
          <w:rFonts w:ascii="Palatino Linotype" w:eastAsia="Batang" w:hAnsi="Palatino Linotype"/>
          <w:b/>
          <w:color w:val="00B0F0"/>
          <w:sz w:val="22"/>
        </w:rPr>
        <w:t xml:space="preserve"> </w:t>
      </w:r>
      <w:r w:rsidR="00FB3F59" w:rsidRPr="004930C3">
        <w:rPr>
          <w:rFonts w:ascii="Palatino Linotype" w:eastAsia="Batang" w:hAnsi="Palatino Linotype" w:hint="eastAsia"/>
          <w:b/>
          <w:color w:val="00B0F0"/>
          <w:sz w:val="22"/>
          <w:lang w:eastAsia="ko-KR"/>
        </w:rPr>
        <w:t>24</w:t>
      </w:r>
      <w:r w:rsidRPr="004930C3">
        <w:rPr>
          <w:rFonts w:ascii="Palatino Linotype" w:eastAsia="Batang" w:hAnsi="Palatino Linotype"/>
          <w:b/>
          <w:color w:val="00B0F0"/>
          <w:sz w:val="22"/>
        </w:rPr>
        <w:t>, 2020</w:t>
      </w:r>
      <w:r w:rsidRPr="00632F23">
        <w:rPr>
          <w:rFonts w:ascii="Palatino Linotype" w:eastAsia="Batang" w:hAnsi="Palatino Linotype"/>
          <w:b/>
          <w:sz w:val="22"/>
        </w:rPr>
        <w:t xml:space="preserve">) </w:t>
      </w:r>
    </w:p>
    <w:p w:rsidR="00397F61" w:rsidRDefault="00397F61" w:rsidP="0031078C">
      <w:pPr>
        <w:spacing w:line="480" w:lineRule="auto"/>
        <w:contextualSpacing/>
        <w:rPr>
          <w:rFonts w:ascii="Palatino Linotype" w:hAnsi="Palatino Linotype"/>
          <w:color w:val="FF0000"/>
        </w:rPr>
      </w:pPr>
    </w:p>
    <w:p w:rsidR="005C3D47" w:rsidRDefault="005C3D47" w:rsidP="0031078C">
      <w:pPr>
        <w:spacing w:line="480" w:lineRule="auto"/>
        <w:contextualSpacing/>
        <w:rPr>
          <w:rFonts w:ascii="Palatino Linotype" w:hAnsi="Palatino Linotype"/>
          <w:color w:val="FF0000"/>
        </w:rPr>
      </w:pPr>
    </w:p>
    <w:p w:rsidR="005C3D47" w:rsidRDefault="005C3D47" w:rsidP="0031078C">
      <w:pPr>
        <w:spacing w:line="480" w:lineRule="auto"/>
        <w:contextualSpacing/>
        <w:rPr>
          <w:rFonts w:ascii="Palatino Linotype" w:hAnsi="Palatino Linotype"/>
          <w:b/>
          <w:bCs/>
          <w:color w:val="000000"/>
        </w:rPr>
      </w:pPr>
      <w:r w:rsidRPr="00354D1C">
        <w:rPr>
          <w:rFonts w:ascii="Palatino Linotype" w:hAnsi="Palatino Linotype"/>
          <w:b/>
          <w:bCs/>
          <w:color w:val="000000"/>
        </w:rPr>
        <w:t>(A)</w:t>
      </w:r>
    </w:p>
    <w:p w:rsidR="005C3D47" w:rsidRPr="00632F23" w:rsidRDefault="007E40A6" w:rsidP="0031078C">
      <w:pPr>
        <w:spacing w:line="480" w:lineRule="auto"/>
        <w:contextualSpacing/>
        <w:rPr>
          <w:rFonts w:ascii="Palatino Linotype" w:hAnsi="Palatino Linotype"/>
          <w:color w:val="FF0000"/>
        </w:rPr>
      </w:pPr>
      <w:r>
        <w:rPr>
          <w:rFonts w:ascii="Palatino Linotype" w:hAnsi="Palatino Linotype"/>
          <w:b/>
          <w:bCs/>
          <w:noProof/>
          <w:color w:val="000000"/>
          <w:lang w:val="en-GB" w:eastAsia="en-GB"/>
        </w:rPr>
        <w:lastRenderedPageBreak/>
        <w:drawing>
          <wp:inline distT="0" distB="0" distL="0" distR="0">
            <wp:extent cx="3533775" cy="3381375"/>
            <wp:effectExtent l="0" t="0" r="0" b="0"/>
            <wp:docPr id="6" name="Picture 6" descr="RplotFw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plotFw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33775" cy="3381375"/>
                    </a:xfrm>
                    <a:prstGeom prst="rect">
                      <a:avLst/>
                    </a:prstGeom>
                    <a:noFill/>
                    <a:ln>
                      <a:noFill/>
                    </a:ln>
                  </pic:spPr>
                </pic:pic>
              </a:graphicData>
            </a:graphic>
          </wp:inline>
        </w:drawing>
      </w:r>
    </w:p>
    <w:p w:rsidR="005C3D47" w:rsidRDefault="00294CD0" w:rsidP="005C3D47">
      <w:pPr>
        <w:spacing w:line="480" w:lineRule="auto"/>
        <w:contextualSpacing/>
        <w:rPr>
          <w:rFonts w:ascii="Palatino Linotype" w:hAnsi="Palatino Linotype"/>
          <w:b/>
          <w:bCs/>
          <w:color w:val="000000"/>
        </w:rPr>
      </w:pPr>
      <w:r w:rsidRPr="00354D1C">
        <w:rPr>
          <w:rFonts w:ascii="Palatino Linotype" w:hAnsi="Palatino Linotype"/>
          <w:b/>
          <w:bCs/>
          <w:color w:val="000000"/>
        </w:rPr>
        <w:tab/>
      </w:r>
      <w:r w:rsidRPr="00354D1C">
        <w:rPr>
          <w:rFonts w:ascii="Palatino Linotype" w:hAnsi="Palatino Linotype"/>
          <w:b/>
          <w:bCs/>
          <w:color w:val="000000"/>
        </w:rPr>
        <w:tab/>
      </w:r>
      <w:r w:rsidR="005C3D47">
        <w:rPr>
          <w:rFonts w:ascii="Palatino Linotype" w:hAnsi="Palatino Linotype"/>
          <w:b/>
          <w:bCs/>
          <w:color w:val="000000"/>
        </w:rPr>
        <w:tab/>
      </w:r>
      <w:r w:rsidR="005C3D47">
        <w:rPr>
          <w:rFonts w:ascii="Palatino Linotype" w:hAnsi="Palatino Linotype"/>
          <w:b/>
          <w:bCs/>
          <w:color w:val="000000"/>
        </w:rPr>
        <w:tab/>
      </w:r>
      <w:r w:rsidR="005C3D47">
        <w:rPr>
          <w:rFonts w:ascii="Palatino Linotype" w:hAnsi="Palatino Linotype"/>
          <w:b/>
          <w:bCs/>
          <w:color w:val="000000"/>
        </w:rPr>
        <w:tab/>
      </w:r>
    </w:p>
    <w:p w:rsidR="005C3D47" w:rsidRPr="00354D1C" w:rsidRDefault="005C3D47" w:rsidP="005C3D47">
      <w:pPr>
        <w:spacing w:line="480" w:lineRule="auto"/>
        <w:contextualSpacing/>
        <w:rPr>
          <w:rFonts w:ascii="Palatino Linotype" w:hAnsi="Palatino Linotype"/>
          <w:b/>
          <w:bCs/>
          <w:color w:val="000000"/>
        </w:rPr>
      </w:pPr>
      <w:r>
        <w:rPr>
          <w:rFonts w:ascii="Palatino Linotype" w:hAnsi="Palatino Linotype"/>
          <w:b/>
          <w:bCs/>
        </w:rPr>
        <w:t>(</w:t>
      </w:r>
      <w:r w:rsidRPr="00632F23">
        <w:rPr>
          <w:rFonts w:ascii="Palatino Linotype" w:hAnsi="Palatino Linotype"/>
          <w:b/>
          <w:bCs/>
        </w:rPr>
        <w:t>B</w:t>
      </w:r>
      <w:r>
        <w:rPr>
          <w:rFonts w:ascii="Palatino Linotype" w:hAnsi="Palatino Linotype"/>
          <w:b/>
          <w:bCs/>
        </w:rPr>
        <w:t>)</w:t>
      </w:r>
    </w:p>
    <w:p w:rsidR="00EE3F19" w:rsidRPr="00354D1C" w:rsidRDefault="007E40A6" w:rsidP="00EE3F19">
      <w:pPr>
        <w:spacing w:line="480" w:lineRule="auto"/>
        <w:contextualSpacing/>
        <w:rPr>
          <w:rFonts w:ascii="Palatino Linotype" w:hAnsi="Palatino Linotype"/>
          <w:b/>
          <w:bCs/>
          <w:color w:val="000000"/>
        </w:rPr>
      </w:pPr>
      <w:r>
        <w:rPr>
          <w:rFonts w:ascii="Palatino Linotype" w:hAnsi="Palatino Linotype"/>
          <w:b/>
          <w:bCs/>
          <w:noProof/>
          <w:color w:val="000000"/>
          <w:lang w:val="en-GB" w:eastAsia="en-GB"/>
        </w:rPr>
        <w:drawing>
          <wp:inline distT="0" distB="0" distL="0" distR="0">
            <wp:extent cx="3438525" cy="3295650"/>
            <wp:effectExtent l="0" t="0" r="0" b="0"/>
            <wp:docPr id="7" name="Picture 7" descr="RplotRw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plotRw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38525" cy="3295650"/>
                    </a:xfrm>
                    <a:prstGeom prst="rect">
                      <a:avLst/>
                    </a:prstGeom>
                    <a:noFill/>
                    <a:ln>
                      <a:noFill/>
                    </a:ln>
                  </pic:spPr>
                </pic:pic>
              </a:graphicData>
            </a:graphic>
          </wp:inline>
        </w:drawing>
      </w:r>
    </w:p>
    <w:p w:rsidR="003E5F8D" w:rsidRDefault="003E5F8D" w:rsidP="00EE3F19">
      <w:pPr>
        <w:spacing w:line="480" w:lineRule="auto"/>
        <w:contextualSpacing/>
        <w:rPr>
          <w:rFonts w:ascii="Palatino Linotype" w:hAnsi="Palatino Linotype"/>
          <w:b/>
          <w:bCs/>
        </w:rPr>
      </w:pPr>
    </w:p>
    <w:p w:rsidR="003E5F8D" w:rsidRDefault="003E5F8D" w:rsidP="00EE3F19">
      <w:pPr>
        <w:spacing w:line="480" w:lineRule="auto"/>
        <w:contextualSpacing/>
        <w:rPr>
          <w:rFonts w:ascii="Palatino Linotype" w:hAnsi="Palatino Linotype"/>
          <w:b/>
          <w:bCs/>
        </w:rPr>
      </w:pPr>
    </w:p>
    <w:p w:rsidR="00294CD0" w:rsidRPr="00632F23" w:rsidRDefault="00294CD0" w:rsidP="005C3D47">
      <w:pPr>
        <w:spacing w:line="480" w:lineRule="auto"/>
        <w:rPr>
          <w:rFonts w:ascii="Palatino Linotype" w:hAnsi="Palatino Linotype"/>
          <w:b/>
          <w:bCs/>
        </w:rPr>
      </w:pPr>
    </w:p>
    <w:p w:rsidR="004B0F35" w:rsidRPr="00632F23" w:rsidRDefault="004B0F35" w:rsidP="00953CB2">
      <w:pPr>
        <w:spacing w:line="480" w:lineRule="auto"/>
        <w:ind w:firstLineChars="50" w:firstLine="120"/>
        <w:rPr>
          <w:rFonts w:ascii="Palatino Linotype" w:hAnsi="Palatino Linotype"/>
        </w:rPr>
      </w:pPr>
    </w:p>
    <w:p w:rsidR="004B0F35" w:rsidRPr="00632F23" w:rsidRDefault="0056357E" w:rsidP="00EE3F19">
      <w:pPr>
        <w:spacing w:line="480" w:lineRule="auto"/>
        <w:ind w:firstLineChars="50" w:firstLine="120"/>
        <w:jc w:val="both"/>
        <w:rPr>
          <w:rFonts w:ascii="Palatino Linotype" w:hAnsi="Palatino Linotype"/>
        </w:rPr>
      </w:pPr>
      <w:r w:rsidRPr="00632F23">
        <w:rPr>
          <w:rFonts w:ascii="Palatino Linotype" w:hAnsi="Palatino Linotype"/>
        </w:rPr>
        <w:t xml:space="preserve">We identified 4 distinct phases based on our results. </w:t>
      </w:r>
      <w:r w:rsidR="00C637F9" w:rsidRPr="00632F23">
        <w:rPr>
          <w:rFonts w:ascii="Palatino Linotype" w:hAnsi="Palatino Linotype"/>
        </w:rPr>
        <w:t xml:space="preserve">In Figure </w:t>
      </w:r>
      <w:r w:rsidR="002B17E4" w:rsidRPr="00632F23">
        <w:rPr>
          <w:rFonts w:ascii="Palatino Linotype" w:hAnsi="Palatino Linotype"/>
        </w:rPr>
        <w:t>1</w:t>
      </w:r>
      <w:r w:rsidR="00C637F9" w:rsidRPr="00632F23">
        <w:rPr>
          <w:rFonts w:ascii="Palatino Linotype" w:hAnsi="Palatino Linotype"/>
        </w:rPr>
        <w:t xml:space="preserve">A, phase 1 contains data from January 15 to March </w:t>
      </w:r>
      <w:r w:rsidR="00B7755B">
        <w:rPr>
          <w:rFonts w:ascii="Palatino Linotype" w:eastAsia="Malgun Gothic" w:hAnsi="Palatino Linotype" w:hint="eastAsia"/>
          <w:lang w:eastAsia="ko-KR"/>
        </w:rPr>
        <w:t>15</w:t>
      </w:r>
      <w:r w:rsidR="00C637F9" w:rsidRPr="00632F23">
        <w:rPr>
          <w:rFonts w:ascii="Palatino Linotype" w:hAnsi="Palatino Linotype"/>
        </w:rPr>
        <w:t xml:space="preserve">, 2020, phase 2 included data from March </w:t>
      </w:r>
      <w:r w:rsidR="00B7755B">
        <w:rPr>
          <w:rFonts w:ascii="Palatino Linotype" w:eastAsia="Malgun Gothic" w:hAnsi="Palatino Linotype" w:hint="eastAsia"/>
          <w:lang w:eastAsia="ko-KR"/>
        </w:rPr>
        <w:t>16</w:t>
      </w:r>
      <w:r w:rsidR="00B7755B" w:rsidRPr="00632F23">
        <w:rPr>
          <w:rFonts w:ascii="Palatino Linotype" w:hAnsi="Palatino Linotype"/>
        </w:rPr>
        <w:t xml:space="preserve"> </w:t>
      </w:r>
      <w:r w:rsidR="00C637F9" w:rsidRPr="00632F23">
        <w:rPr>
          <w:rFonts w:ascii="Palatino Linotype" w:hAnsi="Palatino Linotype"/>
        </w:rPr>
        <w:t xml:space="preserve">to April </w:t>
      </w:r>
      <w:r w:rsidR="00B7755B">
        <w:rPr>
          <w:rFonts w:ascii="Palatino Linotype" w:eastAsia="Malgun Gothic" w:hAnsi="Palatino Linotype" w:hint="eastAsia"/>
          <w:lang w:eastAsia="ko-KR"/>
        </w:rPr>
        <w:t>25</w:t>
      </w:r>
      <w:r w:rsidR="00B7755B" w:rsidRPr="00632F23">
        <w:rPr>
          <w:rFonts w:ascii="Palatino Linotype" w:hAnsi="Palatino Linotype"/>
        </w:rPr>
        <w:t xml:space="preserve"> </w:t>
      </w:r>
      <w:r w:rsidR="00C637F9" w:rsidRPr="00632F23">
        <w:rPr>
          <w:rFonts w:ascii="Palatino Linotype" w:hAnsi="Palatino Linotype"/>
        </w:rPr>
        <w:t xml:space="preserve">and phase 3 was from April </w:t>
      </w:r>
      <w:r w:rsidR="00B7755B">
        <w:rPr>
          <w:rFonts w:ascii="Palatino Linotype" w:eastAsia="Malgun Gothic" w:hAnsi="Palatino Linotype" w:hint="eastAsia"/>
          <w:lang w:eastAsia="ko-KR"/>
        </w:rPr>
        <w:t>26</w:t>
      </w:r>
      <w:r w:rsidR="00B7755B" w:rsidRPr="00632F23">
        <w:rPr>
          <w:rFonts w:ascii="Palatino Linotype" w:hAnsi="Palatino Linotype"/>
        </w:rPr>
        <w:t xml:space="preserve"> </w:t>
      </w:r>
      <w:r w:rsidR="00C637F9" w:rsidRPr="00632F23">
        <w:rPr>
          <w:rFonts w:ascii="Palatino Linotype" w:hAnsi="Palatino Linotype"/>
        </w:rPr>
        <w:t xml:space="preserve">to </w:t>
      </w:r>
      <w:r w:rsidR="00B7755B">
        <w:rPr>
          <w:rFonts w:ascii="Palatino Linotype" w:eastAsia="Malgun Gothic" w:hAnsi="Palatino Linotype" w:hint="eastAsia"/>
          <w:lang w:eastAsia="ko-KR"/>
        </w:rPr>
        <w:t>August 12</w:t>
      </w:r>
      <w:r w:rsidR="00C637F9" w:rsidRPr="00632F23">
        <w:rPr>
          <w:rFonts w:ascii="Palatino Linotype" w:hAnsi="Palatino Linotype"/>
        </w:rPr>
        <w:t>. In phase 1, all CFRs ranged between 1% and 3</w:t>
      </w:r>
      <w:r w:rsidR="00B7755B">
        <w:rPr>
          <w:rFonts w:ascii="Palatino Linotype" w:eastAsia="Malgun Gothic" w:hAnsi="Palatino Linotype" w:hint="eastAsia"/>
          <w:lang w:eastAsia="ko-KR"/>
        </w:rPr>
        <w:t>.4</w:t>
      </w:r>
      <w:r w:rsidR="00C637F9" w:rsidRPr="00632F23">
        <w:rPr>
          <w:rFonts w:ascii="Palatino Linotype" w:hAnsi="Palatino Linotype"/>
        </w:rPr>
        <w:t xml:space="preserve">%. However, from March </w:t>
      </w:r>
      <w:r w:rsidR="00B7755B">
        <w:rPr>
          <w:rFonts w:ascii="Palatino Linotype" w:eastAsia="Malgun Gothic" w:hAnsi="Palatino Linotype" w:hint="eastAsia"/>
          <w:lang w:eastAsia="ko-KR"/>
        </w:rPr>
        <w:t>16</w:t>
      </w:r>
      <w:r w:rsidR="00B7755B" w:rsidRPr="00632F23">
        <w:rPr>
          <w:rFonts w:ascii="Palatino Linotype" w:hAnsi="Palatino Linotype"/>
        </w:rPr>
        <w:t xml:space="preserve"> </w:t>
      </w:r>
      <w:r w:rsidR="00C637F9" w:rsidRPr="00632F23">
        <w:rPr>
          <w:rFonts w:ascii="Palatino Linotype" w:hAnsi="Palatino Linotype"/>
        </w:rPr>
        <w:t xml:space="preserve">to April </w:t>
      </w:r>
      <w:r w:rsidR="00B7755B">
        <w:rPr>
          <w:rFonts w:ascii="Palatino Linotype" w:eastAsia="Malgun Gothic" w:hAnsi="Palatino Linotype" w:hint="eastAsia"/>
          <w:lang w:eastAsia="ko-KR"/>
        </w:rPr>
        <w:t>25</w:t>
      </w:r>
      <w:r w:rsidR="00B7755B" w:rsidRPr="00632F23">
        <w:rPr>
          <w:rFonts w:ascii="Palatino Linotype" w:hAnsi="Palatino Linotype"/>
        </w:rPr>
        <w:t xml:space="preserve"> </w:t>
      </w:r>
      <w:r w:rsidR="00C637F9" w:rsidRPr="00632F23">
        <w:rPr>
          <w:rFonts w:ascii="Palatino Linotype" w:hAnsi="Palatino Linotype"/>
        </w:rPr>
        <w:t>(phase 2), both fixed and pooled CFRs increased rapidly from 3.</w:t>
      </w:r>
      <w:r w:rsidR="00B7755B">
        <w:rPr>
          <w:rFonts w:ascii="Palatino Linotype" w:eastAsia="Malgun Gothic" w:hAnsi="Palatino Linotype" w:hint="eastAsia"/>
          <w:lang w:eastAsia="ko-KR"/>
        </w:rPr>
        <w:t>3</w:t>
      </w:r>
      <w:r w:rsidR="00C637F9" w:rsidRPr="00632F23">
        <w:rPr>
          <w:rFonts w:ascii="Palatino Linotype" w:hAnsi="Palatino Linotype"/>
        </w:rPr>
        <w:t>% to 6.</w:t>
      </w:r>
      <w:r w:rsidR="00B7755B">
        <w:rPr>
          <w:rFonts w:ascii="Palatino Linotype" w:eastAsia="Malgun Gothic" w:hAnsi="Palatino Linotype" w:hint="eastAsia"/>
          <w:lang w:eastAsia="ko-KR"/>
        </w:rPr>
        <w:t>6</w:t>
      </w:r>
      <w:r w:rsidR="00C637F9" w:rsidRPr="00632F23">
        <w:rPr>
          <w:rFonts w:ascii="Palatino Linotype" w:hAnsi="Palatino Linotype"/>
        </w:rPr>
        <w:t>% for fixed-effect CFR and 3.</w:t>
      </w:r>
      <w:r w:rsidR="00B7755B">
        <w:rPr>
          <w:rFonts w:ascii="Palatino Linotype" w:eastAsia="Malgun Gothic" w:hAnsi="Palatino Linotype" w:hint="eastAsia"/>
          <w:lang w:eastAsia="ko-KR"/>
        </w:rPr>
        <w:t>4</w:t>
      </w:r>
      <w:r w:rsidR="00C637F9" w:rsidRPr="00632F23">
        <w:rPr>
          <w:rFonts w:ascii="Palatino Linotype" w:hAnsi="Palatino Linotype"/>
        </w:rPr>
        <w:t>% to 7.</w:t>
      </w:r>
      <w:r w:rsidR="00B7755B">
        <w:rPr>
          <w:rFonts w:ascii="Palatino Linotype" w:eastAsia="Malgun Gothic" w:hAnsi="Palatino Linotype" w:hint="eastAsia"/>
          <w:lang w:eastAsia="ko-KR"/>
        </w:rPr>
        <w:t>3</w:t>
      </w:r>
      <w:r w:rsidR="00C637F9" w:rsidRPr="00632F23">
        <w:rPr>
          <w:rFonts w:ascii="Palatino Linotype" w:hAnsi="Palatino Linotype"/>
        </w:rPr>
        <w:t xml:space="preserve">% for pooled CFR. From April </w:t>
      </w:r>
      <w:r w:rsidR="00B7755B">
        <w:rPr>
          <w:rFonts w:ascii="Palatino Linotype" w:eastAsia="Malgun Gothic" w:hAnsi="Palatino Linotype" w:hint="eastAsia"/>
          <w:lang w:eastAsia="ko-KR"/>
        </w:rPr>
        <w:t>25</w:t>
      </w:r>
      <w:r w:rsidR="00C637F9" w:rsidRPr="00632F23">
        <w:rPr>
          <w:rFonts w:ascii="Palatino Linotype" w:hAnsi="Palatino Linotype"/>
        </w:rPr>
        <w:t>th with 2,</w:t>
      </w:r>
      <w:r w:rsidR="00B7755B">
        <w:rPr>
          <w:rFonts w:ascii="Palatino Linotype" w:eastAsia="Malgun Gothic" w:hAnsi="Palatino Linotype" w:hint="eastAsia"/>
          <w:lang w:eastAsia="ko-KR"/>
        </w:rPr>
        <w:t>730</w:t>
      </w:r>
      <w:r w:rsidR="00C637F9" w:rsidRPr="00632F23">
        <w:rPr>
          <w:rFonts w:ascii="Palatino Linotype" w:hAnsi="Palatino Linotype"/>
        </w:rPr>
        <w:t>,</w:t>
      </w:r>
      <w:r w:rsidR="00B7755B">
        <w:rPr>
          <w:rFonts w:ascii="Palatino Linotype" w:eastAsia="Malgun Gothic" w:hAnsi="Palatino Linotype" w:hint="eastAsia"/>
          <w:lang w:eastAsia="ko-KR"/>
        </w:rPr>
        <w:t>521</w:t>
      </w:r>
      <w:r w:rsidR="00B7755B" w:rsidRPr="00632F23">
        <w:rPr>
          <w:rFonts w:ascii="Palatino Linotype" w:hAnsi="Palatino Linotype"/>
        </w:rPr>
        <w:t xml:space="preserve"> </w:t>
      </w:r>
      <w:r w:rsidR="00C637F9" w:rsidRPr="00632F23">
        <w:rPr>
          <w:rFonts w:ascii="Palatino Linotype" w:hAnsi="Palatino Linotype"/>
        </w:rPr>
        <w:t xml:space="preserve">confirmed patients to May </w:t>
      </w:r>
      <w:r w:rsidR="00B7755B">
        <w:rPr>
          <w:rFonts w:ascii="Palatino Linotype" w:eastAsia="Malgun Gothic" w:hAnsi="Palatino Linotype" w:hint="eastAsia"/>
          <w:lang w:eastAsia="ko-KR"/>
        </w:rPr>
        <w:t>16</w:t>
      </w:r>
      <w:r w:rsidR="00B7755B" w:rsidRPr="00632F23">
        <w:rPr>
          <w:rFonts w:ascii="Palatino Linotype" w:hAnsi="Palatino Linotype"/>
        </w:rPr>
        <w:t>th</w:t>
      </w:r>
      <w:r w:rsidR="00C637F9" w:rsidRPr="00632F23">
        <w:rPr>
          <w:rFonts w:ascii="Palatino Linotype" w:hAnsi="Palatino Linotype"/>
        </w:rPr>
        <w:t>, both fixed and pooled CFRs remained at 6%</w:t>
      </w:r>
      <w:r w:rsidR="00CC126B" w:rsidRPr="00632F23">
        <w:rPr>
          <w:rFonts w:ascii="Palatino Linotype" w:hAnsi="Palatino Linotype"/>
        </w:rPr>
        <w:t>p</w:t>
      </w:r>
      <w:r w:rsidR="00C637F9" w:rsidRPr="00632F23">
        <w:rPr>
          <w:rFonts w:ascii="Palatino Linotype" w:hAnsi="Palatino Linotype"/>
        </w:rPr>
        <w:t xml:space="preserve"> and 7%, respectively (phase 3). In</w:t>
      </w:r>
      <w:r w:rsidR="009A1D02" w:rsidRPr="00632F23">
        <w:rPr>
          <w:rFonts w:ascii="Palatino Linotype" w:hAnsi="Palatino Linotype"/>
        </w:rPr>
        <w:t>terestingly</w:t>
      </w:r>
      <w:r w:rsidR="00C637F9" w:rsidRPr="00632F23">
        <w:rPr>
          <w:rFonts w:ascii="Palatino Linotype" w:hAnsi="Palatino Linotype"/>
        </w:rPr>
        <w:t xml:space="preserve">, in phase 3, the CFR </w:t>
      </w:r>
      <w:r w:rsidR="00F65BD2">
        <w:rPr>
          <w:rFonts w:ascii="Palatino Linotype" w:eastAsia="Malgun Gothic" w:hAnsi="Palatino Linotype" w:hint="eastAsia"/>
          <w:lang w:eastAsia="ko-KR"/>
        </w:rPr>
        <w:t>starts to decrease</w:t>
      </w:r>
      <w:r w:rsidR="00C637F9" w:rsidRPr="00632F23">
        <w:rPr>
          <w:rFonts w:ascii="Palatino Linotype" w:hAnsi="Palatino Linotype"/>
        </w:rPr>
        <w:t xml:space="preserve"> even though the number of confirmed patients per da</w:t>
      </w:r>
      <w:r w:rsidR="009A1D02" w:rsidRPr="00632F23">
        <w:rPr>
          <w:rFonts w:ascii="Palatino Linotype" w:hAnsi="Palatino Linotype"/>
        </w:rPr>
        <w:t>te</w:t>
      </w:r>
      <w:r w:rsidR="00C637F9" w:rsidRPr="00632F23">
        <w:rPr>
          <w:rFonts w:ascii="Palatino Linotype" w:hAnsi="Palatino Linotype"/>
        </w:rPr>
        <w:t xml:space="preserve"> continues to rise after a total of 2,</w:t>
      </w:r>
      <w:r w:rsidR="00F65BD2">
        <w:rPr>
          <w:rFonts w:ascii="Palatino Linotype" w:eastAsia="Malgun Gothic" w:hAnsi="Palatino Linotype" w:hint="eastAsia"/>
          <w:lang w:eastAsia="ko-KR"/>
        </w:rPr>
        <w:t>730</w:t>
      </w:r>
      <w:r w:rsidR="00C637F9" w:rsidRPr="00632F23">
        <w:rPr>
          <w:rFonts w:ascii="Palatino Linotype" w:hAnsi="Palatino Linotype"/>
        </w:rPr>
        <w:t>,</w:t>
      </w:r>
      <w:r w:rsidR="00F65BD2">
        <w:rPr>
          <w:rFonts w:ascii="Palatino Linotype" w:eastAsia="Malgun Gothic" w:hAnsi="Palatino Linotype" w:hint="eastAsia"/>
          <w:lang w:eastAsia="ko-KR"/>
        </w:rPr>
        <w:t>521</w:t>
      </w:r>
      <w:r w:rsidR="00F65BD2" w:rsidRPr="00632F23">
        <w:rPr>
          <w:rFonts w:ascii="Palatino Linotype" w:hAnsi="Palatino Linotype"/>
        </w:rPr>
        <w:t xml:space="preserve"> </w:t>
      </w:r>
      <w:r w:rsidR="00C637F9" w:rsidRPr="00632F23">
        <w:rPr>
          <w:rFonts w:ascii="Palatino Linotype" w:hAnsi="Palatino Linotype"/>
        </w:rPr>
        <w:t>was reached.</w:t>
      </w:r>
      <w:r w:rsidR="00F0512A" w:rsidRPr="00F0512A">
        <w:t xml:space="preserve"> </w:t>
      </w:r>
      <w:r w:rsidR="00F0512A" w:rsidRPr="00F0512A">
        <w:rPr>
          <w:rFonts w:ascii="Palatino Linotype" w:hAnsi="Palatino Linotype"/>
        </w:rPr>
        <w:t xml:space="preserve">As our results demonstrated, Figure 2A did not show similar pattern to Figure 1A. In phase 2 of figure 1A, we observed a rise in pooled and fixed model, however the random model </w:t>
      </w:r>
      <w:r w:rsidR="00F65BD2">
        <w:rPr>
          <w:rFonts w:ascii="Palatino Linotype" w:eastAsia="Malgun Gothic" w:hAnsi="Palatino Linotype" w:hint="eastAsia"/>
          <w:lang w:eastAsia="ko-KR"/>
        </w:rPr>
        <w:t>dose not increase steeply</w:t>
      </w:r>
      <w:r w:rsidR="00F0512A" w:rsidRPr="00F0512A">
        <w:rPr>
          <w:rFonts w:ascii="Palatino Linotype" w:hAnsi="Palatino Linotype"/>
        </w:rPr>
        <w:t>. This trend was not observed in figure 2A. This further support our hypothesis that CFR is not a dynamic indicator, and should not be analyzed solely using the traditional mathematical equation that is based primarily on the cumulative number of patients. The trends in figure 2A are established using the number of confirmed cases according to calendar date. Therefore, its trend is a better representation of the established healthcare systems, the testing ability and socioeconomic factors of the respective countries.”</w:t>
      </w:r>
    </w:p>
    <w:p w:rsidR="00C637F9" w:rsidRPr="00632F23" w:rsidRDefault="00C637F9" w:rsidP="00EE3F19">
      <w:pPr>
        <w:spacing w:line="480" w:lineRule="auto"/>
        <w:ind w:firstLineChars="50" w:firstLine="120"/>
        <w:jc w:val="both"/>
        <w:rPr>
          <w:rFonts w:ascii="Palatino Linotype" w:hAnsi="Palatino Linotype"/>
        </w:rPr>
      </w:pPr>
      <w:r w:rsidRPr="00632F23">
        <w:rPr>
          <w:rFonts w:ascii="Palatino Linotype" w:hAnsi="Palatino Linotype"/>
        </w:rPr>
        <w:lastRenderedPageBreak/>
        <w:t xml:space="preserve">Figure 2B shows a </w:t>
      </w:r>
      <w:r w:rsidR="009A1D02" w:rsidRPr="00632F23">
        <w:rPr>
          <w:rFonts w:ascii="Palatino Linotype" w:hAnsi="Palatino Linotype"/>
        </w:rPr>
        <w:t>similar trend with</w:t>
      </w:r>
      <w:r w:rsidRPr="00632F23">
        <w:rPr>
          <w:rFonts w:ascii="Palatino Linotype" w:hAnsi="Palatino Linotype"/>
        </w:rPr>
        <w:t xml:space="preserve"> </w:t>
      </w:r>
      <w:r w:rsidR="009A1D02" w:rsidRPr="00632F23">
        <w:rPr>
          <w:rFonts w:ascii="Palatino Linotype" w:hAnsi="Palatino Linotype"/>
        </w:rPr>
        <w:t xml:space="preserve">the </w:t>
      </w:r>
      <w:r w:rsidR="00951265" w:rsidRPr="00632F23">
        <w:rPr>
          <w:rFonts w:ascii="Palatino Linotype" w:hAnsi="Palatino Linotype"/>
        </w:rPr>
        <w:t>characteristic's</w:t>
      </w:r>
      <w:r w:rsidRPr="00632F23">
        <w:rPr>
          <w:rFonts w:ascii="Palatino Linotype" w:hAnsi="Palatino Linotype"/>
        </w:rPr>
        <w:t xml:space="preserve"> phases 1 to 3</w:t>
      </w:r>
      <w:r w:rsidR="00662D27" w:rsidRPr="00632F23">
        <w:rPr>
          <w:rFonts w:ascii="Palatino Linotype" w:hAnsi="Palatino Linotype"/>
        </w:rPr>
        <w:t>,</w:t>
      </w:r>
      <w:r w:rsidRPr="00632F23">
        <w:rPr>
          <w:rFonts w:ascii="Palatino Linotype" w:hAnsi="Palatino Linotype"/>
        </w:rPr>
        <w:t xml:space="preserve"> </w:t>
      </w:r>
      <w:r w:rsidR="009A1D02" w:rsidRPr="00632F23">
        <w:rPr>
          <w:rFonts w:ascii="Palatino Linotype" w:hAnsi="Palatino Linotype"/>
        </w:rPr>
        <w:t>parallel to those in</w:t>
      </w:r>
      <w:r w:rsidRPr="00632F23">
        <w:rPr>
          <w:rFonts w:ascii="Palatino Linotype" w:hAnsi="Palatino Linotype"/>
        </w:rPr>
        <w:t xml:space="preserve"> Figure 1. It showed an explo</w:t>
      </w:r>
      <w:r w:rsidR="00662D27" w:rsidRPr="00632F23">
        <w:rPr>
          <w:rFonts w:ascii="Palatino Linotype" w:hAnsi="Palatino Linotype"/>
        </w:rPr>
        <w:t>ding</w:t>
      </w:r>
      <w:r w:rsidRPr="00632F23">
        <w:rPr>
          <w:rFonts w:ascii="Palatino Linotype" w:hAnsi="Palatino Linotype"/>
        </w:rPr>
        <w:t xml:space="preserve"> increase from Day </w:t>
      </w:r>
      <w:r w:rsidR="005B23B6">
        <w:rPr>
          <w:rFonts w:ascii="Palatino Linotype" w:eastAsia="Malgun Gothic" w:hAnsi="Palatino Linotype" w:hint="eastAsia"/>
          <w:lang w:eastAsia="ko-KR"/>
        </w:rPr>
        <w:t>1</w:t>
      </w:r>
      <w:r w:rsidR="005B23B6" w:rsidRPr="00632F23">
        <w:rPr>
          <w:rFonts w:ascii="Palatino Linotype" w:hAnsi="Palatino Linotype"/>
        </w:rPr>
        <w:t xml:space="preserve"> </w:t>
      </w:r>
      <w:r w:rsidRPr="00632F23">
        <w:rPr>
          <w:rFonts w:ascii="Palatino Linotype" w:hAnsi="Palatino Linotype"/>
        </w:rPr>
        <w:t xml:space="preserve">to Day </w:t>
      </w:r>
      <w:r w:rsidR="005B23B6">
        <w:rPr>
          <w:rFonts w:ascii="Palatino Linotype" w:eastAsia="Malgun Gothic" w:hAnsi="Palatino Linotype" w:hint="eastAsia"/>
          <w:lang w:eastAsia="ko-KR"/>
        </w:rPr>
        <w:t>45</w:t>
      </w:r>
      <w:r w:rsidRPr="00632F23">
        <w:rPr>
          <w:rFonts w:ascii="Palatino Linotype" w:hAnsi="Palatino Linotype"/>
        </w:rPr>
        <w:t xml:space="preserve">, when the number of confirmed patients per day reached </w:t>
      </w:r>
      <w:r w:rsidR="005B23B6">
        <w:rPr>
          <w:rFonts w:ascii="Palatino Linotype" w:eastAsia="Malgun Gothic" w:hAnsi="Palatino Linotype" w:hint="eastAsia"/>
          <w:lang w:eastAsia="ko-KR"/>
        </w:rPr>
        <w:t>2,564,432</w:t>
      </w:r>
      <w:r w:rsidRPr="00632F23">
        <w:rPr>
          <w:rFonts w:ascii="Palatino Linotype" w:hAnsi="Palatino Linotype"/>
        </w:rPr>
        <w:t xml:space="preserve"> (phase </w:t>
      </w:r>
      <w:r w:rsidR="005B23B6">
        <w:rPr>
          <w:rFonts w:ascii="Palatino Linotype" w:eastAsia="Malgun Gothic" w:hAnsi="Palatino Linotype" w:hint="eastAsia"/>
          <w:lang w:eastAsia="ko-KR"/>
        </w:rPr>
        <w:t>1</w:t>
      </w:r>
      <w:r w:rsidRPr="00632F23">
        <w:rPr>
          <w:rFonts w:ascii="Palatino Linotype" w:hAnsi="Palatino Linotype"/>
        </w:rPr>
        <w:t xml:space="preserve">). As the number of confirmed patients increased to </w:t>
      </w:r>
      <w:r w:rsidR="005B23B6">
        <w:rPr>
          <w:rFonts w:ascii="Palatino Linotype" w:eastAsia="Malgun Gothic" w:hAnsi="Palatino Linotype" w:hint="eastAsia"/>
          <w:lang w:eastAsia="ko-KR"/>
        </w:rPr>
        <w:t>4,648,514</w:t>
      </w:r>
      <w:r w:rsidRPr="00632F23">
        <w:rPr>
          <w:rFonts w:ascii="Palatino Linotype" w:hAnsi="Palatino Linotype"/>
        </w:rPr>
        <w:t xml:space="preserve"> on Day </w:t>
      </w:r>
      <w:r w:rsidR="005B23B6">
        <w:rPr>
          <w:rFonts w:ascii="Palatino Linotype" w:eastAsia="Malgun Gothic" w:hAnsi="Palatino Linotype" w:hint="eastAsia"/>
          <w:lang w:eastAsia="ko-KR"/>
        </w:rPr>
        <w:t>66</w:t>
      </w:r>
      <w:r w:rsidRPr="00632F23">
        <w:rPr>
          <w:rFonts w:ascii="Palatino Linotype" w:hAnsi="Palatino Linotype"/>
        </w:rPr>
        <w:t xml:space="preserve">, the fixed CFR remained at </w:t>
      </w:r>
      <w:r w:rsidR="005B23B6">
        <w:rPr>
          <w:rFonts w:ascii="Palatino Linotype" w:eastAsia="Malgun Gothic" w:hAnsi="Palatino Linotype" w:hint="eastAsia"/>
          <w:lang w:eastAsia="ko-KR"/>
        </w:rPr>
        <w:t>5.4</w:t>
      </w:r>
      <w:r w:rsidRPr="00632F23">
        <w:rPr>
          <w:rFonts w:ascii="Palatino Linotype" w:hAnsi="Palatino Linotype"/>
        </w:rPr>
        <w:t xml:space="preserve">% and the pooled CFR remains at </w:t>
      </w:r>
      <w:r w:rsidR="005B23B6">
        <w:rPr>
          <w:rFonts w:ascii="Palatino Linotype" w:eastAsia="Malgun Gothic" w:hAnsi="Palatino Linotype" w:hint="eastAsia"/>
          <w:lang w:eastAsia="ko-KR"/>
        </w:rPr>
        <w:t>6.2</w:t>
      </w:r>
      <w:r w:rsidRPr="00632F23">
        <w:rPr>
          <w:rFonts w:ascii="Palatino Linotype" w:hAnsi="Palatino Linotype"/>
        </w:rPr>
        <w:t xml:space="preserve">%, </w:t>
      </w:r>
      <w:r w:rsidR="00662D27" w:rsidRPr="00632F23">
        <w:rPr>
          <w:rFonts w:ascii="Palatino Linotype" w:hAnsi="Palatino Linotype"/>
        </w:rPr>
        <w:t xml:space="preserve">despite the fact that </w:t>
      </w:r>
      <w:r w:rsidRPr="00632F23">
        <w:rPr>
          <w:rFonts w:ascii="Palatino Linotype" w:hAnsi="Palatino Linotype"/>
        </w:rPr>
        <w:t xml:space="preserve">the number of confirmed patients increased rapidly. </w:t>
      </w:r>
    </w:p>
    <w:p w:rsidR="00397F61" w:rsidRPr="00632F23" w:rsidRDefault="0031078C" w:rsidP="00EE3F19">
      <w:pPr>
        <w:spacing w:line="480" w:lineRule="auto"/>
        <w:ind w:firstLineChars="50" w:firstLine="120"/>
        <w:contextualSpacing/>
        <w:jc w:val="both"/>
        <w:rPr>
          <w:rFonts w:ascii="Palatino Linotype" w:hAnsi="Palatino Linotype"/>
        </w:rPr>
      </w:pPr>
      <w:r w:rsidRPr="00632F23">
        <w:rPr>
          <w:rFonts w:ascii="Palatino Linotype" w:hAnsi="Palatino Linotype"/>
        </w:rPr>
        <w:t xml:space="preserve">Comparing Figure 1A and 1B, we found that both pooled and fixed CFRs increased approximately 1%P after adjusting </w:t>
      </w:r>
      <w:r w:rsidR="000B3DE6" w:rsidRPr="00632F23">
        <w:rPr>
          <w:rFonts w:ascii="Palatino Linotype" w:hAnsi="Palatino Linotype"/>
        </w:rPr>
        <w:t xml:space="preserve">the CFR standard to the </w:t>
      </w:r>
      <w:r w:rsidRPr="00632F23">
        <w:rPr>
          <w:rFonts w:ascii="Palatino Linotype" w:hAnsi="Palatino Linotype"/>
        </w:rPr>
        <w:t>days since the first confirmed case (7.09% to 8.20%, 6.40% to 7.40%, respectively). Therefore, the CFR in the plateau phase was approximately 1%P higher in the meta-analyses by days since the first confirmed patient compared to the meta-analyses by date. This might be explained by the "noise" in the data from the early days of the epidemic in each country. Analogous comparison of Figure 2A and 2B revealed a similar 1%P approximate increase in phase 3, the plateau phase, between CFR by days since the first confirmed patient compared to the meta-analyses by date.</w:t>
      </w:r>
    </w:p>
    <w:p w:rsidR="008B0D8F" w:rsidRPr="00632F23" w:rsidRDefault="0031078C" w:rsidP="00EE3F19">
      <w:pPr>
        <w:spacing w:line="480" w:lineRule="auto"/>
        <w:ind w:firstLineChars="50" w:firstLine="120"/>
        <w:contextualSpacing/>
        <w:jc w:val="both"/>
        <w:rPr>
          <w:rFonts w:ascii="Palatino Linotype" w:hAnsi="Palatino Linotype"/>
        </w:rPr>
      </w:pPr>
      <w:r w:rsidRPr="00632F23">
        <w:rPr>
          <w:rFonts w:ascii="Palatino Linotype" w:hAnsi="Palatino Linotype"/>
        </w:rPr>
        <w:t>A</w:t>
      </w:r>
      <w:r w:rsidR="008B0D8F" w:rsidRPr="00632F23">
        <w:rPr>
          <w:rFonts w:ascii="Palatino Linotype" w:hAnsi="Palatino Linotype"/>
        </w:rPr>
        <w:t>n a</w:t>
      </w:r>
      <w:r w:rsidRPr="00632F23">
        <w:rPr>
          <w:rFonts w:ascii="Palatino Linotype" w:hAnsi="Palatino Linotype"/>
        </w:rPr>
        <w:t>dditional phase emerged in Figure 1B since countries with newly emerging COVID-19 moved to the front of onset period as they were sorted by days (Supplementary Figure 2, see Appendix). Similarly, I</w:t>
      </w:r>
      <w:r w:rsidRPr="00632F23">
        <w:rPr>
          <w:rFonts w:ascii="Palatino Linotype" w:hAnsi="Palatino Linotype"/>
          <w:vertAlign w:val="superscript"/>
        </w:rPr>
        <w:t>2</w:t>
      </w:r>
      <w:r w:rsidRPr="00632F23">
        <w:rPr>
          <w:rFonts w:ascii="Palatino Linotype" w:hAnsi="Palatino Linotype"/>
        </w:rPr>
        <w:t xml:space="preserve"> value earlier reached above 50% representing high heterogeneity was at Day 15 and showed</w:t>
      </w:r>
      <w:r w:rsidR="008B0D8F" w:rsidRPr="00632F23">
        <w:rPr>
          <w:rFonts w:ascii="Palatino Linotype" w:hAnsi="Palatino Linotype"/>
        </w:rPr>
        <w:t xml:space="preserve"> a</w:t>
      </w:r>
      <w:r w:rsidRPr="00632F23">
        <w:rPr>
          <w:rFonts w:ascii="Palatino Linotype" w:hAnsi="Palatino Linotype"/>
        </w:rPr>
        <w:t xml:space="preserve"> plateau pattern since Day 50 according to days (Supplementary Figure 1B) than according to calendar date reached above 50% on February 25, 2020 and marked plateau since </w:t>
      </w:r>
      <w:r w:rsidRPr="00632F23">
        <w:rPr>
          <w:rFonts w:ascii="Palatino Linotype" w:hAnsi="Palatino Linotype"/>
        </w:rPr>
        <w:lastRenderedPageBreak/>
        <w:t>April 12, 2020 (Supplementary Figure 1A, see Appendix).</w:t>
      </w:r>
      <w:r w:rsidR="008B0D8F" w:rsidRPr="00632F23">
        <w:rPr>
          <w:rFonts w:ascii="Palatino Linotype" w:hAnsi="Palatino Linotype"/>
        </w:rPr>
        <w:t xml:space="preserve"> </w:t>
      </w:r>
      <w:r w:rsidR="00DC6465" w:rsidRPr="00DC6465">
        <w:rPr>
          <w:rFonts w:ascii="Palatino Linotype" w:hAnsi="Palatino Linotype"/>
        </w:rPr>
        <w:t>The heterogeneity that we observed are actually directly related to the stage of the pandemic each country experienced at the time we analyzed the data. That is, at the start of the pandemic, almost all confirmed cases and associated mortality were originating and reported from China, almost exclusively. This is why, the heterogeneity was at 0% as expected. As the pandemic unfolded further and many more countries started experiencing it, confirmed cases and mortality began to be reported from countries around the globe, in addition to those coming from China. This was manifested by an expected increase in the study heterogeneity</w:t>
      </w:r>
    </w:p>
    <w:p w:rsidR="008B0D8F" w:rsidRPr="00632F23" w:rsidRDefault="008B0D8F" w:rsidP="00EE3F19">
      <w:pPr>
        <w:spacing w:line="480" w:lineRule="auto"/>
        <w:ind w:firstLineChars="50" w:firstLine="120"/>
        <w:contextualSpacing/>
        <w:jc w:val="both"/>
        <w:rPr>
          <w:rFonts w:ascii="Palatino Linotype" w:hAnsi="Palatino Linotype"/>
        </w:rPr>
      </w:pPr>
      <w:r w:rsidRPr="00632F23">
        <w:rPr>
          <w:rFonts w:ascii="Palatino Linotype" w:hAnsi="Palatino Linotype"/>
        </w:rPr>
        <w:t xml:space="preserve">Figure 1B identifies the time period of the day 15 in which the fixed- and random- model estimates split and the estimates of fixed-model proceeds in a similar direction to the pooled model estimates. </w:t>
      </w:r>
    </w:p>
    <w:p w:rsidR="0031078C" w:rsidRPr="00632F23" w:rsidRDefault="0031078C" w:rsidP="00EE3F19">
      <w:pPr>
        <w:spacing w:line="480" w:lineRule="auto"/>
        <w:ind w:firstLineChars="50" w:firstLine="120"/>
        <w:contextualSpacing/>
        <w:jc w:val="both"/>
        <w:rPr>
          <w:rFonts w:ascii="Palatino Linotype" w:hAnsi="Palatino Linotype"/>
        </w:rPr>
      </w:pPr>
    </w:p>
    <w:p w:rsidR="00C637F9" w:rsidRPr="00632F23" w:rsidRDefault="00385EB1" w:rsidP="000A4433">
      <w:pPr>
        <w:pStyle w:val="Heading2"/>
      </w:pPr>
      <w:r w:rsidRPr="00632F23">
        <w:t xml:space="preserve">3.2 </w:t>
      </w:r>
      <w:r w:rsidR="00C637F9" w:rsidRPr="00632F23">
        <w:t xml:space="preserve">Correlations between </w:t>
      </w:r>
      <w:r w:rsidR="002235D9" w:rsidRPr="00632F23">
        <w:t xml:space="preserve">the </w:t>
      </w:r>
      <w:r w:rsidR="00C637F9" w:rsidRPr="00632F23">
        <w:t xml:space="preserve">number of </w:t>
      </w:r>
      <w:r w:rsidR="002235D9" w:rsidRPr="00632F23">
        <w:t xml:space="preserve">confirmed </w:t>
      </w:r>
      <w:r w:rsidR="00C637F9" w:rsidRPr="00632F23">
        <w:t xml:space="preserve">patients and CFR  </w:t>
      </w:r>
    </w:p>
    <w:p w:rsidR="008B0D8F" w:rsidRPr="00632F23" w:rsidRDefault="00C637F9" w:rsidP="00EE3F19">
      <w:pPr>
        <w:spacing w:line="480" w:lineRule="auto"/>
        <w:contextualSpacing/>
        <w:jc w:val="both"/>
        <w:rPr>
          <w:rFonts w:ascii="Palatino Linotype" w:hAnsi="Palatino Linotype"/>
        </w:rPr>
      </w:pPr>
      <w:r w:rsidRPr="00632F23">
        <w:rPr>
          <w:rFonts w:ascii="Palatino Linotype" w:hAnsi="Palatino Linotype"/>
        </w:rPr>
        <w:t xml:space="preserve">Based on Figure 1, we also investigated the relationship </w:t>
      </w:r>
      <w:r w:rsidR="00951265" w:rsidRPr="00632F23">
        <w:rPr>
          <w:rFonts w:ascii="Palatino Linotype" w:hAnsi="Palatino Linotype"/>
        </w:rPr>
        <w:t>between</w:t>
      </w:r>
      <w:r w:rsidRPr="00632F23">
        <w:rPr>
          <w:rFonts w:ascii="Palatino Linotype" w:hAnsi="Palatino Linotype"/>
        </w:rPr>
        <w:t xml:space="preserve"> CFR </w:t>
      </w:r>
      <w:r w:rsidR="00CE5852" w:rsidRPr="00632F23">
        <w:rPr>
          <w:rFonts w:ascii="Palatino Linotype" w:hAnsi="Palatino Linotype"/>
        </w:rPr>
        <w:t xml:space="preserve">and </w:t>
      </w:r>
      <w:r w:rsidRPr="00632F23">
        <w:rPr>
          <w:rFonts w:ascii="Palatino Linotype" w:hAnsi="Palatino Linotype"/>
        </w:rPr>
        <w:t xml:space="preserve">the number of </w:t>
      </w:r>
      <w:r w:rsidR="00142F80" w:rsidRPr="00632F23">
        <w:rPr>
          <w:rFonts w:ascii="Palatino Linotype" w:hAnsi="Palatino Linotype"/>
        </w:rPr>
        <w:t xml:space="preserve">confirmed COVID-19 </w:t>
      </w:r>
      <w:r w:rsidRPr="00632F23">
        <w:rPr>
          <w:rFonts w:ascii="Palatino Linotype" w:hAnsi="Palatino Linotype"/>
        </w:rPr>
        <w:t>patients</w:t>
      </w:r>
      <w:r w:rsidR="002B17E4" w:rsidRPr="00632F23">
        <w:rPr>
          <w:rFonts w:ascii="Palatino Linotype" w:hAnsi="Palatino Linotype"/>
        </w:rPr>
        <w:t xml:space="preserve"> (</w:t>
      </w:r>
      <w:r w:rsidRPr="00632F23">
        <w:rPr>
          <w:rFonts w:ascii="Palatino Linotype" w:hAnsi="Palatino Linotype"/>
        </w:rPr>
        <w:t>Figure 2</w:t>
      </w:r>
      <w:r w:rsidR="002B17E4" w:rsidRPr="00632F23">
        <w:rPr>
          <w:rFonts w:ascii="Palatino Linotype" w:hAnsi="Palatino Linotype"/>
        </w:rPr>
        <w:t>)</w:t>
      </w:r>
      <w:r w:rsidRPr="00632F23">
        <w:rPr>
          <w:rFonts w:ascii="Palatino Linotype" w:hAnsi="Palatino Linotype"/>
        </w:rPr>
        <w:t>. Figure 2A</w:t>
      </w:r>
      <w:r w:rsidR="004F185F" w:rsidRPr="00632F23">
        <w:rPr>
          <w:rFonts w:ascii="Palatino Linotype" w:hAnsi="Palatino Linotype"/>
        </w:rPr>
        <w:t xml:space="preserve"> was devised </w:t>
      </w:r>
      <w:r w:rsidRPr="00632F23">
        <w:rPr>
          <w:rFonts w:ascii="Palatino Linotype" w:hAnsi="Palatino Linotype"/>
        </w:rPr>
        <w:t xml:space="preserve">using the number of patients according to the </w:t>
      </w:r>
      <w:r w:rsidR="002B17E4" w:rsidRPr="00632F23">
        <w:rPr>
          <w:rFonts w:ascii="Palatino Linotype" w:hAnsi="Palatino Linotype"/>
        </w:rPr>
        <w:t>calendar</w:t>
      </w:r>
      <w:r w:rsidRPr="00632F23">
        <w:rPr>
          <w:rFonts w:ascii="Palatino Linotype" w:hAnsi="Palatino Linotype"/>
        </w:rPr>
        <w:t xml:space="preserve"> date rather than the cumulative number of patients</w:t>
      </w:r>
      <w:r w:rsidR="004F185F" w:rsidRPr="00632F23">
        <w:rPr>
          <w:rFonts w:ascii="Palatino Linotype" w:hAnsi="Palatino Linotype"/>
        </w:rPr>
        <w:t>. This figure</w:t>
      </w:r>
      <w:r w:rsidRPr="00632F23">
        <w:rPr>
          <w:rFonts w:ascii="Palatino Linotype" w:hAnsi="Palatino Linotype"/>
        </w:rPr>
        <w:t xml:space="preserve"> </w:t>
      </w:r>
      <w:r w:rsidR="004F185F" w:rsidRPr="00632F23">
        <w:rPr>
          <w:rFonts w:ascii="Palatino Linotype" w:hAnsi="Palatino Linotype"/>
        </w:rPr>
        <w:t>revealed that</w:t>
      </w:r>
      <w:r w:rsidRPr="00632F23">
        <w:rPr>
          <w:rFonts w:ascii="Palatino Linotype" w:hAnsi="Palatino Linotype"/>
        </w:rPr>
        <w:t xml:space="preserve"> CFR</w:t>
      </w:r>
      <w:r w:rsidR="008415E9" w:rsidRPr="00632F23">
        <w:rPr>
          <w:rFonts w:ascii="Palatino Linotype" w:hAnsi="Palatino Linotype"/>
        </w:rPr>
        <w:t>s</w:t>
      </w:r>
      <w:r w:rsidR="004F185F" w:rsidRPr="00632F23">
        <w:rPr>
          <w:rFonts w:ascii="Palatino Linotype" w:hAnsi="Palatino Linotype"/>
        </w:rPr>
        <w:t xml:space="preserve"> linearly</w:t>
      </w:r>
      <w:r w:rsidR="008415E9" w:rsidRPr="00632F23">
        <w:rPr>
          <w:rFonts w:ascii="Palatino Linotype" w:hAnsi="Palatino Linotype"/>
        </w:rPr>
        <w:t xml:space="preserve"> </w:t>
      </w:r>
      <w:r w:rsidRPr="00632F23">
        <w:rPr>
          <w:rFonts w:ascii="Palatino Linotype" w:hAnsi="Palatino Linotype"/>
        </w:rPr>
        <w:t>correlated with the number of confirmed cases</w:t>
      </w:r>
      <w:r w:rsidR="004F185F" w:rsidRPr="00632F23">
        <w:rPr>
          <w:rFonts w:ascii="Palatino Linotype" w:hAnsi="Palatino Linotype"/>
        </w:rPr>
        <w:t>, the more the number of confirmed cases, the higher the CFR</w:t>
      </w:r>
      <w:r w:rsidRPr="00632F23">
        <w:rPr>
          <w:rFonts w:ascii="Palatino Linotype" w:hAnsi="Palatino Linotype"/>
        </w:rPr>
        <w:t xml:space="preserve">. </w:t>
      </w:r>
      <w:r w:rsidR="004F185F" w:rsidRPr="00632F23">
        <w:rPr>
          <w:rFonts w:ascii="Palatino Linotype" w:hAnsi="Palatino Linotype"/>
        </w:rPr>
        <w:t>On the other hand</w:t>
      </w:r>
      <w:r w:rsidRPr="00632F23">
        <w:rPr>
          <w:rFonts w:ascii="Palatino Linotype" w:hAnsi="Palatino Linotype"/>
        </w:rPr>
        <w:t xml:space="preserve">, when </w:t>
      </w:r>
      <w:r w:rsidR="009F1412" w:rsidRPr="00632F23">
        <w:rPr>
          <w:rFonts w:ascii="Palatino Linotype" w:hAnsi="Palatino Linotype"/>
        </w:rPr>
        <w:t xml:space="preserve">the number of patients was </w:t>
      </w:r>
      <w:r w:rsidRPr="00632F23">
        <w:rPr>
          <w:rFonts w:ascii="Palatino Linotype" w:hAnsi="Palatino Linotype"/>
        </w:rPr>
        <w:t xml:space="preserve">adjusted by </w:t>
      </w:r>
      <w:r w:rsidR="002235D9" w:rsidRPr="00632F23">
        <w:rPr>
          <w:rFonts w:ascii="Palatino Linotype" w:hAnsi="Palatino Linotype"/>
        </w:rPr>
        <w:t>days since the first confirmed case</w:t>
      </w:r>
      <w:r w:rsidR="00951265" w:rsidRPr="00632F23">
        <w:rPr>
          <w:rFonts w:ascii="Palatino Linotype" w:hAnsi="Palatino Linotype"/>
        </w:rPr>
        <w:t>,</w:t>
      </w:r>
      <w:r w:rsidR="002235D9" w:rsidRPr="00632F23">
        <w:rPr>
          <w:rFonts w:ascii="Palatino Linotype" w:hAnsi="Palatino Linotype"/>
        </w:rPr>
        <w:t xml:space="preserve"> </w:t>
      </w:r>
      <w:r w:rsidRPr="00632F23">
        <w:rPr>
          <w:rFonts w:ascii="Palatino Linotype" w:hAnsi="Palatino Linotype"/>
        </w:rPr>
        <w:t xml:space="preserve">as shown in Figure 2B, </w:t>
      </w:r>
      <w:r w:rsidR="004F185F" w:rsidRPr="00632F23">
        <w:rPr>
          <w:rFonts w:ascii="Palatino Linotype" w:hAnsi="Palatino Linotype"/>
        </w:rPr>
        <w:t>CFR</w:t>
      </w:r>
      <w:r w:rsidRPr="00632F23">
        <w:rPr>
          <w:rFonts w:ascii="Palatino Linotype" w:hAnsi="Palatino Linotype"/>
        </w:rPr>
        <w:t xml:space="preserve"> increases</w:t>
      </w:r>
      <w:r w:rsidR="00951265" w:rsidRPr="00632F23">
        <w:rPr>
          <w:rFonts w:ascii="Palatino Linotype" w:hAnsi="Palatino Linotype"/>
        </w:rPr>
        <w:t>,</w:t>
      </w:r>
      <w:r w:rsidRPr="00632F23">
        <w:rPr>
          <w:rFonts w:ascii="Palatino Linotype" w:hAnsi="Palatino Linotype"/>
        </w:rPr>
        <w:t xml:space="preserve"> as shown in Figure </w:t>
      </w:r>
      <w:r w:rsidRPr="00632F23">
        <w:rPr>
          <w:rFonts w:ascii="Palatino Linotype" w:hAnsi="Palatino Linotype"/>
        </w:rPr>
        <w:lastRenderedPageBreak/>
        <w:t>1</w:t>
      </w:r>
      <w:r w:rsidR="00951265" w:rsidRPr="00632F23">
        <w:rPr>
          <w:rFonts w:ascii="Palatino Linotype" w:hAnsi="Palatino Linotype"/>
        </w:rPr>
        <w:t>,</w:t>
      </w:r>
      <w:r w:rsidRPr="00632F23">
        <w:rPr>
          <w:rFonts w:ascii="Palatino Linotype" w:hAnsi="Palatino Linotype"/>
        </w:rPr>
        <w:t xml:space="preserve"> until the number of confirmed patients per day reaches 1</w:t>
      </w:r>
      <w:r w:rsidR="009F1412" w:rsidRPr="00632F23">
        <w:rPr>
          <w:rFonts w:ascii="Palatino Linotype" w:hAnsi="Palatino Linotype"/>
        </w:rPr>
        <w:t>.0</w:t>
      </w:r>
      <w:r w:rsidRPr="00632F23">
        <w:rPr>
          <w:rFonts w:ascii="Palatino Linotype" w:hAnsi="Palatino Linotype"/>
        </w:rPr>
        <w:t xml:space="preserve"> million</w:t>
      </w:r>
      <w:r w:rsidR="004F185F" w:rsidRPr="00632F23">
        <w:rPr>
          <w:rFonts w:ascii="Palatino Linotype" w:hAnsi="Palatino Linotype"/>
        </w:rPr>
        <w:t xml:space="preserve"> cases. Following this phase, CFR</w:t>
      </w:r>
      <w:r w:rsidRPr="00632F23">
        <w:rPr>
          <w:rFonts w:ascii="Palatino Linotype" w:hAnsi="Palatino Linotype"/>
        </w:rPr>
        <w:t xml:space="preserve"> </w:t>
      </w:r>
      <w:r w:rsidR="004F185F" w:rsidRPr="00632F23">
        <w:rPr>
          <w:rFonts w:ascii="Palatino Linotype" w:hAnsi="Palatino Linotype"/>
        </w:rPr>
        <w:t xml:space="preserve">then </w:t>
      </w:r>
      <w:r w:rsidRPr="00632F23">
        <w:rPr>
          <w:rFonts w:ascii="Palatino Linotype" w:hAnsi="Palatino Linotype"/>
        </w:rPr>
        <w:t>rapidly increases between 1.0 million and 1.5 million</w:t>
      </w:r>
      <w:r w:rsidR="004F185F" w:rsidRPr="00632F23">
        <w:rPr>
          <w:rFonts w:ascii="Palatino Linotype" w:hAnsi="Palatino Linotype"/>
        </w:rPr>
        <w:t xml:space="preserve"> cases</w:t>
      </w:r>
      <w:r w:rsidRPr="00632F23">
        <w:rPr>
          <w:rFonts w:ascii="Palatino Linotype" w:hAnsi="Palatino Linotype"/>
        </w:rPr>
        <w:t>. After 2</w:t>
      </w:r>
      <w:r w:rsidR="009F1412" w:rsidRPr="00632F23">
        <w:rPr>
          <w:rFonts w:ascii="Palatino Linotype" w:hAnsi="Palatino Linotype"/>
        </w:rPr>
        <w:t>.0</w:t>
      </w:r>
      <w:r w:rsidRPr="00632F23">
        <w:rPr>
          <w:rFonts w:ascii="Palatino Linotype" w:hAnsi="Palatino Linotype"/>
        </w:rPr>
        <w:t xml:space="preserve"> million</w:t>
      </w:r>
      <w:r w:rsidR="004F185F" w:rsidRPr="00632F23">
        <w:rPr>
          <w:rFonts w:ascii="Palatino Linotype" w:hAnsi="Palatino Linotype"/>
        </w:rPr>
        <w:t xml:space="preserve"> cases</w:t>
      </w:r>
      <w:r w:rsidRPr="00632F23">
        <w:rPr>
          <w:rFonts w:ascii="Palatino Linotype" w:hAnsi="Palatino Linotype"/>
        </w:rPr>
        <w:t xml:space="preserve">, </w:t>
      </w:r>
      <w:r w:rsidR="004F185F" w:rsidRPr="00632F23">
        <w:rPr>
          <w:rFonts w:ascii="Palatino Linotype" w:hAnsi="Palatino Linotype"/>
        </w:rPr>
        <w:t>a</w:t>
      </w:r>
      <w:r w:rsidRPr="00632F23">
        <w:rPr>
          <w:rFonts w:ascii="Palatino Linotype" w:hAnsi="Palatino Linotype"/>
        </w:rPr>
        <w:t xml:space="preserve"> plateau pattern continues.</w:t>
      </w:r>
      <w:r w:rsidRPr="00632F23" w:rsidDel="008A6B7B">
        <w:rPr>
          <w:rFonts w:ascii="Palatino Linotype" w:hAnsi="Palatino Linotype"/>
        </w:rPr>
        <w:t xml:space="preserve"> </w:t>
      </w:r>
    </w:p>
    <w:p w:rsidR="0056357E" w:rsidRPr="00632F23" w:rsidRDefault="008B0D8F" w:rsidP="00EE3F19">
      <w:pPr>
        <w:spacing w:line="480" w:lineRule="auto"/>
        <w:ind w:firstLineChars="50" w:firstLine="120"/>
        <w:contextualSpacing/>
        <w:jc w:val="both"/>
        <w:rPr>
          <w:rFonts w:ascii="Palatino Linotype" w:hAnsi="Palatino Linotype"/>
        </w:rPr>
      </w:pPr>
      <w:r w:rsidRPr="00632F23">
        <w:rPr>
          <w:rFonts w:ascii="Palatino Linotype" w:hAnsi="Palatino Linotype"/>
        </w:rPr>
        <w:t>In Figure 2B, the blurry dots represent CFRs in the "unreliable phase." In this phase, CFR decreases when the number of confirmed patients falls below 2 million. The unreliable phase could represent potentially a new phase, the decreasing phase. The model according to calendar date (Figure 2A) may</w:t>
      </w:r>
      <w:r w:rsidR="00ED5D0D" w:rsidRPr="00632F23">
        <w:rPr>
          <w:rFonts w:ascii="Palatino Linotype" w:hAnsi="Palatino Linotype"/>
        </w:rPr>
        <w:t xml:space="preserve"> have</w:t>
      </w:r>
      <w:r w:rsidRPr="00632F23">
        <w:rPr>
          <w:rFonts w:ascii="Palatino Linotype" w:hAnsi="Palatino Linotype"/>
        </w:rPr>
        <w:t xml:space="preserve"> underestimate</w:t>
      </w:r>
      <w:r w:rsidR="00ED5D0D" w:rsidRPr="00632F23">
        <w:rPr>
          <w:rFonts w:ascii="Palatino Linotype" w:hAnsi="Palatino Linotype"/>
        </w:rPr>
        <w:t>d</w:t>
      </w:r>
      <w:r w:rsidRPr="00632F23">
        <w:rPr>
          <w:rFonts w:ascii="Palatino Linotype" w:hAnsi="Palatino Linotype"/>
        </w:rPr>
        <w:t xml:space="preserve"> the CFR</w:t>
      </w:r>
      <w:r w:rsidR="00ED5D0D" w:rsidRPr="00632F23">
        <w:rPr>
          <w:rFonts w:ascii="Palatino Linotype" w:hAnsi="Palatino Linotype"/>
        </w:rPr>
        <w:t>, this might be</w:t>
      </w:r>
      <w:r w:rsidRPr="00632F23">
        <w:rPr>
          <w:rFonts w:ascii="Palatino Linotype" w:hAnsi="Palatino Linotype"/>
        </w:rPr>
        <w:t xml:space="preserve"> because countries being in different stages, and thus phases, of the disease.</w:t>
      </w:r>
    </w:p>
    <w:p w:rsidR="00397F61" w:rsidRPr="00632F23" w:rsidRDefault="00397F61" w:rsidP="00EE3F19">
      <w:pPr>
        <w:jc w:val="both"/>
        <w:rPr>
          <w:rFonts w:ascii="Palatino Linotype" w:eastAsia="Batang" w:hAnsi="Palatino Linotype"/>
          <w:b/>
          <w:sz w:val="22"/>
        </w:rPr>
      </w:pPr>
    </w:p>
    <w:p w:rsidR="00397F61" w:rsidRPr="00632F23" w:rsidRDefault="00397F61" w:rsidP="00EE3F19">
      <w:pPr>
        <w:jc w:val="both"/>
        <w:rPr>
          <w:rFonts w:ascii="Palatino Linotype" w:eastAsia="Batang" w:hAnsi="Palatino Linotype"/>
          <w:b/>
          <w:sz w:val="22"/>
        </w:rPr>
      </w:pPr>
    </w:p>
    <w:p w:rsidR="00F83784" w:rsidRPr="00632F23" w:rsidRDefault="00385EB1" w:rsidP="000A4433">
      <w:pPr>
        <w:pStyle w:val="Heading1"/>
      </w:pPr>
      <w:r w:rsidRPr="00632F23">
        <w:t xml:space="preserve">4. </w:t>
      </w:r>
      <w:r w:rsidR="00F83784" w:rsidRPr="00632F23">
        <w:t xml:space="preserve">Discussion </w:t>
      </w:r>
    </w:p>
    <w:p w:rsidR="0056357E" w:rsidRPr="00632F23" w:rsidRDefault="0056357E" w:rsidP="00EE3F19">
      <w:pPr>
        <w:spacing w:line="480" w:lineRule="auto"/>
        <w:contextualSpacing/>
        <w:jc w:val="both"/>
        <w:rPr>
          <w:rFonts w:ascii="Palatino Linotype" w:hAnsi="Palatino Linotype"/>
        </w:rPr>
      </w:pPr>
      <w:r w:rsidRPr="00632F23">
        <w:rPr>
          <w:rFonts w:ascii="Palatino Linotype" w:hAnsi="Palatino Linotype"/>
        </w:rPr>
        <w:t>We propose that CFR is not a fixed, static rate. It is rather dynamic, constantly fluctuating with time, location, and population, as confirmed in Figure 1. In this context, it is important to view CFR as a function of time, rather than presenting CFR as a single and absolute value. Stratifying CFR by days since the first confirmed case is a novel and innovative attempt to uncover the dynamics of CFR as the epidemic unfolds itself. We believe that the CFR simply stratified by calendar date does not reflect the true epidemic situation of each country.</w:t>
      </w:r>
    </w:p>
    <w:p w:rsidR="00C637F9" w:rsidRPr="00632F23" w:rsidRDefault="0056357E" w:rsidP="00EE3F19">
      <w:pPr>
        <w:spacing w:line="480" w:lineRule="auto"/>
        <w:ind w:firstLineChars="50" w:firstLine="120"/>
        <w:contextualSpacing/>
        <w:jc w:val="both"/>
        <w:rPr>
          <w:rFonts w:ascii="Palatino Linotype" w:hAnsi="Palatino Linotype"/>
        </w:rPr>
      </w:pPr>
      <w:r w:rsidRPr="00632F23">
        <w:rPr>
          <w:rFonts w:ascii="Palatino Linotype" w:hAnsi="Palatino Linotype"/>
        </w:rPr>
        <w:t>Our analysis revealed a CFR trend consisting of four distinctive phases</w:t>
      </w:r>
      <w:r w:rsidR="0031078C" w:rsidRPr="00632F23">
        <w:rPr>
          <w:rFonts w:ascii="Palatino Linotype" w:hAnsi="Palatino Linotype"/>
        </w:rPr>
        <w:t>.</w:t>
      </w:r>
      <w:r w:rsidRPr="00632F23">
        <w:rPr>
          <w:rFonts w:ascii="Palatino Linotype" w:hAnsi="Palatino Linotype"/>
        </w:rPr>
        <w:t xml:space="preserve"> </w:t>
      </w:r>
      <w:r w:rsidR="00CE075C" w:rsidRPr="00632F23">
        <w:rPr>
          <w:rFonts w:ascii="Palatino Linotype" w:hAnsi="Palatino Linotype"/>
        </w:rPr>
        <w:t xml:space="preserve">Based on our results, </w:t>
      </w:r>
      <w:r w:rsidRPr="00632F23">
        <w:rPr>
          <w:rFonts w:ascii="Palatino Linotype" w:hAnsi="Palatino Linotype"/>
        </w:rPr>
        <w:t>w</w:t>
      </w:r>
      <w:r w:rsidR="00C637F9" w:rsidRPr="00632F23">
        <w:rPr>
          <w:rFonts w:ascii="Palatino Linotype" w:hAnsi="Palatino Linotype"/>
        </w:rPr>
        <w:t xml:space="preserve">e carefully propose that the slope of epidemic model will proceed to the next four stages as follows: phase 1 </w:t>
      </w:r>
      <w:r w:rsidR="00C74753" w:rsidRPr="00632F23">
        <w:rPr>
          <w:rFonts w:ascii="Palatino Linotype" w:hAnsi="Palatino Linotype"/>
        </w:rPr>
        <w:t xml:space="preserve">or </w:t>
      </w:r>
      <w:r w:rsidR="00C637F9" w:rsidRPr="00632F23">
        <w:rPr>
          <w:rFonts w:ascii="Palatino Linotype" w:hAnsi="Palatino Linotype"/>
        </w:rPr>
        <w:t xml:space="preserve">initial phase, phase 2 </w:t>
      </w:r>
      <w:r w:rsidR="00C74753" w:rsidRPr="00632F23">
        <w:rPr>
          <w:rFonts w:ascii="Palatino Linotype" w:hAnsi="Palatino Linotype"/>
        </w:rPr>
        <w:t xml:space="preserve">or </w:t>
      </w:r>
      <w:r w:rsidR="00C637F9" w:rsidRPr="00632F23">
        <w:rPr>
          <w:rFonts w:ascii="Palatino Linotype" w:hAnsi="Palatino Linotype"/>
        </w:rPr>
        <w:t xml:space="preserve">rapid increase </w:t>
      </w:r>
      <w:r w:rsidR="00C637F9" w:rsidRPr="00632F23">
        <w:rPr>
          <w:rFonts w:ascii="Palatino Linotype" w:hAnsi="Palatino Linotype"/>
        </w:rPr>
        <w:lastRenderedPageBreak/>
        <w:t xml:space="preserve">phase, phase 3 </w:t>
      </w:r>
      <w:r w:rsidR="00C74753" w:rsidRPr="00632F23">
        <w:rPr>
          <w:rFonts w:ascii="Palatino Linotype" w:hAnsi="Palatino Linotype"/>
        </w:rPr>
        <w:t xml:space="preserve">or </w:t>
      </w:r>
      <w:r w:rsidR="00C637F9" w:rsidRPr="00632F23">
        <w:rPr>
          <w:rFonts w:ascii="Palatino Linotype" w:hAnsi="Palatino Linotype"/>
        </w:rPr>
        <w:t xml:space="preserve">plateau phase and phase 4 </w:t>
      </w:r>
      <w:r w:rsidR="00C74753" w:rsidRPr="00632F23">
        <w:rPr>
          <w:rFonts w:ascii="Palatino Linotype" w:hAnsi="Palatino Linotype"/>
        </w:rPr>
        <w:t xml:space="preserve">or </w:t>
      </w:r>
      <w:r w:rsidR="00C637F9" w:rsidRPr="00632F23">
        <w:rPr>
          <w:rFonts w:ascii="Palatino Linotype" w:hAnsi="Palatino Linotype"/>
        </w:rPr>
        <w:t>decreasing phase. Based on this statistical trend, it is estimated that the global situation of the pandemic will slow down from the time all countries reach phase 3, and it can be improved when the situation has reached the end of the phase. However, as mentioned above and analyzing the data of 100 days so far, the world may remain in phase 3 as of May 2020</w:t>
      </w:r>
      <w:r w:rsidR="00C74753" w:rsidRPr="00632F23">
        <w:rPr>
          <w:rFonts w:ascii="Palatino Linotype" w:hAnsi="Palatino Linotype"/>
        </w:rPr>
        <w:t xml:space="preserve"> for an undetermined amount of time</w:t>
      </w:r>
      <w:r w:rsidR="00C637F9" w:rsidRPr="00632F23">
        <w:rPr>
          <w:rFonts w:ascii="Palatino Linotype" w:hAnsi="Palatino Linotype"/>
        </w:rPr>
        <w:t xml:space="preserve">, and CFR </w:t>
      </w:r>
      <w:r w:rsidR="00C74753" w:rsidRPr="00632F23">
        <w:rPr>
          <w:rFonts w:ascii="Palatino Linotype" w:hAnsi="Palatino Linotype"/>
        </w:rPr>
        <w:t>may not</w:t>
      </w:r>
      <w:r w:rsidR="00C637F9" w:rsidRPr="00632F23">
        <w:rPr>
          <w:rFonts w:ascii="Palatino Linotype" w:hAnsi="Palatino Linotype"/>
        </w:rPr>
        <w:t xml:space="preserve"> </w:t>
      </w:r>
      <w:r w:rsidR="00C74753" w:rsidRPr="00632F23">
        <w:rPr>
          <w:rFonts w:ascii="Palatino Linotype" w:hAnsi="Palatino Linotype"/>
        </w:rPr>
        <w:t xml:space="preserve">have yet </w:t>
      </w:r>
      <w:r w:rsidR="00C637F9" w:rsidRPr="00632F23">
        <w:rPr>
          <w:rFonts w:ascii="Palatino Linotype" w:hAnsi="Palatino Linotype"/>
        </w:rPr>
        <w:t>reached phase 4. It may take considerable amount of time to enter th</w:t>
      </w:r>
      <w:r w:rsidR="00C74753" w:rsidRPr="00632F23">
        <w:rPr>
          <w:rFonts w:ascii="Palatino Linotype" w:hAnsi="Palatino Linotype"/>
        </w:rPr>
        <w:t>is</w:t>
      </w:r>
      <w:r w:rsidR="00C637F9" w:rsidRPr="00632F23">
        <w:rPr>
          <w:rFonts w:ascii="Palatino Linotype" w:hAnsi="Palatino Linotype"/>
        </w:rPr>
        <w:t xml:space="preserve"> final phase.</w:t>
      </w:r>
    </w:p>
    <w:p w:rsidR="0056357E" w:rsidRPr="00632F23" w:rsidRDefault="0056357E" w:rsidP="00632F23">
      <w:pPr>
        <w:spacing w:line="480" w:lineRule="auto"/>
        <w:ind w:firstLineChars="50" w:firstLine="120"/>
        <w:contextualSpacing/>
        <w:jc w:val="both"/>
        <w:rPr>
          <w:rFonts w:ascii="Palatino Linotype" w:hAnsi="Palatino Linotype"/>
          <w:color w:val="FF0000"/>
        </w:rPr>
      </w:pPr>
      <w:r w:rsidRPr="00632F23">
        <w:rPr>
          <w:rFonts w:ascii="Palatino Linotype" w:hAnsi="Palatino Linotype"/>
        </w:rPr>
        <w:t>The method of calculating CFR needs to be cautioned, and its limitations acknowledged. The numerator and the denominator of CFR should be composed of patients infected at the same time as those who died to accurately represent the CFR. To overcome this restraint, Baud et al.</w:t>
      </w:r>
      <w:r w:rsidR="003E5F8D">
        <w:rPr>
          <w:rFonts w:ascii="Palatino Linotype" w:hAnsi="Palatino Linotype"/>
        </w:rPr>
        <w:t xml:space="preserve"> (Baud</w:t>
      </w:r>
      <w:r w:rsidR="00D57773">
        <w:rPr>
          <w:rFonts w:ascii="Palatino Linotype" w:hAnsi="Palatino Linotype"/>
        </w:rPr>
        <w:t xml:space="preserve"> et al.</w:t>
      </w:r>
      <w:r w:rsidR="003E5F8D">
        <w:rPr>
          <w:rFonts w:ascii="Palatino Linotype" w:hAnsi="Palatino Linotype"/>
        </w:rPr>
        <w:t>,</w:t>
      </w:r>
      <w:r w:rsidR="00286C82">
        <w:rPr>
          <w:rFonts w:ascii="Palatino Linotype" w:hAnsi="Palatino Linotype"/>
        </w:rPr>
        <w:t xml:space="preserve"> 2020</w:t>
      </w:r>
      <w:r w:rsidR="003E5F8D">
        <w:rPr>
          <w:rFonts w:ascii="Palatino Linotype" w:hAnsi="Palatino Linotype"/>
        </w:rPr>
        <w:t xml:space="preserve">) </w:t>
      </w:r>
      <w:r w:rsidRPr="00632F23">
        <w:rPr>
          <w:rFonts w:ascii="Palatino Linotype" w:hAnsi="Palatino Linotype"/>
        </w:rPr>
        <w:t>and Wilson et al</w:t>
      </w:r>
      <w:r w:rsidR="003E5F8D">
        <w:rPr>
          <w:rFonts w:ascii="Palatino Linotype" w:hAnsi="Palatino Linotype"/>
        </w:rPr>
        <w:t xml:space="preserve"> (Wislon</w:t>
      </w:r>
      <w:r w:rsidR="00D57773">
        <w:rPr>
          <w:rFonts w:ascii="Palatino Linotype" w:hAnsi="Palatino Linotype"/>
        </w:rPr>
        <w:t xml:space="preserve"> et al.</w:t>
      </w:r>
      <w:r w:rsidR="003E5F8D">
        <w:rPr>
          <w:rFonts w:ascii="Palatino Linotype" w:hAnsi="Palatino Linotype"/>
        </w:rPr>
        <w:t>,</w:t>
      </w:r>
      <w:r w:rsidR="00286C82">
        <w:rPr>
          <w:rFonts w:ascii="Palatino Linotype" w:hAnsi="Palatino Linotype"/>
        </w:rPr>
        <w:t xml:space="preserve"> 2020</w:t>
      </w:r>
      <w:r w:rsidR="003E5F8D">
        <w:rPr>
          <w:rFonts w:ascii="Palatino Linotype" w:hAnsi="Palatino Linotype"/>
        </w:rPr>
        <w:t>)</w:t>
      </w:r>
      <w:r w:rsidRPr="00632F23">
        <w:rPr>
          <w:rFonts w:ascii="Palatino Linotype" w:hAnsi="Palatino Linotype"/>
        </w:rPr>
        <w:t xml:space="preserve"> proposed time delay-adjusted CFR to correct the delay between confirmation and death. They adjusted the denominator of CFR as the number of confirmed cases 13-14 days before the measured date to calculate the number of confirmed cases infected concurrently to those who died. Based on these articles, researchers at Oxford University used their global COVID-19 CFR model according to the date since the outbreak in Jan 2020</w:t>
      </w:r>
      <w:r w:rsidR="00ED5D0D" w:rsidRPr="00632F23">
        <w:rPr>
          <w:rFonts w:ascii="Palatino Linotype" w:hAnsi="Palatino Linotype"/>
        </w:rPr>
        <w:t xml:space="preserve"> </w:t>
      </w:r>
      <w:r w:rsidR="00286C82">
        <w:rPr>
          <w:rFonts w:ascii="Palatino Linotype" w:hAnsi="Palatino Linotype"/>
        </w:rPr>
        <w:t>(CDC, 2020)</w:t>
      </w:r>
      <w:r w:rsidRPr="00632F23">
        <w:rPr>
          <w:rFonts w:ascii="Palatino Linotype" w:hAnsi="Palatino Linotype"/>
        </w:rPr>
        <w:t>. However, Oxford's calculation is also flawed since 13 to 14 days before the date of test confirmation is not necessarily the date when a subject is infected</w:t>
      </w:r>
      <w:r w:rsidR="00ED5D0D" w:rsidRPr="00632F23">
        <w:rPr>
          <w:rFonts w:ascii="Palatino Linotype" w:hAnsi="Palatino Linotype"/>
        </w:rPr>
        <w:t xml:space="preserve"> </w:t>
      </w:r>
      <w:r w:rsidR="00286C82">
        <w:rPr>
          <w:rFonts w:ascii="Palatino Linotype" w:hAnsi="Palatino Linotype"/>
        </w:rPr>
        <w:t>(</w:t>
      </w:r>
      <w:r w:rsidR="00286C82" w:rsidRPr="00632F23">
        <w:rPr>
          <w:rFonts w:ascii="Palatino Linotype" w:hAnsi="Palatino Linotype"/>
          <w:color w:val="333333"/>
          <w:shd w:val="clear" w:color="auto" w:fill="FFFFFF"/>
        </w:rPr>
        <w:t>Spychalski</w:t>
      </w:r>
      <w:r w:rsidR="00D57773" w:rsidRPr="00D57773">
        <w:rPr>
          <w:rFonts w:ascii="Palatino Linotype" w:hAnsi="Palatino Linotype"/>
        </w:rPr>
        <w:t xml:space="preserve"> </w:t>
      </w:r>
      <w:r w:rsidR="00D57773">
        <w:rPr>
          <w:rFonts w:ascii="Palatino Linotype" w:hAnsi="Palatino Linotype"/>
        </w:rPr>
        <w:t>et al.</w:t>
      </w:r>
      <w:r w:rsidR="00286C82">
        <w:rPr>
          <w:rFonts w:ascii="Palatino Linotype" w:hAnsi="Palatino Linotype"/>
          <w:color w:val="333333"/>
          <w:shd w:val="clear" w:color="auto" w:fill="FFFFFF"/>
        </w:rPr>
        <w:t>, 2020)</w:t>
      </w:r>
      <w:r w:rsidRPr="00632F23">
        <w:rPr>
          <w:rFonts w:ascii="Palatino Linotype" w:hAnsi="Palatino Linotype"/>
        </w:rPr>
        <w:t xml:space="preserve">. Moreover, there are cases that show test positivity even after recovery. Additionally, the stretching and overwhelming of the healthcare systems creates a </w:t>
      </w:r>
      <w:r w:rsidRPr="00632F23">
        <w:rPr>
          <w:rFonts w:ascii="Palatino Linotype" w:hAnsi="Palatino Linotype"/>
        </w:rPr>
        <w:lastRenderedPageBreak/>
        <w:t>delay between testing and receiving the results, thus confirming the case. As this adjusted time-delay CFR leads the estimate to an unknown bias</w:t>
      </w:r>
      <w:r w:rsidRPr="00632F23">
        <w:rPr>
          <w:rFonts w:ascii="Palatino Linotype" w:hAnsi="Palatino Linotype"/>
          <w:vertAlign w:val="superscript"/>
        </w:rPr>
        <w:t xml:space="preserve"> </w:t>
      </w:r>
      <w:r w:rsidR="00D57773">
        <w:rPr>
          <w:rFonts w:ascii="Palatino Linotype" w:hAnsi="Palatino Linotype"/>
        </w:rPr>
        <w:t>(</w:t>
      </w:r>
      <w:r w:rsidR="00286C82" w:rsidRPr="00632F23">
        <w:rPr>
          <w:rFonts w:ascii="Palatino Linotype" w:hAnsi="Palatino Linotype"/>
          <w:color w:val="333333"/>
          <w:shd w:val="clear" w:color="auto" w:fill="FFFFFF"/>
        </w:rPr>
        <w:t>Spychalski</w:t>
      </w:r>
      <w:r w:rsidR="00D57773">
        <w:rPr>
          <w:rFonts w:ascii="Palatino Linotype" w:hAnsi="Palatino Linotype"/>
          <w:color w:val="333333"/>
          <w:shd w:val="clear" w:color="auto" w:fill="FFFFFF"/>
        </w:rPr>
        <w:t xml:space="preserve"> </w:t>
      </w:r>
      <w:r w:rsidR="00D57773">
        <w:rPr>
          <w:rFonts w:ascii="Palatino Linotype" w:hAnsi="Palatino Linotype"/>
        </w:rPr>
        <w:t>et al.</w:t>
      </w:r>
      <w:r w:rsidR="00286C82">
        <w:rPr>
          <w:rFonts w:ascii="Palatino Linotype" w:hAnsi="Palatino Linotype"/>
          <w:color w:val="333333"/>
          <w:shd w:val="clear" w:color="auto" w:fill="FFFFFF"/>
        </w:rPr>
        <w:t>, 2020</w:t>
      </w:r>
      <w:r w:rsidR="00286C82">
        <w:rPr>
          <w:rFonts w:ascii="Palatino Linotype" w:hAnsi="Palatino Linotype"/>
        </w:rPr>
        <w:t>;</w:t>
      </w:r>
      <w:r w:rsidRPr="00632F23">
        <w:rPr>
          <w:rFonts w:ascii="Palatino Linotype" w:hAnsi="Palatino Linotype"/>
        </w:rPr>
        <w:t xml:space="preserve"> </w:t>
      </w:r>
      <w:r w:rsidR="00286C82" w:rsidRPr="00632F23">
        <w:rPr>
          <w:rFonts w:ascii="Palatino Linotype" w:hAnsi="Palatino Linotype"/>
        </w:rPr>
        <w:t>Lipsitch</w:t>
      </w:r>
      <w:r w:rsidR="00D57773" w:rsidRPr="00D57773">
        <w:rPr>
          <w:rFonts w:ascii="Palatino Linotype" w:hAnsi="Palatino Linotype"/>
        </w:rPr>
        <w:t xml:space="preserve"> </w:t>
      </w:r>
      <w:r w:rsidR="00D57773">
        <w:rPr>
          <w:rFonts w:ascii="Palatino Linotype" w:hAnsi="Palatino Linotype"/>
        </w:rPr>
        <w:t>et al.</w:t>
      </w:r>
      <w:r w:rsidR="00286C82">
        <w:rPr>
          <w:rFonts w:ascii="Palatino Linotype" w:hAnsi="Palatino Linotype"/>
        </w:rPr>
        <w:t>, 2020</w:t>
      </w:r>
      <w:r w:rsidR="00D57773">
        <w:rPr>
          <w:rFonts w:ascii="Palatino Linotype" w:hAnsi="Palatino Linotype"/>
        </w:rPr>
        <w:t>)</w:t>
      </w:r>
      <w:r w:rsidRPr="00632F23">
        <w:rPr>
          <w:rFonts w:ascii="Palatino Linotype" w:hAnsi="Palatino Linotype"/>
        </w:rPr>
        <w:t>, we used the conventional method to calculate CFR. Moreover, the numerator of the CFR is the number of deaths with COVID-19. We should be aware that this number is imperfect, and may include deaths not directly caused by COVID-19, such as fatal comorbid diseases. This may lead to an overestimation of the number relative to its true value.</w:t>
      </w:r>
    </w:p>
    <w:p w:rsidR="0056357E" w:rsidRPr="00632F23" w:rsidRDefault="0056357E" w:rsidP="00EE3F19">
      <w:pPr>
        <w:spacing w:line="480" w:lineRule="auto"/>
        <w:ind w:firstLineChars="50" w:firstLine="120"/>
        <w:contextualSpacing/>
        <w:jc w:val="both"/>
        <w:rPr>
          <w:rFonts w:ascii="Palatino Linotype" w:hAnsi="Palatino Linotype"/>
          <w:color w:val="FF0000"/>
        </w:rPr>
      </w:pPr>
      <w:r w:rsidRPr="00632F23">
        <w:rPr>
          <w:rFonts w:ascii="Palatino Linotype" w:hAnsi="Palatino Linotype"/>
        </w:rPr>
        <w:t>In the present study, we observed unusually exaggerated estimates from our meta-analyses in the early phase</w:t>
      </w:r>
      <w:r w:rsidR="00083371" w:rsidRPr="00632F23">
        <w:rPr>
          <w:rFonts w:ascii="Palatino Linotype" w:hAnsi="Palatino Linotype"/>
        </w:rPr>
        <w:t xml:space="preserve"> (Phase 1)</w:t>
      </w:r>
      <w:r w:rsidRPr="00632F23">
        <w:rPr>
          <w:rFonts w:ascii="Palatino Linotype" w:hAnsi="Palatino Linotype"/>
        </w:rPr>
        <w:t xml:space="preserve"> of the epidemic, both in CFR based on the calendar date and days since the first confirmed case. This is thought to be a statistical bias, as many groups and countries with small numbers were included. The studies included in the early phase of the epidemic are mostly a bundle of data in which deaths sporadically occurred in very small group sizes</w:t>
      </w:r>
      <w:r w:rsidR="003F7238" w:rsidRPr="00632F23">
        <w:rPr>
          <w:rFonts w:ascii="Palatino Linotype" w:hAnsi="Palatino Linotype"/>
        </w:rPr>
        <w:t xml:space="preserve">. </w:t>
      </w:r>
      <w:r w:rsidRPr="00632F23">
        <w:rPr>
          <w:rFonts w:ascii="Palatino Linotype" w:hAnsi="Palatino Linotype"/>
        </w:rPr>
        <w:t>Such data distribution may have severely exaggerated the meta-analyses results. Therefore, we believe that we should aim for a more standardized and homogenous analysis of the numbers. One method would be to observe the results from the time when the number of confirmed cases in each country has reached a certain distinct level. As a criterion for the time when the result of the meta-analyses becomes meaningful</w:t>
      </w:r>
      <w:r w:rsidR="00083371" w:rsidRPr="00632F23">
        <w:rPr>
          <w:rFonts w:ascii="Palatino Linotype" w:hAnsi="Palatino Linotype"/>
        </w:rPr>
        <w:t xml:space="preserve"> (the starting period of Phase 2)</w:t>
      </w:r>
      <w:r w:rsidRPr="00632F23">
        <w:rPr>
          <w:rFonts w:ascii="Palatino Linotype" w:hAnsi="Palatino Linotype"/>
        </w:rPr>
        <w:t xml:space="preserve">, we </w:t>
      </w:r>
      <w:r w:rsidR="00083371" w:rsidRPr="00632F23">
        <w:rPr>
          <w:rFonts w:ascii="Palatino Linotype" w:hAnsi="Palatino Linotype"/>
        </w:rPr>
        <w:t>presented</w:t>
      </w:r>
      <w:r w:rsidRPr="00632F23">
        <w:rPr>
          <w:rFonts w:ascii="Palatino Linotype" w:hAnsi="Palatino Linotype"/>
        </w:rPr>
        <w:t xml:space="preserve"> </w:t>
      </w:r>
      <w:r w:rsidR="00083371" w:rsidRPr="00632F23">
        <w:rPr>
          <w:rFonts w:ascii="Palatino Linotype" w:hAnsi="Palatino Linotype"/>
        </w:rPr>
        <w:t xml:space="preserve">the time when the </w:t>
      </w:r>
      <w:r w:rsidRPr="00632F23">
        <w:rPr>
          <w:rFonts w:ascii="Palatino Linotype" w:hAnsi="Palatino Linotype"/>
        </w:rPr>
        <w:t>fixed-effect model</w:t>
      </w:r>
      <w:r w:rsidR="00083371" w:rsidRPr="00354D1C">
        <w:rPr>
          <w:rFonts w:ascii="Palatino Linotype" w:hAnsi="Palatino Linotype"/>
          <w:color w:val="000000"/>
        </w:rPr>
        <w:t xml:space="preserve"> and </w:t>
      </w:r>
      <w:r w:rsidRPr="00632F23">
        <w:rPr>
          <w:rFonts w:ascii="Palatino Linotype" w:hAnsi="Palatino Linotype"/>
        </w:rPr>
        <w:t>random-effect model</w:t>
      </w:r>
      <w:r w:rsidR="00083371" w:rsidRPr="00632F23">
        <w:rPr>
          <w:rFonts w:ascii="Palatino Linotype" w:hAnsi="Palatino Linotype"/>
        </w:rPr>
        <w:t xml:space="preserve"> coincided:  i</w:t>
      </w:r>
      <w:r w:rsidRPr="00632F23">
        <w:rPr>
          <w:rFonts w:ascii="Palatino Linotype" w:hAnsi="Palatino Linotype"/>
        </w:rPr>
        <w:t xml:space="preserve">n the time-trend graph of every meta-analysis, the initial estimates of the random-model and the fixed-model almost </w:t>
      </w:r>
      <w:r w:rsidRPr="00632F23">
        <w:rPr>
          <w:rFonts w:ascii="Palatino Linotype" w:hAnsi="Palatino Linotype"/>
        </w:rPr>
        <w:lastRenderedPageBreak/>
        <w:t>coincides, and diverges from a certain point of time which is interestingly Day 15 from the first case in each country.</w:t>
      </w:r>
    </w:p>
    <w:p w:rsidR="004071B5" w:rsidRPr="00632F23" w:rsidRDefault="00C637F9" w:rsidP="00EE3F19">
      <w:pPr>
        <w:spacing w:line="480" w:lineRule="auto"/>
        <w:ind w:firstLineChars="50" w:firstLine="120"/>
        <w:jc w:val="both"/>
        <w:rPr>
          <w:rFonts w:ascii="Palatino Linotype" w:hAnsi="Palatino Linotype"/>
        </w:rPr>
      </w:pPr>
      <w:r w:rsidRPr="00632F23">
        <w:rPr>
          <w:rFonts w:ascii="Palatino Linotype" w:hAnsi="Palatino Linotype"/>
        </w:rPr>
        <w:t>There are inevitable errors that arise because actual confirmed cases or COVID-19 deaths are not properly reflected due to differences in the medical system capabilities</w:t>
      </w:r>
      <w:r w:rsidR="009D712D" w:rsidRPr="00632F23">
        <w:rPr>
          <w:rFonts w:ascii="Palatino Linotype" w:hAnsi="Palatino Linotype"/>
        </w:rPr>
        <w:t xml:space="preserve"> and the response to the pandemic</w:t>
      </w:r>
      <w:r w:rsidRPr="00632F23">
        <w:rPr>
          <w:rFonts w:ascii="Palatino Linotype" w:hAnsi="Palatino Linotype"/>
        </w:rPr>
        <w:t xml:space="preserve"> in each country. Moreover, the number of screening tests for COVID-19 differs by the diverse screening criteria of each country. The rapid spread of COVID-19 means there are cases and deaths that not</w:t>
      </w:r>
      <w:r w:rsidR="009D712D" w:rsidRPr="00632F23">
        <w:rPr>
          <w:rFonts w:ascii="Palatino Linotype" w:hAnsi="Palatino Linotype"/>
        </w:rPr>
        <w:t xml:space="preserve"> accounted for and consequently not</w:t>
      </w:r>
      <w:r w:rsidRPr="00632F23">
        <w:rPr>
          <w:rFonts w:ascii="Palatino Linotype" w:hAnsi="Palatino Linotype"/>
        </w:rPr>
        <w:t xml:space="preserve"> recorded in the reported statistics. The screening criteria may have changed </w:t>
      </w:r>
      <w:r w:rsidR="009D712D" w:rsidRPr="00632F23">
        <w:rPr>
          <w:rFonts w:ascii="Palatino Linotype" w:hAnsi="Palatino Linotype"/>
        </w:rPr>
        <w:t xml:space="preserve">and evolve </w:t>
      </w:r>
      <w:r w:rsidRPr="00632F23">
        <w:rPr>
          <w:rFonts w:ascii="Palatino Linotype" w:hAnsi="Palatino Linotype"/>
        </w:rPr>
        <w:t>as COVID-19 spreads in a country. For example, South Korea had originally limited the screening tests to people with fever (37∙5ºC or above), respiratory symptoms who had contacts with a person returning from China or confirmed symptomatic cases within the last 14 days</w:t>
      </w:r>
      <w:r w:rsidR="00ED5D0D" w:rsidRPr="00632F23">
        <w:rPr>
          <w:rFonts w:ascii="Palatino Linotype" w:hAnsi="Palatino Linotype"/>
        </w:rPr>
        <w:t xml:space="preserve"> </w:t>
      </w:r>
      <w:r w:rsidR="007275A5">
        <w:rPr>
          <w:rFonts w:ascii="Palatino Linotype" w:hAnsi="Palatino Linotype"/>
        </w:rPr>
        <w:t>(</w:t>
      </w:r>
      <w:r w:rsidR="007275A5" w:rsidRPr="00632F23">
        <w:rPr>
          <w:rFonts w:ascii="Palatino Linotype" w:hAnsi="Palatino Linotype"/>
        </w:rPr>
        <w:t>Medicine TKAoI</w:t>
      </w:r>
      <w:r w:rsidR="007275A5">
        <w:rPr>
          <w:rFonts w:ascii="Palatino Linotype" w:hAnsi="Palatino Linotype"/>
        </w:rPr>
        <w:t>, 2020).</w:t>
      </w:r>
      <w:r w:rsidRPr="00632F23">
        <w:rPr>
          <w:rFonts w:ascii="Palatino Linotype" w:hAnsi="Palatino Linotype"/>
        </w:rPr>
        <w:t xml:space="preserve"> But as the disease spreads, South Korea widened the screening criteria to anyone who needs to be hospitalized based on a </w:t>
      </w:r>
      <w:r w:rsidR="00951265" w:rsidRPr="00632F23">
        <w:rPr>
          <w:rFonts w:ascii="Palatino Linotype" w:hAnsi="Palatino Linotype"/>
        </w:rPr>
        <w:t>physician's</w:t>
      </w:r>
      <w:r w:rsidRPr="00632F23">
        <w:rPr>
          <w:rFonts w:ascii="Palatino Linotype" w:hAnsi="Palatino Linotype"/>
        </w:rPr>
        <w:t xml:space="preserve"> decision due to pneumonia from an unknown source</w:t>
      </w:r>
      <w:r w:rsidR="00ED5D0D" w:rsidRPr="00632F23">
        <w:rPr>
          <w:rFonts w:ascii="Palatino Linotype" w:hAnsi="Palatino Linotype"/>
        </w:rPr>
        <w:t xml:space="preserve"> </w:t>
      </w:r>
      <w:r w:rsidR="007275A5">
        <w:rPr>
          <w:rFonts w:ascii="Palatino Linotype" w:hAnsi="Palatino Linotype"/>
        </w:rPr>
        <w:t>(</w:t>
      </w:r>
      <w:r w:rsidR="007275A5" w:rsidRPr="00632F23">
        <w:rPr>
          <w:rFonts w:ascii="Palatino Linotype" w:hAnsi="Palatino Linotype"/>
        </w:rPr>
        <w:t>Medicine TKAoI</w:t>
      </w:r>
      <w:r w:rsidR="007275A5">
        <w:rPr>
          <w:rFonts w:ascii="Palatino Linotype" w:hAnsi="Palatino Linotype"/>
        </w:rPr>
        <w:t>, 2020).</w:t>
      </w:r>
    </w:p>
    <w:p w:rsidR="00C637F9" w:rsidRPr="00632F23" w:rsidRDefault="007B7717" w:rsidP="00EE3F19">
      <w:pPr>
        <w:spacing w:line="480" w:lineRule="auto"/>
        <w:ind w:firstLineChars="50" w:firstLine="120"/>
        <w:jc w:val="both"/>
        <w:rPr>
          <w:rFonts w:ascii="Palatino Linotype" w:hAnsi="Palatino Linotype"/>
        </w:rPr>
      </w:pPr>
      <w:r w:rsidRPr="00632F23">
        <w:rPr>
          <w:rFonts w:ascii="Palatino Linotype" w:hAnsi="Palatino Linotype"/>
        </w:rPr>
        <w:t>T</w:t>
      </w:r>
      <w:r w:rsidR="00C637F9" w:rsidRPr="00632F23">
        <w:rPr>
          <w:rFonts w:ascii="Palatino Linotype" w:hAnsi="Palatino Linotype"/>
        </w:rPr>
        <w:t>he capability</w:t>
      </w:r>
      <w:r w:rsidR="009D712D" w:rsidRPr="00632F23">
        <w:rPr>
          <w:rFonts w:ascii="Palatino Linotype" w:hAnsi="Palatino Linotype"/>
        </w:rPr>
        <w:t xml:space="preserve"> and efficiency</w:t>
      </w:r>
      <w:r w:rsidR="00C637F9" w:rsidRPr="00632F23">
        <w:rPr>
          <w:rFonts w:ascii="Palatino Linotype" w:hAnsi="Palatino Linotype"/>
        </w:rPr>
        <w:t xml:space="preserve"> of </w:t>
      </w:r>
      <w:r w:rsidR="00951265" w:rsidRPr="00632F23">
        <w:rPr>
          <w:rFonts w:ascii="Palatino Linotype" w:hAnsi="Palatino Linotype"/>
        </w:rPr>
        <w:t>healthcare</w:t>
      </w:r>
      <w:r w:rsidR="00C637F9" w:rsidRPr="00632F23">
        <w:rPr>
          <w:rFonts w:ascii="Palatino Linotype" w:hAnsi="Palatino Linotype"/>
        </w:rPr>
        <w:t xml:space="preserve"> systems and the testing ability of COVID-19 </w:t>
      </w:r>
      <w:r w:rsidR="009D712D" w:rsidRPr="00632F23">
        <w:rPr>
          <w:rFonts w:ascii="Palatino Linotype" w:hAnsi="Palatino Linotype"/>
        </w:rPr>
        <w:t>are</w:t>
      </w:r>
      <w:r w:rsidR="00C637F9" w:rsidRPr="00632F23">
        <w:rPr>
          <w:rFonts w:ascii="Palatino Linotype" w:hAnsi="Palatino Linotype"/>
        </w:rPr>
        <w:t xml:space="preserve"> also important. When the overall testing capability for COVID-19 is limited to the most severe cases hospitalized with severe illness, the number of confirmed COVID-19 cases with mild symptoms and easily recoverable cases will be underrepresented resulting in artificially inflated CFRs. The capability of </w:t>
      </w:r>
      <w:r w:rsidR="00951265" w:rsidRPr="00632F23">
        <w:rPr>
          <w:rFonts w:ascii="Palatino Linotype" w:hAnsi="Palatino Linotype"/>
        </w:rPr>
        <w:t>healthcare</w:t>
      </w:r>
      <w:r w:rsidR="00C637F9" w:rsidRPr="00632F23">
        <w:rPr>
          <w:rFonts w:ascii="Palatino Linotype" w:hAnsi="Palatino Linotype"/>
        </w:rPr>
        <w:t xml:space="preserve"> systems is </w:t>
      </w:r>
      <w:r w:rsidR="009D712D" w:rsidRPr="00632F23">
        <w:rPr>
          <w:rFonts w:ascii="Palatino Linotype" w:hAnsi="Palatino Linotype"/>
        </w:rPr>
        <w:t>central</w:t>
      </w:r>
      <w:r w:rsidR="00C637F9" w:rsidRPr="00632F23">
        <w:rPr>
          <w:rFonts w:ascii="Palatino Linotype" w:hAnsi="Palatino Linotype"/>
        </w:rPr>
        <w:t xml:space="preserve"> because, in practice, there are many cases where </w:t>
      </w:r>
      <w:r w:rsidR="00C637F9" w:rsidRPr="00632F23">
        <w:rPr>
          <w:rFonts w:ascii="Palatino Linotype" w:hAnsi="Palatino Linotype"/>
        </w:rPr>
        <w:lastRenderedPageBreak/>
        <w:t xml:space="preserve">COVID-19 patients are concentrated in </w:t>
      </w:r>
      <w:r w:rsidR="009D712D" w:rsidRPr="00632F23">
        <w:rPr>
          <w:rFonts w:ascii="Palatino Linotype" w:hAnsi="Palatino Linotype"/>
        </w:rPr>
        <w:t>one geographical location</w:t>
      </w:r>
      <w:r w:rsidR="00C637F9" w:rsidRPr="00632F23">
        <w:rPr>
          <w:rFonts w:ascii="Palatino Linotype" w:hAnsi="Palatino Linotype"/>
        </w:rPr>
        <w:t>. Cases of the disease in Italy spread fast, especially in the North, with an overwhelming proportion of individuals in need of intensive care units</w:t>
      </w:r>
      <w:r w:rsidR="00ED5D0D" w:rsidRPr="00632F23">
        <w:rPr>
          <w:rFonts w:ascii="Palatino Linotype" w:hAnsi="Palatino Linotype"/>
        </w:rPr>
        <w:t xml:space="preserve"> </w:t>
      </w:r>
      <w:r w:rsidR="00DE7E47">
        <w:rPr>
          <w:rFonts w:ascii="Palatino Linotype" w:hAnsi="Palatino Linotype"/>
        </w:rPr>
        <w:t>(</w:t>
      </w:r>
      <w:r w:rsidR="00DE7E47" w:rsidRPr="00632F23">
        <w:rPr>
          <w:rFonts w:ascii="Palatino Linotype" w:hAnsi="Palatino Linotype"/>
          <w:noProof/>
        </w:rPr>
        <w:t>University of Tokyo Health Service Center, 2020</w:t>
      </w:r>
      <w:r w:rsidR="00DE7E47">
        <w:rPr>
          <w:rFonts w:ascii="Palatino Linotype" w:hAnsi="Palatino Linotype"/>
          <w:noProof/>
        </w:rPr>
        <w:t>;</w:t>
      </w:r>
      <w:r w:rsidR="00AF5E71" w:rsidRPr="00AF5E71">
        <w:rPr>
          <w:rFonts w:ascii="Palatino Linotype" w:hAnsi="Palatino Linotype"/>
        </w:rPr>
        <w:t xml:space="preserve"> </w:t>
      </w:r>
      <w:r w:rsidR="00AF5E71" w:rsidRPr="00632F23">
        <w:rPr>
          <w:rFonts w:ascii="Palatino Linotype" w:hAnsi="Palatino Linotype"/>
        </w:rPr>
        <w:t>Speciale</w:t>
      </w:r>
      <w:r w:rsidR="00D57773" w:rsidRPr="00D57773">
        <w:rPr>
          <w:rFonts w:ascii="Palatino Linotype" w:hAnsi="Palatino Linotype"/>
        </w:rPr>
        <w:t xml:space="preserve"> </w:t>
      </w:r>
      <w:r w:rsidR="00D57773">
        <w:rPr>
          <w:rFonts w:ascii="Palatino Linotype" w:hAnsi="Palatino Linotype"/>
        </w:rPr>
        <w:t>et al.</w:t>
      </w:r>
      <w:r w:rsidR="00AF5E71">
        <w:rPr>
          <w:rFonts w:ascii="Palatino Linotype" w:hAnsi="Palatino Linotype"/>
        </w:rPr>
        <w:t>, 2020)</w:t>
      </w:r>
      <w:r w:rsidR="00ED5D0D" w:rsidRPr="00632F23">
        <w:rPr>
          <w:rFonts w:ascii="Palatino Linotype" w:hAnsi="Palatino Linotype"/>
        </w:rPr>
        <w:t>.</w:t>
      </w:r>
      <w:r w:rsidR="00C637F9" w:rsidRPr="00632F23">
        <w:rPr>
          <w:rFonts w:ascii="Palatino Linotype" w:hAnsi="Palatino Linotype"/>
        </w:rPr>
        <w:t xml:space="preserve"> </w:t>
      </w:r>
    </w:p>
    <w:p w:rsidR="00C637F9" w:rsidRDefault="006005E4" w:rsidP="00EE3F19">
      <w:pPr>
        <w:spacing w:line="480" w:lineRule="auto"/>
        <w:ind w:firstLineChars="50" w:firstLine="120"/>
        <w:jc w:val="both"/>
        <w:rPr>
          <w:rFonts w:ascii="Palatino Linotype" w:hAnsi="Palatino Linotype"/>
        </w:rPr>
      </w:pPr>
      <w:r>
        <w:rPr>
          <w:rFonts w:ascii="Palatino Linotype" w:hAnsi="Palatino Linotype"/>
        </w:rPr>
        <w:t>Other</w:t>
      </w:r>
      <w:r w:rsidRPr="006005E4">
        <w:rPr>
          <w:rFonts w:ascii="Palatino Linotype" w:hAnsi="Palatino Linotype"/>
        </w:rPr>
        <w:t xml:space="preserve"> previous studies have performed meta-analysis of observational of COVID-19 studies and reported pooled incidence of mortality. Zhao found a pooled CFR of 3.1% after analyzing 30 studies with 53000 patients</w:t>
      </w:r>
      <w:r>
        <w:rPr>
          <w:rFonts w:ascii="Palatino Linotype" w:hAnsi="Palatino Linotype"/>
        </w:rPr>
        <w:t xml:space="preserve"> (</w:t>
      </w:r>
      <w:r w:rsidRPr="006005E4">
        <w:rPr>
          <w:rFonts w:ascii="Palatino Linotype" w:hAnsi="Palatino Linotype"/>
        </w:rPr>
        <w:t>Zhao</w:t>
      </w:r>
      <w:r>
        <w:rPr>
          <w:rFonts w:ascii="Palatino Linotype" w:hAnsi="Palatino Linotype"/>
        </w:rPr>
        <w:t xml:space="preserve"> et all, 2020). However, </w:t>
      </w:r>
      <w:r w:rsidR="00C637F9" w:rsidRPr="00632F23">
        <w:rPr>
          <w:rFonts w:ascii="Palatino Linotype" w:hAnsi="Palatino Linotype"/>
        </w:rPr>
        <w:t xml:space="preserve">our meta-analysis of CFR calculated from the first confirmed case, we set new standards for observing CFR and suggest </w:t>
      </w:r>
      <w:r w:rsidR="005710E5" w:rsidRPr="00632F23">
        <w:rPr>
          <w:rFonts w:ascii="Palatino Linotype" w:hAnsi="Palatino Linotype"/>
        </w:rPr>
        <w:t>the four</w:t>
      </w:r>
      <w:r w:rsidR="00C637F9" w:rsidRPr="00632F23">
        <w:rPr>
          <w:rFonts w:ascii="Palatino Linotype" w:hAnsi="Palatino Linotype"/>
        </w:rPr>
        <w:t xml:space="preserve"> phases of epidemic pattern. From the results, it is unclear whether the CFR time trend </w:t>
      </w:r>
      <w:r w:rsidR="00EE2B03" w:rsidRPr="00632F23">
        <w:rPr>
          <w:rFonts w:ascii="Palatino Linotype" w:hAnsi="Palatino Linotype"/>
        </w:rPr>
        <w:t xml:space="preserve">could be explained by our </w:t>
      </w:r>
      <w:r w:rsidR="00C637F9" w:rsidRPr="00632F23">
        <w:rPr>
          <w:rFonts w:ascii="Palatino Linotype" w:hAnsi="Palatino Linotype"/>
        </w:rPr>
        <w:t>epidemic stage</w:t>
      </w:r>
      <w:r w:rsidR="00EE2B03" w:rsidRPr="00632F23">
        <w:rPr>
          <w:rFonts w:ascii="Palatino Linotype" w:hAnsi="Palatino Linotype"/>
        </w:rPr>
        <w:t>s</w:t>
      </w:r>
      <w:r w:rsidR="00C637F9" w:rsidRPr="00632F23">
        <w:rPr>
          <w:rFonts w:ascii="Palatino Linotype" w:hAnsi="Palatino Linotype"/>
        </w:rPr>
        <w:t xml:space="preserve"> of COVID-19. </w:t>
      </w:r>
      <w:r w:rsidR="009D712D" w:rsidRPr="00632F23">
        <w:rPr>
          <w:rFonts w:ascii="Palatino Linotype" w:hAnsi="Palatino Linotype"/>
        </w:rPr>
        <w:t xml:space="preserve">This might be because </w:t>
      </w:r>
      <w:r w:rsidR="00EE2B03" w:rsidRPr="00632F23">
        <w:rPr>
          <w:rFonts w:ascii="Palatino Linotype" w:hAnsi="Palatino Linotype"/>
        </w:rPr>
        <w:t>the pandemic is still in progress and the</w:t>
      </w:r>
      <w:r w:rsidR="009D712D" w:rsidRPr="00632F23">
        <w:rPr>
          <w:rFonts w:ascii="Palatino Linotype" w:hAnsi="Palatino Linotype"/>
        </w:rPr>
        <w:t xml:space="preserve"> data is far from complete and accurate</w:t>
      </w:r>
      <w:r w:rsidR="00EE2B03" w:rsidRPr="00632F23">
        <w:rPr>
          <w:rFonts w:ascii="Palatino Linotype" w:hAnsi="Palatino Linotype"/>
        </w:rPr>
        <w:t xml:space="preserve">. </w:t>
      </w:r>
      <w:r w:rsidR="009D712D" w:rsidRPr="00632F23">
        <w:rPr>
          <w:rFonts w:ascii="Palatino Linotype" w:hAnsi="Palatino Linotype"/>
        </w:rPr>
        <w:t>Future studies and</w:t>
      </w:r>
      <w:r w:rsidR="00EE2B03" w:rsidRPr="00632F23">
        <w:rPr>
          <w:rFonts w:ascii="Palatino Linotype" w:hAnsi="Palatino Linotype"/>
        </w:rPr>
        <w:t xml:space="preserve"> discussions </w:t>
      </w:r>
      <w:r w:rsidR="005710E5" w:rsidRPr="00632F23">
        <w:rPr>
          <w:rFonts w:ascii="Palatino Linotype" w:hAnsi="Palatino Linotype"/>
        </w:rPr>
        <w:t xml:space="preserve">are needed to fulfill the </w:t>
      </w:r>
      <w:r w:rsidR="00EE2B03" w:rsidRPr="00632F23">
        <w:rPr>
          <w:rFonts w:ascii="Palatino Linotype" w:hAnsi="Palatino Linotype"/>
        </w:rPr>
        <w:t>unmet need for a consensus of the definition of</w:t>
      </w:r>
      <w:r w:rsidR="005710E5" w:rsidRPr="00632F23">
        <w:rPr>
          <w:rFonts w:ascii="Palatino Linotype" w:hAnsi="Palatino Linotype"/>
        </w:rPr>
        <w:t xml:space="preserve"> each phase.</w:t>
      </w:r>
      <w:r w:rsidR="009D712D" w:rsidRPr="00632F23">
        <w:rPr>
          <w:rFonts w:ascii="Palatino Linotype" w:hAnsi="Palatino Linotype"/>
        </w:rPr>
        <w:t xml:space="preserve"> It would also be interesting to explore the </w:t>
      </w:r>
      <w:r w:rsidR="002564BF" w:rsidRPr="00632F23">
        <w:rPr>
          <w:rFonts w:ascii="Palatino Linotype" w:hAnsi="Palatino Linotype"/>
        </w:rPr>
        <w:t>relation</w:t>
      </w:r>
      <w:r w:rsidR="00D90EF8" w:rsidRPr="00632F23">
        <w:rPr>
          <w:rFonts w:ascii="Palatino Linotype" w:hAnsi="Palatino Linotype"/>
        </w:rPr>
        <w:t xml:space="preserve"> </w:t>
      </w:r>
      <w:r w:rsidR="009D712D" w:rsidRPr="00632F23">
        <w:rPr>
          <w:rFonts w:ascii="Palatino Linotype" w:hAnsi="Palatino Linotype"/>
        </w:rPr>
        <w:t>between CFR and the number of testing performed</w:t>
      </w:r>
      <w:r w:rsidR="002564BF" w:rsidRPr="00632F23">
        <w:rPr>
          <w:rFonts w:ascii="Palatino Linotype" w:hAnsi="Palatino Linotype"/>
        </w:rPr>
        <w:t>.</w:t>
      </w:r>
      <w:r w:rsidR="00D90EF8" w:rsidRPr="00632F23">
        <w:rPr>
          <w:rFonts w:ascii="Palatino Linotype" w:hAnsi="Palatino Linotype"/>
        </w:rPr>
        <w:t xml:space="preserve"> </w:t>
      </w:r>
      <w:r w:rsidR="002564BF" w:rsidRPr="00632F23">
        <w:rPr>
          <w:rFonts w:ascii="Palatino Linotype" w:hAnsi="Palatino Linotype"/>
        </w:rPr>
        <w:t>More</w:t>
      </w:r>
      <w:r w:rsidR="00D90EF8" w:rsidRPr="00632F23">
        <w:rPr>
          <w:rFonts w:ascii="Palatino Linotype" w:hAnsi="Palatino Linotype"/>
        </w:rPr>
        <w:t xml:space="preserve"> specifically</w:t>
      </w:r>
      <w:r w:rsidR="002564BF" w:rsidRPr="00632F23">
        <w:rPr>
          <w:rFonts w:ascii="Palatino Linotype" w:hAnsi="Palatino Linotype"/>
        </w:rPr>
        <w:t>,</w:t>
      </w:r>
      <w:r w:rsidR="00D90EF8" w:rsidRPr="00632F23">
        <w:rPr>
          <w:rFonts w:ascii="Palatino Linotype" w:hAnsi="Palatino Linotype"/>
        </w:rPr>
        <w:t xml:space="preserve"> </w:t>
      </w:r>
      <w:r w:rsidR="002564BF" w:rsidRPr="00632F23">
        <w:rPr>
          <w:rFonts w:ascii="Palatino Linotype" w:hAnsi="Palatino Linotype"/>
        </w:rPr>
        <w:t xml:space="preserve">it would be of great added value to </w:t>
      </w:r>
      <w:r w:rsidR="00D90EF8" w:rsidRPr="00632F23">
        <w:rPr>
          <w:rFonts w:ascii="Palatino Linotype" w:hAnsi="Palatino Linotype"/>
        </w:rPr>
        <w:t>explor</w:t>
      </w:r>
      <w:r w:rsidR="002564BF" w:rsidRPr="00632F23">
        <w:rPr>
          <w:rFonts w:ascii="Palatino Linotype" w:hAnsi="Palatino Linotype"/>
        </w:rPr>
        <w:t>e</w:t>
      </w:r>
      <w:r w:rsidR="00D90EF8" w:rsidRPr="00632F23">
        <w:rPr>
          <w:rFonts w:ascii="Palatino Linotype" w:hAnsi="Palatino Linotype"/>
        </w:rPr>
        <w:t xml:space="preserve"> if higher</w:t>
      </w:r>
      <w:r w:rsidR="002564BF" w:rsidRPr="00632F23">
        <w:rPr>
          <w:rFonts w:ascii="Palatino Linotype" w:hAnsi="Palatino Linotype"/>
        </w:rPr>
        <w:t xml:space="preserve"> number of</w:t>
      </w:r>
      <w:r w:rsidR="00D90EF8" w:rsidRPr="00632F23">
        <w:rPr>
          <w:rFonts w:ascii="Palatino Linotype" w:hAnsi="Palatino Linotype"/>
        </w:rPr>
        <w:t xml:space="preserve"> testing and availability </w:t>
      </w:r>
      <w:r w:rsidR="002564BF" w:rsidRPr="00632F23">
        <w:rPr>
          <w:rFonts w:ascii="Palatino Linotype" w:hAnsi="Palatino Linotype"/>
        </w:rPr>
        <w:t xml:space="preserve">is associated with </w:t>
      </w:r>
      <w:r w:rsidR="00D90EF8" w:rsidRPr="00632F23">
        <w:rPr>
          <w:rFonts w:ascii="Palatino Linotype" w:hAnsi="Palatino Linotype"/>
        </w:rPr>
        <w:t>a lower CFR</w:t>
      </w:r>
      <w:r w:rsidR="002515F6" w:rsidRPr="00632F23">
        <w:rPr>
          <w:rFonts w:ascii="Palatino Linotype" w:hAnsi="Palatino Linotype"/>
        </w:rPr>
        <w:t xml:space="preserve">. When the CFR is estimated by day since </w:t>
      </w:r>
      <w:r w:rsidR="00951265" w:rsidRPr="00632F23">
        <w:rPr>
          <w:rFonts w:ascii="Palatino Linotype" w:hAnsi="Palatino Linotype"/>
        </w:rPr>
        <w:t xml:space="preserve">the </w:t>
      </w:r>
      <w:r w:rsidR="002515F6" w:rsidRPr="00632F23">
        <w:rPr>
          <w:rFonts w:ascii="Palatino Linotype" w:hAnsi="Palatino Linotype"/>
        </w:rPr>
        <w:t xml:space="preserve">first confirmed case, the estimates could be more representative of </w:t>
      </w:r>
      <w:r w:rsidR="00951265" w:rsidRPr="00632F23">
        <w:rPr>
          <w:rFonts w:ascii="Palatino Linotype" w:hAnsi="Palatino Linotype"/>
        </w:rPr>
        <w:t>"</w:t>
      </w:r>
      <w:r w:rsidR="002515F6" w:rsidRPr="00632F23">
        <w:rPr>
          <w:rFonts w:ascii="Palatino Linotype" w:hAnsi="Palatino Linotype"/>
        </w:rPr>
        <w:t>the true kinetics</w:t>
      </w:r>
      <w:r w:rsidR="00951265" w:rsidRPr="00632F23">
        <w:rPr>
          <w:rFonts w:ascii="Palatino Linotype" w:hAnsi="Palatino Linotype"/>
        </w:rPr>
        <w:t>"</w:t>
      </w:r>
      <w:r w:rsidR="002515F6" w:rsidRPr="00632F23">
        <w:rPr>
          <w:rFonts w:ascii="Palatino Linotype" w:hAnsi="Palatino Linotype"/>
        </w:rPr>
        <w:t xml:space="preserve"> of COVID-19 CFR by time in a country. </w:t>
      </w:r>
      <w:r w:rsidR="00C637F9" w:rsidRPr="00632F23">
        <w:rPr>
          <w:rFonts w:ascii="Palatino Linotype" w:hAnsi="Palatino Linotype"/>
        </w:rPr>
        <w:t>The stages of the epidemic should be classified by setting appropriate standards based on reliable global data</w:t>
      </w:r>
      <w:r w:rsidR="00951265" w:rsidRPr="00632F23">
        <w:rPr>
          <w:rFonts w:ascii="Palatino Linotype" w:hAnsi="Palatino Linotype"/>
        </w:rPr>
        <w:t>,</w:t>
      </w:r>
      <w:r w:rsidR="00C637F9" w:rsidRPr="00632F23">
        <w:rPr>
          <w:rFonts w:ascii="Palatino Linotype" w:hAnsi="Palatino Linotype"/>
        </w:rPr>
        <w:t xml:space="preserve"> and discussion of setting these standards is necessary. </w:t>
      </w:r>
      <w:r w:rsidR="00ED5D0D" w:rsidRPr="00632F23">
        <w:rPr>
          <w:rFonts w:ascii="Palatino Linotype" w:hAnsi="Palatino Linotype"/>
        </w:rPr>
        <w:t xml:space="preserve">It is noteworthy to say that since the COVID-19 is an </w:t>
      </w:r>
      <w:r w:rsidR="00ED5D0D" w:rsidRPr="00632F23">
        <w:rPr>
          <w:rFonts w:ascii="Palatino Linotype" w:hAnsi="Palatino Linotype"/>
        </w:rPr>
        <w:lastRenderedPageBreak/>
        <w:t>ongoing and unfolding pandemic, we caution that the CFR time trend according to calendar days since the first confirmed case cannot be used to predict future CFRs.</w:t>
      </w:r>
      <w:r w:rsidR="00DC6465">
        <w:rPr>
          <w:rFonts w:ascii="Palatino Linotype" w:hAnsi="Palatino Linotype"/>
        </w:rPr>
        <w:t xml:space="preserve"> </w:t>
      </w:r>
      <w:r w:rsidR="00DC6465" w:rsidRPr="00DC6465">
        <w:rPr>
          <w:rFonts w:ascii="Palatino Linotype" w:hAnsi="Palatino Linotype"/>
        </w:rPr>
        <w:t>The CFR analysis based on the calendar date are subject to a bias. The data that the analysis was based on are dynamic and updated in rea time. However, this information is subject to many variables. The phases that we observed when the CRF according to calendar date as analyzed, are contingent on the reporting of deaths at different and non-homogeneous manner. It also depends on the testing abilities and capabilities of countries. This is why, as we have discussed before, the model that analyzed CFR according to the day of the first reported infection is a better and a more representative model</w:t>
      </w:r>
      <w:r w:rsidR="00DC6465">
        <w:rPr>
          <w:rFonts w:ascii="Palatino Linotype" w:hAnsi="Palatino Linotype"/>
        </w:rPr>
        <w:t>.</w:t>
      </w:r>
    </w:p>
    <w:p w:rsidR="00DC6465" w:rsidRPr="00632F23" w:rsidRDefault="00DC6465" w:rsidP="00EE3F19">
      <w:pPr>
        <w:spacing w:line="480" w:lineRule="auto"/>
        <w:ind w:firstLineChars="50" w:firstLine="120"/>
        <w:jc w:val="both"/>
        <w:rPr>
          <w:rFonts w:ascii="Palatino Linotype" w:hAnsi="Palatino Linotype"/>
        </w:rPr>
      </w:pPr>
      <w:r w:rsidRPr="00DC6465">
        <w:rPr>
          <w:rFonts w:ascii="Palatino Linotype" w:hAnsi="Palatino Linotype"/>
        </w:rPr>
        <w:t>Our analysis was based mainly on a single source, the European Centre for Disease Prevention and Control (ECDC). Although this is a well-respected reference that is commonly used in the scientific community for its accuracy, data transparency and updated information, this might have created some sampling bias. Capturing all the cases of the COVID-19 pandemic globally is a very challenging and laborious process. Multiple resources have provided the researchers with data related to the daily and unfolding mortality and morbidity of the disease, such as the John Hopkins University dash board. Because of time constrains, we did not perform a comparison between these different data source in our manuscript. However, future COVID-19 related project should aim at doing so to ensure outmost accuracy and validity of the information</w:t>
      </w:r>
      <w:r>
        <w:rPr>
          <w:rFonts w:ascii="Palatino Linotype" w:hAnsi="Palatino Linotype"/>
        </w:rPr>
        <w:t>.</w:t>
      </w:r>
    </w:p>
    <w:p w:rsidR="007A525F" w:rsidRPr="00632F23" w:rsidRDefault="007A525F" w:rsidP="00EE3F19">
      <w:pPr>
        <w:spacing w:line="480" w:lineRule="auto"/>
        <w:jc w:val="both"/>
        <w:rPr>
          <w:rFonts w:ascii="Palatino Linotype" w:hAnsi="Palatino Linotype"/>
          <w:b/>
        </w:rPr>
      </w:pPr>
    </w:p>
    <w:p w:rsidR="00C637F9" w:rsidRPr="00632F23" w:rsidRDefault="00385EB1" w:rsidP="000A4433">
      <w:pPr>
        <w:pStyle w:val="Heading1"/>
      </w:pPr>
      <w:r w:rsidRPr="00632F23">
        <w:t xml:space="preserve">5. </w:t>
      </w:r>
      <w:r w:rsidR="00C637F9" w:rsidRPr="00632F23">
        <w:t>Conclusion</w:t>
      </w:r>
    </w:p>
    <w:p w:rsidR="00C637F9" w:rsidRPr="00354D1C" w:rsidRDefault="00C637F9" w:rsidP="00EE3F19">
      <w:pPr>
        <w:spacing w:line="480" w:lineRule="auto"/>
        <w:jc w:val="both"/>
        <w:rPr>
          <w:rFonts w:ascii="Palatino Linotype" w:hAnsi="Palatino Linotype"/>
          <w:color w:val="000000"/>
        </w:rPr>
      </w:pPr>
      <w:r w:rsidRPr="00632F23">
        <w:rPr>
          <w:rFonts w:ascii="Palatino Linotype" w:hAnsi="Palatino Linotype"/>
        </w:rPr>
        <w:t xml:space="preserve">This report highlights that the CFR is not a fixed value, </w:t>
      </w:r>
      <w:r w:rsidR="00F3344C" w:rsidRPr="00632F23">
        <w:rPr>
          <w:rFonts w:ascii="Palatino Linotype" w:hAnsi="Palatino Linotype"/>
        </w:rPr>
        <w:t>rather it is dynamic</w:t>
      </w:r>
      <w:r w:rsidR="00951265" w:rsidRPr="00632F23">
        <w:rPr>
          <w:rFonts w:ascii="Palatino Linotype" w:hAnsi="Palatino Linotype"/>
        </w:rPr>
        <w:t>,</w:t>
      </w:r>
      <w:r w:rsidR="00F3344C" w:rsidRPr="00632F23">
        <w:rPr>
          <w:rFonts w:ascii="Palatino Linotype" w:hAnsi="Palatino Linotype"/>
        </w:rPr>
        <w:t xml:space="preserve"> and</w:t>
      </w:r>
      <w:r w:rsidRPr="00632F23">
        <w:rPr>
          <w:rFonts w:ascii="Palatino Linotype" w:hAnsi="Palatino Linotype"/>
        </w:rPr>
        <w:t xml:space="preserve"> it changes </w:t>
      </w:r>
      <w:r w:rsidR="00F3344C" w:rsidRPr="00632F23">
        <w:rPr>
          <w:rFonts w:ascii="Palatino Linotype" w:hAnsi="Palatino Linotype"/>
        </w:rPr>
        <w:t>with</w:t>
      </w:r>
      <w:r w:rsidRPr="00632F23">
        <w:rPr>
          <w:rFonts w:ascii="Palatino Linotype" w:hAnsi="Palatino Linotype"/>
        </w:rPr>
        <w:t xml:space="preserve"> time and population</w:t>
      </w:r>
      <w:r w:rsidRPr="00632F23">
        <w:rPr>
          <w:rFonts w:ascii="Palatino Linotype" w:hAnsi="Palatino Linotype"/>
          <w:color w:val="7030A0"/>
        </w:rPr>
        <w:t xml:space="preserve">. </w:t>
      </w:r>
      <w:r w:rsidRPr="00632F23">
        <w:rPr>
          <w:rFonts w:ascii="Palatino Linotype" w:hAnsi="Palatino Linotype"/>
        </w:rPr>
        <w:t>Therefore, we strongly urge caution when dealing with CFR values, especially in an ongoing epidemic.</w:t>
      </w:r>
      <w:r w:rsidR="00F43709" w:rsidRPr="00632F23">
        <w:rPr>
          <w:rFonts w:ascii="Palatino Linotype" w:hAnsi="Palatino Linotype"/>
        </w:rPr>
        <w:t xml:space="preserve"> </w:t>
      </w:r>
      <w:r w:rsidR="00F43709" w:rsidRPr="00354D1C">
        <w:rPr>
          <w:rFonts w:ascii="Palatino Linotype" w:hAnsi="Palatino Linotype"/>
          <w:color w:val="000000"/>
        </w:rPr>
        <w:t xml:space="preserve">We </w:t>
      </w:r>
      <w:r w:rsidR="00B35CF6" w:rsidRPr="00354D1C">
        <w:rPr>
          <w:rFonts w:ascii="Palatino Linotype" w:hAnsi="Palatino Linotype"/>
          <w:color w:val="000000"/>
        </w:rPr>
        <w:t>originally</w:t>
      </w:r>
      <w:r w:rsidR="00F43709" w:rsidRPr="00354D1C">
        <w:rPr>
          <w:rFonts w:ascii="Palatino Linotype" w:hAnsi="Palatino Linotype"/>
          <w:color w:val="000000"/>
        </w:rPr>
        <w:t xml:space="preserve"> showed </w:t>
      </w:r>
      <w:r w:rsidR="00B35CF6" w:rsidRPr="00354D1C">
        <w:rPr>
          <w:rFonts w:ascii="Palatino Linotype" w:hAnsi="Palatino Linotype"/>
          <w:color w:val="000000"/>
        </w:rPr>
        <w:t>that</w:t>
      </w:r>
      <w:r w:rsidR="00F43709" w:rsidRPr="00354D1C">
        <w:rPr>
          <w:rFonts w:ascii="Palatino Linotype" w:hAnsi="Palatino Linotype"/>
          <w:color w:val="000000"/>
        </w:rPr>
        <w:t xml:space="preserve"> estimation of global CFR of COVID-19</w:t>
      </w:r>
      <w:r w:rsidR="00CE69F4" w:rsidRPr="00354D1C">
        <w:rPr>
          <w:rFonts w:ascii="Palatino Linotype" w:hAnsi="Palatino Linotype"/>
          <w:color w:val="000000"/>
        </w:rPr>
        <w:t>,</w:t>
      </w:r>
      <w:r w:rsidR="00F43709" w:rsidRPr="00354D1C">
        <w:rPr>
          <w:rFonts w:ascii="Palatino Linotype" w:hAnsi="Palatino Linotype"/>
          <w:color w:val="000000"/>
        </w:rPr>
        <w:t xml:space="preserve"> using meta-analyses </w:t>
      </w:r>
      <w:r w:rsidR="00CE69F4" w:rsidRPr="00354D1C">
        <w:rPr>
          <w:rFonts w:ascii="Palatino Linotype" w:hAnsi="Palatino Linotype"/>
          <w:color w:val="000000"/>
        </w:rPr>
        <w:t>of</w:t>
      </w:r>
      <w:r w:rsidR="00F43709" w:rsidRPr="00354D1C">
        <w:rPr>
          <w:rFonts w:ascii="Palatino Linotype" w:hAnsi="Palatino Linotype"/>
          <w:color w:val="000000"/>
        </w:rPr>
        <w:t xml:space="preserve"> CFR</w:t>
      </w:r>
      <w:r w:rsidR="00CE69F4" w:rsidRPr="00354D1C">
        <w:rPr>
          <w:rFonts w:ascii="Palatino Linotype" w:hAnsi="Palatino Linotype"/>
          <w:color w:val="000000"/>
        </w:rPr>
        <w:t>,</w:t>
      </w:r>
      <w:r w:rsidR="00F43709" w:rsidRPr="00354D1C">
        <w:rPr>
          <w:rFonts w:ascii="Palatino Linotype" w:hAnsi="Palatino Linotype"/>
          <w:color w:val="000000"/>
        </w:rPr>
        <w:t xml:space="preserve"> according to the calendar date and days since the outbreak of the first confirmed case were different</w:t>
      </w:r>
      <w:r w:rsidR="00B35CF6" w:rsidRPr="00354D1C">
        <w:rPr>
          <w:rFonts w:ascii="Palatino Linotype" w:hAnsi="Palatino Linotype"/>
          <w:color w:val="000000"/>
        </w:rPr>
        <w:t>.</w:t>
      </w:r>
      <w:r w:rsidR="00F43709" w:rsidRPr="00354D1C">
        <w:rPr>
          <w:rFonts w:ascii="Palatino Linotype" w:hAnsi="Palatino Linotype"/>
          <w:color w:val="000000"/>
        </w:rPr>
        <w:t xml:space="preserve"> </w:t>
      </w:r>
      <w:r w:rsidR="00B35CF6" w:rsidRPr="00354D1C">
        <w:rPr>
          <w:rFonts w:ascii="Palatino Linotype" w:hAnsi="Palatino Linotype"/>
          <w:color w:val="000000"/>
        </w:rPr>
        <w:t xml:space="preserve">We propose that CFR according to days since the outbreak of the first confirmed case </w:t>
      </w:r>
      <w:r w:rsidR="00F43709" w:rsidRPr="00354D1C">
        <w:rPr>
          <w:rFonts w:ascii="Palatino Linotype" w:hAnsi="Palatino Linotype"/>
          <w:color w:val="000000"/>
        </w:rPr>
        <w:t xml:space="preserve">might </w:t>
      </w:r>
      <w:r w:rsidR="00B35CF6" w:rsidRPr="00354D1C">
        <w:rPr>
          <w:rFonts w:ascii="Palatino Linotype" w:hAnsi="Palatino Linotype"/>
          <w:color w:val="000000"/>
        </w:rPr>
        <w:t xml:space="preserve">be a better </w:t>
      </w:r>
      <w:r w:rsidR="00F43709" w:rsidRPr="00354D1C">
        <w:rPr>
          <w:rFonts w:ascii="Palatino Linotype" w:hAnsi="Palatino Linotype"/>
          <w:color w:val="000000"/>
        </w:rPr>
        <w:t>predict</w:t>
      </w:r>
      <w:r w:rsidR="00B35CF6" w:rsidRPr="00354D1C">
        <w:rPr>
          <w:rFonts w:ascii="Palatino Linotype" w:hAnsi="Palatino Linotype"/>
          <w:color w:val="000000"/>
        </w:rPr>
        <w:t>or of</w:t>
      </w:r>
      <w:r w:rsidR="00F43709" w:rsidRPr="00354D1C">
        <w:rPr>
          <w:rFonts w:ascii="Palatino Linotype" w:hAnsi="Palatino Linotype"/>
          <w:color w:val="000000"/>
        </w:rPr>
        <w:t xml:space="preserve"> the current CFR of COVID-19 and its kinetics.</w:t>
      </w:r>
    </w:p>
    <w:p w:rsidR="008D6F52" w:rsidRPr="00632F23" w:rsidRDefault="008D6F52" w:rsidP="008D6F52">
      <w:pPr>
        <w:rPr>
          <w:rFonts w:ascii="Palatino Linotype" w:hAnsi="Palatino Linotype"/>
        </w:rPr>
      </w:pPr>
    </w:p>
    <w:p w:rsidR="00FD7DC4" w:rsidRPr="00632F23" w:rsidRDefault="00FD7DC4" w:rsidP="00632F23">
      <w:pPr>
        <w:spacing w:line="276" w:lineRule="auto"/>
        <w:rPr>
          <w:rFonts w:ascii="Palatino Linotype" w:hAnsi="Palatino Linotype" w:cs="Arial"/>
          <w:color w:val="222222"/>
          <w:sz w:val="18"/>
          <w:szCs w:val="18"/>
        </w:rPr>
      </w:pPr>
      <w:r w:rsidRPr="00632F23">
        <w:rPr>
          <w:rFonts w:ascii="Palatino Linotype" w:eastAsia="Gulim" w:hAnsi="Palatino Linotype"/>
          <w:b/>
        </w:rPr>
        <w:t xml:space="preserve">Author contribution: </w:t>
      </w:r>
      <w:r w:rsidRPr="00632F23">
        <w:rPr>
          <w:rFonts w:ascii="Palatino Linotype" w:hAnsi="Palatino Linotype" w:cs="Arial"/>
          <w:color w:val="222222"/>
          <w:sz w:val="18"/>
          <w:szCs w:val="18"/>
        </w:rPr>
        <w:t>Conceptualization: JIS, RAG, KHL, YJH,SR, and SHH; Methodology: JIS, RAG, KHL, YJH, SR, and SHH; Validation: JIS, RAG, KHL, YJH,SR, and SHH; Formal Analysis: JIS, RAG, KHL, YJH,SR, and SHH; Investigation: JIS, RAG, KHL, YJH,SR, and SHH; Resources: JIS, RAG, KHL, YJH,SR, and SHH.; Data Curation: JIS, RAG, KHL, YJH,SR, and SHH; Writing – Original Draft Preparation: JIS, RAG, KHL, YJH,SR, and SHH, SY,GHJ, JLL, JYL, JWY, MAE, MIE, AK, MS, HLL, LJ, AK, JR,LS.; Writing – Review &amp; Editing: JIS, RAG, KHL, YJH,SR, SHH, SY,GHJ, JLL, JYL, JWY, MAE, MIE, AK, MS, HLL, LJ, AK, JR,LS; Visualization, JIS, RAG, KHL, YJH,SR,SHH, SY,GHJ, JLL, JYL, JWY, MAE, MIE, AK, MS, HLL, LJ, AK, JR,LS Supervision: JIS, KHL, RAG; Project Administration JIS, KHL.</w:t>
      </w:r>
    </w:p>
    <w:p w:rsidR="00FD7DC4" w:rsidRPr="00632F23" w:rsidRDefault="00FD7DC4" w:rsidP="00FD7DC4">
      <w:pPr>
        <w:shd w:val="clear" w:color="auto" w:fill="FFFFFF"/>
        <w:spacing w:line="480" w:lineRule="auto"/>
        <w:textAlignment w:val="baseline"/>
        <w:outlineLvl w:val="2"/>
        <w:rPr>
          <w:rFonts w:ascii="Palatino Linotype" w:eastAsia="Gulim" w:hAnsi="Palatino Linotype"/>
          <w:b/>
        </w:rPr>
      </w:pPr>
    </w:p>
    <w:p w:rsidR="00385EB1" w:rsidRDefault="00385EB1" w:rsidP="00385EB1">
      <w:pPr>
        <w:spacing w:line="480" w:lineRule="auto"/>
        <w:rPr>
          <w:rFonts w:ascii="Palatino Linotype" w:eastAsia="Gulim" w:hAnsi="Palatino Linotype"/>
        </w:rPr>
      </w:pPr>
      <w:r w:rsidRPr="00632F23">
        <w:rPr>
          <w:rFonts w:ascii="Palatino Linotype" w:eastAsia="Gulim" w:hAnsi="Palatino Linotype"/>
          <w:b/>
        </w:rPr>
        <w:t xml:space="preserve">Funding: </w:t>
      </w:r>
      <w:r w:rsidRPr="00632F23">
        <w:rPr>
          <w:rFonts w:ascii="Palatino Linotype" w:hAnsi="Palatino Linotype"/>
          <w:color w:val="2A2A2A"/>
          <w:sz w:val="23"/>
          <w:szCs w:val="23"/>
          <w:shd w:val="clear" w:color="auto" w:fill="FFFFFF"/>
        </w:rPr>
        <w:t xml:space="preserve">This work was not supported by any agency or grant. </w:t>
      </w:r>
      <w:r w:rsidRPr="00632F23">
        <w:rPr>
          <w:rFonts w:ascii="Palatino Linotype" w:eastAsia="Gulim" w:hAnsi="Palatino Linotype"/>
        </w:rPr>
        <w:t xml:space="preserve">No financial compensation was provided to any of these individuals. </w:t>
      </w:r>
    </w:p>
    <w:p w:rsidR="00632F23" w:rsidRPr="00632F23" w:rsidRDefault="00632F23" w:rsidP="00385EB1">
      <w:pPr>
        <w:spacing w:line="480" w:lineRule="auto"/>
        <w:rPr>
          <w:rFonts w:ascii="Palatino Linotype" w:eastAsia="Gulim" w:hAnsi="Palatino Linotype"/>
        </w:rPr>
      </w:pPr>
    </w:p>
    <w:p w:rsidR="00385EB1" w:rsidRPr="00632F23" w:rsidRDefault="00385EB1" w:rsidP="00385EB1">
      <w:pPr>
        <w:shd w:val="clear" w:color="auto" w:fill="FFFFFF"/>
        <w:spacing w:line="480" w:lineRule="auto"/>
        <w:textAlignment w:val="baseline"/>
        <w:outlineLvl w:val="2"/>
        <w:rPr>
          <w:rFonts w:ascii="Palatino Linotype" w:eastAsia="Gulim" w:hAnsi="Palatino Linotype"/>
          <w:bCs/>
        </w:rPr>
      </w:pPr>
      <w:r w:rsidRPr="00632F23">
        <w:rPr>
          <w:rFonts w:ascii="Palatino Linotype" w:eastAsia="Gulim" w:hAnsi="Palatino Linotype"/>
          <w:b/>
        </w:rPr>
        <w:t xml:space="preserve">Acknowledgments: </w:t>
      </w:r>
      <w:r w:rsidRPr="00632F23">
        <w:rPr>
          <w:rFonts w:ascii="Palatino Linotype" w:eastAsia="Gulim" w:hAnsi="Palatino Linotype"/>
          <w:bCs/>
        </w:rPr>
        <w:t>None</w:t>
      </w:r>
    </w:p>
    <w:p w:rsidR="00632F23" w:rsidRDefault="00632F23" w:rsidP="00FD7DC4">
      <w:pPr>
        <w:shd w:val="clear" w:color="auto" w:fill="FFFFFF"/>
        <w:spacing w:line="480" w:lineRule="auto"/>
        <w:textAlignment w:val="baseline"/>
        <w:outlineLvl w:val="2"/>
        <w:rPr>
          <w:rFonts w:ascii="Palatino Linotype" w:eastAsia="Gulim" w:hAnsi="Palatino Linotype"/>
          <w:b/>
        </w:rPr>
      </w:pPr>
    </w:p>
    <w:p w:rsidR="00FD7DC4" w:rsidRPr="00632F23" w:rsidRDefault="00FD7DC4" w:rsidP="00FD7DC4">
      <w:pPr>
        <w:shd w:val="clear" w:color="auto" w:fill="FFFFFF"/>
        <w:spacing w:line="480" w:lineRule="auto"/>
        <w:textAlignment w:val="baseline"/>
        <w:outlineLvl w:val="2"/>
        <w:rPr>
          <w:rFonts w:ascii="Palatino Linotype" w:eastAsia="Gulim" w:hAnsi="Palatino Linotype"/>
        </w:rPr>
      </w:pPr>
      <w:r w:rsidRPr="00632F23">
        <w:rPr>
          <w:rFonts w:ascii="Palatino Linotype" w:eastAsia="Gulim" w:hAnsi="Palatino Linotype"/>
          <w:b/>
        </w:rPr>
        <w:lastRenderedPageBreak/>
        <w:t xml:space="preserve">Conflicts of interest: </w:t>
      </w:r>
      <w:r w:rsidRPr="00632F23">
        <w:rPr>
          <w:rFonts w:ascii="Palatino Linotype" w:eastAsia="Gulim" w:hAnsi="Palatino Linotype"/>
        </w:rPr>
        <w:t>The authors declare no conflict of interest directly applicable to this research.</w:t>
      </w:r>
    </w:p>
    <w:p w:rsidR="005D3E9C" w:rsidRPr="00632F23" w:rsidRDefault="005D3E9C" w:rsidP="00E66624">
      <w:pPr>
        <w:spacing w:line="480" w:lineRule="auto"/>
        <w:rPr>
          <w:rFonts w:ascii="Palatino Linotype" w:hAnsi="Palatino Linotype"/>
        </w:rPr>
      </w:pPr>
    </w:p>
    <w:p w:rsidR="00C637F9" w:rsidRPr="00632F23" w:rsidRDefault="00A0727A" w:rsidP="000A4433">
      <w:pPr>
        <w:pStyle w:val="Heading1"/>
        <w:rPr>
          <w:rFonts w:eastAsia="Gulim"/>
        </w:rPr>
      </w:pPr>
      <w:r w:rsidRPr="00632F23">
        <w:rPr>
          <w:rFonts w:eastAsia="Gulim"/>
        </w:rPr>
        <w:br w:type="page"/>
      </w:r>
      <w:r w:rsidR="00C637F9" w:rsidRPr="00632F23">
        <w:rPr>
          <w:rFonts w:eastAsia="Gulim"/>
        </w:rPr>
        <w:lastRenderedPageBreak/>
        <w:t xml:space="preserve">References </w:t>
      </w:r>
    </w:p>
    <w:p w:rsidR="007251F9" w:rsidRPr="00632F23" w:rsidRDefault="007251F9" w:rsidP="007251F9">
      <w:pPr>
        <w:spacing w:line="276" w:lineRule="auto"/>
        <w:jc w:val="both"/>
        <w:rPr>
          <w:rFonts w:ascii="Palatino Linotype" w:hAnsi="Palatino Linotype"/>
        </w:rPr>
      </w:pPr>
      <w:r w:rsidRPr="00632F23">
        <w:rPr>
          <w:rFonts w:ascii="Palatino Linotype" w:hAnsi="Palatino Linotype"/>
          <w:color w:val="333333"/>
          <w:shd w:val="clear" w:color="auto" w:fill="FFFFFF"/>
        </w:rPr>
        <w:t>Baud D</w:t>
      </w:r>
      <w:r>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Qi X</w:t>
      </w:r>
      <w:r>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Nielsen-Saines K</w:t>
      </w:r>
      <w:r>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Musso D</w:t>
      </w:r>
      <w:r>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Pomar L</w:t>
      </w:r>
      <w:r>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Favre G. Real estimates of mortality following COVID-19 infection.</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 xml:space="preserve">The Lancet Infectious Diseases. </w:t>
      </w:r>
      <w:r w:rsidRPr="00632F23">
        <w:rPr>
          <w:rFonts w:ascii="Palatino Linotype" w:hAnsi="Palatino Linotype"/>
          <w:b/>
          <w:bCs/>
          <w:color w:val="333333"/>
          <w:shd w:val="clear" w:color="auto" w:fill="FFFFFF"/>
        </w:rPr>
        <w:t>2020</w:t>
      </w:r>
      <w:r w:rsidRPr="00632F23">
        <w:rPr>
          <w:rFonts w:ascii="Palatino Linotype" w:hAnsi="Palatino Linotype"/>
          <w:color w:val="333333"/>
          <w:shd w:val="clear" w:color="auto" w:fill="FFFFFF"/>
        </w:rPr>
        <w:t>DOI: 10.1016/s1473-3099(20)30195-x.</w:t>
      </w:r>
    </w:p>
    <w:p w:rsidR="007251F9" w:rsidRDefault="007251F9" w:rsidP="00632F23">
      <w:pPr>
        <w:spacing w:line="276" w:lineRule="auto"/>
        <w:jc w:val="both"/>
        <w:rPr>
          <w:rFonts w:ascii="Palatino Linotype" w:hAnsi="Palatino Linotype"/>
        </w:rPr>
      </w:pPr>
    </w:p>
    <w:p w:rsidR="00FD7DC4" w:rsidRDefault="0078032D" w:rsidP="00632F23">
      <w:pPr>
        <w:spacing w:line="276" w:lineRule="auto"/>
        <w:jc w:val="both"/>
        <w:rPr>
          <w:rFonts w:ascii="Palatino Linotype" w:hAnsi="Palatino Linotype"/>
          <w:color w:val="333333"/>
          <w:shd w:val="clear" w:color="auto" w:fill="FFFFFF"/>
        </w:rPr>
      </w:pPr>
      <w:r w:rsidRPr="00632F23">
        <w:rPr>
          <w:rFonts w:ascii="Palatino Linotype" w:hAnsi="Palatino Linotype"/>
          <w:color w:val="333333"/>
          <w:shd w:val="clear" w:color="auto" w:fill="FFFFFF"/>
        </w:rPr>
        <w:t>Battegay M</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Kuehl R</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Tschudin-Sutter</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S</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Hirsch HH</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Widmer AF</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Neher RA. 2019-novel Coronavirus (2019-nCoV): estimating the case fatality rate – a word of caution.</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 xml:space="preserve">Swiss Medical Weekly. </w:t>
      </w:r>
      <w:r w:rsidRPr="00632F23">
        <w:rPr>
          <w:rFonts w:ascii="Palatino Linotype" w:hAnsi="Palatino Linotype"/>
          <w:b/>
          <w:bCs/>
          <w:color w:val="333333"/>
          <w:shd w:val="clear" w:color="auto" w:fill="FFFFFF"/>
        </w:rPr>
        <w:t>2020</w:t>
      </w:r>
      <w:r w:rsidR="00FD7DC4" w:rsidRPr="00632F23">
        <w:rPr>
          <w:rFonts w:ascii="Palatino Linotype" w:hAnsi="Palatino Linotype"/>
          <w:b/>
          <w:bCs/>
          <w:color w:val="333333"/>
          <w:shd w:val="clear" w:color="auto" w:fill="FFFFFF"/>
        </w:rPr>
        <w:t xml:space="preserve">. </w:t>
      </w:r>
      <w:r w:rsidR="00FD7DC4" w:rsidRPr="00632F23">
        <w:rPr>
          <w:rFonts w:ascii="Palatino Linotype" w:hAnsi="Palatino Linotype"/>
          <w:color w:val="333333"/>
          <w:shd w:val="clear" w:color="auto" w:fill="FFFFFF"/>
        </w:rPr>
        <w:t>DOI: 10.1016/s1473-3099(20)30195-x.</w:t>
      </w:r>
    </w:p>
    <w:p w:rsidR="007251F9" w:rsidRPr="00632F23" w:rsidRDefault="007251F9" w:rsidP="00632F23">
      <w:pPr>
        <w:spacing w:line="276" w:lineRule="auto"/>
        <w:jc w:val="both"/>
        <w:rPr>
          <w:rFonts w:ascii="Palatino Linotype" w:hAnsi="Palatino Linotype"/>
          <w:b/>
          <w:bCs/>
          <w:color w:val="333333"/>
          <w:shd w:val="clear" w:color="auto" w:fill="FFFFFF"/>
        </w:rPr>
      </w:pPr>
    </w:p>
    <w:p w:rsidR="00FD7DC4" w:rsidRDefault="00FD7DC4" w:rsidP="00632F23">
      <w:pPr>
        <w:spacing w:line="276" w:lineRule="auto"/>
        <w:jc w:val="both"/>
        <w:rPr>
          <w:rFonts w:ascii="Palatino Linotype" w:hAnsi="Palatino Linotype"/>
          <w:color w:val="333333"/>
          <w:shd w:val="clear" w:color="auto" w:fill="FFFFFF"/>
        </w:rPr>
      </w:pPr>
      <w:r w:rsidRPr="00632F23">
        <w:rPr>
          <w:rFonts w:ascii="Palatino Linotype" w:hAnsi="Palatino Linotype"/>
          <w:color w:val="333333"/>
          <w:shd w:val="clear" w:color="auto" w:fill="FFFFFF"/>
        </w:rPr>
        <w:t>Donnelly A</w:t>
      </w:r>
      <w:r w:rsidR="007251F9">
        <w:rPr>
          <w:rFonts w:ascii="Palatino Linotype" w:hAnsi="Palatino Linotype"/>
          <w:color w:val="333333"/>
          <w:shd w:val="clear" w:color="auto" w:fill="FFFFFF"/>
        </w:rPr>
        <w:t>,</w:t>
      </w:r>
      <w:r w:rsidR="006B09F4" w:rsidRPr="00632F23">
        <w:rPr>
          <w:rFonts w:ascii="Palatino Linotype" w:hAnsi="Palatino Linotype"/>
          <w:color w:val="333333"/>
          <w:shd w:val="clear" w:color="auto" w:fill="FFFFFF"/>
        </w:rPr>
        <w:t xml:space="preserve"> Azra </w:t>
      </w:r>
      <w:r w:rsidRPr="00632F23">
        <w:rPr>
          <w:rFonts w:ascii="Palatino Linotype" w:hAnsi="Palatino Linotype"/>
          <w:color w:val="333333"/>
          <w:shd w:val="clear" w:color="auto" w:fill="FFFFFF"/>
        </w:rPr>
        <w:t>G</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Gabriel </w:t>
      </w:r>
      <w:r w:rsidR="006B09F4" w:rsidRPr="00632F23">
        <w:rPr>
          <w:rFonts w:ascii="Palatino Linotype" w:hAnsi="Palatino Linotype"/>
          <w:color w:val="333333"/>
          <w:shd w:val="clear" w:color="auto" w:fill="FFFFFF"/>
        </w:rPr>
        <w:t>L</w:t>
      </w:r>
      <w:r w:rsidRPr="00632F23">
        <w:rPr>
          <w:rFonts w:ascii="Palatino Linotype" w:hAnsi="Palatino Linotype"/>
          <w:color w:val="333333"/>
          <w:shd w:val="clear" w:color="auto" w:fill="FFFFFF"/>
        </w:rPr>
        <w:t>, et al. “Epidemiological Determinants of Spread of Causal Agent of Severe Acute Respiratory Syndrome in Hong Kong.”</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The Lancet</w:t>
      </w:r>
      <w:r w:rsidRPr="00632F23">
        <w:rPr>
          <w:rFonts w:ascii="Palatino Linotype" w:hAnsi="Palatino Linotype"/>
          <w:color w:val="333333"/>
          <w:shd w:val="clear" w:color="auto" w:fill="FFFFFF"/>
        </w:rPr>
        <w:t xml:space="preserve">361, no. 9371 (2003): 1761–66. </w:t>
      </w:r>
      <w:hyperlink r:id="rId14" w:history="1">
        <w:r w:rsidR="007251F9" w:rsidRPr="008D5C79">
          <w:rPr>
            <w:rStyle w:val="Hyperlink"/>
            <w:rFonts w:ascii="Palatino Linotype" w:hAnsi="Palatino Linotype"/>
            <w:shd w:val="clear" w:color="auto" w:fill="FFFFFF"/>
          </w:rPr>
          <w:t>https://doi.org/10.1016/s0140-6736(03)13410-1</w:t>
        </w:r>
      </w:hyperlink>
      <w:r w:rsidRPr="00632F23">
        <w:rPr>
          <w:rFonts w:ascii="Palatino Linotype" w:hAnsi="Palatino Linotype"/>
          <w:color w:val="333333"/>
          <w:shd w:val="clear" w:color="auto" w:fill="FFFFFF"/>
        </w:rPr>
        <w:t>.</w:t>
      </w:r>
    </w:p>
    <w:p w:rsidR="007251F9" w:rsidRPr="00632F23" w:rsidRDefault="007251F9" w:rsidP="00632F23">
      <w:pPr>
        <w:spacing w:line="276" w:lineRule="auto"/>
        <w:jc w:val="both"/>
        <w:rPr>
          <w:rFonts w:ascii="Palatino Linotype" w:hAnsi="Palatino Linotype"/>
        </w:rPr>
      </w:pPr>
    </w:p>
    <w:p w:rsidR="0078032D" w:rsidRDefault="0078032D" w:rsidP="00632F23">
      <w:pPr>
        <w:spacing w:line="276" w:lineRule="auto"/>
        <w:jc w:val="both"/>
        <w:rPr>
          <w:rFonts w:ascii="Palatino Linotype" w:hAnsi="Palatino Linotype"/>
          <w:b/>
          <w:bCs/>
          <w:color w:val="333333"/>
          <w:shd w:val="clear" w:color="auto" w:fill="FFFFFF"/>
        </w:rPr>
      </w:pPr>
      <w:r w:rsidRPr="00632F23">
        <w:rPr>
          <w:rFonts w:ascii="Palatino Linotype" w:hAnsi="Palatino Linotype"/>
          <w:color w:val="333333"/>
          <w:shd w:val="clear" w:color="auto" w:fill="FFFFFF"/>
        </w:rPr>
        <w:t>Fisman D</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Rivers C</w:t>
      </w:r>
      <w:r w:rsidR="007251F9">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Lofgren E</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Majumder MS. Estimation of MERS-Coronavirus Reproductive Number and Case Fatality Rate for the Spring 2014 Saudi Arabia Outbreak: Insights from Publicly Available Data.</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 xml:space="preserve">PLoS Currents. </w:t>
      </w:r>
      <w:r w:rsidRPr="00632F23">
        <w:rPr>
          <w:rFonts w:ascii="Palatino Linotype" w:hAnsi="Palatino Linotype"/>
          <w:b/>
          <w:bCs/>
          <w:color w:val="333333"/>
          <w:shd w:val="clear" w:color="auto" w:fill="FFFFFF"/>
        </w:rPr>
        <w:t>2014</w:t>
      </w:r>
    </w:p>
    <w:p w:rsidR="007251F9" w:rsidRPr="00632F23" w:rsidRDefault="007251F9" w:rsidP="00632F23">
      <w:pPr>
        <w:spacing w:line="276" w:lineRule="auto"/>
        <w:jc w:val="both"/>
        <w:rPr>
          <w:rFonts w:ascii="Palatino Linotype" w:hAnsi="Palatino Linotype"/>
          <w:color w:val="333333"/>
          <w:shd w:val="clear" w:color="auto" w:fill="FFFFFF"/>
        </w:rPr>
      </w:pPr>
    </w:p>
    <w:p w:rsidR="006B09F4" w:rsidRDefault="006B09F4" w:rsidP="00632F23">
      <w:pPr>
        <w:spacing w:line="276" w:lineRule="auto"/>
        <w:jc w:val="both"/>
        <w:rPr>
          <w:rFonts w:ascii="Palatino Linotype" w:hAnsi="Palatino Linotype"/>
          <w:color w:val="333333"/>
          <w:shd w:val="clear" w:color="auto" w:fill="FFFFFF"/>
        </w:rPr>
      </w:pPr>
      <w:r w:rsidRPr="00632F23">
        <w:rPr>
          <w:rFonts w:ascii="Palatino Linotype" w:hAnsi="Palatino Linotype"/>
          <w:color w:val="333333"/>
          <w:shd w:val="clear" w:color="auto" w:fill="FFFFFF"/>
        </w:rPr>
        <w:t>Kim</w:t>
      </w:r>
      <w:r w:rsidR="007251F9">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DD&amp; Goel</w:t>
      </w:r>
      <w:r w:rsidR="007251F9">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A. Estimating case fatality rates of COVID-19.</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 xml:space="preserve">The Lancet. </w:t>
      </w:r>
      <w:r w:rsidRPr="00632F23">
        <w:rPr>
          <w:rFonts w:ascii="Palatino Linotype" w:hAnsi="Palatino Linotype"/>
          <w:color w:val="333333"/>
          <w:shd w:val="clear" w:color="auto" w:fill="FFFFFF"/>
        </w:rPr>
        <w:t xml:space="preserve">2020. </w:t>
      </w:r>
      <w:r w:rsidRPr="00632F23">
        <w:rPr>
          <w:rFonts w:ascii="Palatino Linotype" w:hAnsi="Palatino Linotype"/>
          <w:i/>
          <w:iCs/>
          <w:color w:val="333333"/>
          <w:shd w:val="clear" w:color="auto" w:fill="FFFFFF"/>
        </w:rPr>
        <w:t xml:space="preserve"> Infectious Diseases</w:t>
      </w:r>
      <w:r w:rsidRPr="00632F23">
        <w:rPr>
          <w:rFonts w:ascii="Palatino Linotype" w:hAnsi="Palatino Linotype"/>
          <w:color w:val="333333"/>
          <w:shd w:val="clear" w:color="auto" w:fill="FFFFFF"/>
        </w:rPr>
        <w:t>. doi: 10.1016/s1473-3099(20)30234-6</w:t>
      </w:r>
    </w:p>
    <w:p w:rsidR="001D2D5E" w:rsidRDefault="001D2D5E" w:rsidP="001D2D5E">
      <w:pPr>
        <w:tabs>
          <w:tab w:val="left" w:pos="6394"/>
        </w:tabs>
        <w:spacing w:line="276" w:lineRule="auto"/>
        <w:jc w:val="both"/>
        <w:rPr>
          <w:rFonts w:ascii="Palatino Linotype" w:hAnsi="Palatino Linotype"/>
        </w:rPr>
      </w:pPr>
      <w:r w:rsidRPr="00632F23">
        <w:rPr>
          <w:rFonts w:ascii="Palatino Linotype" w:hAnsi="Palatino Linotype"/>
        </w:rPr>
        <w:t xml:space="preserve">Higgins JP.; Measuring inconsistency in meta-analyses. </w:t>
      </w:r>
      <w:r w:rsidRPr="00632F23">
        <w:rPr>
          <w:rFonts w:ascii="Palatino Linotype" w:hAnsi="Palatino Linotype"/>
          <w:i/>
        </w:rPr>
        <w:t>BMJ.</w:t>
      </w:r>
      <w:r w:rsidRPr="00632F23">
        <w:rPr>
          <w:rFonts w:ascii="Palatino Linotype" w:hAnsi="Palatino Linotype"/>
        </w:rPr>
        <w:t xml:space="preserve"> 327, 557-560 (2003).</w:t>
      </w:r>
    </w:p>
    <w:p w:rsidR="00C637F9" w:rsidRPr="00632F23" w:rsidRDefault="00C637F9" w:rsidP="00632F23">
      <w:pPr>
        <w:tabs>
          <w:tab w:val="left" w:pos="6394"/>
        </w:tabs>
        <w:spacing w:line="276" w:lineRule="auto"/>
        <w:jc w:val="both"/>
        <w:rPr>
          <w:rFonts w:ascii="Palatino Linotype" w:hAnsi="Palatino Linotype"/>
        </w:rPr>
      </w:pPr>
    </w:p>
    <w:p w:rsidR="00C637F9" w:rsidRPr="00632F23" w:rsidRDefault="00C637F9" w:rsidP="00632F23">
      <w:pPr>
        <w:tabs>
          <w:tab w:val="left" w:pos="6394"/>
        </w:tabs>
        <w:spacing w:line="276" w:lineRule="auto"/>
        <w:jc w:val="both"/>
        <w:rPr>
          <w:rFonts w:ascii="Palatino Linotype" w:hAnsi="Palatino Linotype"/>
        </w:rPr>
      </w:pPr>
      <w:r w:rsidRPr="00632F23">
        <w:rPr>
          <w:rFonts w:ascii="Palatino Linotype" w:hAnsi="Palatino Linotype"/>
        </w:rPr>
        <w:t xml:space="preserve">Lipsitch M. Estimating case fatality rates of COVID-19. </w:t>
      </w:r>
      <w:r w:rsidRPr="00632F23">
        <w:rPr>
          <w:rFonts w:ascii="Palatino Linotype" w:hAnsi="Palatino Linotype"/>
          <w:i/>
        </w:rPr>
        <w:t>Lancet Infect. Dis.</w:t>
      </w:r>
      <w:r w:rsidRPr="00632F23">
        <w:rPr>
          <w:rFonts w:ascii="Palatino Linotype" w:hAnsi="Palatino Linotype"/>
        </w:rPr>
        <w:t xml:space="preserve"> </w:t>
      </w:r>
      <w:r w:rsidR="00EF5778" w:rsidRPr="00632F23">
        <w:rPr>
          <w:rFonts w:ascii="Palatino Linotype" w:hAnsi="Palatino Linotype"/>
        </w:rPr>
        <w:t xml:space="preserve">2020. </w:t>
      </w:r>
      <w:r w:rsidRPr="00632F23">
        <w:rPr>
          <w:rFonts w:ascii="Palatino Linotype" w:hAnsi="Palatino Linotype"/>
        </w:rPr>
        <w:t>doi: 10.1016/S1473-3099(20)30245-0 (2020).</w:t>
      </w:r>
    </w:p>
    <w:p w:rsidR="001D2D5E" w:rsidRDefault="001D2D5E" w:rsidP="00632F23">
      <w:pPr>
        <w:spacing w:line="276" w:lineRule="auto"/>
        <w:jc w:val="both"/>
        <w:rPr>
          <w:rFonts w:ascii="Palatino Linotype" w:hAnsi="Palatino Linotype"/>
        </w:rPr>
      </w:pPr>
    </w:p>
    <w:p w:rsidR="001D2D5E" w:rsidRDefault="001D2D5E" w:rsidP="001D2D5E">
      <w:pPr>
        <w:tabs>
          <w:tab w:val="left" w:pos="6394"/>
        </w:tabs>
        <w:spacing w:line="276" w:lineRule="auto"/>
        <w:jc w:val="both"/>
        <w:rPr>
          <w:rFonts w:ascii="Palatino Linotype" w:hAnsi="Palatino Linotype"/>
        </w:rPr>
      </w:pPr>
      <w:r w:rsidRPr="00632F23">
        <w:rPr>
          <w:rFonts w:ascii="Palatino Linotype" w:hAnsi="Palatino Linotype"/>
        </w:rPr>
        <w:t>Medicine TKAoI. Version Feb 18 2020. https://www.kaim.or.kr/bbs/index.html?code=corona&amp;category=&amp;gubun=&amp;page=1&amp;number=12025&amp;mode=view&amp;keyfield=&amp;key= (accessed Mar 20, 2020).</w:t>
      </w:r>
    </w:p>
    <w:p w:rsidR="001D2D5E" w:rsidRDefault="001D2D5E" w:rsidP="001D2D5E">
      <w:pPr>
        <w:tabs>
          <w:tab w:val="left" w:pos="6394"/>
        </w:tabs>
        <w:spacing w:line="276" w:lineRule="auto"/>
        <w:jc w:val="both"/>
        <w:rPr>
          <w:rFonts w:ascii="Palatino Linotype" w:hAnsi="Palatino Linotype"/>
        </w:rPr>
      </w:pPr>
    </w:p>
    <w:p w:rsidR="001D2D5E" w:rsidRDefault="001D2D5E" w:rsidP="001D2D5E">
      <w:pPr>
        <w:tabs>
          <w:tab w:val="left" w:pos="6394"/>
        </w:tabs>
        <w:spacing w:line="276" w:lineRule="auto"/>
        <w:jc w:val="both"/>
        <w:rPr>
          <w:rFonts w:ascii="Palatino Linotype" w:hAnsi="Palatino Linotype"/>
        </w:rPr>
      </w:pPr>
      <w:r w:rsidRPr="00632F23">
        <w:rPr>
          <w:rFonts w:ascii="Palatino Linotype" w:hAnsi="Palatino Linotype"/>
        </w:rPr>
        <w:t xml:space="preserve">Öztoprak F. Case Fatality Rate estimation of COVID-19 for European Countries: Turkey's Current Scenario Amidst a Global Pandemic; Comparison of Outbreaks with European Countries. </w:t>
      </w:r>
      <w:r w:rsidRPr="00632F23">
        <w:rPr>
          <w:rFonts w:ascii="Palatino Linotype" w:hAnsi="Palatino Linotype"/>
          <w:i/>
        </w:rPr>
        <w:t>EJMO.</w:t>
      </w:r>
      <w:r w:rsidRPr="00632F23">
        <w:rPr>
          <w:rFonts w:ascii="Palatino Linotype" w:hAnsi="Palatino Linotype"/>
        </w:rPr>
        <w:t xml:space="preserve"> 2020.</w:t>
      </w:r>
      <w:r w:rsidRPr="00632F23">
        <w:rPr>
          <w:rFonts w:ascii="Palatino Linotype" w:hAnsi="Palatino Linotype"/>
          <w:i/>
        </w:rPr>
        <w:t xml:space="preserve"> </w:t>
      </w:r>
      <w:r w:rsidRPr="00632F23">
        <w:rPr>
          <w:rFonts w:ascii="Palatino Linotype" w:hAnsi="Palatino Linotype"/>
        </w:rPr>
        <w:t xml:space="preserve">4, 149–159 </w:t>
      </w:r>
    </w:p>
    <w:p w:rsidR="007251F9" w:rsidRDefault="007251F9" w:rsidP="001D2D5E">
      <w:pPr>
        <w:tabs>
          <w:tab w:val="left" w:pos="6394"/>
        </w:tabs>
        <w:spacing w:line="276" w:lineRule="auto"/>
        <w:jc w:val="both"/>
        <w:rPr>
          <w:rFonts w:ascii="Palatino Linotype" w:hAnsi="Palatino Linotype"/>
        </w:rPr>
      </w:pPr>
    </w:p>
    <w:p w:rsidR="007251F9" w:rsidRDefault="007251F9" w:rsidP="001D2D5E">
      <w:pPr>
        <w:tabs>
          <w:tab w:val="left" w:pos="6394"/>
        </w:tabs>
        <w:spacing w:line="276" w:lineRule="auto"/>
        <w:jc w:val="both"/>
        <w:rPr>
          <w:rFonts w:ascii="Palatino Linotype" w:hAnsi="Palatino Linotype"/>
        </w:rPr>
      </w:pPr>
      <w:r w:rsidRPr="00632F23">
        <w:rPr>
          <w:rFonts w:ascii="Palatino Linotype" w:hAnsi="Palatino Linotype"/>
        </w:rPr>
        <w:t xml:space="preserve">Porta M. A dictionary of epidemiology. 5th edn. </w:t>
      </w:r>
      <w:r w:rsidRPr="00632F23">
        <w:rPr>
          <w:rFonts w:ascii="Palatino Linotype" w:hAnsi="Palatino Linotype"/>
          <w:i/>
        </w:rPr>
        <w:t>Oxford University Press, Oxford.</w:t>
      </w:r>
      <w:r w:rsidRPr="00632F23">
        <w:rPr>
          <w:rFonts w:ascii="Palatino Linotype" w:hAnsi="Palatino Linotype"/>
        </w:rPr>
        <w:t xml:space="preserve"> (2008)</w:t>
      </w:r>
    </w:p>
    <w:p w:rsidR="001D2D5E" w:rsidRDefault="001D2D5E" w:rsidP="001D2D5E">
      <w:pPr>
        <w:tabs>
          <w:tab w:val="left" w:pos="6394"/>
        </w:tabs>
        <w:spacing w:line="276" w:lineRule="auto"/>
        <w:jc w:val="both"/>
        <w:rPr>
          <w:rFonts w:ascii="Palatino Linotype" w:hAnsi="Palatino Linotype"/>
        </w:rPr>
      </w:pPr>
    </w:p>
    <w:p w:rsidR="001D2D5E" w:rsidRPr="00632F23" w:rsidRDefault="001D2D5E" w:rsidP="001D2D5E">
      <w:pPr>
        <w:spacing w:line="276" w:lineRule="auto"/>
        <w:jc w:val="both"/>
        <w:rPr>
          <w:rFonts w:ascii="Palatino Linotype" w:hAnsi="Palatino Linotype"/>
        </w:rPr>
      </w:pPr>
      <w:r w:rsidRPr="00632F23">
        <w:rPr>
          <w:rFonts w:ascii="Palatino Linotype" w:hAnsi="Palatino Linotype"/>
          <w:color w:val="333333"/>
          <w:shd w:val="clear" w:color="auto" w:fill="FFFFFF"/>
        </w:rPr>
        <w:lastRenderedPageBreak/>
        <w:t>Rajgor, DD</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Lee MH</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Archuleta</w:t>
      </w:r>
      <w:r w:rsidR="007251F9">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S</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Bagdasarian N</w:t>
      </w:r>
      <w:r w:rsidR="007251F9">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Quek SC. The many estimates of the COVID-19 case fatality rate. 2020.</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The Lancet Infectious Diseases</w:t>
      </w:r>
      <w:r w:rsidRPr="00632F23">
        <w:rPr>
          <w:rFonts w:ascii="Palatino Linotype" w:hAnsi="Palatino Linotype"/>
          <w:color w:val="333333"/>
          <w:shd w:val="clear" w:color="auto" w:fill="FFFFFF"/>
        </w:rPr>
        <w:t>. doi: 10.1016/s1473-3099(20)30244-9</w:t>
      </w:r>
    </w:p>
    <w:p w:rsidR="001D2D5E" w:rsidRDefault="001D2D5E" w:rsidP="00632F23">
      <w:pPr>
        <w:tabs>
          <w:tab w:val="left" w:pos="6394"/>
        </w:tabs>
        <w:spacing w:line="276" w:lineRule="auto"/>
        <w:jc w:val="both"/>
        <w:rPr>
          <w:rFonts w:ascii="Palatino Linotype" w:hAnsi="Palatino Linotype"/>
        </w:rPr>
      </w:pPr>
    </w:p>
    <w:p w:rsidR="001D2D5E" w:rsidRDefault="001D2D5E" w:rsidP="001D2D5E">
      <w:pPr>
        <w:tabs>
          <w:tab w:val="left" w:pos="6394"/>
        </w:tabs>
        <w:spacing w:line="276" w:lineRule="auto"/>
        <w:jc w:val="both"/>
        <w:rPr>
          <w:rFonts w:ascii="Palatino Linotype" w:hAnsi="Palatino Linotype"/>
          <w:color w:val="FF0000"/>
        </w:rPr>
      </w:pPr>
      <w:r w:rsidRPr="00632F23">
        <w:rPr>
          <w:rFonts w:ascii="Palatino Linotype" w:hAnsi="Palatino Linotype"/>
        </w:rPr>
        <w:t>Speciale A</w:t>
      </w:r>
      <w:r>
        <w:rPr>
          <w:rFonts w:ascii="Palatino Linotype" w:hAnsi="Palatino Linotype"/>
        </w:rPr>
        <w:t xml:space="preserve">, </w:t>
      </w:r>
      <w:r w:rsidRPr="00632F23">
        <w:rPr>
          <w:rFonts w:ascii="Palatino Linotype" w:hAnsi="Palatino Linotype"/>
        </w:rPr>
        <w:t>Kresge N. Virus Spread Pushes Italian Hospitals Toward Breaking Point. Vol. 2020 (Bloomberg, 2020).</w:t>
      </w:r>
      <w:r w:rsidRPr="00632F23">
        <w:rPr>
          <w:rFonts w:ascii="Palatino Linotype" w:hAnsi="Palatino Linotype"/>
          <w:color w:val="FF0000"/>
        </w:rPr>
        <w:t xml:space="preserve"> </w:t>
      </w:r>
    </w:p>
    <w:p w:rsidR="001D2D5E" w:rsidRPr="00632F23" w:rsidRDefault="001D2D5E" w:rsidP="001D2D5E">
      <w:pPr>
        <w:tabs>
          <w:tab w:val="left" w:pos="6394"/>
        </w:tabs>
        <w:spacing w:line="276" w:lineRule="auto"/>
        <w:jc w:val="both"/>
        <w:rPr>
          <w:rFonts w:ascii="Palatino Linotype" w:hAnsi="Palatino Linotype"/>
          <w:color w:val="FF0000"/>
        </w:rPr>
      </w:pPr>
    </w:p>
    <w:p w:rsidR="001D2D5E" w:rsidRPr="00632F23" w:rsidRDefault="001D2D5E" w:rsidP="001D2D5E">
      <w:pPr>
        <w:spacing w:line="276" w:lineRule="auto"/>
        <w:jc w:val="both"/>
        <w:rPr>
          <w:rFonts w:ascii="Palatino Linotype" w:hAnsi="Palatino Linotype"/>
        </w:rPr>
      </w:pPr>
      <w:r w:rsidRPr="00632F23">
        <w:rPr>
          <w:rFonts w:ascii="Palatino Linotype" w:hAnsi="Palatino Linotype"/>
          <w:color w:val="333333"/>
          <w:shd w:val="clear" w:color="auto" w:fill="FFFFFF"/>
        </w:rPr>
        <w:t>Spychalski P</w:t>
      </w:r>
      <w:r>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Błażyńska-Spychalska A</w:t>
      </w:r>
      <w:r>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&amp; Kobiela J</w:t>
      </w:r>
      <w:r>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Estimating case fatality rates of COVID-19.</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The Lancet Infectious Diseases</w:t>
      </w:r>
      <w:r w:rsidRPr="00632F23">
        <w:rPr>
          <w:rFonts w:ascii="Palatino Linotype" w:hAnsi="Palatino Linotype"/>
          <w:color w:val="333333"/>
          <w:shd w:val="clear" w:color="auto" w:fill="FFFFFF"/>
        </w:rPr>
        <w:t>. 2020. doi: 10.1016/s1473-3099(20)30246-2</w:t>
      </w:r>
    </w:p>
    <w:p w:rsidR="001D2D5E" w:rsidRDefault="001D2D5E" w:rsidP="00632F23">
      <w:pPr>
        <w:tabs>
          <w:tab w:val="left" w:pos="6394"/>
        </w:tabs>
        <w:spacing w:line="276" w:lineRule="auto"/>
        <w:jc w:val="both"/>
        <w:rPr>
          <w:rFonts w:ascii="Palatino Linotype" w:hAnsi="Palatino Linotype"/>
        </w:rPr>
      </w:pPr>
    </w:p>
    <w:p w:rsidR="00C637F9" w:rsidRDefault="00C637F9" w:rsidP="00632F23">
      <w:pPr>
        <w:tabs>
          <w:tab w:val="left" w:pos="6394"/>
        </w:tabs>
        <w:spacing w:line="276" w:lineRule="auto"/>
        <w:jc w:val="both"/>
        <w:rPr>
          <w:rFonts w:ascii="Palatino Linotype" w:hAnsi="Palatino Linotype"/>
        </w:rPr>
      </w:pPr>
      <w:r w:rsidRPr="00632F23">
        <w:rPr>
          <w:rFonts w:ascii="Palatino Linotype" w:hAnsi="Palatino Linotype"/>
        </w:rPr>
        <w:t>The Centre for Evidence-Based Medicine. Global Covid-19 Case Fatality Rates – Updated 15th May. https://www.cebm.net/covid-19/global-covid-19-case-fatality-rates/ (accessed May 17, 2020).</w:t>
      </w:r>
    </w:p>
    <w:p w:rsidR="001D2D5E" w:rsidRPr="00632F23" w:rsidRDefault="001D2D5E" w:rsidP="00632F23">
      <w:pPr>
        <w:tabs>
          <w:tab w:val="left" w:pos="6394"/>
        </w:tabs>
        <w:spacing w:line="276" w:lineRule="auto"/>
        <w:jc w:val="both"/>
        <w:rPr>
          <w:rFonts w:ascii="Palatino Linotype" w:hAnsi="Palatino Linotype"/>
        </w:rPr>
      </w:pPr>
    </w:p>
    <w:p w:rsidR="00C637F9" w:rsidRDefault="001D2D5E" w:rsidP="00632F23">
      <w:pPr>
        <w:tabs>
          <w:tab w:val="left" w:pos="6394"/>
        </w:tabs>
        <w:spacing w:line="276" w:lineRule="auto"/>
        <w:jc w:val="both"/>
        <w:rPr>
          <w:rFonts w:ascii="Palatino Linotype" w:hAnsi="Palatino Linotype"/>
          <w:noProof/>
        </w:rPr>
      </w:pPr>
      <w:r w:rsidRPr="00632F23">
        <w:rPr>
          <w:rFonts w:ascii="Palatino Linotype" w:hAnsi="Palatino Linotype"/>
          <w:noProof/>
        </w:rPr>
        <w:t>The University of Tokyo Health Service Center</w:t>
      </w:r>
      <w:r>
        <w:rPr>
          <w:rFonts w:ascii="Palatino Linotype" w:hAnsi="Palatino Linotype"/>
          <w:noProof/>
        </w:rPr>
        <w:t xml:space="preserve">. </w:t>
      </w:r>
      <w:r w:rsidR="00C637F9" w:rsidRPr="00632F23">
        <w:rPr>
          <w:rFonts w:ascii="Palatino Linotype" w:hAnsi="Palatino Linotype"/>
          <w:noProof/>
        </w:rPr>
        <w:t>Novel Coronavirus related illness (COVID-19). Vol. 2020</w:t>
      </w:r>
      <w:r>
        <w:rPr>
          <w:rFonts w:ascii="Palatino Linotype" w:hAnsi="Palatino Linotype"/>
          <w:noProof/>
        </w:rPr>
        <w:t xml:space="preserve">. </w:t>
      </w:r>
      <w:r w:rsidR="00C637F9" w:rsidRPr="00632F23">
        <w:rPr>
          <w:rFonts w:ascii="Palatino Linotype" w:hAnsi="Palatino Linotype"/>
          <w:noProof/>
        </w:rPr>
        <w:t>2020</w:t>
      </w:r>
      <w:r w:rsidR="00DE7E47">
        <w:rPr>
          <w:rFonts w:ascii="Palatino Linotype" w:hAnsi="Palatino Linotype"/>
          <w:noProof/>
        </w:rPr>
        <w:t xml:space="preserve"> </w:t>
      </w:r>
      <w:hyperlink r:id="rId15" w:history="1">
        <w:r w:rsidRPr="008D5C79">
          <w:rPr>
            <w:rStyle w:val="Hyperlink"/>
            <w:rFonts w:ascii="Palatino Linotype" w:hAnsi="Palatino Linotype"/>
            <w:noProof/>
          </w:rPr>
          <w:t>https://www.u-tokyo.ac.jp/en/general/COVID-19.html</w:t>
        </w:r>
      </w:hyperlink>
      <w:r w:rsidR="00C637F9" w:rsidRPr="00632F23">
        <w:rPr>
          <w:rFonts w:ascii="Palatino Linotype" w:hAnsi="Palatino Linotype"/>
          <w:noProof/>
        </w:rPr>
        <w:t>.</w:t>
      </w:r>
    </w:p>
    <w:p w:rsidR="001D2D5E" w:rsidRDefault="001D2D5E" w:rsidP="00632F23">
      <w:pPr>
        <w:tabs>
          <w:tab w:val="left" w:pos="6394"/>
        </w:tabs>
        <w:spacing w:line="276" w:lineRule="auto"/>
        <w:jc w:val="both"/>
        <w:rPr>
          <w:rFonts w:ascii="Palatino Linotype" w:hAnsi="Palatino Linotype"/>
          <w:noProof/>
        </w:rPr>
      </w:pPr>
    </w:p>
    <w:p w:rsidR="001D2D5E" w:rsidRPr="00632F23" w:rsidRDefault="001D2D5E" w:rsidP="001D2D5E">
      <w:pPr>
        <w:spacing w:line="276" w:lineRule="auto"/>
        <w:jc w:val="both"/>
        <w:rPr>
          <w:rFonts w:ascii="Palatino Linotype" w:hAnsi="Palatino Linotype"/>
        </w:rPr>
      </w:pPr>
      <w:r w:rsidRPr="00632F23">
        <w:rPr>
          <w:rFonts w:ascii="Palatino Linotype" w:hAnsi="Palatino Linotype"/>
          <w:color w:val="333333"/>
          <w:shd w:val="clear" w:color="auto" w:fill="FFFFFF"/>
        </w:rPr>
        <w:t>Wilson, N.; Kvalsvig, A.; Barnard, L. T.; &amp; Baker, M. G. Case-Fatality Risk Estimates for COVID-19 Calculated by Using a Lag Time for Fatality.</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Emerging Infectious Diseases</w:t>
      </w:r>
      <w:r w:rsidRPr="00632F23">
        <w:rPr>
          <w:rFonts w:ascii="Palatino Linotype" w:hAnsi="Palatino Linotype"/>
          <w:color w:val="333333"/>
          <w:shd w:val="clear" w:color="auto" w:fill="FFFFFF"/>
        </w:rPr>
        <w:t>, 2020.</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26</w:t>
      </w:r>
      <w:r w:rsidRPr="00632F23">
        <w:rPr>
          <w:rFonts w:ascii="Palatino Linotype" w:hAnsi="Palatino Linotype"/>
          <w:color w:val="333333"/>
          <w:shd w:val="clear" w:color="auto" w:fill="FFFFFF"/>
        </w:rPr>
        <w:t>(6). doi: 10.3201/eid2606.200320</w:t>
      </w:r>
    </w:p>
    <w:p w:rsidR="001D2D5E" w:rsidRPr="00632F23" w:rsidRDefault="001D2D5E" w:rsidP="00632F23">
      <w:pPr>
        <w:tabs>
          <w:tab w:val="left" w:pos="6394"/>
        </w:tabs>
        <w:spacing w:line="276" w:lineRule="auto"/>
        <w:jc w:val="both"/>
        <w:rPr>
          <w:rFonts w:ascii="Palatino Linotype" w:hAnsi="Palatino Linotype"/>
          <w:noProof/>
        </w:rPr>
      </w:pPr>
    </w:p>
    <w:p w:rsidR="001D2D5E" w:rsidRPr="00632F23" w:rsidRDefault="001D2D5E" w:rsidP="001D2D5E">
      <w:pPr>
        <w:spacing w:line="276" w:lineRule="auto"/>
        <w:jc w:val="both"/>
        <w:rPr>
          <w:rFonts w:ascii="Palatino Linotype" w:hAnsi="Palatino Linotype"/>
        </w:rPr>
      </w:pPr>
      <w:r w:rsidRPr="00632F23">
        <w:rPr>
          <w:rFonts w:ascii="Palatino Linotype" w:hAnsi="Palatino Linotype"/>
        </w:rPr>
        <w:t>World Health Organization. Coronavirus disease (COVID-19) outbreak, 2020. https://covid19.who.int/ (accessed May 5, 2020).</w:t>
      </w:r>
    </w:p>
    <w:p w:rsidR="001D2D5E" w:rsidRDefault="001D2D5E" w:rsidP="00632F23">
      <w:pPr>
        <w:tabs>
          <w:tab w:val="left" w:pos="6394"/>
        </w:tabs>
        <w:spacing w:line="276" w:lineRule="auto"/>
        <w:jc w:val="both"/>
        <w:rPr>
          <w:rFonts w:ascii="Palatino Linotype" w:hAnsi="Palatino Linotype"/>
        </w:rPr>
      </w:pPr>
    </w:p>
    <w:p w:rsidR="001D2D5E" w:rsidRPr="00632F23" w:rsidRDefault="001D2D5E" w:rsidP="001D2D5E">
      <w:pPr>
        <w:spacing w:line="276" w:lineRule="auto"/>
        <w:jc w:val="both"/>
        <w:rPr>
          <w:rFonts w:ascii="Palatino Linotype" w:hAnsi="Palatino Linotype"/>
        </w:rPr>
      </w:pPr>
      <w:r w:rsidRPr="00632F23">
        <w:rPr>
          <w:rFonts w:ascii="Palatino Linotype" w:hAnsi="Palatino Linotype"/>
        </w:rPr>
        <w:t>World Health Organization</w:t>
      </w:r>
      <w:r>
        <w:rPr>
          <w:rFonts w:ascii="Palatino Linotype" w:hAnsi="Palatino Linotype"/>
        </w:rPr>
        <w:t xml:space="preserve">. </w:t>
      </w:r>
      <w:r w:rsidRPr="00632F23">
        <w:rPr>
          <w:rFonts w:ascii="Palatino Linotype" w:hAnsi="Palatino Linotype"/>
        </w:rPr>
        <w:t>Coronavirus disease, 2019 (COVID-19). Situation Report—1</w:t>
      </w:r>
      <w:r>
        <w:rPr>
          <w:rFonts w:ascii="Palatino Linotype" w:hAnsi="Palatino Linotype"/>
        </w:rPr>
        <w:t>50</w:t>
      </w:r>
      <w:r w:rsidRPr="00632F23">
        <w:rPr>
          <w:rFonts w:ascii="Palatino Linotype" w:hAnsi="Palatino Linotype"/>
        </w:rPr>
        <w:t>.</w:t>
      </w:r>
      <w:r>
        <w:rPr>
          <w:rFonts w:ascii="Palatino Linotype" w:hAnsi="Palatino Linotype"/>
        </w:rPr>
        <w:t xml:space="preserve"> </w:t>
      </w:r>
      <w:r w:rsidRPr="001D2D5E">
        <w:rPr>
          <w:rFonts w:ascii="Palatino Linotype" w:hAnsi="Palatino Linotype"/>
        </w:rPr>
        <w:t>https://www.who.int/docs/default-source/coronaviruse/situation-reports/20200618-covid-19-sitrep-150.pdf?sfvrsn=aa9fe9cf_2</w:t>
      </w:r>
    </w:p>
    <w:p w:rsidR="001D2D5E" w:rsidRDefault="001D2D5E" w:rsidP="00632F23">
      <w:pPr>
        <w:tabs>
          <w:tab w:val="left" w:pos="6394"/>
        </w:tabs>
        <w:spacing w:line="276" w:lineRule="auto"/>
        <w:jc w:val="both"/>
        <w:rPr>
          <w:rFonts w:ascii="Palatino Linotype" w:hAnsi="Palatino Linotype"/>
        </w:rPr>
      </w:pPr>
    </w:p>
    <w:p w:rsidR="001D2D5E" w:rsidRPr="00632F23" w:rsidRDefault="001D2D5E" w:rsidP="001D2D5E">
      <w:pPr>
        <w:spacing w:line="276" w:lineRule="auto"/>
        <w:jc w:val="both"/>
        <w:rPr>
          <w:rFonts w:ascii="Palatino Linotype" w:hAnsi="Palatino Linotype"/>
        </w:rPr>
      </w:pPr>
      <w:r w:rsidRPr="00632F23">
        <w:rPr>
          <w:rFonts w:ascii="Palatino Linotype" w:hAnsi="Palatino Linotype"/>
          <w:color w:val="333333"/>
          <w:shd w:val="clear" w:color="auto" w:fill="FFFFFF"/>
        </w:rPr>
        <w:t>Yang</w:t>
      </w:r>
      <w:r w:rsidR="007251F9">
        <w:rPr>
          <w:rFonts w:ascii="Palatino Linotype" w:hAnsi="Palatino Linotype"/>
          <w:color w:val="333333"/>
          <w:shd w:val="clear" w:color="auto" w:fill="FFFFFF"/>
        </w:rPr>
        <w:t xml:space="preserve"> </w:t>
      </w:r>
      <w:r w:rsidRPr="00632F23">
        <w:rPr>
          <w:rFonts w:ascii="Palatino Linotype" w:hAnsi="Palatino Linotype"/>
          <w:color w:val="333333"/>
          <w:shd w:val="clear" w:color="auto" w:fill="FFFFFF"/>
        </w:rPr>
        <w:t>S</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Cao P</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Du P</w:t>
      </w:r>
      <w:r w:rsidR="007251F9">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et al. Early estimation of the case fatality rate of COVID-19 in mainland China: a data-driven analysis.</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Annals of Translational Medicine</w:t>
      </w:r>
      <w:r w:rsidR="007251F9">
        <w:rPr>
          <w:rFonts w:ascii="Palatino Linotype" w:hAnsi="Palatino Linotype"/>
          <w:i/>
          <w:iCs/>
          <w:color w:val="333333"/>
          <w:shd w:val="clear" w:color="auto" w:fill="FFFFFF"/>
        </w:rPr>
        <w:t xml:space="preserve">. </w:t>
      </w:r>
      <w:r w:rsidRPr="00632F23">
        <w:rPr>
          <w:rFonts w:ascii="Palatino Linotype" w:hAnsi="Palatino Linotype"/>
          <w:b/>
          <w:bCs/>
          <w:color w:val="333333"/>
          <w:shd w:val="clear" w:color="auto" w:fill="FFFFFF"/>
        </w:rPr>
        <w:t>2020</w:t>
      </w:r>
      <w:r w:rsidRPr="00632F23">
        <w:rPr>
          <w:rFonts w:ascii="Palatino Linotype" w:hAnsi="Palatino Linotype"/>
          <w:color w:val="333333"/>
          <w:shd w:val="clear" w:color="auto" w:fill="FFFFFF"/>
        </w:rPr>
        <w:t>,</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8</w:t>
      </w:r>
      <w:r w:rsidRPr="00632F23">
        <w:rPr>
          <w:rFonts w:ascii="Palatino Linotype" w:hAnsi="Palatino Linotype"/>
          <w:color w:val="333333"/>
          <w:shd w:val="clear" w:color="auto" w:fill="FFFFFF"/>
        </w:rPr>
        <w:t xml:space="preserve">(4), 128–128 </w:t>
      </w:r>
    </w:p>
    <w:p w:rsidR="001D2D5E" w:rsidRDefault="001D2D5E" w:rsidP="001D2D5E">
      <w:pPr>
        <w:tabs>
          <w:tab w:val="left" w:pos="6394"/>
        </w:tabs>
        <w:spacing w:line="276" w:lineRule="auto"/>
        <w:jc w:val="both"/>
        <w:rPr>
          <w:rFonts w:ascii="Palatino Linotype" w:hAnsi="Palatino Linotype"/>
        </w:rPr>
      </w:pPr>
    </w:p>
    <w:p w:rsidR="006005E4" w:rsidRDefault="006005E4" w:rsidP="006005E4">
      <w:r w:rsidRPr="006005E4">
        <w:rPr>
          <w:rStyle w:val="highwire-cite-metadata-journal"/>
          <w:rFonts w:ascii="Helvetica Neue" w:hAnsi="Helvetica Neue"/>
          <w:color w:val="333333"/>
          <w:bdr w:val="none" w:sz="0" w:space="0" w:color="auto" w:frame="1"/>
        </w:rPr>
        <w:t xml:space="preserve">Zhao X, Zhang B, Li Pet al. (2020). Incidence, clinical characteristics and prognostic factor of patients with COVID-19: A systematic review and meta-analysis. </w:t>
      </w:r>
      <w:r>
        <w:rPr>
          <w:rStyle w:val="highwire-cite-metadata-journal"/>
          <w:rFonts w:ascii="Helvetica Neue" w:hAnsi="Helvetica Neue"/>
          <w:color w:val="333333"/>
          <w:bdr w:val="none" w:sz="0" w:space="0" w:color="auto" w:frame="1"/>
        </w:rPr>
        <w:t>medRxiv</w:t>
      </w:r>
      <w:r>
        <w:rPr>
          <w:rStyle w:val="apple-converted-space"/>
          <w:rFonts w:ascii="Helvetica Neue" w:hAnsi="Helvetica Neue"/>
          <w:color w:val="333333"/>
          <w:bdr w:val="none" w:sz="0" w:space="0" w:color="auto" w:frame="1"/>
        </w:rPr>
        <w:t> </w:t>
      </w:r>
      <w:r>
        <w:rPr>
          <w:rStyle w:val="highwire-cite-metadata-pages"/>
          <w:rFonts w:ascii="Helvetica Neue" w:hAnsi="Helvetica Neue"/>
          <w:color w:val="333333"/>
          <w:bdr w:val="none" w:sz="0" w:space="0" w:color="auto" w:frame="1"/>
        </w:rPr>
        <w:t xml:space="preserve">2020.03.17.20037572. </w:t>
      </w:r>
      <w:r w:rsidRPr="006005E4">
        <w:rPr>
          <w:rStyle w:val="highwire-cite-metadata-journal"/>
          <w:rFonts w:ascii="Helvetica Neue" w:hAnsi="Helvetica Neue"/>
          <w:color w:val="333333"/>
          <w:bdr w:val="none" w:sz="0" w:space="0" w:color="auto" w:frame="1"/>
        </w:rPr>
        <w:t>doi:10.1101/2020.03.17.20037572</w:t>
      </w:r>
      <w:r>
        <w:rPr>
          <w:rStyle w:val="highwire-cite-metadata-journal"/>
          <w:rFonts w:ascii="Helvetica Neue" w:hAnsi="Helvetica Neue"/>
          <w:color w:val="333333"/>
          <w:bdr w:val="none" w:sz="0" w:space="0" w:color="auto" w:frame="1"/>
        </w:rPr>
        <w:t xml:space="preserve"> </w:t>
      </w:r>
    </w:p>
    <w:p w:rsidR="00C55350" w:rsidRDefault="00C55350" w:rsidP="005A0418">
      <w:pPr>
        <w:tabs>
          <w:tab w:val="left" w:pos="6394"/>
        </w:tabs>
        <w:spacing w:line="480" w:lineRule="auto"/>
        <w:rPr>
          <w:rFonts w:ascii="Palatino Linotype" w:hAnsi="Palatino Linotype"/>
        </w:rPr>
      </w:pPr>
    </w:p>
    <w:p w:rsidR="006005E4" w:rsidRPr="00632F23" w:rsidRDefault="006005E4" w:rsidP="006005E4">
      <w:pPr>
        <w:spacing w:line="276" w:lineRule="auto"/>
        <w:jc w:val="both"/>
        <w:rPr>
          <w:rFonts w:ascii="Palatino Linotype" w:hAnsi="Palatino Linotype"/>
        </w:rPr>
      </w:pPr>
      <w:r w:rsidRPr="00632F23">
        <w:rPr>
          <w:rFonts w:ascii="Palatino Linotype" w:hAnsi="Palatino Linotype"/>
          <w:color w:val="333333"/>
          <w:shd w:val="clear" w:color="auto" w:fill="FFFFFF"/>
        </w:rPr>
        <w:lastRenderedPageBreak/>
        <w:t>Zhu N</w:t>
      </w:r>
      <w:r>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Zhang D</w:t>
      </w:r>
      <w:r>
        <w:rPr>
          <w:rFonts w:ascii="Palatino Linotype" w:hAnsi="Palatino Linotype"/>
          <w:color w:val="333333"/>
          <w:shd w:val="clear" w:color="auto" w:fill="FFFFFF"/>
        </w:rPr>
        <w:t>,</w:t>
      </w:r>
      <w:r w:rsidRPr="00632F23">
        <w:rPr>
          <w:rFonts w:ascii="Palatino Linotype" w:hAnsi="Palatino Linotype"/>
          <w:color w:val="333333"/>
          <w:shd w:val="clear" w:color="auto" w:fill="FFFFFF"/>
        </w:rPr>
        <w:t xml:space="preserve"> Wang W </w:t>
      </w:r>
      <w:r>
        <w:rPr>
          <w:rFonts w:ascii="Palatino Linotype" w:hAnsi="Palatino Linotype"/>
          <w:color w:val="333333"/>
          <w:shd w:val="clear" w:color="auto" w:fill="FFFFFF"/>
        </w:rPr>
        <w:t>,</w:t>
      </w:r>
      <w:r w:rsidRPr="00632F23">
        <w:rPr>
          <w:rFonts w:ascii="Palatino Linotype" w:hAnsi="Palatino Linotype"/>
          <w:color w:val="333333"/>
          <w:shd w:val="clear" w:color="auto" w:fill="FFFFFF"/>
        </w:rPr>
        <w:t>et al. A Novel Coronavirus from Patients with Pneumonia in China, 2019.</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 xml:space="preserve">New England Journal of Medicine. </w:t>
      </w:r>
      <w:r w:rsidRPr="00632F23">
        <w:rPr>
          <w:rFonts w:ascii="Palatino Linotype" w:hAnsi="Palatino Linotype"/>
          <w:b/>
          <w:bCs/>
          <w:color w:val="333333"/>
          <w:shd w:val="clear" w:color="auto" w:fill="FFFFFF"/>
        </w:rPr>
        <w:t>2020</w:t>
      </w:r>
      <w:r w:rsidRPr="00632F23">
        <w:rPr>
          <w:rFonts w:ascii="Palatino Linotype" w:hAnsi="Palatino Linotype"/>
          <w:color w:val="333333"/>
          <w:shd w:val="clear" w:color="auto" w:fill="FFFFFF"/>
        </w:rPr>
        <w:t>,</w:t>
      </w:r>
      <w:r w:rsidRPr="00632F23">
        <w:rPr>
          <w:rStyle w:val="apple-converted-space"/>
          <w:rFonts w:ascii="Palatino Linotype" w:hAnsi="Palatino Linotype"/>
          <w:color w:val="333333"/>
          <w:shd w:val="clear" w:color="auto" w:fill="FFFFFF"/>
        </w:rPr>
        <w:t> </w:t>
      </w:r>
      <w:r w:rsidRPr="00632F23">
        <w:rPr>
          <w:rFonts w:ascii="Palatino Linotype" w:hAnsi="Palatino Linotype"/>
          <w:i/>
          <w:iCs/>
          <w:color w:val="333333"/>
          <w:shd w:val="clear" w:color="auto" w:fill="FFFFFF"/>
        </w:rPr>
        <w:t>382</w:t>
      </w:r>
      <w:r w:rsidRPr="00632F23">
        <w:rPr>
          <w:rFonts w:ascii="Palatino Linotype" w:hAnsi="Palatino Linotype"/>
          <w:color w:val="333333"/>
          <w:shd w:val="clear" w:color="auto" w:fill="FFFFFF"/>
        </w:rPr>
        <w:t>(8), 727–733</w:t>
      </w:r>
    </w:p>
    <w:p w:rsidR="006005E4" w:rsidRDefault="006005E4" w:rsidP="006005E4">
      <w:pPr>
        <w:tabs>
          <w:tab w:val="left" w:pos="6394"/>
        </w:tabs>
        <w:spacing w:line="276" w:lineRule="auto"/>
        <w:jc w:val="both"/>
        <w:rPr>
          <w:rFonts w:ascii="Palatino Linotype" w:hAnsi="Palatino Linotype"/>
        </w:rPr>
      </w:pPr>
    </w:p>
    <w:p w:rsidR="006005E4" w:rsidRPr="00632F23" w:rsidRDefault="006005E4" w:rsidP="005A0418">
      <w:pPr>
        <w:tabs>
          <w:tab w:val="left" w:pos="6394"/>
        </w:tabs>
        <w:spacing w:line="480" w:lineRule="auto"/>
        <w:rPr>
          <w:rFonts w:ascii="Palatino Linotype" w:hAnsi="Palatino Linotype"/>
        </w:rPr>
      </w:pPr>
    </w:p>
    <w:tbl>
      <w:tblPr>
        <w:tblW w:w="0" w:type="auto"/>
        <w:jc w:val="center"/>
        <w:tblLook w:val="04A0" w:firstRow="1" w:lastRow="0" w:firstColumn="1" w:lastColumn="0" w:noHBand="0" w:noVBand="1"/>
      </w:tblPr>
      <w:tblGrid>
        <w:gridCol w:w="1721"/>
        <w:gridCol w:w="7045"/>
      </w:tblGrid>
      <w:tr w:rsidR="00874E01" w:rsidRPr="00632F23" w:rsidTr="00A140FE">
        <w:trPr>
          <w:jc w:val="center"/>
        </w:trPr>
        <w:tc>
          <w:tcPr>
            <w:tcW w:w="0" w:type="auto"/>
            <w:shd w:val="clear" w:color="auto" w:fill="auto"/>
            <w:vAlign w:val="center"/>
          </w:tcPr>
          <w:p w:rsidR="00874E01" w:rsidRPr="00632F23" w:rsidRDefault="007E40A6" w:rsidP="00A140FE">
            <w:pPr>
              <w:pStyle w:val="MDPI71References"/>
              <w:numPr>
                <w:ilvl w:val="0"/>
                <w:numId w:val="0"/>
              </w:numPr>
              <w:ind w:left="-85"/>
              <w:rPr>
                <w:rFonts w:eastAsia="SimSun"/>
                <w:bCs/>
              </w:rPr>
            </w:pPr>
            <w:r w:rsidRPr="00354D1C">
              <w:rPr>
                <w:rFonts w:eastAsia="SimSun"/>
                <w:noProof/>
                <w:snapToGrid/>
                <w:lang w:val="en-GB" w:eastAsia="en-GB" w:bidi="ar-SA"/>
              </w:rPr>
              <w:drawing>
                <wp:inline distT="0" distB="0" distL="0" distR="0">
                  <wp:extent cx="1000125" cy="361950"/>
                  <wp:effectExtent l="0" t="0" r="9525" b="0"/>
                  <wp:docPr id="8" name="그림 3" descr="Creative Commons Attribution License" title="CC-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tc>
        <w:tc>
          <w:tcPr>
            <w:tcW w:w="7149" w:type="dxa"/>
            <w:shd w:val="clear" w:color="auto" w:fill="auto"/>
            <w:vAlign w:val="center"/>
          </w:tcPr>
          <w:p w:rsidR="00874E01" w:rsidRPr="00632F23" w:rsidRDefault="00874E01" w:rsidP="00A140FE">
            <w:pPr>
              <w:pStyle w:val="MDPI71References"/>
              <w:numPr>
                <w:ilvl w:val="0"/>
                <w:numId w:val="0"/>
              </w:numPr>
              <w:ind w:left="-85"/>
              <w:rPr>
                <w:rFonts w:eastAsia="SimSun"/>
                <w:bCs/>
              </w:rPr>
            </w:pPr>
            <w:r w:rsidRPr="00632F23">
              <w:rPr>
                <w:rFonts w:eastAsia="SimSun"/>
                <w:bCs/>
              </w:rPr>
              <w:t>© 2020 by the authors. Submitted for possible open access publication under the terms and conditions of the Creative Commons Attribution (CC BY) license (http://creativecommons.org/licenses/by/4.0/).</w:t>
            </w:r>
          </w:p>
        </w:tc>
      </w:tr>
    </w:tbl>
    <w:p w:rsidR="00C55350" w:rsidRPr="00632F23" w:rsidRDefault="00C55350" w:rsidP="005A0418">
      <w:pPr>
        <w:tabs>
          <w:tab w:val="left" w:pos="6394"/>
        </w:tabs>
        <w:spacing w:line="480" w:lineRule="auto"/>
        <w:rPr>
          <w:rFonts w:ascii="Palatino Linotype" w:hAnsi="Palatino Linotype"/>
        </w:rPr>
      </w:pPr>
    </w:p>
    <w:p w:rsidR="00C55350" w:rsidRPr="00632F23" w:rsidRDefault="00C55350" w:rsidP="005A0418">
      <w:pPr>
        <w:tabs>
          <w:tab w:val="left" w:pos="6394"/>
        </w:tabs>
        <w:spacing w:line="480" w:lineRule="auto"/>
        <w:rPr>
          <w:rFonts w:ascii="Palatino Linotype" w:hAnsi="Palatino Linotype"/>
        </w:rPr>
      </w:pPr>
      <w:bookmarkStart w:id="0" w:name="_GoBack"/>
      <w:bookmarkEnd w:id="0"/>
    </w:p>
    <w:p w:rsidR="00C55350" w:rsidRPr="00632F23" w:rsidRDefault="00C55350" w:rsidP="005A0418">
      <w:pPr>
        <w:tabs>
          <w:tab w:val="left" w:pos="6394"/>
        </w:tabs>
        <w:spacing w:line="480" w:lineRule="auto"/>
        <w:rPr>
          <w:rFonts w:ascii="Palatino Linotype" w:hAnsi="Palatino Linotype"/>
        </w:rPr>
      </w:pPr>
    </w:p>
    <w:p w:rsidR="00C55350" w:rsidRPr="00632F23" w:rsidRDefault="00C55350" w:rsidP="005A0418">
      <w:pPr>
        <w:tabs>
          <w:tab w:val="left" w:pos="6394"/>
        </w:tabs>
        <w:spacing w:line="480" w:lineRule="auto"/>
        <w:rPr>
          <w:rFonts w:ascii="Palatino Linotype" w:hAnsi="Palatino Linotype"/>
        </w:rPr>
      </w:pPr>
    </w:p>
    <w:p w:rsidR="00C55350" w:rsidRPr="00632F23" w:rsidRDefault="00C55350" w:rsidP="005A0418">
      <w:pPr>
        <w:tabs>
          <w:tab w:val="left" w:pos="6394"/>
        </w:tabs>
        <w:spacing w:line="480" w:lineRule="auto"/>
        <w:rPr>
          <w:rFonts w:ascii="Palatino Linotype" w:hAnsi="Palatino Linotype"/>
        </w:rPr>
      </w:pPr>
    </w:p>
    <w:p w:rsidR="00C55350" w:rsidRPr="0059325F" w:rsidRDefault="00C55350" w:rsidP="00FF20C5">
      <w:pPr>
        <w:tabs>
          <w:tab w:val="left" w:pos="6394"/>
        </w:tabs>
        <w:spacing w:line="480" w:lineRule="auto"/>
      </w:pPr>
    </w:p>
    <w:p w:rsidR="00C55350" w:rsidRPr="0059325F" w:rsidRDefault="00C55350" w:rsidP="005A0418">
      <w:pPr>
        <w:tabs>
          <w:tab w:val="left" w:pos="6394"/>
        </w:tabs>
        <w:spacing w:line="480" w:lineRule="auto"/>
      </w:pPr>
    </w:p>
    <w:sectPr w:rsidR="00C55350" w:rsidRPr="0059325F" w:rsidSect="004930C3">
      <w:pgSz w:w="11906" w:h="16838"/>
      <w:pgMar w:top="1701" w:right="1700" w:bottom="1440" w:left="1440" w:header="851" w:footer="992" w:gutter="0"/>
      <w:lnNumType w:countBy="1" w:restart="continuou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A66" w:rsidRDefault="00CA6A66" w:rsidP="00631AE3">
      <w:r>
        <w:separator/>
      </w:r>
    </w:p>
  </w:endnote>
  <w:endnote w:type="continuationSeparator" w:id="0">
    <w:p w:rsidR="00CA6A66" w:rsidRDefault="00CA6A66" w:rsidP="0063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atang">
    <w:altName w:val="Malgun Gothic"/>
    <w:panose1 w:val="02030600000101010101"/>
    <w:charset w:val="81"/>
    <w:family w:val="auto"/>
    <w:pitch w:val="fixed"/>
    <w:sig w:usb0="00000000" w:usb1="09060000" w:usb2="00000010" w:usb3="00000000" w:csb0="00080000" w:csb1="00000000"/>
  </w:font>
  <w:font w:name="Gulim">
    <w:altName w:val="Malgun Gothic"/>
    <w:panose1 w:val="020B0600000101010101"/>
    <w:charset w:val="81"/>
    <w:family w:val="roman"/>
    <w:pitch w:val="fixed"/>
    <w:sig w:usb0="00000000" w:usb1="09060000" w:usb2="00000010" w:usb3="00000000" w:csb0="00080000" w:csb1="00000000"/>
  </w:font>
  <w:font w:name="Helvetica Neue">
    <w:altName w:val="Aria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A66" w:rsidRDefault="00CA6A66" w:rsidP="00631AE3">
      <w:r>
        <w:separator/>
      </w:r>
    </w:p>
  </w:footnote>
  <w:footnote w:type="continuationSeparator" w:id="0">
    <w:p w:rsidR="00CA6A66" w:rsidRDefault="00CA6A66" w:rsidP="00631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F06CCB"/>
    <w:multiLevelType w:val="hybridMultilevel"/>
    <w:tmpl w:val="0074A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637F9"/>
    <w:rsid w:val="000664E6"/>
    <w:rsid w:val="000666D6"/>
    <w:rsid w:val="00083371"/>
    <w:rsid w:val="000A4433"/>
    <w:rsid w:val="000B3DE6"/>
    <w:rsid w:val="000B7FF5"/>
    <w:rsid w:val="000C7C36"/>
    <w:rsid w:val="000D258C"/>
    <w:rsid w:val="000D62CF"/>
    <w:rsid w:val="000E5149"/>
    <w:rsid w:val="000F7460"/>
    <w:rsid w:val="00135AFA"/>
    <w:rsid w:val="00137E4E"/>
    <w:rsid w:val="00142F80"/>
    <w:rsid w:val="00162909"/>
    <w:rsid w:val="001843D3"/>
    <w:rsid w:val="001928AA"/>
    <w:rsid w:val="001A0F1B"/>
    <w:rsid w:val="001A1A74"/>
    <w:rsid w:val="001D2D5E"/>
    <w:rsid w:val="001F058E"/>
    <w:rsid w:val="001F0A4B"/>
    <w:rsid w:val="001F3D5C"/>
    <w:rsid w:val="001F5B68"/>
    <w:rsid w:val="00201482"/>
    <w:rsid w:val="002235D9"/>
    <w:rsid w:val="002261FD"/>
    <w:rsid w:val="00232E55"/>
    <w:rsid w:val="002331B4"/>
    <w:rsid w:val="002515F6"/>
    <w:rsid w:val="0025492B"/>
    <w:rsid w:val="002564BF"/>
    <w:rsid w:val="00274686"/>
    <w:rsid w:val="00286838"/>
    <w:rsid w:val="00286C82"/>
    <w:rsid w:val="00294CD0"/>
    <w:rsid w:val="002B17E4"/>
    <w:rsid w:val="002B21D6"/>
    <w:rsid w:val="002C322F"/>
    <w:rsid w:val="002C6475"/>
    <w:rsid w:val="002E3150"/>
    <w:rsid w:val="002F036A"/>
    <w:rsid w:val="002F6E14"/>
    <w:rsid w:val="0031078C"/>
    <w:rsid w:val="0032480F"/>
    <w:rsid w:val="003317B0"/>
    <w:rsid w:val="00344885"/>
    <w:rsid w:val="00354D1C"/>
    <w:rsid w:val="00356043"/>
    <w:rsid w:val="00360C86"/>
    <w:rsid w:val="00361132"/>
    <w:rsid w:val="0036295F"/>
    <w:rsid w:val="003643FF"/>
    <w:rsid w:val="003652A1"/>
    <w:rsid w:val="00376E05"/>
    <w:rsid w:val="00385EB1"/>
    <w:rsid w:val="003921AD"/>
    <w:rsid w:val="00397F61"/>
    <w:rsid w:val="003A0EAD"/>
    <w:rsid w:val="003B73F9"/>
    <w:rsid w:val="003C3028"/>
    <w:rsid w:val="003E254D"/>
    <w:rsid w:val="003E3A36"/>
    <w:rsid w:val="003E411B"/>
    <w:rsid w:val="003E5F8D"/>
    <w:rsid w:val="003E7363"/>
    <w:rsid w:val="003F155C"/>
    <w:rsid w:val="003F7238"/>
    <w:rsid w:val="004071B5"/>
    <w:rsid w:val="00416229"/>
    <w:rsid w:val="0045012B"/>
    <w:rsid w:val="00473C60"/>
    <w:rsid w:val="004930C3"/>
    <w:rsid w:val="00497DE5"/>
    <w:rsid w:val="004A7EFB"/>
    <w:rsid w:val="004B0F35"/>
    <w:rsid w:val="004C43A8"/>
    <w:rsid w:val="004D2716"/>
    <w:rsid w:val="004F185F"/>
    <w:rsid w:val="004F7182"/>
    <w:rsid w:val="00501BF9"/>
    <w:rsid w:val="00515D13"/>
    <w:rsid w:val="00517530"/>
    <w:rsid w:val="0052372D"/>
    <w:rsid w:val="00525E9E"/>
    <w:rsid w:val="00550CEE"/>
    <w:rsid w:val="0056357E"/>
    <w:rsid w:val="005710E5"/>
    <w:rsid w:val="0058564E"/>
    <w:rsid w:val="00592914"/>
    <w:rsid w:val="0059325F"/>
    <w:rsid w:val="005A0418"/>
    <w:rsid w:val="005A6B70"/>
    <w:rsid w:val="005B23B6"/>
    <w:rsid w:val="005C2837"/>
    <w:rsid w:val="005C3D47"/>
    <w:rsid w:val="005C5C1E"/>
    <w:rsid w:val="005D0E12"/>
    <w:rsid w:val="005D3E9C"/>
    <w:rsid w:val="005D7DAB"/>
    <w:rsid w:val="005E5540"/>
    <w:rsid w:val="005E64EB"/>
    <w:rsid w:val="005F77C6"/>
    <w:rsid w:val="006005E4"/>
    <w:rsid w:val="00606DD3"/>
    <w:rsid w:val="00620755"/>
    <w:rsid w:val="00631AE3"/>
    <w:rsid w:val="00632F23"/>
    <w:rsid w:val="00636850"/>
    <w:rsid w:val="006503E1"/>
    <w:rsid w:val="0065630C"/>
    <w:rsid w:val="00662D27"/>
    <w:rsid w:val="00664998"/>
    <w:rsid w:val="006728B9"/>
    <w:rsid w:val="00677ACE"/>
    <w:rsid w:val="006A04FA"/>
    <w:rsid w:val="006A349A"/>
    <w:rsid w:val="006B09F4"/>
    <w:rsid w:val="006E0281"/>
    <w:rsid w:val="00700449"/>
    <w:rsid w:val="00706346"/>
    <w:rsid w:val="007251F9"/>
    <w:rsid w:val="007275A5"/>
    <w:rsid w:val="0076669F"/>
    <w:rsid w:val="00772559"/>
    <w:rsid w:val="0078032D"/>
    <w:rsid w:val="00795B95"/>
    <w:rsid w:val="007A3117"/>
    <w:rsid w:val="007A525F"/>
    <w:rsid w:val="007B0871"/>
    <w:rsid w:val="007B1B4D"/>
    <w:rsid w:val="007B1CA4"/>
    <w:rsid w:val="007B7717"/>
    <w:rsid w:val="007C04FD"/>
    <w:rsid w:val="007C1106"/>
    <w:rsid w:val="007C1ACD"/>
    <w:rsid w:val="007C2080"/>
    <w:rsid w:val="007C63A6"/>
    <w:rsid w:val="007E31BE"/>
    <w:rsid w:val="007E40A6"/>
    <w:rsid w:val="007E57CB"/>
    <w:rsid w:val="007E5893"/>
    <w:rsid w:val="007F0343"/>
    <w:rsid w:val="007F2716"/>
    <w:rsid w:val="008415E9"/>
    <w:rsid w:val="0084164D"/>
    <w:rsid w:val="00856504"/>
    <w:rsid w:val="008659A3"/>
    <w:rsid w:val="00874E01"/>
    <w:rsid w:val="008756D3"/>
    <w:rsid w:val="008824CF"/>
    <w:rsid w:val="0088509C"/>
    <w:rsid w:val="008976C1"/>
    <w:rsid w:val="008B0D8F"/>
    <w:rsid w:val="008B1C7C"/>
    <w:rsid w:val="008B3499"/>
    <w:rsid w:val="008D339A"/>
    <w:rsid w:val="008D6F52"/>
    <w:rsid w:val="008E3229"/>
    <w:rsid w:val="009121C5"/>
    <w:rsid w:val="00931AB0"/>
    <w:rsid w:val="009339D2"/>
    <w:rsid w:val="009357BB"/>
    <w:rsid w:val="00951265"/>
    <w:rsid w:val="00953CB2"/>
    <w:rsid w:val="009678EB"/>
    <w:rsid w:val="00982247"/>
    <w:rsid w:val="009902BD"/>
    <w:rsid w:val="009A1D02"/>
    <w:rsid w:val="009C04E8"/>
    <w:rsid w:val="009D712D"/>
    <w:rsid w:val="009E1A7B"/>
    <w:rsid w:val="009E6C54"/>
    <w:rsid w:val="009F1412"/>
    <w:rsid w:val="009F1C09"/>
    <w:rsid w:val="00A0242C"/>
    <w:rsid w:val="00A06812"/>
    <w:rsid w:val="00A0727A"/>
    <w:rsid w:val="00A103AE"/>
    <w:rsid w:val="00A140FE"/>
    <w:rsid w:val="00A25020"/>
    <w:rsid w:val="00A268D3"/>
    <w:rsid w:val="00A27602"/>
    <w:rsid w:val="00A572B2"/>
    <w:rsid w:val="00A85A27"/>
    <w:rsid w:val="00A92EB0"/>
    <w:rsid w:val="00A9556C"/>
    <w:rsid w:val="00AA6AA8"/>
    <w:rsid w:val="00AB11CF"/>
    <w:rsid w:val="00AB157E"/>
    <w:rsid w:val="00AB446B"/>
    <w:rsid w:val="00AC7414"/>
    <w:rsid w:val="00AE2E94"/>
    <w:rsid w:val="00AF5E71"/>
    <w:rsid w:val="00B00FFF"/>
    <w:rsid w:val="00B041CF"/>
    <w:rsid w:val="00B05E88"/>
    <w:rsid w:val="00B21A30"/>
    <w:rsid w:val="00B35CF6"/>
    <w:rsid w:val="00B55529"/>
    <w:rsid w:val="00B7755B"/>
    <w:rsid w:val="00B812EF"/>
    <w:rsid w:val="00B9072F"/>
    <w:rsid w:val="00BC50D8"/>
    <w:rsid w:val="00BD3DC4"/>
    <w:rsid w:val="00BE1842"/>
    <w:rsid w:val="00C05B5D"/>
    <w:rsid w:val="00C15A82"/>
    <w:rsid w:val="00C16E5D"/>
    <w:rsid w:val="00C202D2"/>
    <w:rsid w:val="00C37B67"/>
    <w:rsid w:val="00C44D47"/>
    <w:rsid w:val="00C55350"/>
    <w:rsid w:val="00C55362"/>
    <w:rsid w:val="00C6264E"/>
    <w:rsid w:val="00C637F9"/>
    <w:rsid w:val="00C74753"/>
    <w:rsid w:val="00C7603B"/>
    <w:rsid w:val="00C86898"/>
    <w:rsid w:val="00C873B6"/>
    <w:rsid w:val="00CA44EA"/>
    <w:rsid w:val="00CA507F"/>
    <w:rsid w:val="00CA6A66"/>
    <w:rsid w:val="00CC126B"/>
    <w:rsid w:val="00CE075C"/>
    <w:rsid w:val="00CE3B5C"/>
    <w:rsid w:val="00CE5852"/>
    <w:rsid w:val="00CE69F4"/>
    <w:rsid w:val="00CF5619"/>
    <w:rsid w:val="00D241D4"/>
    <w:rsid w:val="00D343E8"/>
    <w:rsid w:val="00D34ECB"/>
    <w:rsid w:val="00D443F0"/>
    <w:rsid w:val="00D57773"/>
    <w:rsid w:val="00D87984"/>
    <w:rsid w:val="00D87FAD"/>
    <w:rsid w:val="00D90EF8"/>
    <w:rsid w:val="00DB3238"/>
    <w:rsid w:val="00DC1CE5"/>
    <w:rsid w:val="00DC3219"/>
    <w:rsid w:val="00DC6465"/>
    <w:rsid w:val="00DE7E47"/>
    <w:rsid w:val="00DF1345"/>
    <w:rsid w:val="00E15D42"/>
    <w:rsid w:val="00E1687D"/>
    <w:rsid w:val="00E23EED"/>
    <w:rsid w:val="00E244B4"/>
    <w:rsid w:val="00E43B3E"/>
    <w:rsid w:val="00E56129"/>
    <w:rsid w:val="00E5769F"/>
    <w:rsid w:val="00E6349D"/>
    <w:rsid w:val="00E66624"/>
    <w:rsid w:val="00E76196"/>
    <w:rsid w:val="00E903E4"/>
    <w:rsid w:val="00E91303"/>
    <w:rsid w:val="00EB54F8"/>
    <w:rsid w:val="00EC41A0"/>
    <w:rsid w:val="00ED5D0D"/>
    <w:rsid w:val="00EE2B03"/>
    <w:rsid w:val="00EE3F19"/>
    <w:rsid w:val="00EE5BBB"/>
    <w:rsid w:val="00EF0974"/>
    <w:rsid w:val="00EF4B94"/>
    <w:rsid w:val="00EF5778"/>
    <w:rsid w:val="00F0512A"/>
    <w:rsid w:val="00F10B82"/>
    <w:rsid w:val="00F14289"/>
    <w:rsid w:val="00F2557C"/>
    <w:rsid w:val="00F3344C"/>
    <w:rsid w:val="00F33F2A"/>
    <w:rsid w:val="00F43709"/>
    <w:rsid w:val="00F61129"/>
    <w:rsid w:val="00F65BD2"/>
    <w:rsid w:val="00F663CA"/>
    <w:rsid w:val="00F83784"/>
    <w:rsid w:val="00F843B9"/>
    <w:rsid w:val="00F969C6"/>
    <w:rsid w:val="00FA09BD"/>
    <w:rsid w:val="00FA3DF4"/>
    <w:rsid w:val="00FA4F19"/>
    <w:rsid w:val="00FB3F59"/>
    <w:rsid w:val="00FD3CD3"/>
    <w:rsid w:val="00FD7DC4"/>
    <w:rsid w:val="00FE36E8"/>
    <w:rsid w:val="00FF20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BCAF0E7"/>
  <w15:chartTrackingRefBased/>
  <w15:docId w15:val="{61F598E9-9553-462F-89A5-CD3D074D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Malgun Gothic" w:hAnsi="Malgun Gothic"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E9C"/>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0A4433"/>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0A443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7F9"/>
    <w:pPr>
      <w:widowControl w:val="0"/>
      <w:wordWrap w:val="0"/>
      <w:autoSpaceDE w:val="0"/>
      <w:autoSpaceDN w:val="0"/>
      <w:spacing w:after="200" w:line="276" w:lineRule="auto"/>
      <w:ind w:leftChars="400" w:left="800"/>
      <w:jc w:val="both"/>
    </w:pPr>
    <w:rPr>
      <w:rFonts w:ascii="Malgun Gothic" w:eastAsia="Malgun Gothic" w:hAnsi="Malgun Gothic" w:cs="Arial"/>
      <w:kern w:val="2"/>
      <w:sz w:val="20"/>
      <w:szCs w:val="22"/>
      <w:lang w:eastAsia="ko-KR"/>
    </w:rPr>
  </w:style>
  <w:style w:type="character" w:styleId="Hyperlink">
    <w:name w:val="Hyperlink"/>
    <w:uiPriority w:val="99"/>
    <w:unhideWhenUsed/>
    <w:rsid w:val="00C637F9"/>
    <w:rPr>
      <w:color w:val="0563C1"/>
      <w:u w:val="single"/>
    </w:rPr>
  </w:style>
  <w:style w:type="paragraph" w:styleId="Header">
    <w:name w:val="header"/>
    <w:basedOn w:val="Normal"/>
    <w:link w:val="HeaderChar"/>
    <w:uiPriority w:val="99"/>
    <w:unhideWhenUsed/>
    <w:rsid w:val="00C637F9"/>
    <w:pPr>
      <w:widowControl w:val="0"/>
      <w:tabs>
        <w:tab w:val="center" w:pos="4513"/>
        <w:tab w:val="right" w:pos="9026"/>
      </w:tabs>
      <w:wordWrap w:val="0"/>
      <w:autoSpaceDE w:val="0"/>
      <w:autoSpaceDN w:val="0"/>
      <w:snapToGrid w:val="0"/>
      <w:spacing w:after="200" w:line="276" w:lineRule="auto"/>
      <w:jc w:val="both"/>
    </w:pPr>
    <w:rPr>
      <w:rFonts w:ascii="Malgun Gothic" w:eastAsia="Malgun Gothic" w:hAnsi="Malgun Gothic" w:cs="Arial"/>
      <w:kern w:val="2"/>
      <w:sz w:val="20"/>
      <w:szCs w:val="22"/>
      <w:lang w:eastAsia="ko-KR"/>
    </w:rPr>
  </w:style>
  <w:style w:type="character" w:customStyle="1" w:styleId="HeaderChar">
    <w:name w:val="Header Char"/>
    <w:basedOn w:val="DefaultParagraphFont"/>
    <w:link w:val="Header"/>
    <w:uiPriority w:val="99"/>
    <w:rsid w:val="00C637F9"/>
  </w:style>
  <w:style w:type="paragraph" w:styleId="Footer">
    <w:name w:val="footer"/>
    <w:basedOn w:val="Normal"/>
    <w:link w:val="FooterChar"/>
    <w:uiPriority w:val="99"/>
    <w:unhideWhenUsed/>
    <w:rsid w:val="00C637F9"/>
    <w:pPr>
      <w:widowControl w:val="0"/>
      <w:tabs>
        <w:tab w:val="center" w:pos="4513"/>
        <w:tab w:val="right" w:pos="9026"/>
      </w:tabs>
      <w:wordWrap w:val="0"/>
      <w:autoSpaceDE w:val="0"/>
      <w:autoSpaceDN w:val="0"/>
      <w:snapToGrid w:val="0"/>
      <w:spacing w:after="200" w:line="276" w:lineRule="auto"/>
      <w:jc w:val="both"/>
    </w:pPr>
    <w:rPr>
      <w:rFonts w:ascii="Malgun Gothic" w:eastAsia="Malgun Gothic" w:hAnsi="Malgun Gothic" w:cs="Arial"/>
      <w:kern w:val="2"/>
      <w:sz w:val="20"/>
      <w:szCs w:val="22"/>
      <w:lang w:eastAsia="ko-KR"/>
    </w:rPr>
  </w:style>
  <w:style w:type="character" w:customStyle="1" w:styleId="FooterChar">
    <w:name w:val="Footer Char"/>
    <w:basedOn w:val="DefaultParagraphFont"/>
    <w:link w:val="Footer"/>
    <w:uiPriority w:val="99"/>
    <w:rsid w:val="00C637F9"/>
  </w:style>
  <w:style w:type="paragraph" w:styleId="BalloonText">
    <w:name w:val="Balloon Text"/>
    <w:basedOn w:val="Normal"/>
    <w:link w:val="BalloonTextChar"/>
    <w:uiPriority w:val="99"/>
    <w:semiHidden/>
    <w:unhideWhenUsed/>
    <w:rsid w:val="00C637F9"/>
    <w:rPr>
      <w:rFonts w:ascii="Segoe UI" w:eastAsia="Malgun Gothic" w:hAnsi="Segoe UI"/>
      <w:sz w:val="18"/>
      <w:szCs w:val="18"/>
      <w:lang w:val="x-none" w:eastAsia="x-none"/>
    </w:rPr>
  </w:style>
  <w:style w:type="character" w:customStyle="1" w:styleId="BalloonTextChar">
    <w:name w:val="Balloon Text Char"/>
    <w:link w:val="BalloonText"/>
    <w:uiPriority w:val="99"/>
    <w:semiHidden/>
    <w:rsid w:val="00C637F9"/>
    <w:rPr>
      <w:rFonts w:ascii="Segoe UI" w:hAnsi="Segoe UI" w:cs="Segoe UI"/>
      <w:sz w:val="18"/>
      <w:szCs w:val="18"/>
    </w:rPr>
  </w:style>
  <w:style w:type="character" w:styleId="CommentReference">
    <w:name w:val="annotation reference"/>
    <w:uiPriority w:val="99"/>
    <w:semiHidden/>
    <w:unhideWhenUsed/>
    <w:rsid w:val="00C637F9"/>
    <w:rPr>
      <w:sz w:val="16"/>
      <w:szCs w:val="16"/>
    </w:rPr>
  </w:style>
  <w:style w:type="paragraph" w:styleId="CommentText">
    <w:name w:val="annotation text"/>
    <w:basedOn w:val="Normal"/>
    <w:link w:val="CommentTextChar"/>
    <w:uiPriority w:val="99"/>
    <w:semiHidden/>
    <w:unhideWhenUsed/>
    <w:rsid w:val="00C637F9"/>
    <w:pPr>
      <w:widowControl w:val="0"/>
      <w:wordWrap w:val="0"/>
      <w:autoSpaceDE w:val="0"/>
      <w:autoSpaceDN w:val="0"/>
      <w:spacing w:after="200"/>
      <w:jc w:val="both"/>
    </w:pPr>
    <w:rPr>
      <w:rFonts w:ascii="Malgun Gothic" w:eastAsia="Malgun Gothic" w:hAnsi="Malgun Gothic"/>
      <w:sz w:val="20"/>
      <w:szCs w:val="20"/>
      <w:lang w:val="x-none" w:eastAsia="x-none"/>
    </w:rPr>
  </w:style>
  <w:style w:type="character" w:customStyle="1" w:styleId="CommentTextChar">
    <w:name w:val="Comment Text Char"/>
    <w:link w:val="CommentText"/>
    <w:uiPriority w:val="99"/>
    <w:semiHidden/>
    <w:rsid w:val="00C637F9"/>
    <w:rPr>
      <w:szCs w:val="20"/>
    </w:rPr>
  </w:style>
  <w:style w:type="paragraph" w:styleId="CommentSubject">
    <w:name w:val="annotation subject"/>
    <w:basedOn w:val="CommentText"/>
    <w:next w:val="CommentText"/>
    <w:link w:val="CommentSubjectChar"/>
    <w:uiPriority w:val="99"/>
    <w:semiHidden/>
    <w:unhideWhenUsed/>
    <w:rsid w:val="00C637F9"/>
    <w:rPr>
      <w:b/>
      <w:bCs/>
    </w:rPr>
  </w:style>
  <w:style w:type="character" w:customStyle="1" w:styleId="CommentSubjectChar">
    <w:name w:val="Comment Subject Char"/>
    <w:link w:val="CommentSubject"/>
    <w:uiPriority w:val="99"/>
    <w:semiHidden/>
    <w:rsid w:val="00C637F9"/>
    <w:rPr>
      <w:b/>
      <w:bCs/>
      <w:szCs w:val="20"/>
    </w:rPr>
  </w:style>
  <w:style w:type="paragraph" w:customStyle="1" w:styleId="EndNoteBibliographyTitle">
    <w:name w:val="EndNote Bibliography Title"/>
    <w:basedOn w:val="Normal"/>
    <w:link w:val="EndNoteBibliographyTitleChar"/>
    <w:rsid w:val="00C637F9"/>
    <w:pPr>
      <w:widowControl w:val="0"/>
      <w:wordWrap w:val="0"/>
      <w:autoSpaceDE w:val="0"/>
      <w:autoSpaceDN w:val="0"/>
      <w:spacing w:line="276" w:lineRule="auto"/>
      <w:jc w:val="center"/>
    </w:pPr>
    <w:rPr>
      <w:rFonts w:ascii="Malgun Gothic" w:eastAsia="Malgun Gothic" w:hAnsi="Malgun Gothic"/>
      <w:noProof/>
      <w:sz w:val="20"/>
      <w:szCs w:val="20"/>
      <w:lang w:val="x-none" w:eastAsia="x-none"/>
    </w:rPr>
  </w:style>
  <w:style w:type="character" w:customStyle="1" w:styleId="EndNoteBibliographyTitleChar">
    <w:name w:val="EndNote Bibliography Title Char"/>
    <w:link w:val="EndNoteBibliographyTitle"/>
    <w:rsid w:val="00C637F9"/>
    <w:rPr>
      <w:rFonts w:ascii="Malgun Gothic" w:eastAsia="Malgun Gothic" w:hAnsi="Malgun Gothic"/>
      <w:noProof/>
    </w:rPr>
  </w:style>
  <w:style w:type="paragraph" w:customStyle="1" w:styleId="EndNoteBibliography">
    <w:name w:val="EndNote Bibliography"/>
    <w:basedOn w:val="Normal"/>
    <w:link w:val="EndNoteBibliographyChar"/>
    <w:rsid w:val="00C637F9"/>
    <w:pPr>
      <w:widowControl w:val="0"/>
      <w:wordWrap w:val="0"/>
      <w:autoSpaceDE w:val="0"/>
      <w:autoSpaceDN w:val="0"/>
      <w:spacing w:after="200"/>
      <w:jc w:val="both"/>
    </w:pPr>
    <w:rPr>
      <w:rFonts w:ascii="Malgun Gothic" w:eastAsia="Malgun Gothic" w:hAnsi="Malgun Gothic"/>
      <w:noProof/>
      <w:sz w:val="20"/>
      <w:szCs w:val="20"/>
      <w:lang w:val="x-none" w:eastAsia="x-none"/>
    </w:rPr>
  </w:style>
  <w:style w:type="character" w:customStyle="1" w:styleId="EndNoteBibliographyChar">
    <w:name w:val="EndNote Bibliography Char"/>
    <w:link w:val="EndNoteBibliography"/>
    <w:rsid w:val="00C637F9"/>
    <w:rPr>
      <w:rFonts w:ascii="Malgun Gothic" w:eastAsia="Malgun Gothic" w:hAnsi="Malgun Gothic"/>
      <w:noProof/>
    </w:rPr>
  </w:style>
  <w:style w:type="character" w:customStyle="1" w:styleId="UnresolvedMention1">
    <w:name w:val="Unresolved Mention1"/>
    <w:uiPriority w:val="99"/>
    <w:semiHidden/>
    <w:unhideWhenUsed/>
    <w:rsid w:val="00C637F9"/>
    <w:rPr>
      <w:color w:val="605E5C"/>
      <w:shd w:val="clear" w:color="auto" w:fill="E1DFDD"/>
    </w:rPr>
  </w:style>
  <w:style w:type="character" w:customStyle="1" w:styleId="apple-converted-space">
    <w:name w:val="apple-converted-space"/>
    <w:basedOn w:val="DefaultParagraphFont"/>
    <w:rsid w:val="00A25020"/>
  </w:style>
  <w:style w:type="paragraph" w:customStyle="1" w:styleId="MDPI71References">
    <w:name w:val="MDPI_7.1_References"/>
    <w:basedOn w:val="Normal"/>
    <w:qFormat/>
    <w:rsid w:val="00874E01"/>
    <w:pPr>
      <w:numPr>
        <w:numId w:val="2"/>
      </w:numPr>
      <w:adjustRightInd w:val="0"/>
      <w:snapToGrid w:val="0"/>
      <w:spacing w:line="260" w:lineRule="atLeast"/>
      <w:ind w:left="425" w:hanging="425"/>
      <w:jc w:val="both"/>
    </w:pPr>
    <w:rPr>
      <w:rFonts w:ascii="Palatino Linotype" w:hAnsi="Palatino Linotype"/>
      <w:snapToGrid w:val="0"/>
      <w:color w:val="000000"/>
      <w:sz w:val="18"/>
      <w:szCs w:val="20"/>
      <w:lang w:eastAsia="de-DE" w:bidi="en-US"/>
    </w:rPr>
  </w:style>
  <w:style w:type="paragraph" w:styleId="Revision">
    <w:name w:val="Revision"/>
    <w:hidden/>
    <w:uiPriority w:val="99"/>
    <w:semiHidden/>
    <w:rsid w:val="009E1A7B"/>
    <w:rPr>
      <w:rFonts w:ascii="Times New Roman" w:eastAsia="Times New Roman" w:hAnsi="Times New Roman" w:cs="Times New Roman"/>
      <w:sz w:val="24"/>
      <w:szCs w:val="24"/>
      <w:lang w:val="en-US" w:eastAsia="en-US"/>
    </w:rPr>
  </w:style>
  <w:style w:type="character" w:customStyle="1" w:styleId="UnresolvedMention">
    <w:name w:val="Unresolved Mention"/>
    <w:uiPriority w:val="99"/>
    <w:semiHidden/>
    <w:unhideWhenUsed/>
    <w:rsid w:val="001D2D5E"/>
    <w:rPr>
      <w:color w:val="605E5C"/>
      <w:shd w:val="clear" w:color="auto" w:fill="E1DFDD"/>
    </w:rPr>
  </w:style>
  <w:style w:type="character" w:styleId="LineNumber">
    <w:name w:val="line number"/>
    <w:basedOn w:val="DefaultParagraphFont"/>
    <w:uiPriority w:val="99"/>
    <w:semiHidden/>
    <w:unhideWhenUsed/>
    <w:rsid w:val="00F0512A"/>
  </w:style>
  <w:style w:type="character" w:customStyle="1" w:styleId="highwire-cite-metadata-journal">
    <w:name w:val="highwire-cite-metadata-journal"/>
    <w:basedOn w:val="DefaultParagraphFont"/>
    <w:rsid w:val="006005E4"/>
  </w:style>
  <w:style w:type="character" w:customStyle="1" w:styleId="highwire-cite-metadata-pages">
    <w:name w:val="highwire-cite-metadata-pages"/>
    <w:basedOn w:val="DefaultParagraphFont"/>
    <w:rsid w:val="006005E4"/>
  </w:style>
  <w:style w:type="character" w:customStyle="1" w:styleId="Heading1Char">
    <w:name w:val="Heading 1 Char"/>
    <w:basedOn w:val="DefaultParagraphFont"/>
    <w:link w:val="Heading1"/>
    <w:uiPriority w:val="9"/>
    <w:rsid w:val="000A4433"/>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rsid w:val="000A4433"/>
    <w:rPr>
      <w:rFonts w:asciiTheme="majorHAnsi" w:eastAsiaTheme="majorEastAsia" w:hAnsiTheme="majorHAnsi" w:cstheme="majorBidi"/>
      <w:b/>
      <w:bCs/>
      <w:i/>
      <w:i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54877">
      <w:bodyDiv w:val="1"/>
      <w:marLeft w:val="0"/>
      <w:marRight w:val="0"/>
      <w:marTop w:val="0"/>
      <w:marBottom w:val="0"/>
      <w:divBdr>
        <w:top w:val="none" w:sz="0" w:space="0" w:color="auto"/>
        <w:left w:val="none" w:sz="0" w:space="0" w:color="auto"/>
        <w:bottom w:val="none" w:sz="0" w:space="0" w:color="auto"/>
        <w:right w:val="none" w:sz="0" w:space="0" w:color="auto"/>
      </w:divBdr>
    </w:div>
    <w:div w:id="72167230">
      <w:bodyDiv w:val="1"/>
      <w:marLeft w:val="0"/>
      <w:marRight w:val="0"/>
      <w:marTop w:val="0"/>
      <w:marBottom w:val="0"/>
      <w:divBdr>
        <w:top w:val="none" w:sz="0" w:space="0" w:color="auto"/>
        <w:left w:val="none" w:sz="0" w:space="0" w:color="auto"/>
        <w:bottom w:val="none" w:sz="0" w:space="0" w:color="auto"/>
        <w:right w:val="none" w:sz="0" w:space="0" w:color="auto"/>
      </w:divBdr>
    </w:div>
    <w:div w:id="98985501">
      <w:bodyDiv w:val="1"/>
      <w:marLeft w:val="0"/>
      <w:marRight w:val="0"/>
      <w:marTop w:val="0"/>
      <w:marBottom w:val="0"/>
      <w:divBdr>
        <w:top w:val="none" w:sz="0" w:space="0" w:color="auto"/>
        <w:left w:val="none" w:sz="0" w:space="0" w:color="auto"/>
        <w:bottom w:val="none" w:sz="0" w:space="0" w:color="auto"/>
        <w:right w:val="none" w:sz="0" w:space="0" w:color="auto"/>
      </w:divBdr>
    </w:div>
    <w:div w:id="211885790">
      <w:bodyDiv w:val="1"/>
      <w:marLeft w:val="0"/>
      <w:marRight w:val="0"/>
      <w:marTop w:val="0"/>
      <w:marBottom w:val="0"/>
      <w:divBdr>
        <w:top w:val="none" w:sz="0" w:space="0" w:color="auto"/>
        <w:left w:val="none" w:sz="0" w:space="0" w:color="auto"/>
        <w:bottom w:val="none" w:sz="0" w:space="0" w:color="auto"/>
        <w:right w:val="none" w:sz="0" w:space="0" w:color="auto"/>
      </w:divBdr>
    </w:div>
    <w:div w:id="321735522">
      <w:bodyDiv w:val="1"/>
      <w:marLeft w:val="0"/>
      <w:marRight w:val="0"/>
      <w:marTop w:val="0"/>
      <w:marBottom w:val="0"/>
      <w:divBdr>
        <w:top w:val="none" w:sz="0" w:space="0" w:color="auto"/>
        <w:left w:val="none" w:sz="0" w:space="0" w:color="auto"/>
        <w:bottom w:val="none" w:sz="0" w:space="0" w:color="auto"/>
        <w:right w:val="none" w:sz="0" w:space="0" w:color="auto"/>
      </w:divBdr>
    </w:div>
    <w:div w:id="429200258">
      <w:bodyDiv w:val="1"/>
      <w:marLeft w:val="0"/>
      <w:marRight w:val="0"/>
      <w:marTop w:val="0"/>
      <w:marBottom w:val="0"/>
      <w:divBdr>
        <w:top w:val="none" w:sz="0" w:space="0" w:color="auto"/>
        <w:left w:val="none" w:sz="0" w:space="0" w:color="auto"/>
        <w:bottom w:val="none" w:sz="0" w:space="0" w:color="auto"/>
        <w:right w:val="none" w:sz="0" w:space="0" w:color="auto"/>
      </w:divBdr>
    </w:div>
    <w:div w:id="544831485">
      <w:bodyDiv w:val="1"/>
      <w:marLeft w:val="0"/>
      <w:marRight w:val="0"/>
      <w:marTop w:val="0"/>
      <w:marBottom w:val="0"/>
      <w:divBdr>
        <w:top w:val="none" w:sz="0" w:space="0" w:color="auto"/>
        <w:left w:val="none" w:sz="0" w:space="0" w:color="auto"/>
        <w:bottom w:val="none" w:sz="0" w:space="0" w:color="auto"/>
        <w:right w:val="none" w:sz="0" w:space="0" w:color="auto"/>
      </w:divBdr>
    </w:div>
    <w:div w:id="588781669">
      <w:bodyDiv w:val="1"/>
      <w:marLeft w:val="0"/>
      <w:marRight w:val="0"/>
      <w:marTop w:val="0"/>
      <w:marBottom w:val="0"/>
      <w:divBdr>
        <w:top w:val="none" w:sz="0" w:space="0" w:color="auto"/>
        <w:left w:val="none" w:sz="0" w:space="0" w:color="auto"/>
        <w:bottom w:val="none" w:sz="0" w:space="0" w:color="auto"/>
        <w:right w:val="none" w:sz="0" w:space="0" w:color="auto"/>
      </w:divBdr>
    </w:div>
    <w:div w:id="596056731">
      <w:bodyDiv w:val="1"/>
      <w:marLeft w:val="0"/>
      <w:marRight w:val="0"/>
      <w:marTop w:val="0"/>
      <w:marBottom w:val="0"/>
      <w:divBdr>
        <w:top w:val="none" w:sz="0" w:space="0" w:color="auto"/>
        <w:left w:val="none" w:sz="0" w:space="0" w:color="auto"/>
        <w:bottom w:val="none" w:sz="0" w:space="0" w:color="auto"/>
        <w:right w:val="none" w:sz="0" w:space="0" w:color="auto"/>
      </w:divBdr>
    </w:div>
    <w:div w:id="682126478">
      <w:bodyDiv w:val="1"/>
      <w:marLeft w:val="0"/>
      <w:marRight w:val="0"/>
      <w:marTop w:val="0"/>
      <w:marBottom w:val="0"/>
      <w:divBdr>
        <w:top w:val="none" w:sz="0" w:space="0" w:color="auto"/>
        <w:left w:val="none" w:sz="0" w:space="0" w:color="auto"/>
        <w:bottom w:val="none" w:sz="0" w:space="0" w:color="auto"/>
        <w:right w:val="none" w:sz="0" w:space="0" w:color="auto"/>
      </w:divBdr>
    </w:div>
    <w:div w:id="746265857">
      <w:bodyDiv w:val="1"/>
      <w:marLeft w:val="0"/>
      <w:marRight w:val="0"/>
      <w:marTop w:val="0"/>
      <w:marBottom w:val="0"/>
      <w:divBdr>
        <w:top w:val="none" w:sz="0" w:space="0" w:color="auto"/>
        <w:left w:val="none" w:sz="0" w:space="0" w:color="auto"/>
        <w:bottom w:val="none" w:sz="0" w:space="0" w:color="auto"/>
        <w:right w:val="none" w:sz="0" w:space="0" w:color="auto"/>
      </w:divBdr>
    </w:div>
    <w:div w:id="859589127">
      <w:bodyDiv w:val="1"/>
      <w:marLeft w:val="0"/>
      <w:marRight w:val="0"/>
      <w:marTop w:val="0"/>
      <w:marBottom w:val="0"/>
      <w:divBdr>
        <w:top w:val="none" w:sz="0" w:space="0" w:color="auto"/>
        <w:left w:val="none" w:sz="0" w:space="0" w:color="auto"/>
        <w:bottom w:val="none" w:sz="0" w:space="0" w:color="auto"/>
        <w:right w:val="none" w:sz="0" w:space="0" w:color="auto"/>
      </w:divBdr>
    </w:div>
    <w:div w:id="930702183">
      <w:bodyDiv w:val="1"/>
      <w:marLeft w:val="0"/>
      <w:marRight w:val="0"/>
      <w:marTop w:val="0"/>
      <w:marBottom w:val="0"/>
      <w:divBdr>
        <w:top w:val="none" w:sz="0" w:space="0" w:color="auto"/>
        <w:left w:val="none" w:sz="0" w:space="0" w:color="auto"/>
        <w:bottom w:val="none" w:sz="0" w:space="0" w:color="auto"/>
        <w:right w:val="none" w:sz="0" w:space="0" w:color="auto"/>
      </w:divBdr>
    </w:div>
    <w:div w:id="952596987">
      <w:bodyDiv w:val="1"/>
      <w:marLeft w:val="0"/>
      <w:marRight w:val="0"/>
      <w:marTop w:val="0"/>
      <w:marBottom w:val="0"/>
      <w:divBdr>
        <w:top w:val="none" w:sz="0" w:space="0" w:color="auto"/>
        <w:left w:val="none" w:sz="0" w:space="0" w:color="auto"/>
        <w:bottom w:val="none" w:sz="0" w:space="0" w:color="auto"/>
        <w:right w:val="none" w:sz="0" w:space="0" w:color="auto"/>
      </w:divBdr>
    </w:div>
    <w:div w:id="995301051">
      <w:bodyDiv w:val="1"/>
      <w:marLeft w:val="0"/>
      <w:marRight w:val="0"/>
      <w:marTop w:val="0"/>
      <w:marBottom w:val="0"/>
      <w:divBdr>
        <w:top w:val="none" w:sz="0" w:space="0" w:color="auto"/>
        <w:left w:val="none" w:sz="0" w:space="0" w:color="auto"/>
        <w:bottom w:val="none" w:sz="0" w:space="0" w:color="auto"/>
        <w:right w:val="none" w:sz="0" w:space="0" w:color="auto"/>
      </w:divBdr>
    </w:div>
    <w:div w:id="1092971645">
      <w:bodyDiv w:val="1"/>
      <w:marLeft w:val="0"/>
      <w:marRight w:val="0"/>
      <w:marTop w:val="0"/>
      <w:marBottom w:val="0"/>
      <w:divBdr>
        <w:top w:val="none" w:sz="0" w:space="0" w:color="auto"/>
        <w:left w:val="none" w:sz="0" w:space="0" w:color="auto"/>
        <w:bottom w:val="none" w:sz="0" w:space="0" w:color="auto"/>
        <w:right w:val="none" w:sz="0" w:space="0" w:color="auto"/>
      </w:divBdr>
    </w:div>
    <w:div w:id="1098133827">
      <w:bodyDiv w:val="1"/>
      <w:marLeft w:val="0"/>
      <w:marRight w:val="0"/>
      <w:marTop w:val="0"/>
      <w:marBottom w:val="0"/>
      <w:divBdr>
        <w:top w:val="none" w:sz="0" w:space="0" w:color="auto"/>
        <w:left w:val="none" w:sz="0" w:space="0" w:color="auto"/>
        <w:bottom w:val="none" w:sz="0" w:space="0" w:color="auto"/>
        <w:right w:val="none" w:sz="0" w:space="0" w:color="auto"/>
      </w:divBdr>
    </w:div>
    <w:div w:id="1129736857">
      <w:bodyDiv w:val="1"/>
      <w:marLeft w:val="0"/>
      <w:marRight w:val="0"/>
      <w:marTop w:val="0"/>
      <w:marBottom w:val="0"/>
      <w:divBdr>
        <w:top w:val="none" w:sz="0" w:space="0" w:color="auto"/>
        <w:left w:val="none" w:sz="0" w:space="0" w:color="auto"/>
        <w:bottom w:val="none" w:sz="0" w:space="0" w:color="auto"/>
        <w:right w:val="none" w:sz="0" w:space="0" w:color="auto"/>
      </w:divBdr>
    </w:div>
    <w:div w:id="1251430893">
      <w:bodyDiv w:val="1"/>
      <w:marLeft w:val="0"/>
      <w:marRight w:val="0"/>
      <w:marTop w:val="0"/>
      <w:marBottom w:val="0"/>
      <w:divBdr>
        <w:top w:val="none" w:sz="0" w:space="0" w:color="auto"/>
        <w:left w:val="none" w:sz="0" w:space="0" w:color="auto"/>
        <w:bottom w:val="none" w:sz="0" w:space="0" w:color="auto"/>
        <w:right w:val="none" w:sz="0" w:space="0" w:color="auto"/>
      </w:divBdr>
    </w:div>
    <w:div w:id="1299334024">
      <w:bodyDiv w:val="1"/>
      <w:marLeft w:val="0"/>
      <w:marRight w:val="0"/>
      <w:marTop w:val="0"/>
      <w:marBottom w:val="0"/>
      <w:divBdr>
        <w:top w:val="none" w:sz="0" w:space="0" w:color="auto"/>
        <w:left w:val="none" w:sz="0" w:space="0" w:color="auto"/>
        <w:bottom w:val="none" w:sz="0" w:space="0" w:color="auto"/>
        <w:right w:val="none" w:sz="0" w:space="0" w:color="auto"/>
      </w:divBdr>
    </w:div>
    <w:div w:id="1301575017">
      <w:bodyDiv w:val="1"/>
      <w:marLeft w:val="0"/>
      <w:marRight w:val="0"/>
      <w:marTop w:val="0"/>
      <w:marBottom w:val="0"/>
      <w:divBdr>
        <w:top w:val="none" w:sz="0" w:space="0" w:color="auto"/>
        <w:left w:val="none" w:sz="0" w:space="0" w:color="auto"/>
        <w:bottom w:val="none" w:sz="0" w:space="0" w:color="auto"/>
        <w:right w:val="none" w:sz="0" w:space="0" w:color="auto"/>
      </w:divBdr>
    </w:div>
    <w:div w:id="1335760455">
      <w:bodyDiv w:val="1"/>
      <w:marLeft w:val="0"/>
      <w:marRight w:val="0"/>
      <w:marTop w:val="0"/>
      <w:marBottom w:val="0"/>
      <w:divBdr>
        <w:top w:val="none" w:sz="0" w:space="0" w:color="auto"/>
        <w:left w:val="none" w:sz="0" w:space="0" w:color="auto"/>
        <w:bottom w:val="none" w:sz="0" w:space="0" w:color="auto"/>
        <w:right w:val="none" w:sz="0" w:space="0" w:color="auto"/>
      </w:divBdr>
    </w:div>
    <w:div w:id="1354842722">
      <w:bodyDiv w:val="1"/>
      <w:marLeft w:val="0"/>
      <w:marRight w:val="0"/>
      <w:marTop w:val="0"/>
      <w:marBottom w:val="0"/>
      <w:divBdr>
        <w:top w:val="none" w:sz="0" w:space="0" w:color="auto"/>
        <w:left w:val="none" w:sz="0" w:space="0" w:color="auto"/>
        <w:bottom w:val="none" w:sz="0" w:space="0" w:color="auto"/>
        <w:right w:val="none" w:sz="0" w:space="0" w:color="auto"/>
      </w:divBdr>
    </w:div>
    <w:div w:id="1371878802">
      <w:bodyDiv w:val="1"/>
      <w:marLeft w:val="0"/>
      <w:marRight w:val="0"/>
      <w:marTop w:val="0"/>
      <w:marBottom w:val="0"/>
      <w:divBdr>
        <w:top w:val="none" w:sz="0" w:space="0" w:color="auto"/>
        <w:left w:val="none" w:sz="0" w:space="0" w:color="auto"/>
        <w:bottom w:val="none" w:sz="0" w:space="0" w:color="auto"/>
        <w:right w:val="none" w:sz="0" w:space="0" w:color="auto"/>
      </w:divBdr>
    </w:div>
    <w:div w:id="1465584519">
      <w:bodyDiv w:val="1"/>
      <w:marLeft w:val="0"/>
      <w:marRight w:val="0"/>
      <w:marTop w:val="0"/>
      <w:marBottom w:val="0"/>
      <w:divBdr>
        <w:top w:val="none" w:sz="0" w:space="0" w:color="auto"/>
        <w:left w:val="none" w:sz="0" w:space="0" w:color="auto"/>
        <w:bottom w:val="none" w:sz="0" w:space="0" w:color="auto"/>
        <w:right w:val="none" w:sz="0" w:space="0" w:color="auto"/>
      </w:divBdr>
    </w:div>
    <w:div w:id="1467627947">
      <w:bodyDiv w:val="1"/>
      <w:marLeft w:val="0"/>
      <w:marRight w:val="0"/>
      <w:marTop w:val="0"/>
      <w:marBottom w:val="0"/>
      <w:divBdr>
        <w:top w:val="none" w:sz="0" w:space="0" w:color="auto"/>
        <w:left w:val="none" w:sz="0" w:space="0" w:color="auto"/>
        <w:bottom w:val="none" w:sz="0" w:space="0" w:color="auto"/>
        <w:right w:val="none" w:sz="0" w:space="0" w:color="auto"/>
      </w:divBdr>
    </w:div>
    <w:div w:id="1480801520">
      <w:bodyDiv w:val="1"/>
      <w:marLeft w:val="0"/>
      <w:marRight w:val="0"/>
      <w:marTop w:val="0"/>
      <w:marBottom w:val="0"/>
      <w:divBdr>
        <w:top w:val="none" w:sz="0" w:space="0" w:color="auto"/>
        <w:left w:val="none" w:sz="0" w:space="0" w:color="auto"/>
        <w:bottom w:val="none" w:sz="0" w:space="0" w:color="auto"/>
        <w:right w:val="none" w:sz="0" w:space="0" w:color="auto"/>
      </w:divBdr>
    </w:div>
    <w:div w:id="1495757643">
      <w:bodyDiv w:val="1"/>
      <w:marLeft w:val="0"/>
      <w:marRight w:val="0"/>
      <w:marTop w:val="0"/>
      <w:marBottom w:val="0"/>
      <w:divBdr>
        <w:top w:val="none" w:sz="0" w:space="0" w:color="auto"/>
        <w:left w:val="none" w:sz="0" w:space="0" w:color="auto"/>
        <w:bottom w:val="none" w:sz="0" w:space="0" w:color="auto"/>
        <w:right w:val="none" w:sz="0" w:space="0" w:color="auto"/>
      </w:divBdr>
    </w:div>
    <w:div w:id="1602563187">
      <w:bodyDiv w:val="1"/>
      <w:marLeft w:val="0"/>
      <w:marRight w:val="0"/>
      <w:marTop w:val="0"/>
      <w:marBottom w:val="0"/>
      <w:divBdr>
        <w:top w:val="none" w:sz="0" w:space="0" w:color="auto"/>
        <w:left w:val="none" w:sz="0" w:space="0" w:color="auto"/>
        <w:bottom w:val="none" w:sz="0" w:space="0" w:color="auto"/>
        <w:right w:val="none" w:sz="0" w:space="0" w:color="auto"/>
      </w:divBdr>
    </w:div>
    <w:div w:id="1627197186">
      <w:bodyDiv w:val="1"/>
      <w:marLeft w:val="0"/>
      <w:marRight w:val="0"/>
      <w:marTop w:val="0"/>
      <w:marBottom w:val="0"/>
      <w:divBdr>
        <w:top w:val="none" w:sz="0" w:space="0" w:color="auto"/>
        <w:left w:val="none" w:sz="0" w:space="0" w:color="auto"/>
        <w:bottom w:val="none" w:sz="0" w:space="0" w:color="auto"/>
        <w:right w:val="none" w:sz="0" w:space="0" w:color="auto"/>
      </w:divBdr>
    </w:div>
    <w:div w:id="1662271535">
      <w:bodyDiv w:val="1"/>
      <w:marLeft w:val="0"/>
      <w:marRight w:val="0"/>
      <w:marTop w:val="0"/>
      <w:marBottom w:val="0"/>
      <w:divBdr>
        <w:top w:val="none" w:sz="0" w:space="0" w:color="auto"/>
        <w:left w:val="none" w:sz="0" w:space="0" w:color="auto"/>
        <w:bottom w:val="none" w:sz="0" w:space="0" w:color="auto"/>
        <w:right w:val="none" w:sz="0" w:space="0" w:color="auto"/>
      </w:divBdr>
    </w:div>
    <w:div w:id="1698580691">
      <w:bodyDiv w:val="1"/>
      <w:marLeft w:val="0"/>
      <w:marRight w:val="0"/>
      <w:marTop w:val="0"/>
      <w:marBottom w:val="0"/>
      <w:divBdr>
        <w:top w:val="none" w:sz="0" w:space="0" w:color="auto"/>
        <w:left w:val="none" w:sz="0" w:space="0" w:color="auto"/>
        <w:bottom w:val="none" w:sz="0" w:space="0" w:color="auto"/>
        <w:right w:val="none" w:sz="0" w:space="0" w:color="auto"/>
      </w:divBdr>
    </w:div>
    <w:div w:id="1802185842">
      <w:bodyDiv w:val="1"/>
      <w:marLeft w:val="0"/>
      <w:marRight w:val="0"/>
      <w:marTop w:val="0"/>
      <w:marBottom w:val="0"/>
      <w:divBdr>
        <w:top w:val="none" w:sz="0" w:space="0" w:color="auto"/>
        <w:left w:val="none" w:sz="0" w:space="0" w:color="auto"/>
        <w:bottom w:val="none" w:sz="0" w:space="0" w:color="auto"/>
        <w:right w:val="none" w:sz="0" w:space="0" w:color="auto"/>
      </w:divBdr>
    </w:div>
    <w:div w:id="1852795558">
      <w:bodyDiv w:val="1"/>
      <w:marLeft w:val="0"/>
      <w:marRight w:val="0"/>
      <w:marTop w:val="0"/>
      <w:marBottom w:val="0"/>
      <w:divBdr>
        <w:top w:val="none" w:sz="0" w:space="0" w:color="auto"/>
        <w:left w:val="none" w:sz="0" w:space="0" w:color="auto"/>
        <w:bottom w:val="none" w:sz="0" w:space="0" w:color="auto"/>
        <w:right w:val="none" w:sz="0" w:space="0" w:color="auto"/>
      </w:divBdr>
    </w:div>
    <w:div w:id="1883595367">
      <w:bodyDiv w:val="1"/>
      <w:marLeft w:val="0"/>
      <w:marRight w:val="0"/>
      <w:marTop w:val="0"/>
      <w:marBottom w:val="0"/>
      <w:divBdr>
        <w:top w:val="none" w:sz="0" w:space="0" w:color="auto"/>
        <w:left w:val="none" w:sz="0" w:space="0" w:color="auto"/>
        <w:bottom w:val="none" w:sz="0" w:space="0" w:color="auto"/>
        <w:right w:val="none" w:sz="0" w:space="0" w:color="auto"/>
      </w:divBdr>
    </w:div>
    <w:div w:id="1915702897">
      <w:bodyDiv w:val="1"/>
      <w:marLeft w:val="0"/>
      <w:marRight w:val="0"/>
      <w:marTop w:val="0"/>
      <w:marBottom w:val="0"/>
      <w:divBdr>
        <w:top w:val="none" w:sz="0" w:space="0" w:color="auto"/>
        <w:left w:val="none" w:sz="0" w:space="0" w:color="auto"/>
        <w:bottom w:val="none" w:sz="0" w:space="0" w:color="auto"/>
        <w:right w:val="none" w:sz="0" w:space="0" w:color="auto"/>
      </w:divBdr>
    </w:div>
    <w:div w:id="1945067489">
      <w:bodyDiv w:val="1"/>
      <w:marLeft w:val="0"/>
      <w:marRight w:val="0"/>
      <w:marTop w:val="0"/>
      <w:marBottom w:val="0"/>
      <w:divBdr>
        <w:top w:val="none" w:sz="0" w:space="0" w:color="auto"/>
        <w:left w:val="none" w:sz="0" w:space="0" w:color="auto"/>
        <w:bottom w:val="none" w:sz="0" w:space="0" w:color="auto"/>
        <w:right w:val="none" w:sz="0" w:space="0" w:color="auto"/>
      </w:divBdr>
    </w:div>
    <w:div w:id="1982537841">
      <w:bodyDiv w:val="1"/>
      <w:marLeft w:val="0"/>
      <w:marRight w:val="0"/>
      <w:marTop w:val="0"/>
      <w:marBottom w:val="0"/>
      <w:divBdr>
        <w:top w:val="none" w:sz="0" w:space="0" w:color="auto"/>
        <w:left w:val="none" w:sz="0" w:space="0" w:color="auto"/>
        <w:bottom w:val="none" w:sz="0" w:space="0" w:color="auto"/>
        <w:right w:val="none" w:sz="0" w:space="0" w:color="auto"/>
      </w:divBdr>
    </w:div>
    <w:div w:id="2104295939">
      <w:bodyDiv w:val="1"/>
      <w:marLeft w:val="0"/>
      <w:marRight w:val="0"/>
      <w:marTop w:val="0"/>
      <w:marBottom w:val="0"/>
      <w:divBdr>
        <w:top w:val="none" w:sz="0" w:space="0" w:color="auto"/>
        <w:left w:val="none" w:sz="0" w:space="0" w:color="auto"/>
        <w:bottom w:val="none" w:sz="0" w:space="0" w:color="auto"/>
        <w:right w:val="none" w:sz="0" w:space="0" w:color="auto"/>
      </w:divBdr>
    </w:div>
    <w:div w:id="21390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u-tokyo.ac.jp/en/general/COVID-19.html"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doi.org/10.1016/s0140-6736(03)134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9ABEF-888A-4B98-B973-05B17599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91F2C437</Template>
  <TotalTime>1</TotalTime>
  <Pages>30</Pages>
  <Words>5657</Words>
  <Characters>32245</Characters>
  <Application>Microsoft Office Word</Application>
  <DocSecurity>0</DocSecurity>
  <Lines>268</Lines>
  <Paragraphs>75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37827</CharactersWithSpaces>
  <SharedDoc>false</SharedDoc>
  <HLinks>
    <vt:vector size="12" baseType="variant">
      <vt:variant>
        <vt:i4>7602281</vt:i4>
      </vt:variant>
      <vt:variant>
        <vt:i4>3</vt:i4>
      </vt:variant>
      <vt:variant>
        <vt:i4>0</vt:i4>
      </vt:variant>
      <vt:variant>
        <vt:i4>5</vt:i4>
      </vt:variant>
      <vt:variant>
        <vt:lpwstr>https://www.u-tokyo.ac.jp/en/general/COVID-19.html</vt:lpwstr>
      </vt:variant>
      <vt:variant>
        <vt:lpwstr/>
      </vt:variant>
      <vt:variant>
        <vt:i4>786437</vt:i4>
      </vt:variant>
      <vt:variant>
        <vt:i4>0</vt:i4>
      </vt:variant>
      <vt:variant>
        <vt:i4>0</vt:i4>
      </vt:variant>
      <vt:variant>
        <vt:i4>5</vt:i4>
      </vt:variant>
      <vt:variant>
        <vt:lpwstr>https://doi.org/10.1016/s0140-6736(03)13410-1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Keum Hwa Lee</dc:creator>
  <cp:keywords/>
  <cp:lastModifiedBy>Blanshard, Lisa</cp:lastModifiedBy>
  <cp:revision>3</cp:revision>
  <dcterms:created xsi:type="dcterms:W3CDTF">2020-09-01T13:11:00Z</dcterms:created>
  <dcterms:modified xsi:type="dcterms:W3CDTF">2020-09-01T13:12:00Z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documentId_4044</vt:lpwstr>
  </property>
  <property fmtid="{D5CDD505-2E9C-101B-9397-08002B2CF9AE}" pid="3" name="NSCPROP_SA">
    <vt:lpwstr>C:\Users\USER\Downloads\CFR-Manuscript-IJID-Responses.docx</vt:lpwstr>
  </property>
</Properties>
</file>