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A2087" w14:textId="77777777" w:rsidR="00A77A57" w:rsidRDefault="00A77A57" w:rsidP="00A77A57">
      <w:pPr>
        <w:pStyle w:val="ListParagraph"/>
        <w:ind w:left="0"/>
        <w:rPr>
          <w:szCs w:val="22"/>
        </w:rPr>
      </w:pPr>
    </w:p>
    <w:p w14:paraId="0A6EB170" w14:textId="77777777" w:rsidR="00A77A57" w:rsidRPr="00AE2B28" w:rsidRDefault="00A77A57" w:rsidP="00A77A57">
      <w:pPr>
        <w:autoSpaceDE w:val="0"/>
        <w:spacing w:before="120" w:line="360" w:lineRule="auto"/>
        <w:rPr>
          <w:b/>
          <w:color w:val="000000" w:themeColor="text1"/>
          <w:szCs w:val="22"/>
        </w:rPr>
      </w:pPr>
      <w:r w:rsidRPr="00AE2B28">
        <w:rPr>
          <w:b/>
          <w:iCs/>
          <w:color w:val="000000" w:themeColor="text1"/>
          <w:szCs w:val="22"/>
          <w:lang w:val="en-US"/>
        </w:rPr>
        <w:t>Table 1. The criteria and requirements for the three sports classes for athletes with vision impairment</w:t>
      </w:r>
      <w:r w:rsidRPr="00AE2B28">
        <w:rPr>
          <w:b/>
          <w:iCs/>
          <w:color w:val="000000" w:themeColor="text1"/>
          <w:szCs w:val="22"/>
          <w:vertAlign w:val="superscript"/>
          <w:lang w:val="en-US"/>
        </w:rPr>
        <w:t>13</w:t>
      </w:r>
    </w:p>
    <w:tbl>
      <w:tblPr>
        <w:tblW w:w="8966" w:type="dxa"/>
        <w:tblInd w:w="1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7"/>
        <w:gridCol w:w="4847"/>
        <w:gridCol w:w="3402"/>
      </w:tblGrid>
      <w:tr w:rsidR="00AE2B28" w:rsidRPr="00AE2B28" w14:paraId="3BD6363B" w14:textId="77777777" w:rsidTr="00FA7B4D">
        <w:trPr>
          <w:trHeight w:val="234"/>
        </w:trPr>
        <w:tc>
          <w:tcPr>
            <w:tcW w:w="71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399D9B9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Class</w:t>
            </w:r>
          </w:p>
        </w:tc>
        <w:tc>
          <w:tcPr>
            <w:tcW w:w="484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0426559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Criteria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14:paraId="1E36EAB0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Requirements</w:t>
            </w:r>
          </w:p>
        </w:tc>
      </w:tr>
      <w:tr w:rsidR="00AE2B28" w:rsidRPr="00AE2B28" w14:paraId="4629EBDB" w14:textId="77777777" w:rsidTr="00FA7B4D">
        <w:trPr>
          <w:trHeight w:val="695"/>
        </w:trPr>
        <w:tc>
          <w:tcPr>
            <w:tcW w:w="717" w:type="dxa"/>
            <w:tcBorders>
              <w:top w:val="single" w:sz="12" w:space="0" w:color="000000"/>
            </w:tcBorders>
            <w:shd w:val="clear" w:color="auto" w:fill="auto"/>
          </w:tcPr>
          <w:p w14:paraId="23EB5C89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T13</w:t>
            </w:r>
          </w:p>
        </w:tc>
        <w:tc>
          <w:tcPr>
            <w:tcW w:w="4847" w:type="dxa"/>
            <w:tcBorders>
              <w:top w:val="single" w:sz="12" w:space="0" w:color="000000"/>
            </w:tcBorders>
            <w:shd w:val="clear" w:color="auto" w:fill="auto"/>
          </w:tcPr>
          <w:p w14:paraId="1749CB37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 xml:space="preserve">VA between 1.0 and 1.4 </w:t>
            </w:r>
            <w:proofErr w:type="spellStart"/>
            <w:r w:rsidRPr="00AE2B28">
              <w:rPr>
                <w:iCs/>
                <w:color w:val="000000" w:themeColor="text1"/>
                <w:szCs w:val="22"/>
              </w:rPr>
              <w:t>logMAR</w:t>
            </w:r>
            <w:proofErr w:type="spellEnd"/>
            <w:r w:rsidRPr="00AE2B28">
              <w:rPr>
                <w:iCs/>
                <w:color w:val="000000" w:themeColor="text1"/>
                <w:szCs w:val="22"/>
              </w:rPr>
              <w:t xml:space="preserve"> (inclusive) and/or VF constricted to a radius less than 20 degrees but greater than 5 degrees</w:t>
            </w:r>
          </w:p>
        </w:tc>
        <w:tc>
          <w:tcPr>
            <w:tcW w:w="3402" w:type="dxa"/>
            <w:tcBorders>
              <w:top w:val="single" w:sz="12" w:space="0" w:color="000000"/>
            </w:tcBorders>
          </w:tcPr>
          <w:p w14:paraId="0505AF7C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>Athletes may not run with a guide runner</w:t>
            </w:r>
          </w:p>
        </w:tc>
      </w:tr>
      <w:tr w:rsidR="00AE2B28" w:rsidRPr="00AE2B28" w14:paraId="288AD78A" w14:textId="77777777" w:rsidTr="00FA7B4D">
        <w:trPr>
          <w:trHeight w:val="688"/>
        </w:trPr>
        <w:tc>
          <w:tcPr>
            <w:tcW w:w="717" w:type="dxa"/>
            <w:shd w:val="clear" w:color="auto" w:fill="auto"/>
          </w:tcPr>
          <w:p w14:paraId="514A1928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T12</w:t>
            </w:r>
          </w:p>
        </w:tc>
        <w:tc>
          <w:tcPr>
            <w:tcW w:w="4847" w:type="dxa"/>
            <w:shd w:val="clear" w:color="auto" w:fill="auto"/>
          </w:tcPr>
          <w:p w14:paraId="22B40340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 xml:space="preserve">VA* between 1.5 and 2.6 </w:t>
            </w:r>
            <w:proofErr w:type="spellStart"/>
            <w:r w:rsidRPr="00AE2B28">
              <w:rPr>
                <w:iCs/>
                <w:color w:val="000000" w:themeColor="text1"/>
                <w:szCs w:val="22"/>
              </w:rPr>
              <w:t>logMAR</w:t>
            </w:r>
            <w:proofErr w:type="spellEnd"/>
            <w:r w:rsidRPr="00AE2B28">
              <w:rPr>
                <w:iCs/>
                <w:color w:val="000000" w:themeColor="text1"/>
                <w:szCs w:val="22"/>
              </w:rPr>
              <w:t xml:space="preserve"> (inclusive) and/or VF** constricted to a radius less than 5 degrees</w:t>
            </w:r>
          </w:p>
        </w:tc>
        <w:tc>
          <w:tcPr>
            <w:tcW w:w="3402" w:type="dxa"/>
          </w:tcPr>
          <w:p w14:paraId="6EED816B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>Athletes have the option of running with a guide</w:t>
            </w:r>
          </w:p>
        </w:tc>
      </w:tr>
      <w:tr w:rsidR="00AE2B28" w:rsidRPr="00AE2B28" w14:paraId="2D94E3D4" w14:textId="77777777" w:rsidTr="00FA7B4D">
        <w:trPr>
          <w:trHeight w:val="234"/>
        </w:trPr>
        <w:tc>
          <w:tcPr>
            <w:tcW w:w="717" w:type="dxa"/>
            <w:tcBorders>
              <w:bottom w:val="single" w:sz="12" w:space="0" w:color="000000"/>
            </w:tcBorders>
            <w:shd w:val="clear" w:color="auto" w:fill="auto"/>
          </w:tcPr>
          <w:p w14:paraId="717B91BC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T11</w:t>
            </w:r>
          </w:p>
        </w:tc>
        <w:tc>
          <w:tcPr>
            <w:tcW w:w="4847" w:type="dxa"/>
            <w:tcBorders>
              <w:bottom w:val="single" w:sz="12" w:space="0" w:color="000000"/>
            </w:tcBorders>
            <w:shd w:val="clear" w:color="auto" w:fill="auto"/>
          </w:tcPr>
          <w:p w14:paraId="2C92D9E0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 xml:space="preserve">VA* greater than 2.6 </w:t>
            </w:r>
            <w:proofErr w:type="spellStart"/>
            <w:r w:rsidRPr="00AE2B28">
              <w:rPr>
                <w:iCs/>
                <w:color w:val="000000" w:themeColor="text1"/>
                <w:szCs w:val="22"/>
              </w:rPr>
              <w:t>logMAR</w:t>
            </w:r>
            <w:proofErr w:type="spellEnd"/>
          </w:p>
        </w:tc>
        <w:tc>
          <w:tcPr>
            <w:tcW w:w="3402" w:type="dxa"/>
            <w:tcBorders>
              <w:bottom w:val="single" w:sz="12" w:space="0" w:color="000000"/>
            </w:tcBorders>
          </w:tcPr>
          <w:p w14:paraId="18BD3487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iCs/>
                <w:color w:val="000000" w:themeColor="text1"/>
                <w:szCs w:val="22"/>
              </w:rPr>
            </w:pPr>
            <w:r w:rsidRPr="00AE2B28">
              <w:rPr>
                <w:iCs/>
                <w:color w:val="000000" w:themeColor="text1"/>
                <w:szCs w:val="22"/>
              </w:rPr>
              <w:t>Athletes must run with a guide and blindfolds are mandatory</w:t>
            </w:r>
          </w:p>
        </w:tc>
      </w:tr>
    </w:tbl>
    <w:p w14:paraId="43F50C1D" w14:textId="77777777" w:rsidR="00A77A57" w:rsidRPr="00AE2B28" w:rsidRDefault="00A77A57" w:rsidP="00A77A57">
      <w:pPr>
        <w:pStyle w:val="ListParagraph"/>
        <w:spacing w:after="0" w:line="240" w:lineRule="auto"/>
        <w:ind w:left="0"/>
        <w:rPr>
          <w:bCs/>
          <w:iCs/>
          <w:color w:val="000000" w:themeColor="text1"/>
          <w:szCs w:val="22"/>
          <w:lang w:val="en-US"/>
        </w:rPr>
      </w:pPr>
      <w:r w:rsidRPr="00AE2B28">
        <w:rPr>
          <w:bCs/>
          <w:iCs/>
          <w:color w:val="000000" w:themeColor="text1"/>
          <w:szCs w:val="22"/>
          <w:lang w:val="en-US"/>
        </w:rPr>
        <w:t>T13, T12, T11 = Classification group from least to most impaired</w:t>
      </w:r>
    </w:p>
    <w:p w14:paraId="2ADE950B" w14:textId="77777777" w:rsidR="00A77A57" w:rsidRPr="00AE2B28" w:rsidRDefault="00A77A57" w:rsidP="00A77A57">
      <w:pPr>
        <w:pStyle w:val="ListParagraph"/>
        <w:spacing w:after="0" w:line="240" w:lineRule="auto"/>
        <w:ind w:left="0"/>
        <w:rPr>
          <w:bCs/>
          <w:iCs/>
          <w:color w:val="000000" w:themeColor="text1"/>
          <w:szCs w:val="22"/>
          <w:lang w:val="en-US"/>
        </w:rPr>
      </w:pPr>
      <w:r w:rsidRPr="00AE2B28">
        <w:rPr>
          <w:bCs/>
          <w:iCs/>
          <w:color w:val="000000" w:themeColor="text1"/>
          <w:szCs w:val="22"/>
          <w:lang w:val="en-US"/>
        </w:rPr>
        <w:t>VA = monocular visual acuity</w:t>
      </w:r>
    </w:p>
    <w:p w14:paraId="38089F0A" w14:textId="77777777" w:rsidR="00A77A57" w:rsidRPr="00AE2B28" w:rsidRDefault="00A77A57" w:rsidP="00A77A57">
      <w:pPr>
        <w:pStyle w:val="ListParagraph"/>
        <w:spacing w:after="0" w:line="240" w:lineRule="auto"/>
        <w:ind w:left="0"/>
        <w:rPr>
          <w:bCs/>
          <w:iCs/>
          <w:color w:val="000000" w:themeColor="text1"/>
          <w:szCs w:val="22"/>
          <w:lang w:val="en-US"/>
        </w:rPr>
      </w:pPr>
      <w:r w:rsidRPr="00AE2B28">
        <w:rPr>
          <w:bCs/>
          <w:iCs/>
          <w:color w:val="000000" w:themeColor="text1"/>
          <w:szCs w:val="22"/>
          <w:lang w:val="en-US"/>
        </w:rPr>
        <w:t xml:space="preserve">VF = visual field </w:t>
      </w:r>
    </w:p>
    <w:p w14:paraId="3DCA0685" w14:textId="77777777" w:rsidR="00A77A57" w:rsidRPr="00AE2B28" w:rsidRDefault="00A77A57" w:rsidP="00A77A57">
      <w:pPr>
        <w:pStyle w:val="ListParagraph"/>
        <w:ind w:left="0"/>
        <w:rPr>
          <w:b/>
          <w:iCs/>
          <w:color w:val="000000" w:themeColor="text1"/>
          <w:szCs w:val="22"/>
          <w:lang w:val="en-US"/>
        </w:rPr>
      </w:pPr>
    </w:p>
    <w:p w14:paraId="0A68E586" w14:textId="77777777" w:rsidR="00A77A57" w:rsidRPr="00AE2B28" w:rsidRDefault="00A77A57" w:rsidP="00A77A57">
      <w:pPr>
        <w:pStyle w:val="ListParagraph"/>
        <w:ind w:left="0"/>
        <w:rPr>
          <w:b/>
          <w:iCs/>
          <w:color w:val="000000" w:themeColor="text1"/>
          <w:szCs w:val="22"/>
          <w:lang w:val="en-US"/>
        </w:rPr>
      </w:pPr>
    </w:p>
    <w:p w14:paraId="753A0AE9" w14:textId="77777777" w:rsidR="00A77A57" w:rsidRPr="00AE2B28" w:rsidRDefault="00A77A57" w:rsidP="00A77A57">
      <w:pPr>
        <w:rPr>
          <w:color w:val="000000" w:themeColor="text1"/>
        </w:rPr>
      </w:pPr>
      <w:r w:rsidRPr="00AE2B28">
        <w:rPr>
          <w:color w:val="000000" w:themeColor="text1"/>
        </w:rPr>
        <w:t xml:space="preserve"> </w:t>
      </w:r>
    </w:p>
    <w:p w14:paraId="4EC1868D" w14:textId="77777777" w:rsidR="00A77A57" w:rsidRPr="00AE2B28" w:rsidRDefault="00A77A57" w:rsidP="00A77A57">
      <w:pPr>
        <w:rPr>
          <w:color w:val="000000" w:themeColor="text1"/>
        </w:rPr>
      </w:pPr>
    </w:p>
    <w:p w14:paraId="7153BD71" w14:textId="77777777" w:rsidR="00A77A57" w:rsidRPr="00AE2B28" w:rsidRDefault="00A77A57" w:rsidP="00A77A57">
      <w:pPr>
        <w:rPr>
          <w:color w:val="000000" w:themeColor="text1"/>
        </w:rPr>
      </w:pPr>
    </w:p>
    <w:p w14:paraId="3497794F" w14:textId="77777777" w:rsidR="00A77A57" w:rsidRPr="00AE2B28" w:rsidRDefault="00A77A57" w:rsidP="00A77A57">
      <w:pPr>
        <w:rPr>
          <w:color w:val="000000" w:themeColor="text1"/>
        </w:rPr>
      </w:pPr>
    </w:p>
    <w:p w14:paraId="32159CD9" w14:textId="77777777" w:rsidR="00A77A57" w:rsidRPr="00AE2B28" w:rsidRDefault="00A77A57" w:rsidP="00A77A57">
      <w:pPr>
        <w:rPr>
          <w:color w:val="000000" w:themeColor="text1"/>
        </w:rPr>
      </w:pPr>
    </w:p>
    <w:p w14:paraId="022EFFD0" w14:textId="77777777" w:rsidR="00A77A57" w:rsidRPr="00AE2B28" w:rsidRDefault="00A77A57" w:rsidP="00A77A57">
      <w:pPr>
        <w:rPr>
          <w:color w:val="000000" w:themeColor="text1"/>
        </w:rPr>
      </w:pPr>
    </w:p>
    <w:p w14:paraId="60186CE8" w14:textId="77777777" w:rsidR="00A77A57" w:rsidRPr="00AE2B28" w:rsidRDefault="00A77A57" w:rsidP="00A77A57">
      <w:pPr>
        <w:rPr>
          <w:color w:val="000000" w:themeColor="text1"/>
        </w:rPr>
      </w:pPr>
    </w:p>
    <w:p w14:paraId="2416EFC7" w14:textId="77777777" w:rsidR="00A77A57" w:rsidRPr="00AE2B28" w:rsidRDefault="00A77A57" w:rsidP="00A77A57">
      <w:pPr>
        <w:rPr>
          <w:color w:val="000000" w:themeColor="text1"/>
        </w:rPr>
      </w:pPr>
    </w:p>
    <w:p w14:paraId="1EF97A90" w14:textId="77777777" w:rsidR="00A77A57" w:rsidRPr="00AE2B28" w:rsidRDefault="00A77A57" w:rsidP="00A77A57">
      <w:pPr>
        <w:rPr>
          <w:color w:val="000000" w:themeColor="text1"/>
        </w:rPr>
      </w:pPr>
    </w:p>
    <w:p w14:paraId="63DFB4E9" w14:textId="77777777" w:rsidR="00A77A57" w:rsidRPr="00AE2B28" w:rsidRDefault="00A77A57" w:rsidP="00A77A57">
      <w:pPr>
        <w:rPr>
          <w:color w:val="000000" w:themeColor="text1"/>
        </w:rPr>
      </w:pPr>
    </w:p>
    <w:p w14:paraId="182C3D3E" w14:textId="77777777" w:rsidR="00A77A57" w:rsidRPr="00AE2B28" w:rsidRDefault="00A77A57" w:rsidP="00A77A57">
      <w:pPr>
        <w:rPr>
          <w:color w:val="000000" w:themeColor="text1"/>
        </w:rPr>
      </w:pPr>
    </w:p>
    <w:p w14:paraId="74362AE5" w14:textId="77777777" w:rsidR="00A77A57" w:rsidRPr="00AE2B28" w:rsidRDefault="00A77A57" w:rsidP="00A77A57">
      <w:pPr>
        <w:rPr>
          <w:b/>
          <w:color w:val="000000" w:themeColor="text1"/>
          <w:szCs w:val="22"/>
        </w:rPr>
      </w:pPr>
    </w:p>
    <w:p w14:paraId="5D1875F2" w14:textId="77777777" w:rsidR="00A77A57" w:rsidRPr="00AE2B28" w:rsidRDefault="00A77A57" w:rsidP="00A77A57">
      <w:pPr>
        <w:spacing w:line="360" w:lineRule="auto"/>
        <w:rPr>
          <w:color w:val="000000" w:themeColor="text1"/>
          <w:szCs w:val="22"/>
        </w:rPr>
      </w:pPr>
      <w:r w:rsidRPr="00AE2B28">
        <w:rPr>
          <w:b/>
          <w:color w:val="000000" w:themeColor="text1"/>
          <w:szCs w:val="22"/>
        </w:rPr>
        <w:t xml:space="preserve">Table 2: Characteristics of the panellists </w:t>
      </w:r>
    </w:p>
    <w:tbl>
      <w:tblPr>
        <w:tblW w:w="0" w:type="auto"/>
        <w:tblInd w:w="2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485"/>
      </w:tblGrid>
      <w:tr w:rsidR="00AE2B28" w:rsidRPr="00AE2B28" w14:paraId="5F73B8AA" w14:textId="77777777" w:rsidTr="00FA7B4D">
        <w:tc>
          <w:tcPr>
            <w:tcW w:w="368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E71AE57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  <w:tc>
          <w:tcPr>
            <w:tcW w:w="14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3A08E3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N (%)</w:t>
            </w:r>
          </w:p>
        </w:tc>
      </w:tr>
      <w:tr w:rsidR="00AE2B28" w:rsidRPr="00AE2B28" w14:paraId="6866064B" w14:textId="77777777" w:rsidTr="00FA7B4D">
        <w:tc>
          <w:tcPr>
            <w:tcW w:w="3686" w:type="dxa"/>
            <w:tcBorders>
              <w:top w:val="single" w:sz="12" w:space="0" w:color="000000"/>
            </w:tcBorders>
            <w:shd w:val="clear" w:color="auto" w:fill="auto"/>
          </w:tcPr>
          <w:p w14:paraId="7580478B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Sex</w:t>
            </w:r>
          </w:p>
        </w:tc>
        <w:tc>
          <w:tcPr>
            <w:tcW w:w="1485" w:type="dxa"/>
            <w:tcBorders>
              <w:top w:val="single" w:sz="12" w:space="0" w:color="000000"/>
            </w:tcBorders>
            <w:shd w:val="clear" w:color="auto" w:fill="auto"/>
          </w:tcPr>
          <w:p w14:paraId="55458E04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405279F4" w14:textId="77777777" w:rsidTr="00FA7B4D">
        <w:tc>
          <w:tcPr>
            <w:tcW w:w="3686" w:type="dxa"/>
            <w:shd w:val="clear" w:color="auto" w:fill="auto"/>
          </w:tcPr>
          <w:p w14:paraId="2D0C5918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Male</w:t>
            </w:r>
          </w:p>
        </w:tc>
        <w:tc>
          <w:tcPr>
            <w:tcW w:w="1485" w:type="dxa"/>
            <w:shd w:val="clear" w:color="auto" w:fill="auto"/>
          </w:tcPr>
          <w:p w14:paraId="4DC2AC22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8 (47.1)</w:t>
            </w:r>
          </w:p>
        </w:tc>
      </w:tr>
      <w:tr w:rsidR="00AE2B28" w:rsidRPr="00AE2B28" w14:paraId="220FDA65" w14:textId="77777777" w:rsidTr="00FA7B4D">
        <w:tc>
          <w:tcPr>
            <w:tcW w:w="3686" w:type="dxa"/>
            <w:shd w:val="clear" w:color="auto" w:fill="auto"/>
          </w:tcPr>
          <w:p w14:paraId="371D6B2B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Female</w:t>
            </w:r>
          </w:p>
        </w:tc>
        <w:tc>
          <w:tcPr>
            <w:tcW w:w="1485" w:type="dxa"/>
            <w:shd w:val="clear" w:color="auto" w:fill="auto"/>
          </w:tcPr>
          <w:p w14:paraId="7EA52F2D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9 (52.9)</w:t>
            </w:r>
          </w:p>
        </w:tc>
      </w:tr>
      <w:tr w:rsidR="00AE2B28" w:rsidRPr="00AE2B28" w14:paraId="22DCDD2C" w14:textId="77777777" w:rsidTr="00FA7B4D">
        <w:tc>
          <w:tcPr>
            <w:tcW w:w="3686" w:type="dxa"/>
            <w:shd w:val="clear" w:color="auto" w:fill="auto"/>
          </w:tcPr>
          <w:p w14:paraId="553A10B5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14:paraId="2F9FDC8D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17D8E426" w14:textId="77777777" w:rsidTr="00FA7B4D">
        <w:tc>
          <w:tcPr>
            <w:tcW w:w="3686" w:type="dxa"/>
            <w:shd w:val="clear" w:color="auto" w:fill="auto"/>
          </w:tcPr>
          <w:p w14:paraId="0E1DB38F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Continent</w:t>
            </w:r>
          </w:p>
        </w:tc>
        <w:tc>
          <w:tcPr>
            <w:tcW w:w="1485" w:type="dxa"/>
            <w:shd w:val="clear" w:color="auto" w:fill="auto"/>
          </w:tcPr>
          <w:p w14:paraId="247E2EDF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63BF8491" w14:textId="77777777" w:rsidTr="00FA7B4D">
        <w:tc>
          <w:tcPr>
            <w:tcW w:w="3686" w:type="dxa"/>
            <w:shd w:val="clear" w:color="auto" w:fill="auto"/>
          </w:tcPr>
          <w:p w14:paraId="76B5560D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Africa</w:t>
            </w:r>
          </w:p>
        </w:tc>
        <w:tc>
          <w:tcPr>
            <w:tcW w:w="1485" w:type="dxa"/>
            <w:shd w:val="clear" w:color="auto" w:fill="auto"/>
          </w:tcPr>
          <w:p w14:paraId="25B31F2B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3 (17.6)</w:t>
            </w:r>
          </w:p>
        </w:tc>
      </w:tr>
      <w:tr w:rsidR="00AE2B28" w:rsidRPr="00AE2B28" w14:paraId="301FD924" w14:textId="77777777" w:rsidTr="00FA7B4D">
        <w:tc>
          <w:tcPr>
            <w:tcW w:w="3686" w:type="dxa"/>
            <w:shd w:val="clear" w:color="auto" w:fill="auto"/>
          </w:tcPr>
          <w:p w14:paraId="454DA79C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Asia</w:t>
            </w:r>
          </w:p>
        </w:tc>
        <w:tc>
          <w:tcPr>
            <w:tcW w:w="1485" w:type="dxa"/>
            <w:shd w:val="clear" w:color="auto" w:fill="auto"/>
          </w:tcPr>
          <w:p w14:paraId="4F23EBF4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2 (11.8)</w:t>
            </w:r>
          </w:p>
        </w:tc>
      </w:tr>
      <w:tr w:rsidR="00AE2B28" w:rsidRPr="00AE2B28" w14:paraId="21E2BD62" w14:textId="77777777" w:rsidTr="00FA7B4D">
        <w:tc>
          <w:tcPr>
            <w:tcW w:w="3686" w:type="dxa"/>
            <w:shd w:val="clear" w:color="auto" w:fill="auto"/>
          </w:tcPr>
          <w:p w14:paraId="50DA0A53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Australasia</w:t>
            </w:r>
          </w:p>
        </w:tc>
        <w:tc>
          <w:tcPr>
            <w:tcW w:w="1485" w:type="dxa"/>
            <w:shd w:val="clear" w:color="auto" w:fill="auto"/>
          </w:tcPr>
          <w:p w14:paraId="57CB0098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2 (11.8)</w:t>
            </w:r>
          </w:p>
        </w:tc>
      </w:tr>
      <w:tr w:rsidR="00AE2B28" w:rsidRPr="00AE2B28" w14:paraId="5F79858A" w14:textId="77777777" w:rsidTr="00FA7B4D">
        <w:tc>
          <w:tcPr>
            <w:tcW w:w="3686" w:type="dxa"/>
            <w:shd w:val="clear" w:color="auto" w:fill="auto"/>
          </w:tcPr>
          <w:p w14:paraId="12881D3D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Europe</w:t>
            </w:r>
          </w:p>
        </w:tc>
        <w:tc>
          <w:tcPr>
            <w:tcW w:w="1485" w:type="dxa"/>
            <w:shd w:val="clear" w:color="auto" w:fill="auto"/>
          </w:tcPr>
          <w:p w14:paraId="0AD66F53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4 (23.5)</w:t>
            </w:r>
          </w:p>
        </w:tc>
      </w:tr>
      <w:tr w:rsidR="00AE2B28" w:rsidRPr="00AE2B28" w14:paraId="7B3FAD18" w14:textId="77777777" w:rsidTr="00FA7B4D">
        <w:tc>
          <w:tcPr>
            <w:tcW w:w="3686" w:type="dxa"/>
            <w:shd w:val="clear" w:color="auto" w:fill="auto"/>
          </w:tcPr>
          <w:p w14:paraId="5404D66C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proofErr w:type="gramStart"/>
            <w:r w:rsidRPr="00AE2B28">
              <w:rPr>
                <w:rFonts w:eastAsia="Times New Roman"/>
                <w:color w:val="000000" w:themeColor="text1"/>
                <w:szCs w:val="22"/>
              </w:rPr>
              <w:t>North-America</w:t>
            </w:r>
            <w:proofErr w:type="gramEnd"/>
          </w:p>
        </w:tc>
        <w:tc>
          <w:tcPr>
            <w:tcW w:w="1485" w:type="dxa"/>
            <w:shd w:val="clear" w:color="auto" w:fill="auto"/>
          </w:tcPr>
          <w:p w14:paraId="58A2DE86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3 (17.6)</w:t>
            </w:r>
          </w:p>
        </w:tc>
      </w:tr>
      <w:tr w:rsidR="00AE2B28" w:rsidRPr="00AE2B28" w14:paraId="49DE8C72" w14:textId="77777777" w:rsidTr="00FA7B4D">
        <w:tc>
          <w:tcPr>
            <w:tcW w:w="3686" w:type="dxa"/>
            <w:shd w:val="clear" w:color="auto" w:fill="auto"/>
          </w:tcPr>
          <w:p w14:paraId="54E05992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proofErr w:type="gramStart"/>
            <w:r w:rsidRPr="00AE2B28">
              <w:rPr>
                <w:rFonts w:eastAsia="Times New Roman"/>
                <w:color w:val="000000" w:themeColor="text1"/>
                <w:szCs w:val="22"/>
              </w:rPr>
              <w:t>South-America</w:t>
            </w:r>
            <w:proofErr w:type="gramEnd"/>
          </w:p>
        </w:tc>
        <w:tc>
          <w:tcPr>
            <w:tcW w:w="1485" w:type="dxa"/>
            <w:shd w:val="clear" w:color="auto" w:fill="auto"/>
          </w:tcPr>
          <w:p w14:paraId="3DD90696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3 (17.6)</w:t>
            </w:r>
          </w:p>
        </w:tc>
      </w:tr>
      <w:tr w:rsidR="00AE2B28" w:rsidRPr="00AE2B28" w14:paraId="42A57AA2" w14:textId="77777777" w:rsidTr="00FA7B4D">
        <w:tc>
          <w:tcPr>
            <w:tcW w:w="3686" w:type="dxa"/>
            <w:shd w:val="clear" w:color="auto" w:fill="auto"/>
          </w:tcPr>
          <w:p w14:paraId="79BED717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14:paraId="294E79DA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068D2767" w14:textId="77777777" w:rsidTr="00FA7B4D">
        <w:tc>
          <w:tcPr>
            <w:tcW w:w="3686" w:type="dxa"/>
            <w:shd w:val="clear" w:color="auto" w:fill="auto"/>
          </w:tcPr>
          <w:p w14:paraId="615E7BE8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Role in VI* Athletics</w:t>
            </w:r>
            <w:r w:rsidRPr="00AE2B28">
              <w:rPr>
                <w:rFonts w:eastAsia="Times New Roman"/>
                <w:color w:val="000000" w:themeColor="text1"/>
                <w:szCs w:val="22"/>
                <w:vertAlign w:val="superscript"/>
              </w:rPr>
              <w:t>†</w:t>
            </w:r>
          </w:p>
        </w:tc>
        <w:tc>
          <w:tcPr>
            <w:tcW w:w="1485" w:type="dxa"/>
            <w:shd w:val="clear" w:color="auto" w:fill="auto"/>
          </w:tcPr>
          <w:p w14:paraId="00C45212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0E2F528B" w14:textId="77777777" w:rsidTr="00FA7B4D">
        <w:tc>
          <w:tcPr>
            <w:tcW w:w="3686" w:type="dxa"/>
            <w:shd w:val="clear" w:color="auto" w:fill="auto"/>
          </w:tcPr>
          <w:p w14:paraId="702D49FF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Administrator</w:t>
            </w:r>
          </w:p>
        </w:tc>
        <w:tc>
          <w:tcPr>
            <w:tcW w:w="1485" w:type="dxa"/>
            <w:shd w:val="clear" w:color="auto" w:fill="auto"/>
          </w:tcPr>
          <w:p w14:paraId="147CAE17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 xml:space="preserve">6 (35.3) </w:t>
            </w:r>
          </w:p>
        </w:tc>
      </w:tr>
      <w:tr w:rsidR="00AE2B28" w:rsidRPr="00AE2B28" w14:paraId="3070959E" w14:textId="77777777" w:rsidTr="00FA7B4D">
        <w:tc>
          <w:tcPr>
            <w:tcW w:w="3686" w:type="dxa"/>
            <w:shd w:val="clear" w:color="auto" w:fill="auto"/>
          </w:tcPr>
          <w:p w14:paraId="487E5C16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Athlete</w:t>
            </w:r>
          </w:p>
        </w:tc>
        <w:tc>
          <w:tcPr>
            <w:tcW w:w="1485" w:type="dxa"/>
            <w:shd w:val="clear" w:color="auto" w:fill="auto"/>
          </w:tcPr>
          <w:p w14:paraId="329F9DAC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9 (52.9)</w:t>
            </w:r>
          </w:p>
        </w:tc>
      </w:tr>
      <w:tr w:rsidR="00AE2B28" w:rsidRPr="00AE2B28" w14:paraId="5CABFCE4" w14:textId="77777777" w:rsidTr="00FA7B4D">
        <w:tc>
          <w:tcPr>
            <w:tcW w:w="3686" w:type="dxa"/>
            <w:shd w:val="clear" w:color="auto" w:fill="auto"/>
          </w:tcPr>
          <w:p w14:paraId="6A28A8D6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Coach/Trainer</w:t>
            </w:r>
          </w:p>
        </w:tc>
        <w:tc>
          <w:tcPr>
            <w:tcW w:w="1485" w:type="dxa"/>
            <w:shd w:val="clear" w:color="auto" w:fill="auto"/>
          </w:tcPr>
          <w:p w14:paraId="34E1FCCC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6 (35.3)</w:t>
            </w:r>
          </w:p>
        </w:tc>
      </w:tr>
      <w:tr w:rsidR="00AE2B28" w:rsidRPr="00AE2B28" w14:paraId="1A3498BB" w14:textId="77777777" w:rsidTr="00FA7B4D">
        <w:tc>
          <w:tcPr>
            <w:tcW w:w="3686" w:type="dxa"/>
            <w:shd w:val="clear" w:color="auto" w:fill="auto"/>
          </w:tcPr>
          <w:p w14:paraId="4D11AE6A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Classifier</w:t>
            </w:r>
          </w:p>
        </w:tc>
        <w:tc>
          <w:tcPr>
            <w:tcW w:w="1485" w:type="dxa"/>
            <w:shd w:val="clear" w:color="auto" w:fill="auto"/>
          </w:tcPr>
          <w:p w14:paraId="3A5CEE74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1 (5.9)</w:t>
            </w:r>
          </w:p>
        </w:tc>
      </w:tr>
      <w:tr w:rsidR="00AE2B28" w:rsidRPr="00AE2B28" w14:paraId="22AC392C" w14:textId="77777777" w:rsidTr="00FA7B4D">
        <w:tc>
          <w:tcPr>
            <w:tcW w:w="3686" w:type="dxa"/>
            <w:shd w:val="clear" w:color="auto" w:fill="auto"/>
          </w:tcPr>
          <w:p w14:paraId="6ED40770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Scientist</w:t>
            </w:r>
          </w:p>
        </w:tc>
        <w:tc>
          <w:tcPr>
            <w:tcW w:w="1485" w:type="dxa"/>
            <w:shd w:val="clear" w:color="auto" w:fill="auto"/>
          </w:tcPr>
          <w:p w14:paraId="572E34CB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2 (11.8)</w:t>
            </w:r>
          </w:p>
        </w:tc>
      </w:tr>
      <w:tr w:rsidR="00AE2B28" w:rsidRPr="00AE2B28" w14:paraId="00AA65B6" w14:textId="77777777" w:rsidTr="00FA7B4D">
        <w:tc>
          <w:tcPr>
            <w:tcW w:w="3686" w:type="dxa"/>
            <w:shd w:val="clear" w:color="auto" w:fill="auto"/>
          </w:tcPr>
          <w:p w14:paraId="441A1644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14:paraId="37D4FAE8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14372387" w14:textId="77777777" w:rsidTr="00FA7B4D">
        <w:tc>
          <w:tcPr>
            <w:tcW w:w="3686" w:type="dxa"/>
            <w:shd w:val="clear" w:color="auto" w:fill="auto"/>
          </w:tcPr>
          <w:p w14:paraId="240C98E9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Years of experience in VI* Athletics</w:t>
            </w:r>
          </w:p>
        </w:tc>
        <w:tc>
          <w:tcPr>
            <w:tcW w:w="1485" w:type="dxa"/>
            <w:shd w:val="clear" w:color="auto" w:fill="auto"/>
          </w:tcPr>
          <w:p w14:paraId="1252F96A" w14:textId="77777777" w:rsidR="00A77A57" w:rsidRPr="00AE2B28" w:rsidRDefault="00A77A57" w:rsidP="00FA7B4D">
            <w:pPr>
              <w:suppressLineNumbers/>
              <w:snapToGrid w:val="0"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</w:p>
        </w:tc>
      </w:tr>
      <w:tr w:rsidR="00AE2B28" w:rsidRPr="00AE2B28" w14:paraId="11A9ECEE" w14:textId="77777777" w:rsidTr="00FA7B4D">
        <w:tc>
          <w:tcPr>
            <w:tcW w:w="3686" w:type="dxa"/>
            <w:shd w:val="clear" w:color="auto" w:fill="auto"/>
          </w:tcPr>
          <w:p w14:paraId="225A9CDE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0 – 9</w:t>
            </w:r>
          </w:p>
        </w:tc>
        <w:tc>
          <w:tcPr>
            <w:tcW w:w="1485" w:type="dxa"/>
            <w:shd w:val="clear" w:color="auto" w:fill="auto"/>
          </w:tcPr>
          <w:p w14:paraId="0940AFEE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2 (</w:t>
            </w:r>
            <w:proofErr w:type="gramStart"/>
            <w:r w:rsidRPr="00AE2B28">
              <w:rPr>
                <w:rFonts w:eastAsia="Times New Roman"/>
                <w:color w:val="000000" w:themeColor="text1"/>
                <w:szCs w:val="22"/>
              </w:rPr>
              <w:t>11.7)</w:t>
            </w:r>
            <w:r w:rsidRPr="00AE2B28">
              <w:rPr>
                <w:rFonts w:eastAsia="Times New Roman"/>
                <w:color w:val="000000" w:themeColor="text1"/>
                <w:szCs w:val="22"/>
                <w:vertAlign w:val="superscript"/>
              </w:rPr>
              <w:t>‡</w:t>
            </w:r>
            <w:proofErr w:type="gramEnd"/>
          </w:p>
        </w:tc>
      </w:tr>
      <w:tr w:rsidR="00AE2B28" w:rsidRPr="00AE2B28" w14:paraId="5817AD67" w14:textId="77777777" w:rsidTr="00FA7B4D">
        <w:tc>
          <w:tcPr>
            <w:tcW w:w="3686" w:type="dxa"/>
            <w:shd w:val="clear" w:color="auto" w:fill="auto"/>
          </w:tcPr>
          <w:p w14:paraId="3EF32FC7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 xml:space="preserve">10 – 19 </w:t>
            </w:r>
          </w:p>
        </w:tc>
        <w:tc>
          <w:tcPr>
            <w:tcW w:w="1485" w:type="dxa"/>
            <w:shd w:val="clear" w:color="auto" w:fill="auto"/>
          </w:tcPr>
          <w:p w14:paraId="127CC82A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8 (47.1)</w:t>
            </w:r>
          </w:p>
        </w:tc>
      </w:tr>
      <w:tr w:rsidR="00AE2B28" w:rsidRPr="00AE2B28" w14:paraId="6B623F51" w14:textId="77777777" w:rsidTr="00FA7B4D">
        <w:tc>
          <w:tcPr>
            <w:tcW w:w="3686" w:type="dxa"/>
            <w:tcBorders>
              <w:bottom w:val="single" w:sz="12" w:space="0" w:color="000000"/>
            </w:tcBorders>
            <w:shd w:val="clear" w:color="auto" w:fill="auto"/>
          </w:tcPr>
          <w:p w14:paraId="1F642076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rFonts w:eastAsia="Times New Roman"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  <w:u w:val="single"/>
              </w:rPr>
              <w:t>&gt;</w:t>
            </w:r>
            <w:r w:rsidRPr="00AE2B28">
              <w:rPr>
                <w:rFonts w:eastAsia="Times New Roman"/>
                <w:color w:val="000000" w:themeColor="text1"/>
                <w:szCs w:val="22"/>
              </w:rPr>
              <w:t xml:space="preserve"> 20</w:t>
            </w:r>
          </w:p>
        </w:tc>
        <w:tc>
          <w:tcPr>
            <w:tcW w:w="1485" w:type="dxa"/>
            <w:tcBorders>
              <w:bottom w:val="single" w:sz="12" w:space="0" w:color="000000"/>
            </w:tcBorders>
            <w:shd w:val="clear" w:color="auto" w:fill="auto"/>
          </w:tcPr>
          <w:p w14:paraId="5F3E12C0" w14:textId="77777777" w:rsidR="00A77A57" w:rsidRPr="00AE2B28" w:rsidRDefault="00A77A57" w:rsidP="00FA7B4D">
            <w:pPr>
              <w:suppressLineNumbers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color w:val="000000" w:themeColor="text1"/>
                <w:szCs w:val="22"/>
              </w:rPr>
              <w:t>7 (41.2)</w:t>
            </w:r>
          </w:p>
        </w:tc>
      </w:tr>
    </w:tbl>
    <w:p w14:paraId="3323F206" w14:textId="77777777" w:rsidR="00A77A57" w:rsidRPr="00AE2B28" w:rsidRDefault="00A77A57" w:rsidP="00A77A57">
      <w:pPr>
        <w:spacing w:line="360" w:lineRule="auto"/>
        <w:rPr>
          <w:rFonts w:eastAsia="Times New Roman"/>
          <w:color w:val="000000" w:themeColor="text1"/>
          <w:szCs w:val="22"/>
        </w:rPr>
      </w:pPr>
      <w:r w:rsidRPr="00AE2B28">
        <w:rPr>
          <w:rFonts w:eastAsia="Times New Roman"/>
          <w:color w:val="000000" w:themeColor="text1"/>
          <w:szCs w:val="22"/>
          <w:vertAlign w:val="superscript"/>
        </w:rPr>
        <w:t>†</w:t>
      </w:r>
      <w:r w:rsidRPr="00AE2B28">
        <w:rPr>
          <w:rFonts w:eastAsia="Times New Roman"/>
          <w:color w:val="000000" w:themeColor="text1"/>
          <w:szCs w:val="22"/>
        </w:rPr>
        <w:t xml:space="preserve"> More than one answer could be selected by the panellist and the percentage is based on number of individuals not answers. </w:t>
      </w:r>
      <w:r w:rsidRPr="00AE2B28">
        <w:rPr>
          <w:rFonts w:eastAsia="Times New Roman"/>
          <w:color w:val="000000" w:themeColor="text1"/>
          <w:szCs w:val="22"/>
          <w:vertAlign w:val="superscript"/>
        </w:rPr>
        <w:t>‡</w:t>
      </w:r>
      <w:r w:rsidRPr="00AE2B28">
        <w:rPr>
          <w:rFonts w:eastAsia="Times New Roman"/>
          <w:color w:val="000000" w:themeColor="text1"/>
          <w:szCs w:val="22"/>
        </w:rPr>
        <w:t xml:space="preserve"> One athlete stated 14 years as an athlete but three as VI. </w:t>
      </w:r>
    </w:p>
    <w:p w14:paraId="0508A3BB" w14:textId="77777777" w:rsidR="00A77A57" w:rsidRPr="00AE2B28" w:rsidRDefault="00A77A57" w:rsidP="00A77A57">
      <w:pPr>
        <w:spacing w:line="360" w:lineRule="auto"/>
        <w:rPr>
          <w:rFonts w:eastAsia="Times New Roman"/>
          <w:color w:val="000000" w:themeColor="text1"/>
          <w:szCs w:val="22"/>
        </w:rPr>
      </w:pPr>
      <w:r w:rsidRPr="00AE2B28">
        <w:rPr>
          <w:rFonts w:eastAsia="Times New Roman"/>
          <w:color w:val="000000" w:themeColor="text1"/>
          <w:szCs w:val="22"/>
        </w:rPr>
        <w:t xml:space="preserve">VI = Vision impairment </w:t>
      </w:r>
    </w:p>
    <w:p w14:paraId="377DDE5A" w14:textId="77777777" w:rsidR="00A77A57" w:rsidRPr="00AE2B28" w:rsidRDefault="00A77A57" w:rsidP="00A77A57">
      <w:pPr>
        <w:tabs>
          <w:tab w:val="left" w:pos="3119"/>
        </w:tabs>
        <w:rPr>
          <w:rFonts w:eastAsia="Times New Roman"/>
          <w:i/>
          <w:color w:val="000000" w:themeColor="text1"/>
        </w:rPr>
      </w:pPr>
    </w:p>
    <w:p w14:paraId="72C7FCFB" w14:textId="77777777" w:rsidR="00A77A57" w:rsidRPr="00AE2B28" w:rsidRDefault="00A77A57" w:rsidP="00A77A57">
      <w:pPr>
        <w:tabs>
          <w:tab w:val="left" w:pos="3119"/>
        </w:tabs>
        <w:rPr>
          <w:rFonts w:eastAsia="Times New Roman"/>
          <w:i/>
          <w:color w:val="000000" w:themeColor="text1"/>
        </w:rPr>
      </w:pPr>
    </w:p>
    <w:p w14:paraId="7D4124A9" w14:textId="77777777" w:rsidR="00A77A57" w:rsidRPr="00AE2B28" w:rsidRDefault="00A77A57" w:rsidP="00A77A57">
      <w:pPr>
        <w:tabs>
          <w:tab w:val="left" w:pos="3119"/>
        </w:tabs>
        <w:rPr>
          <w:rFonts w:eastAsia="Times New Roman"/>
          <w:i/>
          <w:color w:val="000000" w:themeColor="text1"/>
        </w:rPr>
      </w:pPr>
    </w:p>
    <w:p w14:paraId="472874C9" w14:textId="77777777" w:rsidR="00A77A57" w:rsidRPr="00AE2B28" w:rsidRDefault="00A77A57" w:rsidP="00A77A57">
      <w:pPr>
        <w:tabs>
          <w:tab w:val="left" w:pos="3119"/>
        </w:tabs>
        <w:rPr>
          <w:rFonts w:eastAsia="Times New Roman"/>
          <w:i/>
          <w:color w:val="000000" w:themeColor="text1"/>
        </w:rPr>
      </w:pPr>
    </w:p>
    <w:p w14:paraId="76151391" w14:textId="77777777" w:rsidR="00A77A57" w:rsidRPr="00AE2B28" w:rsidRDefault="00A77A57" w:rsidP="00A77A57">
      <w:pPr>
        <w:tabs>
          <w:tab w:val="left" w:pos="3119"/>
        </w:tabs>
        <w:rPr>
          <w:rFonts w:eastAsia="Times New Roman"/>
          <w:i/>
          <w:color w:val="000000" w:themeColor="text1"/>
        </w:rPr>
      </w:pPr>
    </w:p>
    <w:p w14:paraId="219C85A2" w14:textId="77777777" w:rsidR="00A77A57" w:rsidRPr="00AE2B28" w:rsidRDefault="00A77A57" w:rsidP="00A77A57">
      <w:pPr>
        <w:spacing w:line="360" w:lineRule="auto"/>
        <w:rPr>
          <w:b/>
          <w:color w:val="000000" w:themeColor="text1"/>
          <w:szCs w:val="22"/>
        </w:rPr>
      </w:pPr>
      <w:r w:rsidRPr="00AE2B28">
        <w:rPr>
          <w:b/>
          <w:bCs/>
          <w:color w:val="000000" w:themeColor="text1"/>
          <w:szCs w:val="22"/>
        </w:rPr>
        <w:t xml:space="preserve">Table 3. </w:t>
      </w:r>
      <w:r w:rsidRPr="00AE2B28">
        <w:rPr>
          <w:b/>
          <w:color w:val="000000" w:themeColor="text1"/>
          <w:szCs w:val="22"/>
        </w:rPr>
        <w:t>Aspects of visual function that are likely to impact running performance.</w:t>
      </w:r>
    </w:p>
    <w:tbl>
      <w:tblPr>
        <w:tblW w:w="8673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891"/>
        <w:gridCol w:w="2891"/>
        <w:gridCol w:w="2891"/>
      </w:tblGrid>
      <w:tr w:rsidR="00AE2B28" w:rsidRPr="00AE2B28" w14:paraId="1EB174B0" w14:textId="77777777" w:rsidTr="00FA7B4D">
        <w:tc>
          <w:tcPr>
            <w:tcW w:w="28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CBF5752" w14:textId="77777777" w:rsidR="00A77A57" w:rsidRPr="00AE2B28" w:rsidRDefault="00A77A57" w:rsidP="00FA7B4D">
            <w:pPr>
              <w:snapToGrid w:val="0"/>
              <w:spacing w:before="100" w:beforeAutospacing="1" w:after="100" w:afterAutospacing="1" w:line="240" w:lineRule="auto"/>
              <w:rPr>
                <w:b/>
                <w:bCs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Measure of visual function </w:t>
            </w:r>
          </w:p>
        </w:tc>
        <w:tc>
          <w:tcPr>
            <w:tcW w:w="28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385927F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i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Important enough to include in classification </w:t>
            </w:r>
          </w:p>
        </w:tc>
        <w:tc>
          <w:tcPr>
            <w:tcW w:w="28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651E455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b/>
                <w:bCs/>
                <w:i/>
                <w:color w:val="000000" w:themeColor="text1"/>
                <w:szCs w:val="22"/>
              </w:rPr>
              <w:t>Not</w:t>
            </w:r>
            <w:r w:rsidRPr="00AE2B28">
              <w:rPr>
                <w:b/>
                <w:bCs/>
                <w:color w:val="000000" w:themeColor="text1"/>
                <w:szCs w:val="22"/>
              </w:rPr>
              <w:t xml:space="preserve"> important enough to include in classification </w:t>
            </w:r>
          </w:p>
        </w:tc>
      </w:tr>
      <w:tr w:rsidR="00AE2B28" w:rsidRPr="00AE2B28" w14:paraId="75AC5B11" w14:textId="77777777" w:rsidTr="00FA7B4D">
        <w:trPr>
          <w:trHeight w:val="397"/>
        </w:trPr>
        <w:tc>
          <w:tcPr>
            <w:tcW w:w="289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8D63551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Visual acuity </w:t>
            </w:r>
          </w:p>
        </w:tc>
        <w:tc>
          <w:tcPr>
            <w:tcW w:w="289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CC832CC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100%</w:t>
            </w:r>
          </w:p>
        </w:tc>
        <w:tc>
          <w:tcPr>
            <w:tcW w:w="289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751BC29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0%</w:t>
            </w:r>
          </w:p>
        </w:tc>
      </w:tr>
      <w:tr w:rsidR="00AE2B28" w:rsidRPr="00AE2B28" w14:paraId="7E893C7E" w14:textId="77777777" w:rsidTr="00FA7B4D">
        <w:trPr>
          <w:trHeight w:val="397"/>
        </w:trPr>
        <w:tc>
          <w:tcPr>
            <w:tcW w:w="2891" w:type="dxa"/>
            <w:shd w:val="clear" w:color="auto" w:fill="FFFFFF"/>
            <w:vAlign w:val="center"/>
          </w:tcPr>
          <w:p w14:paraId="702E83C6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Visual field 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438232A6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93%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74DDDD8C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7%</w:t>
            </w:r>
          </w:p>
        </w:tc>
      </w:tr>
      <w:tr w:rsidR="00AE2B28" w:rsidRPr="00AE2B28" w14:paraId="0A3441AA" w14:textId="77777777" w:rsidTr="00FA7B4D">
        <w:trPr>
          <w:trHeight w:val="397"/>
        </w:trPr>
        <w:tc>
          <w:tcPr>
            <w:tcW w:w="2891" w:type="dxa"/>
            <w:shd w:val="clear" w:color="auto" w:fill="FFFFFF"/>
            <w:vAlign w:val="center"/>
          </w:tcPr>
          <w:p w14:paraId="71E298B2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Contrast sensitivity 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1D08C64C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77%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74AC1F28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23%</w:t>
            </w:r>
          </w:p>
        </w:tc>
      </w:tr>
      <w:tr w:rsidR="00AE2B28" w:rsidRPr="00AE2B28" w14:paraId="30E86638" w14:textId="77777777" w:rsidTr="00FA7B4D">
        <w:trPr>
          <w:trHeight w:val="397"/>
        </w:trPr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C7BB40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 xml:space="preserve">Light adaptation 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674B56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77%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C1E7DA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23%</w:t>
            </w:r>
          </w:p>
        </w:tc>
      </w:tr>
      <w:tr w:rsidR="00AE2B28" w:rsidRPr="00AE2B28" w14:paraId="0C7D2FB6" w14:textId="77777777" w:rsidTr="00FA7B4D">
        <w:trPr>
          <w:trHeight w:val="397"/>
        </w:trPr>
        <w:tc>
          <w:tcPr>
            <w:tcW w:w="28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64BE2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 xml:space="preserve">Glare sensitivity </w:t>
            </w:r>
          </w:p>
        </w:tc>
        <w:tc>
          <w:tcPr>
            <w:tcW w:w="28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B9F944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69%</w:t>
            </w:r>
          </w:p>
        </w:tc>
        <w:tc>
          <w:tcPr>
            <w:tcW w:w="28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9C6936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31%</w:t>
            </w:r>
          </w:p>
        </w:tc>
      </w:tr>
      <w:tr w:rsidR="00AE2B28" w:rsidRPr="00AE2B28" w14:paraId="61583A91" w14:textId="77777777" w:rsidTr="00FA7B4D">
        <w:trPr>
          <w:trHeight w:val="397"/>
        </w:trPr>
        <w:tc>
          <w:tcPr>
            <w:tcW w:w="2891" w:type="dxa"/>
            <w:shd w:val="clear" w:color="auto" w:fill="FFFFFF"/>
            <w:vAlign w:val="center"/>
          </w:tcPr>
          <w:p w14:paraId="399C0C98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>Depth perception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329BF4E4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64%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240EA838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36%</w:t>
            </w:r>
          </w:p>
        </w:tc>
      </w:tr>
      <w:tr w:rsidR="00AE2B28" w:rsidRPr="00AE2B28" w14:paraId="5FA01DF3" w14:textId="77777777" w:rsidTr="00FA7B4D">
        <w:trPr>
          <w:trHeight w:val="397"/>
        </w:trPr>
        <w:tc>
          <w:tcPr>
            <w:tcW w:w="2891" w:type="dxa"/>
            <w:shd w:val="clear" w:color="auto" w:fill="FFFFFF"/>
            <w:vAlign w:val="center"/>
          </w:tcPr>
          <w:p w14:paraId="10CBBECB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 xml:space="preserve">Dynamic visual acuity 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73633DB8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46%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4143C317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54%</w:t>
            </w:r>
          </w:p>
        </w:tc>
      </w:tr>
      <w:tr w:rsidR="00AE2B28" w:rsidRPr="00AE2B28" w14:paraId="7F7F44AF" w14:textId="77777777" w:rsidTr="00FA7B4D">
        <w:trPr>
          <w:trHeight w:val="397"/>
        </w:trPr>
        <w:tc>
          <w:tcPr>
            <w:tcW w:w="2891" w:type="dxa"/>
            <w:shd w:val="clear" w:color="auto" w:fill="FFFFFF"/>
            <w:vAlign w:val="center"/>
          </w:tcPr>
          <w:p w14:paraId="1CA9CFE4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 xml:space="preserve">Motion perception 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399924C9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46%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43250D62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54%</w:t>
            </w:r>
          </w:p>
        </w:tc>
      </w:tr>
      <w:tr w:rsidR="00AE2B28" w:rsidRPr="00AE2B28" w14:paraId="506E4105" w14:textId="77777777" w:rsidTr="00FA7B4D">
        <w:trPr>
          <w:trHeight w:val="397"/>
        </w:trPr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07AF6D8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 xml:space="preserve">Ocular coordination 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C8D52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31%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A635E4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69%</w:t>
            </w:r>
          </w:p>
        </w:tc>
      </w:tr>
      <w:tr w:rsidR="00AE2B28" w:rsidRPr="00AE2B28" w14:paraId="204ED36E" w14:textId="77777777" w:rsidTr="00FA7B4D">
        <w:trPr>
          <w:trHeight w:val="397"/>
        </w:trPr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0C14AD0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rPr>
                <w:color w:val="000000" w:themeColor="text1"/>
                <w:szCs w:val="22"/>
              </w:rPr>
            </w:pPr>
            <w:r w:rsidRPr="00AE2B28">
              <w:rPr>
                <w:bCs/>
                <w:color w:val="000000" w:themeColor="text1"/>
                <w:szCs w:val="22"/>
              </w:rPr>
              <w:t>Colour vision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25FD9EB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color w:val="000000" w:themeColor="text1"/>
                <w:szCs w:val="22"/>
              </w:rPr>
              <w:t>23%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237C35F" w14:textId="77777777" w:rsidR="00A77A57" w:rsidRPr="00AE2B28" w:rsidRDefault="00A77A57" w:rsidP="00FA7B4D">
            <w:pPr>
              <w:keepNext/>
              <w:spacing w:before="100" w:beforeAutospacing="1" w:after="100" w:afterAutospacing="1"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AE2B28">
              <w:rPr>
                <w:b/>
                <w:color w:val="000000" w:themeColor="text1"/>
                <w:szCs w:val="22"/>
              </w:rPr>
              <w:t>77%</w:t>
            </w:r>
          </w:p>
        </w:tc>
      </w:tr>
    </w:tbl>
    <w:p w14:paraId="0B11EB1F" w14:textId="77777777" w:rsidR="00A77A57" w:rsidRPr="00AE2B28" w:rsidRDefault="00A77A57" w:rsidP="00A77A57">
      <w:pPr>
        <w:rPr>
          <w:color w:val="000000" w:themeColor="text1"/>
          <w:szCs w:val="22"/>
        </w:rPr>
      </w:pPr>
      <w:r w:rsidRPr="00AE2B28">
        <w:rPr>
          <w:color w:val="000000" w:themeColor="text1"/>
          <w:szCs w:val="22"/>
        </w:rPr>
        <w:t xml:space="preserve">Note: measures which reached consensus at 75% are in </w:t>
      </w:r>
      <w:r w:rsidRPr="00AE2B28">
        <w:rPr>
          <w:b/>
          <w:bCs/>
          <w:color w:val="000000" w:themeColor="text1"/>
          <w:szCs w:val="22"/>
        </w:rPr>
        <w:t>bold</w:t>
      </w:r>
      <w:r w:rsidRPr="00AE2B28">
        <w:rPr>
          <w:color w:val="000000" w:themeColor="text1"/>
          <w:szCs w:val="22"/>
        </w:rPr>
        <w:t>.</w:t>
      </w:r>
    </w:p>
    <w:p w14:paraId="4975B4AA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43A0C4A2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09A463C1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0293A1FB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74B9DCDE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195B23D1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5879DA5F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55BB595C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0F5FF903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6FE0B2B7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1A351363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01358F04" w14:textId="77777777" w:rsidR="00A77A57" w:rsidRPr="00AE2B28" w:rsidRDefault="00A77A57" w:rsidP="00A77A57">
      <w:pPr>
        <w:spacing w:line="360" w:lineRule="auto"/>
        <w:rPr>
          <w:color w:val="000000" w:themeColor="text1"/>
          <w:szCs w:val="22"/>
        </w:rPr>
      </w:pPr>
      <w:r w:rsidRPr="00AE2B28">
        <w:rPr>
          <w:b/>
          <w:bCs/>
          <w:color w:val="000000" w:themeColor="text1"/>
          <w:szCs w:val="22"/>
        </w:rPr>
        <w:t xml:space="preserve">Table 4: </w:t>
      </w:r>
      <w:r w:rsidRPr="00AE2B28">
        <w:rPr>
          <w:b/>
          <w:color w:val="000000" w:themeColor="text1"/>
          <w:szCs w:val="22"/>
        </w:rPr>
        <w:t>Performance parameters that are negatively impacted by vision impairment in short distance track athletics</w:t>
      </w:r>
      <w:r w:rsidRPr="00AE2B28">
        <w:rPr>
          <w:color w:val="000000" w:themeColor="text1"/>
          <w:szCs w:val="22"/>
        </w:rPr>
        <w:t xml:space="preserve">. </w:t>
      </w:r>
    </w:p>
    <w:tbl>
      <w:tblPr>
        <w:tblW w:w="879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675"/>
        <w:gridCol w:w="2041"/>
        <w:gridCol w:w="2041"/>
        <w:gridCol w:w="2041"/>
      </w:tblGrid>
      <w:tr w:rsidR="00AE2B28" w:rsidRPr="00AE2B28" w14:paraId="7FD2C87F" w14:textId="77777777" w:rsidTr="00FA7B4D">
        <w:trPr>
          <w:trHeight w:val="455"/>
        </w:trPr>
        <w:tc>
          <w:tcPr>
            <w:tcW w:w="267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EBC3BF4" w14:textId="77777777" w:rsidR="00A77A57" w:rsidRPr="00AE2B28" w:rsidRDefault="00A77A57" w:rsidP="00FA7B4D">
            <w:pPr>
              <w:snapToGrid w:val="0"/>
              <w:spacing w:before="100" w:beforeAutospacing="1" w:after="100" w:afterAutospacing="1" w:line="240" w:lineRule="auto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>Performance Parameter</w:t>
            </w:r>
          </w:p>
        </w:tc>
        <w:tc>
          <w:tcPr>
            <w:tcW w:w="204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65505FE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 xml:space="preserve">100m </w:t>
            </w:r>
          </w:p>
        </w:tc>
        <w:tc>
          <w:tcPr>
            <w:tcW w:w="204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6D39426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200m</w:t>
            </w:r>
          </w:p>
        </w:tc>
        <w:tc>
          <w:tcPr>
            <w:tcW w:w="204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DE75C76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400m</w:t>
            </w:r>
          </w:p>
        </w:tc>
      </w:tr>
      <w:tr w:rsidR="00AE2B28" w:rsidRPr="00AE2B28" w14:paraId="0BB539C6" w14:textId="77777777" w:rsidTr="00FA7B4D">
        <w:trPr>
          <w:trHeight w:val="689"/>
        </w:trPr>
        <w:tc>
          <w:tcPr>
            <w:tcW w:w="2675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462A1BA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  <w:u w:val="single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Monitoring position of competitors</w:t>
            </w:r>
          </w:p>
        </w:tc>
        <w:tc>
          <w:tcPr>
            <w:tcW w:w="204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6E3447E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66%</w:t>
            </w:r>
          </w:p>
        </w:tc>
        <w:tc>
          <w:tcPr>
            <w:tcW w:w="204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7C79381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80%</w:t>
            </w:r>
          </w:p>
        </w:tc>
        <w:tc>
          <w:tcPr>
            <w:tcW w:w="204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E728DC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</w:tr>
      <w:tr w:rsidR="00AE2B28" w:rsidRPr="00AE2B28" w14:paraId="5E925673" w14:textId="77777777" w:rsidTr="00FA7B4D">
        <w:trPr>
          <w:trHeight w:val="576"/>
        </w:trPr>
        <w:tc>
          <w:tcPr>
            <w:tcW w:w="2675" w:type="dxa"/>
            <w:shd w:val="clear" w:color="auto" w:fill="FFFFFF"/>
            <w:vAlign w:val="center"/>
          </w:tcPr>
          <w:p w14:paraId="427622CB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Transition between bend to straight track running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4921929F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i/>
                <w:iCs/>
                <w:color w:val="000000" w:themeColor="text1"/>
                <w:sz w:val="22"/>
                <w:szCs w:val="22"/>
              </w:rPr>
              <w:t>20%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2802C58A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86%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0D610891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</w:tr>
      <w:tr w:rsidR="00AE2B28" w:rsidRPr="00AE2B28" w14:paraId="793566BC" w14:textId="77777777" w:rsidTr="00FA7B4D">
        <w:trPr>
          <w:trHeight w:val="669"/>
        </w:trPr>
        <w:tc>
          <w:tcPr>
            <w:tcW w:w="2675" w:type="dxa"/>
            <w:shd w:val="clear" w:color="auto" w:fill="FFFFFF"/>
            <w:vAlign w:val="center"/>
          </w:tcPr>
          <w:p w14:paraId="2F0B675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  <w:u w:val="single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Navigation within lanes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6387A40E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66%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65ADA32C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86%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5159B30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</w:tr>
      <w:tr w:rsidR="00AE2B28" w:rsidRPr="00AE2B28" w14:paraId="36B15A23" w14:textId="77777777" w:rsidTr="00FA7B4D">
        <w:trPr>
          <w:trHeight w:val="659"/>
        </w:trPr>
        <w:tc>
          <w:tcPr>
            <w:tcW w:w="2675" w:type="dxa"/>
            <w:shd w:val="clear" w:color="auto" w:fill="FFFFFF"/>
            <w:vAlign w:val="center"/>
          </w:tcPr>
          <w:p w14:paraId="10B322AD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Forward reach for the line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4345FB5F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86%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6EC9520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80%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3C5C298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</w:tr>
      <w:tr w:rsidR="00AE2B28" w:rsidRPr="00AE2B28" w14:paraId="79990EB2" w14:textId="77777777" w:rsidTr="00FA7B4D">
        <w:trPr>
          <w:trHeight w:val="659"/>
        </w:trPr>
        <w:tc>
          <w:tcPr>
            <w:tcW w:w="2675" w:type="dxa"/>
            <w:shd w:val="clear" w:color="auto" w:fill="FFFFFF"/>
            <w:vAlign w:val="center"/>
          </w:tcPr>
          <w:p w14:paraId="4CDBB87F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  <w:u w:val="single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Attaining maximum speed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2441BA6D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60%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0899BCB8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60%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0CE99F8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42%</w:t>
            </w:r>
          </w:p>
        </w:tc>
      </w:tr>
      <w:tr w:rsidR="00AE2B28" w:rsidRPr="00AE2B28" w14:paraId="21F5C789" w14:textId="77777777" w:rsidTr="00FA7B4D">
        <w:trPr>
          <w:trHeight w:val="659"/>
        </w:trPr>
        <w:tc>
          <w:tcPr>
            <w:tcW w:w="2675" w:type="dxa"/>
            <w:shd w:val="clear" w:color="auto" w:fill="FFFFFF"/>
            <w:vAlign w:val="center"/>
          </w:tcPr>
          <w:p w14:paraId="7FD5C60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Stride rate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471A4AF7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33%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56BAB288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33%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535FEC36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35%</w:t>
            </w:r>
          </w:p>
        </w:tc>
      </w:tr>
      <w:tr w:rsidR="00AE2B28" w:rsidRPr="00AE2B28" w14:paraId="2D01B386" w14:textId="77777777" w:rsidTr="00FA7B4D">
        <w:trPr>
          <w:trHeight w:val="659"/>
        </w:trPr>
        <w:tc>
          <w:tcPr>
            <w:tcW w:w="2675" w:type="dxa"/>
            <w:shd w:val="clear" w:color="auto" w:fill="FFFFFF"/>
            <w:vAlign w:val="center"/>
          </w:tcPr>
          <w:p w14:paraId="6CF4862B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Stride length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7BCC10AF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33%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5EA90D85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33%</w:t>
            </w:r>
          </w:p>
        </w:tc>
        <w:tc>
          <w:tcPr>
            <w:tcW w:w="2041" w:type="dxa"/>
            <w:shd w:val="clear" w:color="auto" w:fill="FFFFFF"/>
            <w:vAlign w:val="center"/>
          </w:tcPr>
          <w:p w14:paraId="1678A294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28%</w:t>
            </w:r>
          </w:p>
        </w:tc>
      </w:tr>
      <w:tr w:rsidR="00AE2B28" w:rsidRPr="00AE2B28" w14:paraId="2E79C9FD" w14:textId="77777777" w:rsidTr="00FA7B4D">
        <w:trPr>
          <w:trHeight w:val="659"/>
        </w:trPr>
        <w:tc>
          <w:tcPr>
            <w:tcW w:w="267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550F884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Time out of the blocks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E5ABBD0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26%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9E40EEC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rStyle w:val="Emphasis"/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33%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D1D776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rStyle w:val="Emphasis"/>
                <w:color w:val="000000" w:themeColor="text1"/>
                <w:sz w:val="22"/>
                <w:szCs w:val="22"/>
              </w:rPr>
              <w:t>21%</w:t>
            </w:r>
          </w:p>
        </w:tc>
      </w:tr>
    </w:tbl>
    <w:p w14:paraId="1146AB28" w14:textId="77777777" w:rsidR="00A77A57" w:rsidRPr="00AE2B28" w:rsidRDefault="00A77A57" w:rsidP="00A77A57">
      <w:pPr>
        <w:spacing w:line="360" w:lineRule="auto"/>
        <w:rPr>
          <w:color w:val="000000" w:themeColor="text1"/>
          <w:szCs w:val="22"/>
        </w:rPr>
      </w:pPr>
      <w:r w:rsidRPr="00AE2B28">
        <w:rPr>
          <w:color w:val="000000" w:themeColor="text1"/>
          <w:szCs w:val="22"/>
        </w:rPr>
        <w:t>Note: Performance parameters that reached consensus (</w:t>
      </w:r>
      <w:r w:rsidRPr="00AE2B28">
        <w:rPr>
          <w:color w:val="000000" w:themeColor="text1"/>
          <w:szCs w:val="22"/>
        </w:rPr>
        <w:sym w:font="Symbol" w:char="F0B3"/>
      </w:r>
      <w:r w:rsidRPr="00AE2B28">
        <w:rPr>
          <w:color w:val="000000" w:themeColor="text1"/>
          <w:szCs w:val="22"/>
        </w:rPr>
        <w:t xml:space="preserve"> 75%) are in </w:t>
      </w:r>
      <w:r w:rsidRPr="00AE2B28">
        <w:rPr>
          <w:b/>
          <w:bCs/>
          <w:color w:val="000000" w:themeColor="text1"/>
          <w:szCs w:val="22"/>
        </w:rPr>
        <w:t>bold</w:t>
      </w:r>
      <w:r w:rsidRPr="00AE2B28">
        <w:rPr>
          <w:color w:val="000000" w:themeColor="text1"/>
          <w:szCs w:val="22"/>
        </w:rPr>
        <w:t xml:space="preserve">. Furthermore, performance parameters that, by consensus, were considered </w:t>
      </w:r>
      <w:r w:rsidRPr="00AE2B28">
        <w:rPr>
          <w:bCs/>
          <w:i/>
          <w:color w:val="000000" w:themeColor="text1"/>
          <w:szCs w:val="22"/>
        </w:rPr>
        <w:t>not</w:t>
      </w:r>
      <w:r w:rsidRPr="00AE2B28">
        <w:rPr>
          <w:b/>
          <w:bCs/>
          <w:color w:val="000000" w:themeColor="text1"/>
          <w:szCs w:val="22"/>
        </w:rPr>
        <w:t xml:space="preserve"> </w:t>
      </w:r>
      <w:r w:rsidRPr="00AE2B28">
        <w:rPr>
          <w:bCs/>
          <w:color w:val="000000" w:themeColor="text1"/>
          <w:szCs w:val="22"/>
        </w:rPr>
        <w:t xml:space="preserve">to </w:t>
      </w:r>
      <w:r w:rsidRPr="00AE2B28">
        <w:rPr>
          <w:color w:val="000000" w:themeColor="text1"/>
          <w:szCs w:val="22"/>
        </w:rPr>
        <w:t>be negatively impacted (</w:t>
      </w:r>
      <w:r w:rsidRPr="00AE2B28">
        <w:rPr>
          <w:color w:val="000000" w:themeColor="text1"/>
          <w:szCs w:val="22"/>
        </w:rPr>
        <w:sym w:font="Symbol" w:char="F0A3"/>
      </w:r>
      <w:r w:rsidRPr="00AE2B28">
        <w:rPr>
          <w:color w:val="000000" w:themeColor="text1"/>
          <w:szCs w:val="22"/>
        </w:rPr>
        <w:t xml:space="preserve"> 25%) by vision impairment (i.e. not affected by an impairment) are in </w:t>
      </w:r>
      <w:r w:rsidRPr="00AE2B28">
        <w:rPr>
          <w:i/>
          <w:color w:val="000000" w:themeColor="text1"/>
          <w:szCs w:val="22"/>
        </w:rPr>
        <w:t>italics</w:t>
      </w:r>
      <w:r w:rsidRPr="00AE2B28">
        <w:rPr>
          <w:color w:val="000000" w:themeColor="text1"/>
          <w:szCs w:val="22"/>
        </w:rPr>
        <w:t>.</w:t>
      </w:r>
    </w:p>
    <w:p w14:paraId="5F20D281" w14:textId="77777777" w:rsidR="00A77A57" w:rsidRPr="00AE2B28" w:rsidRDefault="00A77A57" w:rsidP="00A77A57">
      <w:pPr>
        <w:spacing w:line="360" w:lineRule="auto"/>
        <w:rPr>
          <w:color w:val="000000" w:themeColor="text1"/>
          <w:szCs w:val="22"/>
        </w:rPr>
      </w:pPr>
      <w:r w:rsidRPr="00AE2B28">
        <w:rPr>
          <w:b/>
          <w:bCs/>
          <w:color w:val="000000" w:themeColor="text1"/>
          <w:szCs w:val="22"/>
        </w:rPr>
        <w:br w:type="page"/>
      </w:r>
      <w:r w:rsidRPr="00AE2B28">
        <w:rPr>
          <w:b/>
          <w:bCs/>
          <w:color w:val="000000" w:themeColor="text1"/>
          <w:szCs w:val="22"/>
        </w:rPr>
        <w:lastRenderedPageBreak/>
        <w:t xml:space="preserve">Table 5: </w:t>
      </w:r>
      <w:r w:rsidRPr="00AE2B28">
        <w:rPr>
          <w:b/>
          <w:color w:val="000000" w:themeColor="text1"/>
          <w:szCs w:val="22"/>
        </w:rPr>
        <w:t>Performance parameters that are negatively impacted by vision impairment in middle to long distance track athletics</w:t>
      </w:r>
      <w:r w:rsidRPr="00AE2B28">
        <w:rPr>
          <w:color w:val="000000" w:themeColor="text1"/>
          <w:szCs w:val="22"/>
        </w:rPr>
        <w:t xml:space="preserve">. </w:t>
      </w:r>
    </w:p>
    <w:tbl>
      <w:tblPr>
        <w:tblW w:w="8732" w:type="dxa"/>
        <w:tblInd w:w="-6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608"/>
        <w:gridCol w:w="1531"/>
        <w:gridCol w:w="1531"/>
        <w:gridCol w:w="1531"/>
        <w:gridCol w:w="1531"/>
      </w:tblGrid>
      <w:tr w:rsidR="00AE2B28" w:rsidRPr="00AE2B28" w14:paraId="6B84F466" w14:textId="77777777" w:rsidTr="00FA7B4D">
        <w:trPr>
          <w:trHeight w:val="129"/>
        </w:trPr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093888D1" w14:textId="77777777" w:rsidR="00A77A57" w:rsidRPr="00AE2B28" w:rsidRDefault="00A77A57" w:rsidP="00FA7B4D">
            <w:pPr>
              <w:snapToGrid w:val="0"/>
              <w:spacing w:before="100" w:beforeAutospacing="1" w:after="100" w:afterAutospacing="1" w:line="240" w:lineRule="auto"/>
              <w:rPr>
                <w:b/>
                <w:bCs/>
                <w:color w:val="000000" w:themeColor="text1"/>
                <w:szCs w:val="22"/>
              </w:rPr>
            </w:pPr>
            <w:r w:rsidRPr="00AE2B28">
              <w:rPr>
                <w:b/>
                <w:bCs/>
                <w:color w:val="000000" w:themeColor="text1"/>
                <w:szCs w:val="22"/>
              </w:rPr>
              <w:t>Performance Parameter</w:t>
            </w:r>
          </w:p>
        </w:tc>
        <w:tc>
          <w:tcPr>
            <w:tcW w:w="15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58E56742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 xml:space="preserve">800m </w:t>
            </w:r>
          </w:p>
        </w:tc>
        <w:tc>
          <w:tcPr>
            <w:tcW w:w="15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73B724B1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1500m</w:t>
            </w:r>
          </w:p>
        </w:tc>
        <w:tc>
          <w:tcPr>
            <w:tcW w:w="15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540792B6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5000m</w:t>
            </w:r>
          </w:p>
        </w:tc>
        <w:tc>
          <w:tcPr>
            <w:tcW w:w="15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194260F" w14:textId="77777777" w:rsidR="00A77A57" w:rsidRPr="00AE2B28" w:rsidRDefault="00A77A57" w:rsidP="00FA7B4D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color w:val="000000" w:themeColor="text1"/>
                <w:szCs w:val="22"/>
              </w:rPr>
            </w:pPr>
            <w:r w:rsidRPr="00AE2B28">
              <w:rPr>
                <w:rFonts w:eastAsia="Times New Roman"/>
                <w:b/>
                <w:color w:val="000000" w:themeColor="text1"/>
                <w:szCs w:val="22"/>
              </w:rPr>
              <w:t>Marathon</w:t>
            </w:r>
          </w:p>
        </w:tc>
      </w:tr>
      <w:tr w:rsidR="00AE2B28" w:rsidRPr="00AE2B28" w14:paraId="72FBF0DE" w14:textId="77777777" w:rsidTr="00FA7B4D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260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6A0DCEC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Navigation around the track and competitors</w:t>
            </w:r>
          </w:p>
        </w:tc>
        <w:tc>
          <w:tcPr>
            <w:tcW w:w="153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4482AEB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153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FA34367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153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55D8B9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  <w:tc>
          <w:tcPr>
            <w:tcW w:w="153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00C07959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77%</w:t>
            </w:r>
          </w:p>
        </w:tc>
      </w:tr>
      <w:tr w:rsidR="00AE2B28" w:rsidRPr="00AE2B28" w14:paraId="0AB00C8F" w14:textId="77777777" w:rsidTr="00FA7B4D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2608" w:type="dxa"/>
            <w:shd w:val="clear" w:color="auto" w:fill="FFFFFF"/>
            <w:vAlign w:val="center"/>
          </w:tcPr>
          <w:p w14:paraId="465474ED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Navigation relative to competitors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31168C47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49105403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1273D73A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01148146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69%</w:t>
            </w:r>
          </w:p>
        </w:tc>
      </w:tr>
      <w:tr w:rsidR="00AE2B28" w:rsidRPr="00AE2B28" w14:paraId="76B14F50" w14:textId="77777777" w:rsidTr="00FA7B4D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2608" w:type="dxa"/>
            <w:shd w:val="clear" w:color="auto" w:fill="FFFFFF"/>
            <w:vAlign w:val="center"/>
          </w:tcPr>
          <w:p w14:paraId="1EDE9149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Navigation around competitors at the start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5B785980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330E59A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48915AA4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0B4F27AA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92%</w:t>
            </w:r>
          </w:p>
        </w:tc>
      </w:tr>
      <w:tr w:rsidR="00AE2B28" w:rsidRPr="00AE2B28" w14:paraId="51FCEB18" w14:textId="77777777" w:rsidTr="00FA7B4D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2608" w:type="dxa"/>
            <w:shd w:val="clear" w:color="auto" w:fill="FFFFFF"/>
            <w:vAlign w:val="center"/>
          </w:tcPr>
          <w:p w14:paraId="0B3CB6DD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Monitoring position of competitors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333FE71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35906C84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009FC8AB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78%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0CE1EAE4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E2B28">
              <w:rPr>
                <w:b/>
                <w:bCs/>
                <w:color w:val="000000" w:themeColor="text1"/>
                <w:sz w:val="22"/>
                <w:szCs w:val="22"/>
              </w:rPr>
              <w:t>85%</w:t>
            </w:r>
          </w:p>
        </w:tc>
      </w:tr>
      <w:tr w:rsidR="00AE2B28" w:rsidRPr="00AE2B28" w14:paraId="75F72F8D" w14:textId="77777777" w:rsidTr="00FA7B4D">
        <w:trPr>
          <w:trHeight w:val="659"/>
        </w:trPr>
        <w:tc>
          <w:tcPr>
            <w:tcW w:w="260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6ED3DAE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rPr>
                <w:color w:val="000000" w:themeColor="text1"/>
                <w:sz w:val="22"/>
                <w:szCs w:val="22"/>
                <w:u w:val="single"/>
              </w:rPr>
            </w:pPr>
            <w:r w:rsidRPr="00AE2B28">
              <w:rPr>
                <w:bCs/>
                <w:color w:val="000000" w:themeColor="text1"/>
                <w:sz w:val="22"/>
                <w:szCs w:val="22"/>
              </w:rPr>
              <w:t>Transition between bend to straight track running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50810C7B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57%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01C8B89C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57%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0C5ED7B2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57%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2D8582C9" w14:textId="77777777" w:rsidR="00A77A57" w:rsidRPr="00AE2B28" w:rsidRDefault="00A77A57" w:rsidP="00FA7B4D">
            <w:pPr>
              <w:pStyle w:val="NormalWeb"/>
              <w:spacing w:beforeAutospacing="1" w:after="100" w:afterAutospacing="1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2B28">
              <w:rPr>
                <w:color w:val="000000" w:themeColor="text1"/>
                <w:sz w:val="22"/>
                <w:szCs w:val="22"/>
              </w:rPr>
              <w:t>38%</w:t>
            </w:r>
          </w:p>
        </w:tc>
      </w:tr>
    </w:tbl>
    <w:p w14:paraId="26E81D50" w14:textId="77777777" w:rsidR="00A77A57" w:rsidRPr="00AE2B28" w:rsidRDefault="00A77A57" w:rsidP="00A77A57">
      <w:pPr>
        <w:rPr>
          <w:b/>
          <w:bCs/>
          <w:color w:val="000000" w:themeColor="text1"/>
          <w:szCs w:val="22"/>
        </w:rPr>
      </w:pPr>
      <w:r w:rsidRPr="00AE2B28">
        <w:rPr>
          <w:color w:val="000000" w:themeColor="text1"/>
          <w:szCs w:val="22"/>
        </w:rPr>
        <w:t xml:space="preserve">Note: Performance parameters that reached consensus are in </w:t>
      </w:r>
      <w:r w:rsidRPr="00AE2B28">
        <w:rPr>
          <w:b/>
          <w:bCs/>
          <w:color w:val="000000" w:themeColor="text1"/>
          <w:szCs w:val="22"/>
        </w:rPr>
        <w:t>bold.</w:t>
      </w:r>
    </w:p>
    <w:p w14:paraId="31B94348" w14:textId="77777777" w:rsidR="00A77A57" w:rsidRPr="00AE2B28" w:rsidRDefault="00A77A57" w:rsidP="00A77A57">
      <w:pPr>
        <w:rPr>
          <w:color w:val="000000" w:themeColor="text1"/>
        </w:rPr>
      </w:pPr>
    </w:p>
    <w:p w14:paraId="2B56E3FE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3F756203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153DE5A8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02A02C56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55D18B99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62E55ACD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13D962BC" w14:textId="77777777" w:rsidR="00A77A57" w:rsidRPr="00AE2B28" w:rsidRDefault="00A77A57" w:rsidP="00A77A57">
      <w:pPr>
        <w:rPr>
          <w:color w:val="000000" w:themeColor="text1"/>
          <w:szCs w:val="22"/>
        </w:rPr>
      </w:pPr>
    </w:p>
    <w:p w14:paraId="25AD8FBD" w14:textId="77777777" w:rsidR="00D61E61" w:rsidRPr="00AE2B28" w:rsidRDefault="00D61E61">
      <w:pPr>
        <w:rPr>
          <w:color w:val="000000" w:themeColor="text1"/>
        </w:rPr>
      </w:pPr>
    </w:p>
    <w:sectPr w:rsidR="00D61E61" w:rsidRPr="00AE2B28" w:rsidSect="00A062F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57"/>
    <w:rsid w:val="003B7F54"/>
    <w:rsid w:val="00511B98"/>
    <w:rsid w:val="005A1C3F"/>
    <w:rsid w:val="007B5F52"/>
    <w:rsid w:val="00A062F5"/>
    <w:rsid w:val="00A77A57"/>
    <w:rsid w:val="00AE2B28"/>
    <w:rsid w:val="00D61E61"/>
    <w:rsid w:val="00D82F5F"/>
    <w:rsid w:val="00DA7825"/>
    <w:rsid w:val="00F9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2126E"/>
  <w15:chartTrackingRefBased/>
  <w15:docId w15:val="{DE24F86D-7B31-374D-9972-89CAF379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A57"/>
    <w:pPr>
      <w:widowControl w:val="0"/>
      <w:suppressAutoHyphens/>
      <w:spacing w:after="240" w:line="480" w:lineRule="auto"/>
    </w:pPr>
    <w:rPr>
      <w:rFonts w:ascii="Times New Roman" w:eastAsia="SimSun" w:hAnsi="Times New Roman" w:cs="Times New Roman"/>
      <w:sz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A77A57"/>
    <w:rPr>
      <w:i/>
      <w:iCs/>
    </w:rPr>
  </w:style>
  <w:style w:type="paragraph" w:styleId="ListParagraph">
    <w:name w:val="List Paragraph"/>
    <w:basedOn w:val="Normal"/>
    <w:qFormat/>
    <w:rsid w:val="00A77A57"/>
    <w:pPr>
      <w:widowControl/>
      <w:ind w:left="720"/>
    </w:pPr>
  </w:style>
  <w:style w:type="paragraph" w:styleId="NormalWeb">
    <w:name w:val="Normal (Web)"/>
    <w:basedOn w:val="Normal"/>
    <w:uiPriority w:val="99"/>
    <w:rsid w:val="00A77A57"/>
    <w:pPr>
      <w:spacing w:before="100" w:after="28" w:line="100" w:lineRule="atLeas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Peter</dc:creator>
  <cp:keywords/>
  <dc:description/>
  <cp:lastModifiedBy>Allen, Peter</cp:lastModifiedBy>
  <cp:revision>4</cp:revision>
  <dcterms:created xsi:type="dcterms:W3CDTF">2020-03-05T13:38:00Z</dcterms:created>
  <dcterms:modified xsi:type="dcterms:W3CDTF">2020-06-26T11:07:00Z</dcterms:modified>
</cp:coreProperties>
</file>