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C241C" w14:textId="77777777" w:rsidR="00CD3203" w:rsidRPr="00C61949" w:rsidRDefault="00226A3D" w:rsidP="00FB5841">
      <w:pPr>
        <w:pStyle w:val="MDPI11articletype"/>
      </w:pPr>
      <w:r w:rsidRPr="00C61949">
        <w:t>Article</w:t>
      </w:r>
    </w:p>
    <w:p w14:paraId="78821A77" w14:textId="4BB8159E" w:rsidR="00A23D1C" w:rsidRPr="00C61949" w:rsidRDefault="00226A3D" w:rsidP="00FB5841">
      <w:pPr>
        <w:pStyle w:val="MDPI12title"/>
      </w:pPr>
      <w:r w:rsidRPr="00C61949">
        <w:t xml:space="preserve">Immediate </w:t>
      </w:r>
      <w:r w:rsidR="0007468B" w:rsidRPr="00C61949">
        <w:t>I</w:t>
      </w:r>
      <w:r w:rsidRPr="00C61949">
        <w:t xml:space="preserve">mpact of the COVID-19 </w:t>
      </w:r>
      <w:r w:rsidR="0007468B" w:rsidRPr="00C61949">
        <w:t>C</w:t>
      </w:r>
      <w:r w:rsidRPr="00C61949">
        <w:t xml:space="preserve">onfinement on </w:t>
      </w:r>
      <w:r w:rsidR="0007468B" w:rsidRPr="00C61949">
        <w:t>P</w:t>
      </w:r>
      <w:r w:rsidRPr="00C61949">
        <w:t xml:space="preserve">hysical </w:t>
      </w:r>
      <w:r w:rsidR="0007468B" w:rsidRPr="00C61949">
        <w:t>A</w:t>
      </w:r>
      <w:r w:rsidRPr="00C61949">
        <w:t xml:space="preserve">ctivity </w:t>
      </w:r>
      <w:r w:rsidR="0007468B" w:rsidRPr="00C61949">
        <w:t>L</w:t>
      </w:r>
      <w:r w:rsidRPr="00C61949">
        <w:t xml:space="preserve">evels in Spanish </w:t>
      </w:r>
      <w:r w:rsidR="0007468B" w:rsidRPr="00C61949">
        <w:t>A</w:t>
      </w:r>
      <w:r w:rsidRPr="00C61949">
        <w:t>dults</w:t>
      </w:r>
    </w:p>
    <w:p w14:paraId="323E2E55" w14:textId="1679007C" w:rsidR="00CD3203" w:rsidRPr="00C61949" w:rsidRDefault="00226A3D" w:rsidP="00FB5841">
      <w:pPr>
        <w:pStyle w:val="MDPI13authornames"/>
      </w:pPr>
      <w:r w:rsidRPr="00A13350">
        <w:t>Rubén López-Bueno</w:t>
      </w:r>
      <w:r w:rsidR="00C61949" w:rsidRPr="00A13350">
        <w:t xml:space="preserve"> </w:t>
      </w:r>
      <w:r w:rsidRPr="00A13350">
        <w:rPr>
          <w:vertAlign w:val="superscript"/>
        </w:rPr>
        <w:t>1,3</w:t>
      </w:r>
      <w:r w:rsidR="00C61949" w:rsidRPr="00A13350">
        <w:rPr>
          <w:vertAlign w:val="superscript"/>
        </w:rPr>
        <w:t>,</w:t>
      </w:r>
      <w:r w:rsidRPr="00A13350">
        <w:t>*, Joaquín</w:t>
      </w:r>
      <w:r w:rsidRPr="00C61949">
        <w:t xml:space="preserve"> Calatayud</w:t>
      </w:r>
      <w:r w:rsidR="00C61949">
        <w:t xml:space="preserve"> </w:t>
      </w:r>
      <w:r w:rsidRPr="00C61949">
        <w:rPr>
          <w:vertAlign w:val="superscript"/>
        </w:rPr>
        <w:t>2,3</w:t>
      </w:r>
      <w:r w:rsidRPr="00C61949">
        <w:t>, Lars L. Andersen</w:t>
      </w:r>
      <w:r w:rsidR="00C61949">
        <w:t xml:space="preserve"> </w:t>
      </w:r>
      <w:r w:rsidRPr="00C61949">
        <w:rPr>
          <w:vertAlign w:val="superscript"/>
        </w:rPr>
        <w:t>3</w:t>
      </w:r>
      <w:r w:rsidRPr="00C61949">
        <w:t xml:space="preserve">, Carlos </w:t>
      </w:r>
      <w:proofErr w:type="spellStart"/>
      <w:r w:rsidRPr="00C61949">
        <w:t>Balsalobre</w:t>
      </w:r>
      <w:proofErr w:type="spellEnd"/>
      <w:r w:rsidRPr="00C61949">
        <w:t>-Fernández</w:t>
      </w:r>
      <w:r w:rsidR="00C61949">
        <w:t xml:space="preserve"> </w:t>
      </w:r>
      <w:r w:rsidRPr="00C61949">
        <w:rPr>
          <w:vertAlign w:val="superscript"/>
        </w:rPr>
        <w:t>4</w:t>
      </w:r>
      <w:r w:rsidRPr="00C61949">
        <w:t xml:space="preserve">, José </w:t>
      </w:r>
      <w:proofErr w:type="spellStart"/>
      <w:r w:rsidRPr="00C61949">
        <w:t>Casaña</w:t>
      </w:r>
      <w:proofErr w:type="spellEnd"/>
      <w:r w:rsidR="00C61949">
        <w:t xml:space="preserve"> </w:t>
      </w:r>
      <w:r w:rsidRPr="00C61949">
        <w:rPr>
          <w:vertAlign w:val="superscript"/>
        </w:rPr>
        <w:t>2</w:t>
      </w:r>
      <w:r w:rsidRPr="00C61949">
        <w:t xml:space="preserve">, José A. </w:t>
      </w:r>
      <w:proofErr w:type="spellStart"/>
      <w:r w:rsidRPr="00C61949">
        <w:t>Casajús</w:t>
      </w:r>
      <w:proofErr w:type="spellEnd"/>
      <w:r w:rsidR="00C61949">
        <w:t xml:space="preserve"> </w:t>
      </w:r>
      <w:r w:rsidRPr="00C61949">
        <w:rPr>
          <w:vertAlign w:val="superscript"/>
        </w:rPr>
        <w:t>5</w:t>
      </w:r>
      <w:r w:rsidRPr="00C61949">
        <w:t>, Lee Smith</w:t>
      </w:r>
      <w:r w:rsidR="00C61949">
        <w:t xml:space="preserve"> </w:t>
      </w:r>
      <w:r w:rsidRPr="00C61949">
        <w:rPr>
          <w:vertAlign w:val="superscript"/>
        </w:rPr>
        <w:t>6</w:t>
      </w:r>
      <w:r w:rsidR="0007468B" w:rsidRPr="00C61949">
        <w:t xml:space="preserve"> and </w:t>
      </w:r>
      <w:r w:rsidRPr="00C61949">
        <w:t>Guillermo F. López-Sánchez</w:t>
      </w:r>
      <w:r w:rsidR="00C61949">
        <w:t xml:space="preserve"> </w:t>
      </w:r>
      <w:r w:rsidRPr="00C61949">
        <w:rPr>
          <w:vertAlign w:val="superscript"/>
        </w:rPr>
        <w:t>7</w:t>
      </w:r>
      <w:r w:rsidR="00C61949">
        <w:rPr>
          <w:vertAlign w:val="superscript"/>
        </w:rPr>
        <w:t>,</w:t>
      </w:r>
      <w:r w:rsidRPr="00C61949">
        <w:t>*</w:t>
      </w:r>
    </w:p>
    <w:p w14:paraId="16844A53" w14:textId="7B2A2497" w:rsidR="00CD3203" w:rsidRPr="00C61949" w:rsidRDefault="00CD3203" w:rsidP="00FB5841">
      <w:pPr>
        <w:pStyle w:val="MDPI16affiliation"/>
      </w:pPr>
      <w:r w:rsidRPr="00FB5841">
        <w:rPr>
          <w:vertAlign w:val="superscript"/>
        </w:rPr>
        <w:t>1</w:t>
      </w:r>
      <w:r w:rsidRPr="00293FDF">
        <w:tab/>
      </w:r>
      <w:r w:rsidR="00226A3D" w:rsidRPr="00C61949">
        <w:t xml:space="preserve">Department of Physical Medicine and Nursing, University of Zaragoza, </w:t>
      </w:r>
      <w:commentRangeStart w:id="0"/>
      <w:commentRangeEnd w:id="0"/>
      <w:r w:rsidR="0087259E" w:rsidRPr="00C61949">
        <w:t>Zaragoza</w:t>
      </w:r>
      <w:r w:rsidR="00FB5841">
        <w:t xml:space="preserve">, </w:t>
      </w:r>
      <w:r w:rsidR="00226A3D" w:rsidRPr="00C61949">
        <w:t>Spain</w:t>
      </w:r>
      <w:r w:rsidRPr="00C61949">
        <w:t xml:space="preserve">; </w:t>
      </w:r>
      <w:r w:rsidR="00226A3D" w:rsidRPr="00C61949">
        <w:t>rlopezbu@unizar.es</w:t>
      </w:r>
    </w:p>
    <w:p w14:paraId="6C2404A7" w14:textId="1ACAB177" w:rsidR="00CD3203" w:rsidRPr="00C61949" w:rsidRDefault="00CD3203" w:rsidP="00FB5841">
      <w:pPr>
        <w:pStyle w:val="MDPI16affiliation"/>
      </w:pPr>
      <w:r w:rsidRPr="00FB5841">
        <w:rPr>
          <w:vertAlign w:val="superscript"/>
        </w:rPr>
        <w:t>2</w:t>
      </w:r>
      <w:r w:rsidRPr="00293FDF">
        <w:tab/>
      </w:r>
      <w:r w:rsidR="00226A3D" w:rsidRPr="00C61949">
        <w:t>Exercise Intervention for Health Research Group (EXINH-RG), Department of Physiotherapy, University of Valencia, Valencia, Spain</w:t>
      </w:r>
      <w:r w:rsidRPr="00C61949">
        <w:t xml:space="preserve">; </w:t>
      </w:r>
      <w:r w:rsidR="00A23D1C" w:rsidRPr="00C61949">
        <w:t>joaquin.calatayud@uv.es (</w:t>
      </w:r>
      <w:proofErr w:type="spellStart"/>
      <w:r w:rsidR="00A23D1C" w:rsidRPr="00C61949">
        <w:t>J.Cal</w:t>
      </w:r>
      <w:proofErr w:type="spellEnd"/>
      <w:r w:rsidR="00A23D1C" w:rsidRPr="00C61949">
        <w:t>.); jose.casana@uv.es (</w:t>
      </w:r>
      <w:proofErr w:type="spellStart"/>
      <w:r w:rsidR="00A23D1C" w:rsidRPr="00C61949">
        <w:t>J.Cas</w:t>
      </w:r>
      <w:proofErr w:type="spellEnd"/>
      <w:r w:rsidR="00A23D1C" w:rsidRPr="00C61949">
        <w:t>.)</w:t>
      </w:r>
    </w:p>
    <w:p w14:paraId="3CD364D8" w14:textId="6D06D867" w:rsidR="00A23D1C" w:rsidRPr="00C61949" w:rsidRDefault="00A23D1C" w:rsidP="00FB5841">
      <w:pPr>
        <w:pStyle w:val="MDPI16affiliation"/>
      </w:pPr>
      <w:r w:rsidRPr="00FB5841">
        <w:rPr>
          <w:vertAlign w:val="superscript"/>
        </w:rPr>
        <w:t>3</w:t>
      </w:r>
      <w:r w:rsidRPr="00293FDF">
        <w:tab/>
      </w:r>
      <w:r w:rsidRPr="00C61949">
        <w:t>National Research Centre for the Working Environment, Copenhagen, Denmark; lla@nfa.dk</w:t>
      </w:r>
    </w:p>
    <w:p w14:paraId="14D074C9" w14:textId="3AA8CDC5" w:rsidR="00A23D1C" w:rsidRPr="00C61949" w:rsidRDefault="00A23D1C" w:rsidP="00FB5841">
      <w:pPr>
        <w:pStyle w:val="MDPI16affiliation"/>
      </w:pPr>
      <w:r w:rsidRPr="00FB5841">
        <w:rPr>
          <w:vertAlign w:val="superscript"/>
        </w:rPr>
        <w:t>4</w:t>
      </w:r>
      <w:r w:rsidRPr="00293FDF">
        <w:tab/>
      </w:r>
      <w:r w:rsidRPr="00C61949">
        <w:t xml:space="preserve">Department of Physical Education, Sports, and Human Motricity. Autonomous University of Madrid </w:t>
      </w:r>
      <w:proofErr w:type="spellStart"/>
      <w:r w:rsidR="0087259E" w:rsidRPr="00C61949">
        <w:t>Madrid</w:t>
      </w:r>
      <w:proofErr w:type="spellEnd"/>
      <w:r w:rsidR="0087259E" w:rsidRPr="00C61949">
        <w:t xml:space="preserve">, </w:t>
      </w:r>
      <w:r w:rsidRPr="00C61949">
        <w:t>Spain; carlos.balsalobre@icloud.com</w:t>
      </w:r>
    </w:p>
    <w:p w14:paraId="1C1CECFB" w14:textId="78EADD33" w:rsidR="00A23D1C" w:rsidRPr="00C61949" w:rsidRDefault="00A23D1C" w:rsidP="00FB5841">
      <w:pPr>
        <w:pStyle w:val="MDPI16affiliation"/>
      </w:pPr>
      <w:r w:rsidRPr="00FB5841">
        <w:rPr>
          <w:vertAlign w:val="superscript"/>
        </w:rPr>
        <w:t>5</w:t>
      </w:r>
      <w:r w:rsidRPr="00293FDF">
        <w:tab/>
      </w:r>
      <w:r w:rsidRPr="00C61949">
        <w:t xml:space="preserve">Faculty of Health Sciences, University of Zaragoza, </w:t>
      </w:r>
      <w:r w:rsidR="0087259E" w:rsidRPr="00C61949">
        <w:t xml:space="preserve">Zaragoza, </w:t>
      </w:r>
      <w:r w:rsidRPr="00C61949">
        <w:t>Spain</w:t>
      </w:r>
      <w:r w:rsidR="004530E6" w:rsidRPr="00C61949">
        <w:t>; joseant@unizar.es</w:t>
      </w:r>
    </w:p>
    <w:p w14:paraId="1CBC283C" w14:textId="152E71E7" w:rsidR="00A23D1C" w:rsidRPr="00C61949" w:rsidRDefault="00A23D1C" w:rsidP="00FB5841">
      <w:pPr>
        <w:pStyle w:val="MDPI16affiliation"/>
      </w:pPr>
      <w:r w:rsidRPr="00FB5841">
        <w:rPr>
          <w:vertAlign w:val="superscript"/>
        </w:rPr>
        <w:t>6</w:t>
      </w:r>
      <w:r w:rsidRPr="00293FDF">
        <w:tab/>
      </w:r>
      <w:r w:rsidRPr="00C61949">
        <w:t xml:space="preserve">Cambridge Centre for Sport and Exercise Science, Anglia Ruskin University, </w:t>
      </w:r>
      <w:r w:rsidR="00FB5841" w:rsidRPr="00520B9A">
        <w:t>post code</w:t>
      </w:r>
      <w:r w:rsidR="00FB5841">
        <w:t xml:space="preserve"> </w:t>
      </w:r>
      <w:r w:rsidR="0087259E" w:rsidRPr="00C61949">
        <w:t xml:space="preserve">Cambridge, </w:t>
      </w:r>
      <w:r w:rsidRPr="00C61949">
        <w:t>United Kingdom</w:t>
      </w:r>
      <w:r w:rsidR="004530E6" w:rsidRPr="00C61949">
        <w:t>; Lee.Smith@anglia.ac.uk</w:t>
      </w:r>
    </w:p>
    <w:p w14:paraId="79605179" w14:textId="6534D72D" w:rsidR="004530E6" w:rsidRPr="00C61949" w:rsidRDefault="004530E6" w:rsidP="00FB5841">
      <w:pPr>
        <w:pStyle w:val="MDPI16affiliation"/>
      </w:pPr>
      <w:r w:rsidRPr="00FB5841">
        <w:rPr>
          <w:vertAlign w:val="superscript"/>
        </w:rPr>
        <w:t>7</w:t>
      </w:r>
      <w:r w:rsidRPr="00FB5841">
        <w:tab/>
      </w:r>
      <w:r w:rsidRPr="00C61949">
        <w:t xml:space="preserve">Faculty of Sport Sciences, University of Murcia, </w:t>
      </w:r>
      <w:r w:rsidR="0087259E" w:rsidRPr="00C61949">
        <w:t xml:space="preserve">Murcia, </w:t>
      </w:r>
      <w:r w:rsidRPr="00C61949">
        <w:t>Spain; gfls@um.es</w:t>
      </w:r>
    </w:p>
    <w:p w14:paraId="7F227A53" w14:textId="7233F400" w:rsidR="00CD3203" w:rsidRPr="00C61949" w:rsidRDefault="00CD3203" w:rsidP="00B037B3">
      <w:pPr>
        <w:pStyle w:val="MDPI16affiliation"/>
      </w:pPr>
      <w:r w:rsidRPr="00C61949">
        <w:rPr>
          <w:b/>
        </w:rPr>
        <w:t>*</w:t>
      </w:r>
      <w:r w:rsidRPr="00C61949">
        <w:tab/>
        <w:t>Correspondence:</w:t>
      </w:r>
      <w:r w:rsidR="004530E6" w:rsidRPr="00C61949">
        <w:t xml:space="preserve"> rlopezbu@unizar.es (R.L</w:t>
      </w:r>
      <w:r w:rsidR="00FB5841">
        <w:t>.</w:t>
      </w:r>
      <w:r w:rsidR="004530E6" w:rsidRPr="00C61949">
        <w:t>-B)</w:t>
      </w:r>
      <w:r w:rsidRPr="00C61949">
        <w:t xml:space="preserve">; </w:t>
      </w:r>
      <w:r w:rsidR="004530E6" w:rsidRPr="00C61949">
        <w:t>gfls@um.es (G</w:t>
      </w:r>
      <w:r w:rsidR="00FB5841">
        <w:t>.</w:t>
      </w:r>
      <w:r w:rsidR="004530E6" w:rsidRPr="00C61949">
        <w:t>F</w:t>
      </w:r>
      <w:r w:rsidR="00FB5841">
        <w:t>.</w:t>
      </w:r>
      <w:r w:rsidR="004530E6" w:rsidRPr="00C61949">
        <w:t>L-S)</w:t>
      </w:r>
    </w:p>
    <w:p w14:paraId="68BBCD97" w14:textId="14A8421A" w:rsidR="00CD3203" w:rsidRPr="00C61949" w:rsidRDefault="00CD3203" w:rsidP="00F44CB6">
      <w:pPr>
        <w:pStyle w:val="MDPI14history"/>
      </w:pPr>
      <w:r w:rsidRPr="00C61949">
        <w:t xml:space="preserve">Received: </w:t>
      </w:r>
      <w:r w:rsidR="00FB5841" w:rsidRPr="00FB5841">
        <w:t>8 June 2020</w:t>
      </w:r>
      <w:r w:rsidRPr="00C61949">
        <w:t xml:space="preserve">; Accepted: </w:t>
      </w:r>
      <w:r w:rsidR="00FB5841" w:rsidRPr="00FB5841">
        <w:t>13 July 2020</w:t>
      </w:r>
      <w:r w:rsidRPr="00C61949">
        <w:t>; Published: date</w:t>
      </w:r>
    </w:p>
    <w:p w14:paraId="07CB1B69" w14:textId="12CA1655" w:rsidR="00CD3203" w:rsidRPr="00C61949" w:rsidRDefault="00CD3203" w:rsidP="00293FDF">
      <w:pPr>
        <w:pStyle w:val="MDPI17abstract"/>
        <w:rPr>
          <w:color w:val="auto"/>
        </w:rPr>
      </w:pPr>
      <w:r w:rsidRPr="00293FDF">
        <w:rPr>
          <w:b/>
        </w:rPr>
        <w:t xml:space="preserve">Abstract: </w:t>
      </w:r>
      <w:r w:rsidR="00CB3A3E" w:rsidRPr="00C61949">
        <w:t>E</w:t>
      </w:r>
      <w:r w:rsidR="004530E6" w:rsidRPr="00C61949">
        <w:t xml:space="preserve">nacted measures to control the spread of </w:t>
      </w:r>
      <w:r w:rsidR="00BC2ADA" w:rsidRPr="00C61949">
        <w:t>COVID-19 disease</w:t>
      </w:r>
      <w:r w:rsidR="004530E6" w:rsidRPr="00C61949">
        <w:t xml:space="preserve"> such as compulsory </w:t>
      </w:r>
      <w:r w:rsidR="00CB3A3E" w:rsidRPr="00C61949">
        <w:t>confinement</w:t>
      </w:r>
      <w:r w:rsidR="004530E6" w:rsidRPr="00C61949">
        <w:t xml:space="preserve"> may influence health behavior</w:t>
      </w:r>
      <w:r w:rsidR="00E13E60" w:rsidRPr="00C61949">
        <w:t>s</w:t>
      </w:r>
      <w:r w:rsidR="004530E6" w:rsidRPr="00C61949">
        <w:t>. The present study investigated changes in physical activity (PA) levels during the first days of confinement. Using an online survey, the Spanish population (n</w:t>
      </w:r>
      <w:r w:rsidR="0007468B" w:rsidRPr="00C61949">
        <w:t xml:space="preserve"> </w:t>
      </w:r>
      <w:r w:rsidR="004530E6" w:rsidRPr="00C61949">
        <w:t>=</w:t>
      </w:r>
      <w:r w:rsidR="0007468B" w:rsidRPr="00C61949">
        <w:t xml:space="preserve"> </w:t>
      </w:r>
      <w:r w:rsidR="004530E6" w:rsidRPr="00C61949">
        <w:t xml:space="preserve">2042, 54% women, age 35.9 (SD 13.6) years) replied to questions concerning sociodemographic characteristics as well as PA behavior before and during the first week of enacted isolation. Physical Activity Vital Sign (PAVS) short form was used to estimate weekly minutes of PA before and during the isolation period. Statistical analysis used the following tests: Mc </w:t>
      </w:r>
      <w:proofErr w:type="spellStart"/>
      <w:r w:rsidR="004530E6" w:rsidRPr="00C61949">
        <w:t>Nemar</w:t>
      </w:r>
      <w:proofErr w:type="spellEnd"/>
      <w:r w:rsidR="004530E6" w:rsidRPr="00C61949">
        <w:t xml:space="preserve"> Chi-squared tests, independent and paired samples t-test, and effect size (Cohen’s d). During the first week of confinement, participants reduced their weekly PA levels by 20% (~45.2 weekly minutes (95% CI: 37.4</w:t>
      </w:r>
      <w:r w:rsidR="00520B9A">
        <w:rPr>
          <w:rFonts w:ascii="Cambria Math" w:hAnsi="Cambria Math"/>
        </w:rPr>
        <w:t>−</w:t>
      </w:r>
      <w:r w:rsidR="004530E6" w:rsidRPr="00C61949">
        <w:t xml:space="preserve">53.0)). This led to a decrease </w:t>
      </w:r>
      <w:r w:rsidR="009D793A" w:rsidRPr="00C61949">
        <w:t>from 60.6% to 48.9% (difference:</w:t>
      </w:r>
      <w:r w:rsidR="004530E6" w:rsidRPr="00C61949">
        <w:t xml:space="preserve"> 11.7%</w:t>
      </w:r>
      <w:r w:rsidR="009D793A" w:rsidRPr="00C61949">
        <w:t>)</w:t>
      </w:r>
      <w:r w:rsidR="004530E6" w:rsidRPr="00C61949">
        <w:t xml:space="preserve"> (p&lt;0.0001) in the number of participants </w:t>
      </w:r>
      <w:r w:rsidR="009D793A" w:rsidRPr="00C61949">
        <w:t xml:space="preserve">meeting </w:t>
      </w:r>
      <w:r w:rsidR="004530E6" w:rsidRPr="00C61949">
        <w:t xml:space="preserve">the recommended </w:t>
      </w:r>
      <w:r w:rsidR="00D60F9D" w:rsidRPr="00C61949">
        <w:t xml:space="preserve">World Health Organization (WHO) </w:t>
      </w:r>
      <w:r w:rsidR="004530E6" w:rsidRPr="00C61949">
        <w:t>PA levels. Subgroups including men,</w:t>
      </w:r>
      <w:r w:rsidR="00D6491C" w:rsidRPr="00C61949">
        <w:t xml:space="preserve"> </w:t>
      </w:r>
      <w:r w:rsidR="005259BB" w:rsidRPr="00C61949">
        <w:t>participants aged 43 or over</w:t>
      </w:r>
      <w:r w:rsidR="004530E6" w:rsidRPr="00C61949">
        <w:t>, and those not holding a university degree had the greatest reductions in both weekly minutes of PA and adherence to guidelines. The PA levels of the Spanish population generally declined during the first days of COVID-19 confinement.</w:t>
      </w:r>
    </w:p>
    <w:p w14:paraId="15E740CC" w14:textId="28B0A696" w:rsidR="00CD3203" w:rsidRPr="00C61949" w:rsidRDefault="00293FDF" w:rsidP="00293FDF">
      <w:pPr>
        <w:pStyle w:val="MDPI18keywords"/>
      </w:pPr>
      <w:r w:rsidRPr="00B037B3">
        <w:t>K</w:t>
      </w:r>
      <w:r>
        <w:t>eywords:</w:t>
      </w:r>
      <w:r w:rsidR="00CD3203" w:rsidRPr="00C61949">
        <w:t xml:space="preserve"> </w:t>
      </w:r>
      <w:r w:rsidR="00F70592" w:rsidRPr="00C61949">
        <w:t xml:space="preserve">physical exercise; lockdown; health-risk </w:t>
      </w:r>
      <w:r w:rsidR="00F70592" w:rsidRPr="00B037B3">
        <w:t>behaviors</w:t>
      </w:r>
      <w:r w:rsidRPr="00B037B3">
        <w:t xml:space="preserve">; </w:t>
      </w:r>
      <w:r w:rsidR="00F70592" w:rsidRPr="00B037B3">
        <w:t>isolation</w:t>
      </w:r>
    </w:p>
    <w:p w14:paraId="63AD87AE" w14:textId="77777777" w:rsidR="00CD3203" w:rsidRPr="00C61949" w:rsidRDefault="00CD3203" w:rsidP="00B037B3">
      <w:pPr>
        <w:pStyle w:val="MDPI19line"/>
        <w:pBdr>
          <w:bottom w:val="single" w:sz="4" w:space="1" w:color="000000"/>
        </w:pBdr>
        <w:spacing w:after="480"/>
      </w:pPr>
    </w:p>
    <w:p w14:paraId="133B198C" w14:textId="15FCAC66" w:rsidR="00CD3203" w:rsidRPr="00C61949" w:rsidRDefault="00293FDF" w:rsidP="00293FDF">
      <w:pPr>
        <w:pStyle w:val="MDPI21heading1"/>
      </w:pPr>
      <w:r>
        <w:rPr>
          <w:lang w:eastAsia="zh-CN"/>
        </w:rPr>
        <w:t xml:space="preserve">1. </w:t>
      </w:r>
      <w:r w:rsidR="00CD3203" w:rsidRPr="00C61949">
        <w:t>Introduction</w:t>
      </w:r>
    </w:p>
    <w:p w14:paraId="5D4FC296" w14:textId="7648447B" w:rsidR="00CB3A3E" w:rsidRPr="00C61949" w:rsidRDefault="00CB3A3E" w:rsidP="00B037B3">
      <w:pPr>
        <w:pStyle w:val="MDPI31text"/>
        <w:rPr>
          <w:b/>
        </w:rPr>
      </w:pPr>
      <w:r w:rsidRPr="00C61949">
        <w:t xml:space="preserve">Coronavirus disease 2019 (COVID-19) was declared a global pandemic by </w:t>
      </w:r>
      <w:r w:rsidR="00D6491C" w:rsidRPr="00C61949">
        <w:t xml:space="preserve">the </w:t>
      </w:r>
      <w:r w:rsidRPr="00C61949">
        <w:t>World Health Organizat</w:t>
      </w:r>
      <w:r w:rsidR="0044362C" w:rsidRPr="00C61949">
        <w:t>ion (WHO) on 11th March of 2020 [</w:t>
      </w:r>
      <w:r w:rsidRPr="00C61949">
        <w:t>1</w:t>
      </w:r>
      <w:r w:rsidR="0044362C" w:rsidRPr="00C61949">
        <w:t>].</w:t>
      </w:r>
      <w:r w:rsidRPr="00C61949">
        <w:t xml:space="preserve"> At the time of writing the present document (29 March 2020), 634,813 cases </w:t>
      </w:r>
      <w:r w:rsidR="00D60F9D" w:rsidRPr="00C61949">
        <w:t xml:space="preserve">had </w:t>
      </w:r>
      <w:r w:rsidRPr="00C61949">
        <w:t>been diagnosed globally, resultin</w:t>
      </w:r>
      <w:r w:rsidR="0044362C" w:rsidRPr="00C61949">
        <w:t>g in 29,891 fatalities thus far [2]</w:t>
      </w:r>
      <w:r w:rsidR="00BC2ADA" w:rsidRPr="00C61949">
        <w:t>, and Spain ranked as</w:t>
      </w:r>
      <w:r w:rsidR="00D6491C" w:rsidRPr="00C61949">
        <w:t xml:space="preserve"> </w:t>
      </w:r>
      <w:r w:rsidRPr="00C61949">
        <w:t>one of the most inflicted countries, with a total of 85,195 cases diagnose</w:t>
      </w:r>
      <w:r w:rsidR="0044362C" w:rsidRPr="00C61949">
        <w:t>d and 7,340 fatalities thus far [3].</w:t>
      </w:r>
      <w:r w:rsidR="00233D06" w:rsidRPr="00C61949">
        <w:t xml:space="preserve"> </w:t>
      </w:r>
      <w:r w:rsidRPr="00C61949">
        <w:t>On the 15th March of 2020</w:t>
      </w:r>
      <w:r w:rsidR="00F70592" w:rsidRPr="00C61949">
        <w:t>,</w:t>
      </w:r>
      <w:r w:rsidRPr="00C61949">
        <w:t xml:space="preserve"> the Spanish Government approved a period of confinement in order to fight the spread of </w:t>
      </w:r>
      <w:r w:rsidR="00BC2ADA" w:rsidRPr="00C61949">
        <w:t>COVID-19</w:t>
      </w:r>
      <w:r w:rsidR="00FD4BEB" w:rsidRPr="00C61949">
        <w:t xml:space="preserve"> [</w:t>
      </w:r>
      <w:r w:rsidRPr="00C61949">
        <w:t>4,5</w:t>
      </w:r>
      <w:r w:rsidR="00FD4BEB" w:rsidRPr="00C61949">
        <w:t>].</w:t>
      </w:r>
      <w:r w:rsidRPr="00C61949">
        <w:t xml:space="preserve"> During the confinement period, the Spanish population had to stay at home and, in consequence, interrupt their usual activities; owing to these restrictions, physical activity (PA) levels can be dramatically affected since Spanish citizens are recommended to telework and do PA at home instead of training in either sport</w:t>
      </w:r>
      <w:r w:rsidR="00C343E4" w:rsidRPr="00C61949">
        <w:t>s</w:t>
      </w:r>
      <w:r w:rsidRPr="00C61949">
        <w:t xml:space="preserve"> facilities </w:t>
      </w:r>
      <w:r w:rsidR="0044362C" w:rsidRPr="00C61949">
        <w:t xml:space="preserve">or </w:t>
      </w:r>
      <w:r w:rsidR="0044362C" w:rsidRPr="00C61949">
        <w:lastRenderedPageBreak/>
        <w:t>outdoors [</w:t>
      </w:r>
      <w:r w:rsidRPr="00C61949">
        <w:t>4</w:t>
      </w:r>
      <w:r w:rsidR="00520B9A">
        <w:rPr>
          <w:rFonts w:ascii="Cambria Math" w:hAnsi="Cambria Math"/>
        </w:rPr>
        <w:t>−</w:t>
      </w:r>
      <w:r w:rsidRPr="00C61949">
        <w:t>6</w:t>
      </w:r>
      <w:r w:rsidR="0044362C" w:rsidRPr="00C61949">
        <w:t>].</w:t>
      </w:r>
      <w:r w:rsidRPr="00C61949">
        <w:t xml:space="preserve"> Time spent outdoors per se has been associated with higher levels of PA, higher physical fitness, and lower sedentary behavior, whereas outdoor sports have been linked to a wide-range of health benefits; thus, Spanish citizens without access to open spaces or green areas might experien</w:t>
      </w:r>
      <w:r w:rsidR="0044362C" w:rsidRPr="00C61949">
        <w:t>ce a decline in their PA levels [</w:t>
      </w:r>
      <w:r w:rsidRPr="00C61949">
        <w:t>7,8</w:t>
      </w:r>
      <w:r w:rsidR="0044362C" w:rsidRPr="00C61949">
        <w:t>].</w:t>
      </w:r>
    </w:p>
    <w:p w14:paraId="57E8CD35" w14:textId="66D3A615" w:rsidR="00CB3A3E" w:rsidRPr="00C61949" w:rsidRDefault="00CB3A3E" w:rsidP="00B037B3">
      <w:pPr>
        <w:pStyle w:val="MDPI31text"/>
        <w:rPr>
          <w:b/>
        </w:rPr>
      </w:pPr>
      <w:r w:rsidRPr="00C61949">
        <w:t>Although exhaustive exercise, overtraining, or high-intensity exercise may lead to immunosupp</w:t>
      </w:r>
      <w:r w:rsidR="0044362C" w:rsidRPr="00C61949">
        <w:t xml:space="preserve">ression [9], emerging evidence suggests </w:t>
      </w:r>
      <w:r w:rsidRPr="00C61949">
        <w:t>that regular PA enhances the immune function and increases resistance to infections comp</w:t>
      </w:r>
      <w:r w:rsidR="0044362C" w:rsidRPr="00C61949">
        <w:t>ared with a sedentary lifestyle [</w:t>
      </w:r>
      <w:r w:rsidRPr="00C61949">
        <w:t>10</w:t>
      </w:r>
      <w:r w:rsidR="00520B9A">
        <w:rPr>
          <w:rFonts w:ascii="Cambria Math" w:hAnsi="Cambria Math"/>
        </w:rPr>
        <w:t>−</w:t>
      </w:r>
      <w:r w:rsidRPr="00C61949">
        <w:t>16</w:t>
      </w:r>
      <w:r w:rsidR="0044362C" w:rsidRPr="00C61949">
        <w:t>].</w:t>
      </w:r>
      <w:r w:rsidRPr="00C61949">
        <w:t xml:space="preserve"> Even when performing PA below the recommended guidelines, the long-term risk of death from i</w:t>
      </w:r>
      <w:r w:rsidR="0044362C" w:rsidRPr="00C61949">
        <w:t>nfectious disease lowered 40% [</w:t>
      </w:r>
      <w:r w:rsidRPr="00C61949">
        <w:t>17</w:t>
      </w:r>
      <w:r w:rsidR="0044362C" w:rsidRPr="00C61949">
        <w:t>].</w:t>
      </w:r>
      <w:r w:rsidRPr="00C61949">
        <w:t xml:space="preserve"> The effects of PA on the immune function are also acute, as PA also pr</w:t>
      </w:r>
      <w:r w:rsidR="0044362C" w:rsidRPr="00C61949">
        <w:t>oduces an acute immune response [</w:t>
      </w:r>
      <w:r w:rsidRPr="00C61949">
        <w:t>18</w:t>
      </w:r>
      <w:r w:rsidR="0044362C" w:rsidRPr="00C61949">
        <w:t>].</w:t>
      </w:r>
      <w:r w:rsidRPr="00C61949">
        <w:t xml:space="preserve"> Furthermore, one prospective study found PA associated with a decreased risk of community-acquired pneumonia a</w:t>
      </w:r>
      <w:r w:rsidR="00233D06" w:rsidRPr="00C61949">
        <w:t>mong women [</w:t>
      </w:r>
      <w:r w:rsidRPr="00C61949">
        <w:t>19</w:t>
      </w:r>
      <w:r w:rsidR="00233D06" w:rsidRPr="00C61949">
        <w:t>],</w:t>
      </w:r>
      <w:r w:rsidRPr="00C61949">
        <w:t xml:space="preserve"> and pneumonia is one of the complications caused by C</w:t>
      </w:r>
      <w:r w:rsidR="00233D06" w:rsidRPr="00C61949">
        <w:t xml:space="preserve">OVID-19 in some infected people [20]. </w:t>
      </w:r>
      <w:r w:rsidRPr="00C61949">
        <w:t xml:space="preserve">Moreover, this is not only a question of physical health but also a mental health issue, since a social isolation context and perception of loneliness predicted both anxiety and depression symptoms in older people, and could lead to both poor mental health as well as a higher </w:t>
      </w:r>
      <w:r w:rsidR="00233D06" w:rsidRPr="00C61949">
        <w:t>likelihood of suicidal ideation [</w:t>
      </w:r>
      <w:r w:rsidRPr="00C61949">
        <w:t>21</w:t>
      </w:r>
      <w:r w:rsidR="00520B9A">
        <w:rPr>
          <w:rFonts w:ascii="Cambria Math" w:hAnsi="Cambria Math"/>
        </w:rPr>
        <w:t>−</w:t>
      </w:r>
      <w:r w:rsidRPr="00C61949">
        <w:t>23</w:t>
      </w:r>
      <w:r w:rsidR="00233D06" w:rsidRPr="00C61949">
        <w:t xml:space="preserve">], </w:t>
      </w:r>
      <w:r w:rsidRPr="00C61949">
        <w:t>which</w:t>
      </w:r>
      <w:r w:rsidR="00233D06" w:rsidRPr="00C61949">
        <w:t xml:space="preserve"> might be attenuated through PA [24</w:t>
      </w:r>
      <w:r w:rsidR="00520B9A">
        <w:rPr>
          <w:rFonts w:ascii="Cambria Math" w:hAnsi="Cambria Math"/>
        </w:rPr>
        <w:t>−</w:t>
      </w:r>
      <w:r w:rsidR="00233D06" w:rsidRPr="00C61949">
        <w:t>26].</w:t>
      </w:r>
    </w:p>
    <w:p w14:paraId="1915467E" w14:textId="60975436" w:rsidR="00CB3A3E" w:rsidRPr="00C61949" w:rsidRDefault="00CB3A3E" w:rsidP="00B037B3">
      <w:pPr>
        <w:pStyle w:val="MDPI31text"/>
        <w:rPr>
          <w:b/>
        </w:rPr>
      </w:pPr>
      <w:r w:rsidRPr="00C61949">
        <w:t xml:space="preserve">Furthermore, moderate PA improves mood </w:t>
      </w:r>
      <w:r w:rsidR="00233D06" w:rsidRPr="00C61949">
        <w:t>[</w:t>
      </w:r>
      <w:r w:rsidRPr="00C61949">
        <w:t>27</w:t>
      </w:r>
      <w:r w:rsidR="00233D06" w:rsidRPr="00C61949">
        <w:t>]</w:t>
      </w:r>
      <w:r w:rsidRPr="00C61949">
        <w:t xml:space="preserve"> and helps to prevent an</w:t>
      </w:r>
      <w:r w:rsidR="00233D06" w:rsidRPr="00C61949">
        <w:t>d reduce anxiety and depression [</w:t>
      </w:r>
      <w:r w:rsidRPr="00C61949">
        <w:t>28</w:t>
      </w:r>
      <w:r w:rsidR="00233D06" w:rsidRPr="00C61949">
        <w:t>].</w:t>
      </w:r>
      <w:r w:rsidRPr="00C61949">
        <w:t xml:space="preserve"> Also, previous research has found that PA produces not only long-term benefits in mental health, but also immediate psychological benefits for mood, anxiety</w:t>
      </w:r>
      <w:r w:rsidR="00D6491C" w:rsidRPr="00C61949">
        <w:t>,</w:t>
      </w:r>
      <w:r w:rsidRPr="00C61949">
        <w:t xml:space="preserve"> and stress</w:t>
      </w:r>
      <w:r w:rsidR="00233D06" w:rsidRPr="00C61949">
        <w:t xml:space="preserve"> due to the acute effects of PA [</w:t>
      </w:r>
      <w:r w:rsidRPr="00C61949">
        <w:t>29</w:t>
      </w:r>
      <w:r w:rsidR="00520B9A">
        <w:rPr>
          <w:rFonts w:ascii="Cambria Math" w:hAnsi="Cambria Math"/>
        </w:rPr>
        <w:t>−</w:t>
      </w:r>
      <w:r w:rsidRPr="00C61949">
        <w:t>31</w:t>
      </w:r>
      <w:r w:rsidR="00233D06" w:rsidRPr="00C61949">
        <w:t xml:space="preserve">]. </w:t>
      </w:r>
      <w:r w:rsidRPr="00C61949">
        <w:t>Therefore, given the benefits of PA to physical and mental health, it seems very important that people meet the global recommendations for PA set out by WHO during the confinement period</w:t>
      </w:r>
      <w:r w:rsidR="00B7154A" w:rsidRPr="00C61949">
        <w:t xml:space="preserve"> [</w:t>
      </w:r>
      <w:r w:rsidR="009D793A" w:rsidRPr="00C61949">
        <w:t>32]</w:t>
      </w:r>
      <w:r w:rsidRPr="00C61949">
        <w:t xml:space="preserve">, although during this confinement period the PA should be carried out at home to ensure government social distancing requirements are being maintained. Throughout a week, WHO recommends that adults perform at least 150 minutes of moderate-intensity aerobic PA, or 75 minutes of vigorous-intensity PA, or an equivalent combination of moderate- and vigorous-intensity aerobic PA; WHO also recommends that muscle-strengthening activities should be performed involving major muscle </w:t>
      </w:r>
      <w:r w:rsidR="00233D06" w:rsidRPr="00C61949">
        <w:t>groups on 2 or more days a week [32].</w:t>
      </w:r>
    </w:p>
    <w:p w14:paraId="603E1A40" w14:textId="07CF694B" w:rsidR="00CB3A3E" w:rsidRPr="00C61949" w:rsidRDefault="00CB3A3E" w:rsidP="00B037B3">
      <w:pPr>
        <w:pStyle w:val="MDPI31text"/>
        <w:rPr>
          <w:b/>
        </w:rPr>
      </w:pPr>
      <w:r w:rsidRPr="00C61949">
        <w:t>Some recent studies with a large representative sample of Spanish adults, carried out before the confinement period, have indicated that 70% of Spanish adults meet recommended PA guidance set out by WHO, although these results were based on self-re</w:t>
      </w:r>
      <w:r w:rsidR="00233D06" w:rsidRPr="00C61949">
        <w:t xml:space="preserve">port and may be </w:t>
      </w:r>
      <w:r w:rsidR="00D6491C" w:rsidRPr="00C61949">
        <w:t>overestimated</w:t>
      </w:r>
      <w:r w:rsidR="00233D06" w:rsidRPr="00C61949">
        <w:t xml:space="preserve"> [</w:t>
      </w:r>
      <w:r w:rsidRPr="00C61949">
        <w:t>3</w:t>
      </w:r>
      <w:r w:rsidR="00EB67DD" w:rsidRPr="00C61949">
        <w:t>3</w:t>
      </w:r>
      <w:r w:rsidR="00233D06" w:rsidRPr="00C61949">
        <w:t>].</w:t>
      </w:r>
      <w:r w:rsidRPr="00C61949">
        <w:t xml:space="preserve"> Moreover, since performing PA outdoors has been restricted during the COVID-19 confinement, dat</w:t>
      </w:r>
      <w:r w:rsidR="00233D06" w:rsidRPr="00C61949">
        <w:t xml:space="preserve">a from Spain might be lower </w:t>
      </w:r>
      <w:r w:rsidRPr="00C61949">
        <w:t xml:space="preserve">than in other European countries, likely having a greater impact on </w:t>
      </w:r>
      <w:r w:rsidR="00D6491C" w:rsidRPr="00C61949">
        <w:t xml:space="preserve">the </w:t>
      </w:r>
      <w:r w:rsidR="00233D06" w:rsidRPr="00C61949">
        <w:t>population’s</w:t>
      </w:r>
      <w:r w:rsidRPr="00C61949">
        <w:t xml:space="preserve"> health.</w:t>
      </w:r>
      <w:r w:rsidR="00233D06" w:rsidRPr="00C61949">
        <w:t xml:space="preserve"> </w:t>
      </w:r>
      <w:r w:rsidRPr="00C61949">
        <w:t>Given the importance of PA to health, th</w:t>
      </w:r>
      <w:r w:rsidR="009D793A" w:rsidRPr="00C61949">
        <w:t>is study aimed</w:t>
      </w:r>
      <w:r w:rsidRPr="00C61949">
        <w:t xml:space="preserve"> to quantify the change in PA of the Spanish adult population during the COVID-19 confinement compared with before confinement. Quantification of this change is important to provide practical recommendations, e.g.</w:t>
      </w:r>
      <w:r w:rsidR="00C61949" w:rsidRPr="00C61949">
        <w:rPr>
          <w:b/>
        </w:rPr>
        <w:t>,</w:t>
      </w:r>
      <w:r w:rsidRPr="00C61949">
        <w:t xml:space="preserve"> on physical activities to perform at home.</w:t>
      </w:r>
    </w:p>
    <w:p w14:paraId="4981F838" w14:textId="64098524" w:rsidR="00CB3A3E" w:rsidRPr="00C61949" w:rsidRDefault="00D6491C" w:rsidP="00B037B3">
      <w:pPr>
        <w:pStyle w:val="MDPI31text"/>
        <w:rPr>
          <w:b/>
        </w:rPr>
      </w:pPr>
      <w:r w:rsidRPr="00C61949">
        <w:t>We hypothesized</w:t>
      </w:r>
      <w:r w:rsidR="00BC2ADA" w:rsidRPr="00C61949">
        <w:t xml:space="preserve"> </w:t>
      </w:r>
      <w:r w:rsidR="00CB3A3E" w:rsidRPr="00C61949">
        <w:t>that PA will decrease in Spanish adults during the first days of confinement. The results of this study can be very useful for countries where PA outdoors is still forbidden and for future coronavirus resurgence that can make necessary new confinements, helping to design and implement measures that guarantee that the population can do adequate levels of PA during confinements.</w:t>
      </w:r>
    </w:p>
    <w:p w14:paraId="1A1C568F" w14:textId="196E8D70" w:rsidR="00CD3203" w:rsidRPr="00C61949" w:rsidRDefault="00293FDF" w:rsidP="00293FDF">
      <w:pPr>
        <w:pStyle w:val="MDPI21heading1"/>
      </w:pPr>
      <w:r>
        <w:rPr>
          <w:lang w:eastAsia="zh-CN"/>
        </w:rPr>
        <w:t xml:space="preserve">2. </w:t>
      </w:r>
      <w:r w:rsidR="00CD3203" w:rsidRPr="00C61949">
        <w:t>Materials and Methods</w:t>
      </w:r>
    </w:p>
    <w:p w14:paraId="4C317A19" w14:textId="20C2FF27" w:rsidR="00900930" w:rsidRPr="00293FDF" w:rsidRDefault="00293FDF" w:rsidP="00B037B3">
      <w:pPr>
        <w:pStyle w:val="MDPI22heading2"/>
      </w:pPr>
      <w:r w:rsidRPr="00293FDF">
        <w:t xml:space="preserve">2.1. </w:t>
      </w:r>
      <w:r w:rsidR="00900930" w:rsidRPr="00293FDF">
        <w:t xml:space="preserve">The </w:t>
      </w:r>
      <w:r>
        <w:t>S</w:t>
      </w:r>
      <w:r w:rsidR="00900930" w:rsidRPr="00293FDF">
        <w:t>urvey</w:t>
      </w:r>
    </w:p>
    <w:p w14:paraId="2125FC3B" w14:textId="19327362" w:rsidR="00900930" w:rsidRPr="00C61949" w:rsidRDefault="00900930" w:rsidP="00B037B3">
      <w:pPr>
        <w:pStyle w:val="MDPI31text"/>
        <w:rPr>
          <w:b/>
        </w:rPr>
      </w:pPr>
      <w:r w:rsidRPr="00C61949">
        <w:t xml:space="preserve">A cross-sectional online survey design concerning health habits was conducted during the COVID-19 outbreak in Spain. A web-form link available from the </w:t>
      </w:r>
      <w:r w:rsidR="00C343E4" w:rsidRPr="00C61949">
        <w:t xml:space="preserve">22nd </w:t>
      </w:r>
      <w:r w:rsidRPr="00C61949">
        <w:t>to the 29th of March, 2020 (i.e.</w:t>
      </w:r>
      <w:r w:rsidR="00C61949" w:rsidRPr="00C61949">
        <w:rPr>
          <w:b/>
        </w:rPr>
        <w:t>,</w:t>
      </w:r>
      <w:r w:rsidRPr="00C61949">
        <w:t xml:space="preserve"> from the seventh official day of Government-enacted national confinement) was launched on social media encouraging users to answer the survey. Convenience sampling was used to select the participants of the study; according to server analytics, 2,850 media users covering all the Spanish regions were asked to participate. Participants were previously informed about the purposes of the study, gave informed consent to participate</w:t>
      </w:r>
      <w:r w:rsidR="00D6491C" w:rsidRPr="00C61949">
        <w:t>,</w:t>
      </w:r>
      <w:r w:rsidRPr="00C61949">
        <w:t xml:space="preserve"> and indicated whether they were in a confinement </w:t>
      </w:r>
      <w:r w:rsidRPr="00C61949">
        <w:lastRenderedPageBreak/>
        <w:t xml:space="preserve">situation. Provided data were anonymous and treated accordingly to Spanish law regarding general data protection. Once the survey was completed, the participants were provided with advice on how to be active at home and its benefits. The present study retrieved data from the survey in relation to the following variables: </w:t>
      </w:r>
      <w:r w:rsidR="00723D2D" w:rsidRPr="00C61949">
        <w:t>PA</w:t>
      </w:r>
      <w:r w:rsidRPr="00C61949">
        <w:t xml:space="preserve"> (i.e.</w:t>
      </w:r>
      <w:r w:rsidR="00C61949" w:rsidRPr="00C61949">
        <w:rPr>
          <w:b/>
        </w:rPr>
        <w:t>,</w:t>
      </w:r>
      <w:r w:rsidRPr="00C61949">
        <w:t xml:space="preserve"> before and during the confinement), age, gender, civil status, occupation</w:t>
      </w:r>
      <w:r w:rsidR="00D6491C" w:rsidRPr="00C61949">
        <w:t>,</w:t>
      </w:r>
      <w:r w:rsidRPr="00C61949">
        <w:t xml:space="preserve"> and education.</w:t>
      </w:r>
    </w:p>
    <w:p w14:paraId="494A3388" w14:textId="4D616439" w:rsidR="00900930" w:rsidRPr="00C61949" w:rsidRDefault="00900930" w:rsidP="00B037B3">
      <w:pPr>
        <w:pStyle w:val="MDPI31text"/>
        <w:rPr>
          <w:b/>
        </w:rPr>
      </w:pPr>
      <w:r w:rsidRPr="00C61949">
        <w:t xml:space="preserve">The study followed the principles of the World Medical Declaration of Helsinki, and got the approval of the Ethics Committee of Research in Humans of the University of Valencia (register code 1278789). The reporting of this study follows the guidelines of the Strengthening the Reporting of Observational Studies in </w:t>
      </w:r>
      <w:r w:rsidR="00233D06" w:rsidRPr="00C61949">
        <w:t>Epidemiology statement (STROBE) [3</w:t>
      </w:r>
      <w:r w:rsidR="00EB67DD" w:rsidRPr="00C61949">
        <w:t>4</w:t>
      </w:r>
      <w:r w:rsidR="00233D06" w:rsidRPr="00C61949">
        <w:t>].</w:t>
      </w:r>
    </w:p>
    <w:p w14:paraId="3EA7C8EA" w14:textId="244E25AE" w:rsidR="00900930" w:rsidRPr="00293FDF" w:rsidRDefault="00293FDF" w:rsidP="00B037B3">
      <w:pPr>
        <w:pStyle w:val="MDPI22heading2"/>
      </w:pPr>
      <w:r w:rsidRPr="00293FDF">
        <w:t xml:space="preserve">2.2. </w:t>
      </w:r>
      <w:r w:rsidR="00900930" w:rsidRPr="00293FDF">
        <w:t xml:space="preserve">Physical </w:t>
      </w:r>
      <w:r>
        <w:t>A</w:t>
      </w:r>
      <w:r w:rsidR="00900930" w:rsidRPr="00293FDF">
        <w:t>ctivity</w:t>
      </w:r>
    </w:p>
    <w:p w14:paraId="45D3910C" w14:textId="3F813278" w:rsidR="00900930" w:rsidRPr="00C61949" w:rsidRDefault="00900930" w:rsidP="00B037B3">
      <w:pPr>
        <w:pStyle w:val="MDPI31text"/>
        <w:rPr>
          <w:b/>
        </w:rPr>
      </w:pPr>
      <w:r w:rsidRPr="00C61949">
        <w:t xml:space="preserve">Assessment of PA was conducted through Physical Activity Vital Sign (PAVS) short form, in which participants answered two questions regarding the number of days they were engaged in PA during a usual week, and the average minutes they usually performed PA in those days; participants could select </w:t>
      </w:r>
      <w:r w:rsidR="009D793A" w:rsidRPr="00C61949">
        <w:t>between 0 to</w:t>
      </w:r>
      <w:r w:rsidRPr="00C61949">
        <w:t xml:space="preserve"> 7 days of PA a week and 10, 20, 30, 40, 50, 60, 9</w:t>
      </w:r>
      <w:r w:rsidR="00233D06" w:rsidRPr="00C61949">
        <w:t>0 and 150 or more daily minutes [</w:t>
      </w:r>
      <w:r w:rsidRPr="00C61949">
        <w:t>3</w:t>
      </w:r>
      <w:r w:rsidR="00EB67DD" w:rsidRPr="00C61949">
        <w:t>5</w:t>
      </w:r>
      <w:r w:rsidR="00233D06" w:rsidRPr="00C61949">
        <w:t>].</w:t>
      </w:r>
      <w:r w:rsidRPr="00C61949">
        <w:t xml:space="preserve"> The PAVS was asked twice to the participants; first referred to the PA they usually performed before the confinement, and second</w:t>
      </w:r>
      <w:r w:rsidR="00C343E4" w:rsidRPr="00C61949">
        <w:t>,</w:t>
      </w:r>
      <w:r w:rsidRPr="00C61949">
        <w:t xml:space="preserve"> referred to the isolation period. In order to apply PAVS to that particular context of confined population, the word “usual” was replaced for “isolation” when referring to the week they performed PA. Following PAVS original procedure, weekly minutes of PA were calculated by multiplying days with minutes. Participants were later classified in accordance with the WHO recommendations for moderate-intensity aerobic PA.</w:t>
      </w:r>
    </w:p>
    <w:p w14:paraId="6070639B" w14:textId="5A7A0474" w:rsidR="00900930" w:rsidRPr="00C61949" w:rsidRDefault="00900930" w:rsidP="00B037B3">
      <w:pPr>
        <w:pStyle w:val="MDPI31text"/>
        <w:rPr>
          <w:b/>
        </w:rPr>
      </w:pPr>
      <w:r w:rsidRPr="00C61949">
        <w:t>Moreover, data on how PA was performed by the participants while the COVID-19 isolation through the following question: “What types of physical activity do you usually perform during the isolation period?”, and answers comprised “household (e.g.</w:t>
      </w:r>
      <w:r w:rsidR="00C61949" w:rsidRPr="00C61949">
        <w:rPr>
          <w:b/>
        </w:rPr>
        <w:t>,</w:t>
      </w:r>
      <w:r w:rsidRPr="00C61949">
        <w:t xml:space="preserve"> cooking, cleaning or similar)”, “endurance exercise (e.g.</w:t>
      </w:r>
      <w:r w:rsidR="00C61949" w:rsidRPr="00C61949">
        <w:rPr>
          <w:b/>
        </w:rPr>
        <w:t>,</w:t>
      </w:r>
      <w:r w:rsidRPr="00C61949">
        <w:t xml:space="preserve"> stationary bicycle, treadmill, elliptical, aerobics, Zumba or similar)”, “resistance exercise (e.g.</w:t>
      </w:r>
      <w:r w:rsidR="00C61949" w:rsidRPr="00C61949">
        <w:rPr>
          <w:b/>
        </w:rPr>
        <w:t>,</w:t>
      </w:r>
      <w:r w:rsidRPr="00C61949">
        <w:t xml:space="preserve"> calisthenics, raising barbells, resistance bands or similar)”, “flexibility (e.g.</w:t>
      </w:r>
      <w:r w:rsidR="00C61949" w:rsidRPr="00C61949">
        <w:rPr>
          <w:b/>
        </w:rPr>
        <w:t>,</w:t>
      </w:r>
      <w:r w:rsidRPr="00C61949">
        <w:t xml:space="preserve"> individual stretching, stretching with a partner, or similar)”, “electrostimulation, vibratory platform or similar”, “active videogames (e.g.</w:t>
      </w:r>
      <w:r w:rsidR="00C61949" w:rsidRPr="00C61949">
        <w:rPr>
          <w:b/>
        </w:rPr>
        <w:t>,</w:t>
      </w:r>
      <w:r w:rsidRPr="00C61949">
        <w:t xml:space="preserve"> </w:t>
      </w:r>
      <w:proofErr w:type="spellStart"/>
      <w:r w:rsidRPr="00C61949">
        <w:t>Playstation</w:t>
      </w:r>
      <w:proofErr w:type="spellEnd"/>
      <w:r w:rsidRPr="00C61949">
        <w:t>, X-box or similar)”, “applications for mobile devices”, and “not performing physical activity”.</w:t>
      </w:r>
    </w:p>
    <w:p w14:paraId="52AA20E0" w14:textId="0BD6785D" w:rsidR="00900930" w:rsidRPr="00293FDF" w:rsidRDefault="00293FDF" w:rsidP="00B037B3">
      <w:pPr>
        <w:pStyle w:val="MDPI22heading2"/>
      </w:pPr>
      <w:r w:rsidRPr="00293FDF">
        <w:t xml:space="preserve">2.3. </w:t>
      </w:r>
      <w:r w:rsidR="00900930" w:rsidRPr="00293FDF">
        <w:t xml:space="preserve">Demographic </w:t>
      </w:r>
      <w:r>
        <w:t>C</w:t>
      </w:r>
      <w:r w:rsidR="00900930" w:rsidRPr="00293FDF">
        <w:t>haracteristics</w:t>
      </w:r>
    </w:p>
    <w:p w14:paraId="63BC1CF8" w14:textId="77777777" w:rsidR="00900930" w:rsidRPr="00C61949" w:rsidRDefault="00233D06" w:rsidP="00B037B3">
      <w:pPr>
        <w:pStyle w:val="MDPI31text"/>
        <w:rPr>
          <w:b/>
        </w:rPr>
      </w:pPr>
      <w:r w:rsidRPr="00C61949">
        <w:t>Given previous research [</w:t>
      </w:r>
      <w:r w:rsidR="00900930" w:rsidRPr="00C61949">
        <w:t>34,35</w:t>
      </w:r>
      <w:r w:rsidRPr="00C61949">
        <w:t>],</w:t>
      </w:r>
      <w:r w:rsidR="00900930" w:rsidRPr="00C61949">
        <w:t xml:space="preserve"> the study also estimated age, gender, civil status, occupation</w:t>
      </w:r>
      <w:r w:rsidR="00D6491C" w:rsidRPr="00C61949">
        <w:t>,</w:t>
      </w:r>
      <w:r w:rsidR="00900930" w:rsidRPr="00C61949">
        <w:t xml:space="preserve"> and education as factors. All variables were self-reported by the participants and categorized as follows: civil status (“married” or “not married”), occupation (“employed” or “not employed”), and education (“having a university degree” or “not having a university degree”).</w:t>
      </w:r>
    </w:p>
    <w:p w14:paraId="42B05001" w14:textId="155663F5" w:rsidR="00900930" w:rsidRPr="00293FDF" w:rsidRDefault="00293FDF" w:rsidP="00B037B3">
      <w:pPr>
        <w:pStyle w:val="MDPI22heading2"/>
      </w:pPr>
      <w:r w:rsidRPr="00293FDF">
        <w:t xml:space="preserve">2.4. </w:t>
      </w:r>
      <w:r w:rsidR="00900930" w:rsidRPr="00293FDF">
        <w:t xml:space="preserve">Statistical </w:t>
      </w:r>
      <w:r>
        <w:t>A</w:t>
      </w:r>
      <w:r w:rsidR="00900930" w:rsidRPr="00293FDF">
        <w:t>nalyses</w:t>
      </w:r>
    </w:p>
    <w:p w14:paraId="00F9FE26" w14:textId="0C71C4B4" w:rsidR="00900930" w:rsidRPr="00C61949" w:rsidRDefault="00900930" w:rsidP="00B037B3">
      <w:pPr>
        <w:pStyle w:val="MDPI31text"/>
        <w:rPr>
          <w:b/>
        </w:rPr>
      </w:pPr>
      <w:r w:rsidRPr="00C61949">
        <w:t xml:space="preserve">Statistical analyses were conducted through the Statistical Package for Social Sciences (SPSS) version 23.0 (SPSS Inc., Chicago, IL). The </w:t>
      </w:r>
      <w:proofErr w:type="spellStart"/>
      <w:r w:rsidRPr="00C61949">
        <w:t>Kołmogorov</w:t>
      </w:r>
      <w:proofErr w:type="spellEnd"/>
      <w:r w:rsidRPr="00C61949">
        <w:t xml:space="preserve">–Smirnov test was applied to check normality. Paired </w:t>
      </w:r>
      <w:r w:rsidR="00D6491C" w:rsidRPr="00C61949">
        <w:t>t-</w:t>
      </w:r>
      <w:r w:rsidRPr="00C61949">
        <w:t xml:space="preserve">tests were performed for each subgroup to examine PA differences within each subgroup for each characteristic. Independent </w:t>
      </w:r>
      <w:r w:rsidR="00D6491C" w:rsidRPr="00C61949">
        <w:t>t-</w:t>
      </w:r>
      <w:r w:rsidRPr="00C61949">
        <w:t xml:space="preserve">tests were performed on the subgroup differences to determine whether the subgroup differences varied within each characteristic. Differences in relation to prevalence of WHO guidelines were evaluated by Mc </w:t>
      </w:r>
      <w:proofErr w:type="spellStart"/>
      <w:r w:rsidRPr="00C61949">
        <w:t>Nemar</w:t>
      </w:r>
      <w:proofErr w:type="spellEnd"/>
      <w:r w:rsidRPr="00C61949">
        <w:t xml:space="preserve"> Chi-squared tests, providing the frequencies and percentages of each group, the percentage difference, χ2 value, </w:t>
      </w:r>
      <w:proofErr w:type="spellStart"/>
      <w:r w:rsidRPr="00C61949">
        <w:t>d</w:t>
      </w:r>
      <w:r w:rsidR="00C343E4" w:rsidRPr="00C61949">
        <w:t>egres</w:t>
      </w:r>
      <w:proofErr w:type="spellEnd"/>
      <w:r w:rsidR="00C343E4" w:rsidRPr="00C61949">
        <w:t xml:space="preserve"> o</w:t>
      </w:r>
      <w:r w:rsidRPr="00C61949">
        <w:t>f</w:t>
      </w:r>
      <w:r w:rsidR="00C343E4" w:rsidRPr="00C61949">
        <w:t xml:space="preserve"> freedom,</w:t>
      </w:r>
      <w:r w:rsidRPr="00C61949">
        <w:t xml:space="preserve"> and p-value</w:t>
      </w:r>
      <w:r w:rsidR="00C343E4" w:rsidRPr="00C61949">
        <w:t>s</w:t>
      </w:r>
      <w:r w:rsidRPr="00C61949">
        <w:t>. To check differences regarding demographic characteristics, the analyses were stratified for each one of the factors. A cut-off point for age (i.e.</w:t>
      </w:r>
      <w:r w:rsidR="00C61949" w:rsidRPr="00C61949">
        <w:rPr>
          <w:b/>
        </w:rPr>
        <w:t>,</w:t>
      </w:r>
      <w:r w:rsidRPr="00C61949">
        <w:t xml:space="preserve"> 43 years) was estimated through a data-driven approach using roc curves. There were no missing data. Levels of significance were set at P &lt; 0.05. In addition, the effect size was calculated using Cohen’s d, classified as small (0.20),</w:t>
      </w:r>
      <w:r w:rsidR="00233D06" w:rsidRPr="00C61949">
        <w:t xml:space="preserve"> medium (0.50)</w:t>
      </w:r>
      <w:r w:rsidR="00D6491C" w:rsidRPr="00C61949">
        <w:t>,</w:t>
      </w:r>
      <w:r w:rsidR="00233D06" w:rsidRPr="00C61949">
        <w:t xml:space="preserve"> and large (0.80).</w:t>
      </w:r>
    </w:p>
    <w:p w14:paraId="1197ABBC" w14:textId="2E457676" w:rsidR="00CD3203" w:rsidRPr="00C61949" w:rsidRDefault="00293FDF" w:rsidP="00293FDF">
      <w:pPr>
        <w:pStyle w:val="MDPI21heading1"/>
      </w:pPr>
      <w:r>
        <w:t xml:space="preserve">3. </w:t>
      </w:r>
      <w:r w:rsidR="00CD3203" w:rsidRPr="00C61949">
        <w:t>Results</w:t>
      </w:r>
    </w:p>
    <w:p w14:paraId="02A3FA0F" w14:textId="0393EE5C" w:rsidR="00900930" w:rsidRPr="00C61949" w:rsidRDefault="00900930" w:rsidP="00B037B3">
      <w:pPr>
        <w:pStyle w:val="MDPI31text"/>
        <w:rPr>
          <w:i/>
        </w:rPr>
      </w:pPr>
      <w:r w:rsidRPr="00C61949">
        <w:lastRenderedPageBreak/>
        <w:t xml:space="preserve">A total of 2042 participants </w:t>
      </w:r>
      <w:r w:rsidR="009D793A" w:rsidRPr="00C61949">
        <w:t xml:space="preserve">on average </w:t>
      </w:r>
      <w:r w:rsidRPr="00C61949">
        <w:t xml:space="preserve">aged 35.9 (SD 13.6) completed the survey. Table 1 presents the descriptive statistics for the sample, in which 1104 participants (54.1%) </w:t>
      </w:r>
      <w:r w:rsidR="009D793A" w:rsidRPr="00C61949">
        <w:t xml:space="preserve">were </w:t>
      </w:r>
      <w:r w:rsidRPr="00C61949">
        <w:t xml:space="preserve">women, 1001 (49.0%) </w:t>
      </w:r>
      <w:r w:rsidR="009D793A" w:rsidRPr="00C61949">
        <w:t xml:space="preserve">were </w:t>
      </w:r>
      <w:r w:rsidRPr="00C61949">
        <w:t xml:space="preserve">married, 1293 (63.3%) </w:t>
      </w:r>
      <w:r w:rsidR="009D793A" w:rsidRPr="00C61949">
        <w:t xml:space="preserve">held </w:t>
      </w:r>
      <w:r w:rsidRPr="00C61949">
        <w:t xml:space="preserve">a university degree, and 1287 (63.0%) </w:t>
      </w:r>
      <w:r w:rsidR="009D793A" w:rsidRPr="00C61949">
        <w:t xml:space="preserve">were </w:t>
      </w:r>
      <w:r w:rsidRPr="00C61949">
        <w:t>employed.</w:t>
      </w:r>
    </w:p>
    <w:p w14:paraId="5E70ADD5" w14:textId="77777777" w:rsidR="00976988" w:rsidRPr="00C61949" w:rsidRDefault="00976988" w:rsidP="00900930">
      <w:pPr>
        <w:pStyle w:val="MDPI22heading2"/>
        <w:jc w:val="both"/>
        <w:rPr>
          <w:i w:val="0"/>
          <w:noProof w:val="0"/>
        </w:rPr>
      </w:pPr>
    </w:p>
    <w:p w14:paraId="23C9A424" w14:textId="77777777" w:rsidR="00976988" w:rsidRPr="00C61949" w:rsidRDefault="00976988" w:rsidP="00900930">
      <w:pPr>
        <w:pStyle w:val="MDPI22heading2"/>
        <w:jc w:val="both"/>
        <w:rPr>
          <w:i w:val="0"/>
          <w:noProof w:val="0"/>
        </w:rPr>
      </w:pPr>
    </w:p>
    <w:p w14:paraId="09AAB1CD" w14:textId="77777777" w:rsidR="00976988" w:rsidRPr="00C61949" w:rsidRDefault="00976988" w:rsidP="00900930">
      <w:pPr>
        <w:pStyle w:val="MDPI22heading2"/>
        <w:jc w:val="both"/>
        <w:rPr>
          <w:i w:val="0"/>
          <w:noProof w:val="0"/>
        </w:rPr>
      </w:pPr>
    </w:p>
    <w:p w14:paraId="7473CC34" w14:textId="77777777" w:rsidR="00976988" w:rsidRPr="00C61949" w:rsidRDefault="00976988" w:rsidP="00900930">
      <w:pPr>
        <w:pStyle w:val="MDPI22heading2"/>
        <w:jc w:val="both"/>
        <w:rPr>
          <w:i w:val="0"/>
          <w:noProof w:val="0"/>
        </w:rPr>
      </w:pPr>
    </w:p>
    <w:p w14:paraId="196DD2B7" w14:textId="77777777" w:rsidR="00976988" w:rsidRPr="00C61949" w:rsidRDefault="00976988" w:rsidP="00900930">
      <w:pPr>
        <w:pStyle w:val="MDPI22heading2"/>
        <w:jc w:val="both"/>
        <w:rPr>
          <w:i w:val="0"/>
          <w:noProof w:val="0"/>
        </w:rPr>
      </w:pPr>
    </w:p>
    <w:p w14:paraId="253978A5" w14:textId="77777777" w:rsidR="00976988" w:rsidRPr="00C61949" w:rsidRDefault="00976988" w:rsidP="00900930">
      <w:pPr>
        <w:pStyle w:val="MDPI22heading2"/>
        <w:jc w:val="both"/>
        <w:rPr>
          <w:i w:val="0"/>
          <w:noProof w:val="0"/>
        </w:rPr>
      </w:pPr>
    </w:p>
    <w:p w14:paraId="28D61454" w14:textId="77777777" w:rsidR="00976988" w:rsidRPr="00C61949" w:rsidRDefault="00976988" w:rsidP="00900930">
      <w:pPr>
        <w:pStyle w:val="MDPI22heading2"/>
        <w:jc w:val="both"/>
        <w:rPr>
          <w:i w:val="0"/>
          <w:noProof w:val="0"/>
        </w:rPr>
      </w:pPr>
    </w:p>
    <w:p w14:paraId="37D6B1CF" w14:textId="77777777" w:rsidR="00976988" w:rsidRPr="00C61949" w:rsidRDefault="00976988" w:rsidP="00900930">
      <w:pPr>
        <w:pStyle w:val="MDPI22heading2"/>
        <w:jc w:val="both"/>
        <w:rPr>
          <w:i w:val="0"/>
          <w:noProof w:val="0"/>
        </w:rPr>
      </w:pPr>
    </w:p>
    <w:p w14:paraId="42701D21" w14:textId="77777777" w:rsidR="00976988" w:rsidRPr="00C61949" w:rsidRDefault="00976988" w:rsidP="00900930">
      <w:pPr>
        <w:pStyle w:val="MDPI22heading2"/>
        <w:jc w:val="both"/>
        <w:rPr>
          <w:i w:val="0"/>
          <w:noProof w:val="0"/>
        </w:rPr>
      </w:pPr>
    </w:p>
    <w:p w14:paraId="621A470A" w14:textId="77777777" w:rsidR="00976988" w:rsidRPr="00C61949" w:rsidRDefault="00976988" w:rsidP="00900930">
      <w:pPr>
        <w:pStyle w:val="MDPI22heading2"/>
        <w:jc w:val="both"/>
        <w:rPr>
          <w:i w:val="0"/>
          <w:noProof w:val="0"/>
        </w:rPr>
      </w:pPr>
    </w:p>
    <w:p w14:paraId="2524327C" w14:textId="77777777" w:rsidR="00976988" w:rsidRPr="00C61949" w:rsidRDefault="00976988" w:rsidP="00900930">
      <w:pPr>
        <w:pStyle w:val="MDPI22heading2"/>
        <w:jc w:val="both"/>
        <w:rPr>
          <w:i w:val="0"/>
          <w:noProof w:val="0"/>
        </w:rPr>
      </w:pPr>
    </w:p>
    <w:p w14:paraId="78B18F71" w14:textId="77777777" w:rsidR="00976988" w:rsidRPr="00C61949" w:rsidRDefault="00976988" w:rsidP="00900930">
      <w:pPr>
        <w:pStyle w:val="MDPI22heading2"/>
        <w:jc w:val="both"/>
        <w:rPr>
          <w:i w:val="0"/>
          <w:noProof w:val="0"/>
        </w:rPr>
      </w:pPr>
    </w:p>
    <w:p w14:paraId="4ED8DE6E" w14:textId="77777777" w:rsidR="00976988" w:rsidRPr="00C61949" w:rsidRDefault="00976988" w:rsidP="00900930">
      <w:pPr>
        <w:pStyle w:val="MDPI22heading2"/>
        <w:jc w:val="both"/>
        <w:rPr>
          <w:i w:val="0"/>
          <w:noProof w:val="0"/>
        </w:rPr>
      </w:pPr>
    </w:p>
    <w:p w14:paraId="70DA0FE1" w14:textId="77777777" w:rsidR="00976988" w:rsidRPr="00C61949" w:rsidRDefault="00976988" w:rsidP="00900930">
      <w:pPr>
        <w:pStyle w:val="MDPI22heading2"/>
        <w:jc w:val="both"/>
        <w:rPr>
          <w:i w:val="0"/>
          <w:noProof w:val="0"/>
        </w:rPr>
      </w:pPr>
    </w:p>
    <w:p w14:paraId="78A0167B" w14:textId="77777777" w:rsidR="00976988" w:rsidRPr="00C61949" w:rsidRDefault="00976988" w:rsidP="00900930">
      <w:pPr>
        <w:pStyle w:val="MDPI22heading2"/>
        <w:jc w:val="both"/>
        <w:rPr>
          <w:i w:val="0"/>
          <w:noProof w:val="0"/>
        </w:rPr>
      </w:pPr>
    </w:p>
    <w:p w14:paraId="308B74AE" w14:textId="77777777" w:rsidR="00976988" w:rsidRPr="00C61949" w:rsidRDefault="00976988" w:rsidP="00900930">
      <w:pPr>
        <w:pStyle w:val="MDPI22heading2"/>
        <w:jc w:val="both"/>
        <w:rPr>
          <w:i w:val="0"/>
          <w:noProof w:val="0"/>
        </w:rPr>
      </w:pPr>
    </w:p>
    <w:p w14:paraId="710804C2" w14:textId="77777777" w:rsidR="00976988" w:rsidRPr="00C61949" w:rsidRDefault="00976988" w:rsidP="00900930">
      <w:pPr>
        <w:pStyle w:val="MDPI22heading2"/>
        <w:jc w:val="both"/>
        <w:rPr>
          <w:i w:val="0"/>
          <w:noProof w:val="0"/>
        </w:rPr>
      </w:pPr>
    </w:p>
    <w:p w14:paraId="5BAB869A" w14:textId="77777777" w:rsidR="00976988" w:rsidRPr="00C61949" w:rsidRDefault="00976988" w:rsidP="00900930">
      <w:pPr>
        <w:pStyle w:val="MDPI22heading2"/>
        <w:jc w:val="both"/>
        <w:rPr>
          <w:i w:val="0"/>
          <w:noProof w:val="0"/>
        </w:rPr>
      </w:pPr>
    </w:p>
    <w:p w14:paraId="5E57B329" w14:textId="77777777" w:rsidR="00976988" w:rsidRPr="00C61949" w:rsidRDefault="00976988" w:rsidP="00900930">
      <w:pPr>
        <w:pStyle w:val="MDPI22heading2"/>
        <w:jc w:val="both"/>
        <w:rPr>
          <w:i w:val="0"/>
          <w:noProof w:val="0"/>
        </w:rPr>
        <w:sectPr w:rsidR="00976988" w:rsidRPr="00C61949" w:rsidSect="0007468B">
          <w:headerReference w:type="even" r:id="rId8"/>
          <w:headerReference w:type="default" r:id="rId9"/>
          <w:headerReference w:type="first" r:id="rId10"/>
          <w:footerReference w:type="first" r:id="rId11"/>
          <w:pgSz w:w="11906" w:h="16838" w:code="9"/>
          <w:pgMar w:top="1417" w:right="1531" w:bottom="1077" w:left="1531" w:header="1020" w:footer="850" w:gutter="0"/>
          <w:pgNumType w:start="1"/>
          <w:cols w:space="425"/>
          <w:titlePg/>
          <w:docGrid w:type="lines" w:linePitch="326"/>
        </w:sectPr>
      </w:pPr>
    </w:p>
    <w:p w14:paraId="1A19C25B" w14:textId="2D5BDDEC" w:rsidR="00976988" w:rsidRPr="00C61949" w:rsidRDefault="000C56FB" w:rsidP="000C56FB">
      <w:pPr>
        <w:pStyle w:val="MDPI41tablecaption"/>
        <w:jc w:val="center"/>
        <w:rPr>
          <w:i/>
        </w:rPr>
      </w:pPr>
      <w:r w:rsidRPr="000C56FB">
        <w:rPr>
          <w:b/>
        </w:rPr>
        <w:lastRenderedPageBreak/>
        <w:t xml:space="preserve">Table 1. </w:t>
      </w:r>
      <w:r w:rsidRPr="00B037B3">
        <w:t>Differences between PA performed before and during COVID-19 confinement</w:t>
      </w:r>
      <w:r>
        <w:t>.</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37"/>
        <w:gridCol w:w="616"/>
        <w:gridCol w:w="566"/>
        <w:gridCol w:w="2192"/>
        <w:gridCol w:w="2339"/>
        <w:gridCol w:w="2631"/>
        <w:gridCol w:w="866"/>
        <w:gridCol w:w="616"/>
        <w:gridCol w:w="928"/>
        <w:gridCol w:w="850"/>
        <w:gridCol w:w="961"/>
      </w:tblGrid>
      <w:tr w:rsidR="000C56FB" w:rsidRPr="00293FDF" w14:paraId="051385F6" w14:textId="77777777" w:rsidTr="000F531F">
        <w:trPr>
          <w:jc w:val="center"/>
        </w:trPr>
        <w:tc>
          <w:tcPr>
            <w:tcW w:w="1437" w:type="dxa"/>
            <w:tcBorders>
              <w:top w:val="single" w:sz="4" w:space="0" w:color="auto"/>
              <w:left w:val="nil"/>
              <w:bottom w:val="single" w:sz="4" w:space="0" w:color="auto"/>
              <w:right w:val="nil"/>
            </w:tcBorders>
            <w:shd w:val="clear" w:color="auto" w:fill="auto"/>
            <w:vAlign w:val="center"/>
          </w:tcPr>
          <w:p w14:paraId="1A9B4A89" w14:textId="77777777" w:rsidR="000C56FB" w:rsidRPr="000C56FB" w:rsidRDefault="000C56FB" w:rsidP="000F531F">
            <w:pPr>
              <w:autoSpaceDE w:val="0"/>
              <w:autoSpaceDN w:val="0"/>
              <w:adjustRightInd w:val="0"/>
              <w:snapToGrid w:val="0"/>
              <w:spacing w:line="240" w:lineRule="auto"/>
              <w:jc w:val="center"/>
              <w:rPr>
                <w:rFonts w:ascii="Palatino Linotype" w:hAnsi="Palatino Linotype"/>
                <w:b/>
                <w:sz w:val="20"/>
              </w:rPr>
            </w:pPr>
          </w:p>
        </w:tc>
        <w:tc>
          <w:tcPr>
            <w:tcW w:w="616" w:type="dxa"/>
            <w:tcBorders>
              <w:top w:val="single" w:sz="4" w:space="0" w:color="auto"/>
              <w:left w:val="nil"/>
              <w:bottom w:val="single" w:sz="4" w:space="0" w:color="auto"/>
            </w:tcBorders>
            <w:shd w:val="clear" w:color="auto" w:fill="auto"/>
            <w:vAlign w:val="center"/>
          </w:tcPr>
          <w:p w14:paraId="52872915"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b/>
                <w:sz w:val="20"/>
              </w:rPr>
            </w:pPr>
            <w:r w:rsidRPr="00293FDF">
              <w:rPr>
                <w:rFonts w:ascii="Palatino Linotype" w:hAnsi="Palatino Linotype"/>
                <w:b/>
                <w:sz w:val="20"/>
              </w:rPr>
              <w:t>n</w:t>
            </w:r>
          </w:p>
        </w:tc>
        <w:tc>
          <w:tcPr>
            <w:tcW w:w="566" w:type="dxa"/>
            <w:tcBorders>
              <w:top w:val="single" w:sz="4" w:space="0" w:color="auto"/>
              <w:bottom w:val="single" w:sz="4" w:space="0" w:color="auto"/>
            </w:tcBorders>
            <w:shd w:val="clear" w:color="auto" w:fill="auto"/>
            <w:vAlign w:val="center"/>
          </w:tcPr>
          <w:p w14:paraId="263FF721"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b/>
                <w:sz w:val="20"/>
              </w:rPr>
            </w:pPr>
            <w:r w:rsidRPr="00293FDF">
              <w:rPr>
                <w:rFonts w:ascii="Palatino Linotype" w:hAnsi="Palatino Linotype"/>
                <w:b/>
                <w:sz w:val="20"/>
              </w:rPr>
              <w:t>%</w:t>
            </w:r>
          </w:p>
        </w:tc>
        <w:tc>
          <w:tcPr>
            <w:tcW w:w="2192" w:type="dxa"/>
            <w:tcBorders>
              <w:top w:val="single" w:sz="4" w:space="0" w:color="auto"/>
              <w:bottom w:val="single" w:sz="4" w:space="0" w:color="auto"/>
            </w:tcBorders>
            <w:shd w:val="clear" w:color="auto" w:fill="auto"/>
            <w:vAlign w:val="center"/>
          </w:tcPr>
          <w:p w14:paraId="7EF8610F" w14:textId="68FDA2DB" w:rsidR="000C56FB" w:rsidRPr="00293FDF" w:rsidRDefault="000C56FB" w:rsidP="000F531F">
            <w:pPr>
              <w:autoSpaceDE w:val="0"/>
              <w:autoSpaceDN w:val="0"/>
              <w:adjustRightInd w:val="0"/>
              <w:snapToGrid w:val="0"/>
              <w:spacing w:line="240" w:lineRule="auto"/>
              <w:jc w:val="center"/>
              <w:rPr>
                <w:rFonts w:ascii="Palatino Linotype" w:hAnsi="Palatino Linotype"/>
                <w:b/>
                <w:sz w:val="20"/>
              </w:rPr>
            </w:pPr>
            <w:r w:rsidRPr="00293FDF">
              <w:rPr>
                <w:rFonts w:ascii="Palatino Linotype" w:hAnsi="Palatino Linotype"/>
                <w:b/>
                <w:sz w:val="20"/>
              </w:rPr>
              <w:t xml:space="preserve">Weekly PA minutes before isolation Mean </w:t>
            </w:r>
            <w:r w:rsidR="004716E0">
              <w:rPr>
                <w:rFonts w:ascii="Cambria Math" w:hAnsi="Cambria Math"/>
                <w:sz w:val="20"/>
              </w:rPr>
              <w:t>±</w:t>
            </w:r>
            <w:r w:rsidRPr="00293FDF">
              <w:rPr>
                <w:rFonts w:ascii="Palatino Linotype" w:hAnsi="Palatino Linotype"/>
                <w:b/>
                <w:sz w:val="20"/>
              </w:rPr>
              <w:t xml:space="preserve"> SD</w:t>
            </w:r>
          </w:p>
        </w:tc>
        <w:tc>
          <w:tcPr>
            <w:tcW w:w="2339" w:type="dxa"/>
            <w:tcBorders>
              <w:top w:val="single" w:sz="4" w:space="0" w:color="auto"/>
              <w:bottom w:val="single" w:sz="4" w:space="0" w:color="auto"/>
            </w:tcBorders>
            <w:shd w:val="clear" w:color="auto" w:fill="auto"/>
            <w:vAlign w:val="center"/>
          </w:tcPr>
          <w:p w14:paraId="19B085DF" w14:textId="52BECA1A" w:rsidR="000C56FB" w:rsidRPr="00293FDF" w:rsidRDefault="000C56FB" w:rsidP="000F531F">
            <w:pPr>
              <w:autoSpaceDE w:val="0"/>
              <w:autoSpaceDN w:val="0"/>
              <w:adjustRightInd w:val="0"/>
              <w:snapToGrid w:val="0"/>
              <w:spacing w:line="240" w:lineRule="auto"/>
              <w:jc w:val="center"/>
              <w:rPr>
                <w:rFonts w:ascii="Palatino Linotype" w:hAnsi="Palatino Linotype"/>
                <w:b/>
                <w:sz w:val="20"/>
              </w:rPr>
            </w:pPr>
            <w:r w:rsidRPr="00293FDF">
              <w:rPr>
                <w:rFonts w:ascii="Palatino Linotype" w:hAnsi="Palatino Linotype"/>
                <w:b/>
                <w:sz w:val="20"/>
              </w:rPr>
              <w:t xml:space="preserve">Weekly PA minutes during isolation Mean </w:t>
            </w:r>
            <w:r w:rsidR="004716E0">
              <w:rPr>
                <w:rFonts w:ascii="Cambria Math" w:hAnsi="Cambria Math"/>
                <w:sz w:val="20"/>
              </w:rPr>
              <w:t>±</w:t>
            </w:r>
            <w:r w:rsidRPr="00293FDF">
              <w:rPr>
                <w:rFonts w:ascii="Palatino Linotype" w:hAnsi="Palatino Linotype"/>
                <w:b/>
                <w:sz w:val="20"/>
              </w:rPr>
              <w:t xml:space="preserve"> SD</w:t>
            </w:r>
          </w:p>
        </w:tc>
        <w:tc>
          <w:tcPr>
            <w:tcW w:w="2631" w:type="dxa"/>
            <w:tcBorders>
              <w:top w:val="single" w:sz="4" w:space="0" w:color="auto"/>
              <w:bottom w:val="single" w:sz="4" w:space="0" w:color="auto"/>
            </w:tcBorders>
            <w:shd w:val="clear" w:color="auto" w:fill="auto"/>
            <w:vAlign w:val="center"/>
          </w:tcPr>
          <w:p w14:paraId="240C7496" w14:textId="75CBFB4F" w:rsidR="000C56FB" w:rsidRPr="00293FDF" w:rsidRDefault="000C56FB" w:rsidP="000F531F">
            <w:pPr>
              <w:autoSpaceDE w:val="0"/>
              <w:autoSpaceDN w:val="0"/>
              <w:adjustRightInd w:val="0"/>
              <w:snapToGrid w:val="0"/>
              <w:spacing w:line="240" w:lineRule="auto"/>
              <w:jc w:val="center"/>
              <w:rPr>
                <w:rFonts w:ascii="Palatino Linotype" w:hAnsi="Palatino Linotype"/>
                <w:b/>
                <w:sz w:val="20"/>
              </w:rPr>
            </w:pPr>
            <w:r w:rsidRPr="00293FDF">
              <w:rPr>
                <w:rFonts w:ascii="Palatino Linotype" w:hAnsi="Palatino Linotype"/>
                <w:b/>
                <w:sz w:val="20"/>
              </w:rPr>
              <w:t xml:space="preserve">Difference of Weekly PA minutes (before and during isolation) </w:t>
            </w:r>
            <w:r w:rsidR="004716E0">
              <w:rPr>
                <w:rFonts w:ascii="Cambria Math" w:hAnsi="Cambria Math"/>
                <w:sz w:val="20"/>
              </w:rPr>
              <w:t>±</w:t>
            </w:r>
            <w:r w:rsidRPr="00293FDF">
              <w:rPr>
                <w:rFonts w:ascii="Palatino Linotype" w:hAnsi="Palatino Linotype"/>
                <w:b/>
                <w:sz w:val="20"/>
              </w:rPr>
              <w:t xml:space="preserve"> SD</w:t>
            </w:r>
          </w:p>
        </w:tc>
        <w:tc>
          <w:tcPr>
            <w:tcW w:w="866" w:type="dxa"/>
            <w:tcBorders>
              <w:top w:val="single" w:sz="4" w:space="0" w:color="auto"/>
              <w:bottom w:val="single" w:sz="4" w:space="0" w:color="auto"/>
            </w:tcBorders>
            <w:shd w:val="clear" w:color="auto" w:fill="auto"/>
            <w:vAlign w:val="center"/>
          </w:tcPr>
          <w:p w14:paraId="0CE1574B"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b/>
                <w:i/>
                <w:sz w:val="20"/>
              </w:rPr>
            </w:pPr>
            <w:r w:rsidRPr="00293FDF">
              <w:rPr>
                <w:rFonts w:ascii="Palatino Linotype" w:hAnsi="Palatino Linotype"/>
                <w:b/>
                <w:i/>
                <w:sz w:val="20"/>
              </w:rPr>
              <w:t>t</w:t>
            </w:r>
          </w:p>
        </w:tc>
        <w:tc>
          <w:tcPr>
            <w:tcW w:w="616" w:type="dxa"/>
            <w:tcBorders>
              <w:top w:val="single" w:sz="4" w:space="0" w:color="auto"/>
              <w:bottom w:val="single" w:sz="4" w:space="0" w:color="auto"/>
            </w:tcBorders>
            <w:shd w:val="clear" w:color="auto" w:fill="auto"/>
            <w:vAlign w:val="center"/>
          </w:tcPr>
          <w:p w14:paraId="3BDE7F96"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b/>
                <w:sz w:val="20"/>
              </w:rPr>
            </w:pPr>
            <w:r w:rsidRPr="00293FDF">
              <w:rPr>
                <w:rFonts w:ascii="Palatino Linotype" w:hAnsi="Palatino Linotype"/>
                <w:b/>
                <w:sz w:val="20"/>
              </w:rPr>
              <w:t>df</w:t>
            </w:r>
          </w:p>
        </w:tc>
        <w:tc>
          <w:tcPr>
            <w:tcW w:w="928" w:type="dxa"/>
            <w:tcBorders>
              <w:top w:val="single" w:sz="4" w:space="0" w:color="auto"/>
              <w:bottom w:val="single" w:sz="4" w:space="0" w:color="auto"/>
            </w:tcBorders>
            <w:shd w:val="clear" w:color="auto" w:fill="auto"/>
            <w:vAlign w:val="center"/>
          </w:tcPr>
          <w:p w14:paraId="61D15ED4"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b/>
                <w:sz w:val="20"/>
              </w:rPr>
            </w:pPr>
            <w:r w:rsidRPr="00293FDF">
              <w:rPr>
                <w:rFonts w:ascii="Palatino Linotype" w:hAnsi="Palatino Linotype"/>
                <w:b/>
                <w:sz w:val="20"/>
              </w:rPr>
              <w:t xml:space="preserve">P </w:t>
            </w:r>
            <w:proofErr w:type="spellStart"/>
            <w:r w:rsidRPr="00293FDF">
              <w:rPr>
                <w:rFonts w:ascii="Palatino Linotype" w:hAnsi="Palatino Linotype"/>
                <w:b/>
                <w:sz w:val="20"/>
              </w:rPr>
              <w:t>value</w:t>
            </w:r>
            <w:r w:rsidRPr="00293FDF">
              <w:rPr>
                <w:rFonts w:ascii="Palatino Linotype" w:hAnsi="Palatino Linotype"/>
                <w:b/>
                <w:sz w:val="20"/>
                <w:vertAlign w:val="superscript"/>
              </w:rPr>
              <w:t>a</w:t>
            </w:r>
            <w:proofErr w:type="spellEnd"/>
          </w:p>
        </w:tc>
        <w:tc>
          <w:tcPr>
            <w:tcW w:w="850" w:type="dxa"/>
            <w:tcBorders>
              <w:top w:val="single" w:sz="4" w:space="0" w:color="auto"/>
              <w:bottom w:val="single" w:sz="4" w:space="0" w:color="auto"/>
              <w:right w:val="nil"/>
            </w:tcBorders>
            <w:shd w:val="clear" w:color="auto" w:fill="auto"/>
            <w:vAlign w:val="center"/>
          </w:tcPr>
          <w:p w14:paraId="382FD3D7"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b/>
                <w:i/>
                <w:sz w:val="20"/>
              </w:rPr>
            </w:pPr>
            <w:proofErr w:type="spellStart"/>
            <w:r w:rsidRPr="00293FDF">
              <w:rPr>
                <w:rFonts w:ascii="Palatino Linotype" w:hAnsi="Palatino Linotype"/>
                <w:b/>
                <w:i/>
                <w:sz w:val="20"/>
              </w:rPr>
              <w:t>d</w:t>
            </w:r>
            <w:r w:rsidRPr="00293FDF">
              <w:rPr>
                <w:rFonts w:ascii="Palatino Linotype" w:hAnsi="Palatino Linotype"/>
                <w:b/>
                <w:i/>
                <w:sz w:val="20"/>
                <w:vertAlign w:val="superscript"/>
              </w:rPr>
              <w:t>b</w:t>
            </w:r>
            <w:proofErr w:type="spellEnd"/>
          </w:p>
        </w:tc>
        <w:tc>
          <w:tcPr>
            <w:tcW w:w="961" w:type="dxa"/>
            <w:tcBorders>
              <w:top w:val="single" w:sz="4" w:space="0" w:color="auto"/>
              <w:left w:val="nil"/>
              <w:bottom w:val="single" w:sz="4" w:space="0" w:color="auto"/>
              <w:right w:val="nil"/>
            </w:tcBorders>
            <w:shd w:val="clear" w:color="auto" w:fill="auto"/>
            <w:vAlign w:val="center"/>
          </w:tcPr>
          <w:p w14:paraId="1DDEBD5E"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b/>
                <w:sz w:val="20"/>
              </w:rPr>
            </w:pPr>
            <w:r w:rsidRPr="00293FDF">
              <w:rPr>
                <w:rFonts w:ascii="Palatino Linotype" w:hAnsi="Palatino Linotype"/>
                <w:b/>
                <w:sz w:val="20"/>
              </w:rPr>
              <w:t xml:space="preserve">P </w:t>
            </w:r>
            <w:proofErr w:type="spellStart"/>
            <w:r w:rsidRPr="00293FDF">
              <w:rPr>
                <w:rFonts w:ascii="Palatino Linotype" w:hAnsi="Palatino Linotype"/>
                <w:b/>
                <w:sz w:val="20"/>
              </w:rPr>
              <w:t>value</w:t>
            </w:r>
            <w:r w:rsidRPr="00293FDF">
              <w:rPr>
                <w:rFonts w:ascii="Palatino Linotype" w:hAnsi="Palatino Linotype"/>
                <w:b/>
                <w:sz w:val="20"/>
                <w:vertAlign w:val="superscript"/>
              </w:rPr>
              <w:t>c</w:t>
            </w:r>
            <w:proofErr w:type="spellEnd"/>
          </w:p>
        </w:tc>
      </w:tr>
      <w:tr w:rsidR="000C56FB" w:rsidRPr="00293FDF" w14:paraId="1DCF938A" w14:textId="77777777" w:rsidTr="000F531F">
        <w:trPr>
          <w:jc w:val="center"/>
        </w:trPr>
        <w:tc>
          <w:tcPr>
            <w:tcW w:w="1437" w:type="dxa"/>
            <w:tcBorders>
              <w:top w:val="single" w:sz="4" w:space="0" w:color="auto"/>
              <w:left w:val="nil"/>
              <w:bottom w:val="nil"/>
            </w:tcBorders>
            <w:shd w:val="clear" w:color="auto" w:fill="auto"/>
            <w:vAlign w:val="center"/>
          </w:tcPr>
          <w:p w14:paraId="5906D46E"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b/>
                <w:sz w:val="20"/>
              </w:rPr>
            </w:pPr>
            <w:r w:rsidRPr="00293FDF">
              <w:rPr>
                <w:rFonts w:ascii="Palatino Linotype" w:hAnsi="Palatino Linotype"/>
                <w:b/>
                <w:sz w:val="20"/>
              </w:rPr>
              <w:t>Overall</w:t>
            </w:r>
          </w:p>
        </w:tc>
        <w:tc>
          <w:tcPr>
            <w:tcW w:w="616" w:type="dxa"/>
            <w:tcBorders>
              <w:top w:val="single" w:sz="4" w:space="0" w:color="auto"/>
            </w:tcBorders>
            <w:shd w:val="clear" w:color="auto" w:fill="auto"/>
            <w:vAlign w:val="center"/>
          </w:tcPr>
          <w:p w14:paraId="76106449"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2042</w:t>
            </w:r>
          </w:p>
        </w:tc>
        <w:tc>
          <w:tcPr>
            <w:tcW w:w="566" w:type="dxa"/>
            <w:tcBorders>
              <w:top w:val="single" w:sz="4" w:space="0" w:color="auto"/>
            </w:tcBorders>
            <w:shd w:val="clear" w:color="auto" w:fill="auto"/>
            <w:vAlign w:val="center"/>
          </w:tcPr>
          <w:p w14:paraId="6DE44D09" w14:textId="4EC45B67" w:rsidR="000C56FB" w:rsidRPr="00293FDF" w:rsidRDefault="00520B9A" w:rsidP="000F531F">
            <w:pPr>
              <w:autoSpaceDE w:val="0"/>
              <w:autoSpaceDN w:val="0"/>
              <w:adjustRightInd w:val="0"/>
              <w:snapToGrid w:val="0"/>
              <w:spacing w:line="240" w:lineRule="auto"/>
              <w:jc w:val="center"/>
              <w:rPr>
                <w:rFonts w:ascii="Palatino Linotype" w:hAnsi="Palatino Linotype"/>
                <w:sz w:val="20"/>
              </w:rPr>
            </w:pPr>
            <w:r w:rsidRPr="00A13350">
              <w:rPr>
                <w:rFonts w:ascii="Cambria Math" w:hAnsi="Cambria Math"/>
                <w:sz w:val="20"/>
              </w:rPr>
              <w:t>−</w:t>
            </w:r>
          </w:p>
        </w:tc>
        <w:tc>
          <w:tcPr>
            <w:tcW w:w="2192" w:type="dxa"/>
            <w:tcBorders>
              <w:top w:val="single" w:sz="4" w:space="0" w:color="auto"/>
            </w:tcBorders>
            <w:shd w:val="clear" w:color="auto" w:fill="auto"/>
            <w:vAlign w:val="center"/>
          </w:tcPr>
          <w:p w14:paraId="6A6C50AC" w14:textId="299F751E"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221.9</w:t>
            </w:r>
            <w:r w:rsidR="004716E0">
              <w:rPr>
                <w:rFonts w:ascii="Palatino Linotype" w:hAnsi="Palatino Linotype"/>
                <w:sz w:val="20"/>
              </w:rPr>
              <w:t xml:space="preserve"> </w:t>
            </w:r>
            <w:r w:rsidR="004716E0">
              <w:rPr>
                <w:rFonts w:ascii="Cambria Math" w:hAnsi="Cambria Math"/>
                <w:sz w:val="20"/>
              </w:rPr>
              <w:t xml:space="preserve">± </w:t>
            </w:r>
            <w:r w:rsidRPr="00293FDF">
              <w:rPr>
                <w:rFonts w:ascii="Palatino Linotype" w:hAnsi="Palatino Linotype"/>
                <w:sz w:val="20"/>
              </w:rPr>
              <w:t>193.6</w:t>
            </w:r>
          </w:p>
        </w:tc>
        <w:tc>
          <w:tcPr>
            <w:tcW w:w="2339" w:type="dxa"/>
            <w:tcBorders>
              <w:top w:val="single" w:sz="4" w:space="0" w:color="auto"/>
            </w:tcBorders>
            <w:shd w:val="clear" w:color="auto" w:fill="auto"/>
            <w:vAlign w:val="center"/>
          </w:tcPr>
          <w:p w14:paraId="585FC0CE" w14:textId="4FF44A4A"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176.7</w:t>
            </w:r>
            <w:r w:rsidR="004716E0">
              <w:rPr>
                <w:rFonts w:ascii="Palatino Linotype" w:hAnsi="Palatino Linotype"/>
                <w:sz w:val="20"/>
              </w:rPr>
              <w:t xml:space="preserve"> </w:t>
            </w:r>
            <w:r w:rsidR="004716E0">
              <w:rPr>
                <w:rFonts w:ascii="Cambria Math" w:hAnsi="Cambria Math"/>
                <w:sz w:val="20"/>
              </w:rPr>
              <w:t xml:space="preserve">± </w:t>
            </w:r>
            <w:r w:rsidRPr="00293FDF">
              <w:rPr>
                <w:rFonts w:ascii="Palatino Linotype" w:hAnsi="Palatino Linotype"/>
                <w:sz w:val="20"/>
              </w:rPr>
              <w:t>178.9</w:t>
            </w:r>
          </w:p>
        </w:tc>
        <w:tc>
          <w:tcPr>
            <w:tcW w:w="2631" w:type="dxa"/>
            <w:tcBorders>
              <w:top w:val="single" w:sz="4" w:space="0" w:color="auto"/>
            </w:tcBorders>
            <w:shd w:val="clear" w:color="auto" w:fill="auto"/>
            <w:vAlign w:val="center"/>
          </w:tcPr>
          <w:p w14:paraId="6C74955F" w14:textId="3A99B2A4"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45.2</w:t>
            </w:r>
            <w:r w:rsidR="004716E0">
              <w:rPr>
                <w:rFonts w:ascii="Palatino Linotype" w:hAnsi="Palatino Linotype"/>
                <w:sz w:val="20"/>
              </w:rPr>
              <w:t xml:space="preserve"> </w:t>
            </w:r>
            <w:r w:rsidR="004716E0">
              <w:rPr>
                <w:rFonts w:ascii="Cambria Math" w:hAnsi="Cambria Math"/>
                <w:sz w:val="20"/>
              </w:rPr>
              <w:t xml:space="preserve">± </w:t>
            </w:r>
            <w:r w:rsidRPr="00293FDF">
              <w:rPr>
                <w:rFonts w:ascii="Palatino Linotype" w:hAnsi="Palatino Linotype"/>
                <w:sz w:val="20"/>
              </w:rPr>
              <w:t>179.9</w:t>
            </w:r>
          </w:p>
        </w:tc>
        <w:tc>
          <w:tcPr>
            <w:tcW w:w="866" w:type="dxa"/>
            <w:tcBorders>
              <w:top w:val="single" w:sz="4" w:space="0" w:color="auto"/>
            </w:tcBorders>
            <w:shd w:val="clear" w:color="auto" w:fill="auto"/>
            <w:vAlign w:val="center"/>
          </w:tcPr>
          <w:p w14:paraId="4F9344FD"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11.3486</w:t>
            </w:r>
          </w:p>
        </w:tc>
        <w:tc>
          <w:tcPr>
            <w:tcW w:w="616" w:type="dxa"/>
            <w:tcBorders>
              <w:top w:val="single" w:sz="4" w:space="0" w:color="auto"/>
            </w:tcBorders>
            <w:shd w:val="clear" w:color="auto" w:fill="auto"/>
            <w:vAlign w:val="center"/>
          </w:tcPr>
          <w:p w14:paraId="5FCA71E7"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2041</w:t>
            </w:r>
          </w:p>
        </w:tc>
        <w:tc>
          <w:tcPr>
            <w:tcW w:w="928" w:type="dxa"/>
            <w:tcBorders>
              <w:top w:val="single" w:sz="4" w:space="0" w:color="auto"/>
            </w:tcBorders>
            <w:shd w:val="clear" w:color="auto" w:fill="auto"/>
            <w:vAlign w:val="center"/>
          </w:tcPr>
          <w:p w14:paraId="74809C82"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&lt;0.0001</w:t>
            </w:r>
          </w:p>
        </w:tc>
        <w:tc>
          <w:tcPr>
            <w:tcW w:w="850" w:type="dxa"/>
            <w:tcBorders>
              <w:top w:val="single" w:sz="4" w:space="0" w:color="auto"/>
              <w:right w:val="nil"/>
            </w:tcBorders>
            <w:shd w:val="clear" w:color="auto" w:fill="auto"/>
            <w:vAlign w:val="center"/>
          </w:tcPr>
          <w:p w14:paraId="05010F28"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0.2424</w:t>
            </w:r>
          </w:p>
        </w:tc>
        <w:tc>
          <w:tcPr>
            <w:tcW w:w="961" w:type="dxa"/>
            <w:tcBorders>
              <w:top w:val="single" w:sz="4" w:space="0" w:color="auto"/>
              <w:left w:val="nil"/>
              <w:bottom w:val="nil"/>
              <w:right w:val="nil"/>
            </w:tcBorders>
            <w:shd w:val="clear" w:color="auto" w:fill="auto"/>
            <w:vAlign w:val="center"/>
          </w:tcPr>
          <w:p w14:paraId="14AF229D"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r>
      <w:tr w:rsidR="000C56FB" w:rsidRPr="00293FDF" w14:paraId="1B2A5BB8" w14:textId="77777777" w:rsidTr="000F531F">
        <w:trPr>
          <w:jc w:val="center"/>
        </w:trPr>
        <w:tc>
          <w:tcPr>
            <w:tcW w:w="1437" w:type="dxa"/>
            <w:tcBorders>
              <w:top w:val="nil"/>
              <w:left w:val="nil"/>
              <w:bottom w:val="nil"/>
            </w:tcBorders>
            <w:shd w:val="clear" w:color="auto" w:fill="auto"/>
            <w:vAlign w:val="center"/>
          </w:tcPr>
          <w:p w14:paraId="3F5BD8F1"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b/>
                <w:sz w:val="20"/>
              </w:rPr>
            </w:pPr>
            <w:r w:rsidRPr="00293FDF">
              <w:rPr>
                <w:rFonts w:ascii="Palatino Linotype" w:hAnsi="Palatino Linotype"/>
                <w:b/>
                <w:sz w:val="20"/>
              </w:rPr>
              <w:t>Gender</w:t>
            </w:r>
          </w:p>
        </w:tc>
        <w:tc>
          <w:tcPr>
            <w:tcW w:w="616" w:type="dxa"/>
            <w:shd w:val="clear" w:color="auto" w:fill="auto"/>
            <w:vAlign w:val="center"/>
          </w:tcPr>
          <w:p w14:paraId="419E7E27"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566" w:type="dxa"/>
            <w:shd w:val="clear" w:color="auto" w:fill="auto"/>
            <w:vAlign w:val="center"/>
          </w:tcPr>
          <w:p w14:paraId="785A6785"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2192" w:type="dxa"/>
            <w:shd w:val="clear" w:color="auto" w:fill="auto"/>
            <w:vAlign w:val="center"/>
          </w:tcPr>
          <w:p w14:paraId="3F4252DA"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2339" w:type="dxa"/>
            <w:shd w:val="clear" w:color="auto" w:fill="auto"/>
            <w:vAlign w:val="center"/>
          </w:tcPr>
          <w:p w14:paraId="6E7140A5"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2631" w:type="dxa"/>
            <w:shd w:val="clear" w:color="auto" w:fill="auto"/>
            <w:vAlign w:val="center"/>
          </w:tcPr>
          <w:p w14:paraId="09C9F6C7"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866" w:type="dxa"/>
            <w:shd w:val="clear" w:color="auto" w:fill="auto"/>
            <w:vAlign w:val="center"/>
          </w:tcPr>
          <w:p w14:paraId="240CD516"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616" w:type="dxa"/>
            <w:shd w:val="clear" w:color="auto" w:fill="auto"/>
            <w:vAlign w:val="center"/>
          </w:tcPr>
          <w:p w14:paraId="1B576797"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928" w:type="dxa"/>
            <w:shd w:val="clear" w:color="auto" w:fill="auto"/>
            <w:vAlign w:val="center"/>
          </w:tcPr>
          <w:p w14:paraId="032DC0FC"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850" w:type="dxa"/>
            <w:tcBorders>
              <w:right w:val="nil"/>
            </w:tcBorders>
            <w:shd w:val="clear" w:color="auto" w:fill="auto"/>
            <w:vAlign w:val="center"/>
          </w:tcPr>
          <w:p w14:paraId="0D512EB6"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961" w:type="dxa"/>
            <w:tcBorders>
              <w:top w:val="nil"/>
              <w:left w:val="nil"/>
              <w:bottom w:val="nil"/>
              <w:right w:val="nil"/>
            </w:tcBorders>
            <w:shd w:val="clear" w:color="auto" w:fill="auto"/>
            <w:vAlign w:val="center"/>
          </w:tcPr>
          <w:p w14:paraId="7E79A135"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&lt;0.0001</w:t>
            </w:r>
          </w:p>
        </w:tc>
      </w:tr>
      <w:tr w:rsidR="000C56FB" w:rsidRPr="00293FDF" w14:paraId="178799BD" w14:textId="77777777" w:rsidTr="000F531F">
        <w:trPr>
          <w:jc w:val="center"/>
        </w:trPr>
        <w:tc>
          <w:tcPr>
            <w:tcW w:w="1437" w:type="dxa"/>
            <w:tcBorders>
              <w:top w:val="nil"/>
              <w:left w:val="nil"/>
              <w:bottom w:val="nil"/>
            </w:tcBorders>
            <w:shd w:val="clear" w:color="auto" w:fill="auto"/>
            <w:vAlign w:val="center"/>
          </w:tcPr>
          <w:p w14:paraId="430D5492"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Men</w:t>
            </w:r>
          </w:p>
        </w:tc>
        <w:tc>
          <w:tcPr>
            <w:tcW w:w="616" w:type="dxa"/>
            <w:shd w:val="clear" w:color="auto" w:fill="auto"/>
            <w:vAlign w:val="center"/>
          </w:tcPr>
          <w:p w14:paraId="71723DC0"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938</w:t>
            </w:r>
          </w:p>
        </w:tc>
        <w:tc>
          <w:tcPr>
            <w:tcW w:w="566" w:type="dxa"/>
            <w:shd w:val="clear" w:color="auto" w:fill="auto"/>
            <w:vAlign w:val="center"/>
          </w:tcPr>
          <w:p w14:paraId="46B7F15A"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45.9</w:t>
            </w:r>
          </w:p>
        </w:tc>
        <w:tc>
          <w:tcPr>
            <w:tcW w:w="2192" w:type="dxa"/>
            <w:shd w:val="clear" w:color="auto" w:fill="auto"/>
            <w:vAlign w:val="center"/>
          </w:tcPr>
          <w:p w14:paraId="19B2D440" w14:textId="0A304ADE"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268.8</w:t>
            </w:r>
            <w:r w:rsidR="004716E0">
              <w:rPr>
                <w:rFonts w:ascii="Palatino Linotype" w:hAnsi="Palatino Linotype"/>
                <w:sz w:val="20"/>
              </w:rPr>
              <w:t xml:space="preserve"> </w:t>
            </w:r>
            <w:r w:rsidR="004716E0">
              <w:rPr>
                <w:rFonts w:ascii="Cambria Math" w:hAnsi="Cambria Math"/>
                <w:sz w:val="20"/>
              </w:rPr>
              <w:t xml:space="preserve">± </w:t>
            </w:r>
            <w:r w:rsidRPr="00293FDF">
              <w:rPr>
                <w:rFonts w:ascii="Palatino Linotype" w:hAnsi="Palatino Linotype"/>
                <w:sz w:val="20"/>
              </w:rPr>
              <w:t>207.1</w:t>
            </w:r>
          </w:p>
        </w:tc>
        <w:tc>
          <w:tcPr>
            <w:tcW w:w="2339" w:type="dxa"/>
            <w:shd w:val="clear" w:color="auto" w:fill="auto"/>
            <w:vAlign w:val="center"/>
          </w:tcPr>
          <w:p w14:paraId="7C856AD2" w14:textId="5B9C8A54"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196.0</w:t>
            </w:r>
            <w:r w:rsidR="004716E0">
              <w:rPr>
                <w:rFonts w:ascii="Palatino Linotype" w:hAnsi="Palatino Linotype"/>
                <w:sz w:val="20"/>
              </w:rPr>
              <w:t xml:space="preserve"> </w:t>
            </w:r>
            <w:r w:rsidR="004716E0">
              <w:rPr>
                <w:rFonts w:ascii="Cambria Math" w:hAnsi="Cambria Math"/>
                <w:sz w:val="20"/>
              </w:rPr>
              <w:t xml:space="preserve">± </w:t>
            </w:r>
            <w:r w:rsidRPr="00293FDF">
              <w:rPr>
                <w:rFonts w:ascii="Palatino Linotype" w:hAnsi="Palatino Linotype"/>
                <w:sz w:val="20"/>
              </w:rPr>
              <w:t>185.0</w:t>
            </w:r>
          </w:p>
        </w:tc>
        <w:tc>
          <w:tcPr>
            <w:tcW w:w="2631" w:type="dxa"/>
            <w:shd w:val="clear" w:color="auto" w:fill="auto"/>
            <w:vAlign w:val="center"/>
          </w:tcPr>
          <w:p w14:paraId="255FF6BF" w14:textId="7CD95279"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72.9</w:t>
            </w:r>
            <w:r w:rsidR="004716E0">
              <w:rPr>
                <w:rFonts w:ascii="Palatino Linotype" w:hAnsi="Palatino Linotype"/>
                <w:sz w:val="20"/>
              </w:rPr>
              <w:t xml:space="preserve"> </w:t>
            </w:r>
            <w:r w:rsidR="004716E0">
              <w:rPr>
                <w:rFonts w:ascii="Cambria Math" w:hAnsi="Cambria Math"/>
                <w:sz w:val="20"/>
              </w:rPr>
              <w:t xml:space="preserve">± </w:t>
            </w:r>
            <w:r w:rsidRPr="00293FDF">
              <w:rPr>
                <w:rFonts w:ascii="Palatino Linotype" w:hAnsi="Palatino Linotype"/>
                <w:sz w:val="20"/>
              </w:rPr>
              <w:t>177.0</w:t>
            </w:r>
          </w:p>
        </w:tc>
        <w:tc>
          <w:tcPr>
            <w:tcW w:w="866" w:type="dxa"/>
            <w:shd w:val="clear" w:color="auto" w:fill="auto"/>
            <w:vAlign w:val="center"/>
          </w:tcPr>
          <w:p w14:paraId="6D89CBFC"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12.5392</w:t>
            </w:r>
          </w:p>
        </w:tc>
        <w:tc>
          <w:tcPr>
            <w:tcW w:w="616" w:type="dxa"/>
            <w:shd w:val="clear" w:color="auto" w:fill="auto"/>
            <w:vAlign w:val="center"/>
          </w:tcPr>
          <w:p w14:paraId="5A637124"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937</w:t>
            </w:r>
          </w:p>
        </w:tc>
        <w:tc>
          <w:tcPr>
            <w:tcW w:w="928" w:type="dxa"/>
            <w:shd w:val="clear" w:color="auto" w:fill="auto"/>
            <w:vAlign w:val="center"/>
          </w:tcPr>
          <w:p w14:paraId="33F84FD1"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&lt;0.0001</w:t>
            </w:r>
          </w:p>
        </w:tc>
        <w:tc>
          <w:tcPr>
            <w:tcW w:w="850" w:type="dxa"/>
            <w:tcBorders>
              <w:right w:val="nil"/>
            </w:tcBorders>
            <w:shd w:val="clear" w:color="auto" w:fill="auto"/>
            <w:vAlign w:val="center"/>
          </w:tcPr>
          <w:p w14:paraId="581AC151"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0.3703</w:t>
            </w:r>
          </w:p>
        </w:tc>
        <w:tc>
          <w:tcPr>
            <w:tcW w:w="961" w:type="dxa"/>
            <w:tcBorders>
              <w:top w:val="nil"/>
              <w:left w:val="nil"/>
              <w:bottom w:val="nil"/>
              <w:right w:val="nil"/>
            </w:tcBorders>
            <w:shd w:val="clear" w:color="auto" w:fill="auto"/>
            <w:vAlign w:val="center"/>
          </w:tcPr>
          <w:p w14:paraId="157729B4"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r>
      <w:tr w:rsidR="000C56FB" w:rsidRPr="00293FDF" w14:paraId="03328950" w14:textId="77777777" w:rsidTr="000F531F">
        <w:trPr>
          <w:jc w:val="center"/>
        </w:trPr>
        <w:tc>
          <w:tcPr>
            <w:tcW w:w="1437" w:type="dxa"/>
            <w:tcBorders>
              <w:top w:val="nil"/>
              <w:left w:val="nil"/>
              <w:bottom w:val="nil"/>
            </w:tcBorders>
            <w:shd w:val="clear" w:color="auto" w:fill="auto"/>
            <w:vAlign w:val="center"/>
          </w:tcPr>
          <w:p w14:paraId="482195BE"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Women</w:t>
            </w:r>
          </w:p>
        </w:tc>
        <w:tc>
          <w:tcPr>
            <w:tcW w:w="616" w:type="dxa"/>
            <w:shd w:val="clear" w:color="auto" w:fill="auto"/>
            <w:vAlign w:val="center"/>
          </w:tcPr>
          <w:p w14:paraId="4B7A68B3"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1104</w:t>
            </w:r>
          </w:p>
        </w:tc>
        <w:tc>
          <w:tcPr>
            <w:tcW w:w="566" w:type="dxa"/>
            <w:shd w:val="clear" w:color="auto" w:fill="auto"/>
            <w:vAlign w:val="center"/>
          </w:tcPr>
          <w:p w14:paraId="320F6A3A"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54.1</w:t>
            </w:r>
          </w:p>
        </w:tc>
        <w:tc>
          <w:tcPr>
            <w:tcW w:w="2192" w:type="dxa"/>
            <w:shd w:val="clear" w:color="auto" w:fill="auto"/>
            <w:vAlign w:val="center"/>
          </w:tcPr>
          <w:p w14:paraId="146B0CB0" w14:textId="7DA6EF84"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182.0</w:t>
            </w:r>
            <w:r w:rsidR="004716E0">
              <w:rPr>
                <w:rFonts w:ascii="Palatino Linotype" w:hAnsi="Palatino Linotype"/>
                <w:sz w:val="20"/>
              </w:rPr>
              <w:t xml:space="preserve"> </w:t>
            </w:r>
            <w:r w:rsidR="004716E0">
              <w:rPr>
                <w:rFonts w:ascii="Cambria Math" w:hAnsi="Cambria Math"/>
                <w:sz w:val="20"/>
              </w:rPr>
              <w:t xml:space="preserve">± </w:t>
            </w:r>
            <w:r w:rsidRPr="00293FDF">
              <w:rPr>
                <w:rFonts w:ascii="Palatino Linotype" w:hAnsi="Palatino Linotype"/>
                <w:sz w:val="20"/>
              </w:rPr>
              <w:t>171.7</w:t>
            </w:r>
          </w:p>
        </w:tc>
        <w:tc>
          <w:tcPr>
            <w:tcW w:w="2339" w:type="dxa"/>
            <w:shd w:val="clear" w:color="auto" w:fill="auto"/>
            <w:vAlign w:val="center"/>
          </w:tcPr>
          <w:p w14:paraId="69D278B4" w14:textId="3379F3ED"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160.4</w:t>
            </w:r>
            <w:r w:rsidR="004716E0">
              <w:rPr>
                <w:rFonts w:ascii="Palatino Linotype" w:hAnsi="Palatino Linotype"/>
                <w:sz w:val="20"/>
              </w:rPr>
              <w:t xml:space="preserve"> </w:t>
            </w:r>
            <w:r w:rsidR="004716E0">
              <w:rPr>
                <w:rFonts w:ascii="Cambria Math" w:hAnsi="Cambria Math"/>
                <w:sz w:val="20"/>
              </w:rPr>
              <w:t xml:space="preserve">± </w:t>
            </w:r>
            <w:r w:rsidRPr="00293FDF">
              <w:rPr>
                <w:rFonts w:ascii="Palatino Linotype" w:hAnsi="Palatino Linotype"/>
                <w:sz w:val="20"/>
              </w:rPr>
              <w:t>171.2</w:t>
            </w:r>
          </w:p>
        </w:tc>
        <w:tc>
          <w:tcPr>
            <w:tcW w:w="2631" w:type="dxa"/>
            <w:shd w:val="clear" w:color="auto" w:fill="auto"/>
            <w:vAlign w:val="center"/>
          </w:tcPr>
          <w:p w14:paraId="4A6D7725" w14:textId="00485E3E"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21.7</w:t>
            </w:r>
            <w:r w:rsidR="004716E0">
              <w:rPr>
                <w:rFonts w:ascii="Palatino Linotype" w:hAnsi="Palatino Linotype"/>
                <w:sz w:val="20"/>
              </w:rPr>
              <w:t xml:space="preserve"> </w:t>
            </w:r>
            <w:r w:rsidR="004716E0">
              <w:rPr>
                <w:rFonts w:ascii="Cambria Math" w:hAnsi="Cambria Math"/>
                <w:sz w:val="20"/>
              </w:rPr>
              <w:t xml:space="preserve">± </w:t>
            </w:r>
            <w:r w:rsidRPr="00293FDF">
              <w:rPr>
                <w:rFonts w:ascii="Palatino Linotype" w:hAnsi="Palatino Linotype"/>
                <w:sz w:val="20"/>
              </w:rPr>
              <w:t>178.3</w:t>
            </w:r>
          </w:p>
        </w:tc>
        <w:tc>
          <w:tcPr>
            <w:tcW w:w="866" w:type="dxa"/>
            <w:shd w:val="clear" w:color="auto" w:fill="auto"/>
            <w:vAlign w:val="center"/>
          </w:tcPr>
          <w:p w14:paraId="6480938A"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4.0381</w:t>
            </w:r>
          </w:p>
        </w:tc>
        <w:tc>
          <w:tcPr>
            <w:tcW w:w="616" w:type="dxa"/>
            <w:shd w:val="clear" w:color="auto" w:fill="auto"/>
            <w:vAlign w:val="center"/>
          </w:tcPr>
          <w:p w14:paraId="33A911D1"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1103</w:t>
            </w:r>
          </w:p>
        </w:tc>
        <w:tc>
          <w:tcPr>
            <w:tcW w:w="928" w:type="dxa"/>
            <w:shd w:val="clear" w:color="auto" w:fill="auto"/>
            <w:vAlign w:val="center"/>
          </w:tcPr>
          <w:p w14:paraId="781D3BFD"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&lt;0.0001</w:t>
            </w:r>
          </w:p>
        </w:tc>
        <w:tc>
          <w:tcPr>
            <w:tcW w:w="850" w:type="dxa"/>
            <w:tcBorders>
              <w:right w:val="nil"/>
            </w:tcBorders>
            <w:shd w:val="clear" w:color="auto" w:fill="auto"/>
            <w:vAlign w:val="center"/>
          </w:tcPr>
          <w:p w14:paraId="14935A8A"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0.1264</w:t>
            </w:r>
          </w:p>
        </w:tc>
        <w:tc>
          <w:tcPr>
            <w:tcW w:w="961" w:type="dxa"/>
            <w:tcBorders>
              <w:top w:val="nil"/>
              <w:left w:val="nil"/>
              <w:bottom w:val="nil"/>
              <w:right w:val="nil"/>
            </w:tcBorders>
            <w:shd w:val="clear" w:color="auto" w:fill="auto"/>
            <w:vAlign w:val="center"/>
          </w:tcPr>
          <w:p w14:paraId="74051CE6"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r>
      <w:tr w:rsidR="000C56FB" w:rsidRPr="00293FDF" w14:paraId="154146F3" w14:textId="77777777" w:rsidTr="000F531F">
        <w:trPr>
          <w:jc w:val="center"/>
        </w:trPr>
        <w:tc>
          <w:tcPr>
            <w:tcW w:w="1437" w:type="dxa"/>
            <w:tcBorders>
              <w:top w:val="nil"/>
              <w:left w:val="nil"/>
              <w:bottom w:val="nil"/>
            </w:tcBorders>
            <w:shd w:val="clear" w:color="auto" w:fill="auto"/>
            <w:vAlign w:val="center"/>
          </w:tcPr>
          <w:p w14:paraId="44CA68F3"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b/>
                <w:sz w:val="20"/>
              </w:rPr>
            </w:pPr>
            <w:r w:rsidRPr="00293FDF">
              <w:rPr>
                <w:rFonts w:ascii="Palatino Linotype" w:hAnsi="Palatino Linotype"/>
                <w:b/>
                <w:sz w:val="20"/>
              </w:rPr>
              <w:t>Age</w:t>
            </w:r>
          </w:p>
        </w:tc>
        <w:tc>
          <w:tcPr>
            <w:tcW w:w="616" w:type="dxa"/>
            <w:shd w:val="clear" w:color="auto" w:fill="auto"/>
            <w:vAlign w:val="center"/>
          </w:tcPr>
          <w:p w14:paraId="24291689"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566" w:type="dxa"/>
            <w:shd w:val="clear" w:color="auto" w:fill="auto"/>
            <w:vAlign w:val="center"/>
          </w:tcPr>
          <w:p w14:paraId="57525199"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2192" w:type="dxa"/>
            <w:shd w:val="clear" w:color="auto" w:fill="auto"/>
            <w:vAlign w:val="center"/>
          </w:tcPr>
          <w:p w14:paraId="0C112D88"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2339" w:type="dxa"/>
            <w:shd w:val="clear" w:color="auto" w:fill="auto"/>
            <w:vAlign w:val="center"/>
          </w:tcPr>
          <w:p w14:paraId="0A0C70CF"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2631" w:type="dxa"/>
            <w:shd w:val="clear" w:color="auto" w:fill="auto"/>
            <w:vAlign w:val="center"/>
          </w:tcPr>
          <w:p w14:paraId="1A5063BB"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866" w:type="dxa"/>
            <w:shd w:val="clear" w:color="auto" w:fill="auto"/>
            <w:vAlign w:val="center"/>
          </w:tcPr>
          <w:p w14:paraId="190ECF0F"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616" w:type="dxa"/>
            <w:shd w:val="clear" w:color="auto" w:fill="auto"/>
            <w:vAlign w:val="center"/>
          </w:tcPr>
          <w:p w14:paraId="682A28EC"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928" w:type="dxa"/>
            <w:shd w:val="clear" w:color="auto" w:fill="auto"/>
            <w:vAlign w:val="center"/>
          </w:tcPr>
          <w:p w14:paraId="3470C199"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850" w:type="dxa"/>
            <w:tcBorders>
              <w:right w:val="nil"/>
            </w:tcBorders>
            <w:shd w:val="clear" w:color="auto" w:fill="auto"/>
            <w:vAlign w:val="center"/>
          </w:tcPr>
          <w:p w14:paraId="64BFD895"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961" w:type="dxa"/>
            <w:tcBorders>
              <w:top w:val="nil"/>
              <w:left w:val="nil"/>
              <w:bottom w:val="nil"/>
              <w:right w:val="nil"/>
            </w:tcBorders>
            <w:shd w:val="clear" w:color="auto" w:fill="auto"/>
            <w:vAlign w:val="center"/>
          </w:tcPr>
          <w:p w14:paraId="2EE4A957"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0.1074</w:t>
            </w:r>
          </w:p>
        </w:tc>
      </w:tr>
      <w:tr w:rsidR="000C56FB" w:rsidRPr="00293FDF" w14:paraId="1827F53E" w14:textId="77777777" w:rsidTr="000F531F">
        <w:trPr>
          <w:jc w:val="center"/>
        </w:trPr>
        <w:tc>
          <w:tcPr>
            <w:tcW w:w="1437" w:type="dxa"/>
            <w:tcBorders>
              <w:top w:val="nil"/>
              <w:left w:val="nil"/>
              <w:bottom w:val="nil"/>
            </w:tcBorders>
            <w:shd w:val="clear" w:color="auto" w:fill="auto"/>
            <w:vAlign w:val="center"/>
          </w:tcPr>
          <w:p w14:paraId="044B91AD"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&lt;43 years</w:t>
            </w:r>
          </w:p>
        </w:tc>
        <w:tc>
          <w:tcPr>
            <w:tcW w:w="616" w:type="dxa"/>
            <w:shd w:val="clear" w:color="auto" w:fill="auto"/>
            <w:vAlign w:val="center"/>
          </w:tcPr>
          <w:p w14:paraId="62205291"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1441</w:t>
            </w:r>
          </w:p>
        </w:tc>
        <w:tc>
          <w:tcPr>
            <w:tcW w:w="566" w:type="dxa"/>
            <w:shd w:val="clear" w:color="auto" w:fill="auto"/>
            <w:vAlign w:val="center"/>
          </w:tcPr>
          <w:p w14:paraId="0D0C71C6"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70.6</w:t>
            </w:r>
          </w:p>
        </w:tc>
        <w:tc>
          <w:tcPr>
            <w:tcW w:w="2192" w:type="dxa"/>
            <w:shd w:val="clear" w:color="auto" w:fill="auto"/>
            <w:vAlign w:val="center"/>
          </w:tcPr>
          <w:p w14:paraId="31757E64" w14:textId="56CD3478"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238.4</w:t>
            </w:r>
            <w:r w:rsidR="004716E0">
              <w:rPr>
                <w:rFonts w:ascii="Palatino Linotype" w:hAnsi="Palatino Linotype"/>
                <w:sz w:val="20"/>
              </w:rPr>
              <w:t xml:space="preserve"> </w:t>
            </w:r>
            <w:r w:rsidR="004716E0">
              <w:rPr>
                <w:rFonts w:ascii="Cambria Math" w:hAnsi="Cambria Math"/>
                <w:sz w:val="20"/>
              </w:rPr>
              <w:t xml:space="preserve">± </w:t>
            </w:r>
            <w:r w:rsidRPr="00293FDF">
              <w:rPr>
                <w:rFonts w:ascii="Palatino Linotype" w:hAnsi="Palatino Linotype"/>
                <w:sz w:val="20"/>
              </w:rPr>
              <w:t>201.4</w:t>
            </w:r>
          </w:p>
        </w:tc>
        <w:tc>
          <w:tcPr>
            <w:tcW w:w="2339" w:type="dxa"/>
            <w:shd w:val="clear" w:color="auto" w:fill="auto"/>
            <w:vAlign w:val="center"/>
          </w:tcPr>
          <w:p w14:paraId="037E846B" w14:textId="6067DF20"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196.4</w:t>
            </w:r>
            <w:r w:rsidR="004716E0">
              <w:rPr>
                <w:rFonts w:ascii="Palatino Linotype" w:hAnsi="Palatino Linotype"/>
                <w:sz w:val="20"/>
              </w:rPr>
              <w:t xml:space="preserve"> </w:t>
            </w:r>
            <w:r w:rsidR="004716E0">
              <w:rPr>
                <w:rFonts w:ascii="Cambria Math" w:hAnsi="Cambria Math"/>
                <w:sz w:val="20"/>
              </w:rPr>
              <w:t xml:space="preserve">± </w:t>
            </w:r>
            <w:r w:rsidRPr="00293FDF">
              <w:rPr>
                <w:rFonts w:ascii="Palatino Linotype" w:hAnsi="Palatino Linotype"/>
                <w:sz w:val="20"/>
              </w:rPr>
              <w:t>181.9</w:t>
            </w:r>
          </w:p>
        </w:tc>
        <w:tc>
          <w:tcPr>
            <w:tcW w:w="2631" w:type="dxa"/>
            <w:shd w:val="clear" w:color="auto" w:fill="auto"/>
            <w:vAlign w:val="center"/>
          </w:tcPr>
          <w:p w14:paraId="27AAB84B" w14:textId="39F8A2D2"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42.0</w:t>
            </w:r>
            <w:r w:rsidR="004716E0">
              <w:rPr>
                <w:rFonts w:ascii="Palatino Linotype" w:hAnsi="Palatino Linotype"/>
                <w:sz w:val="20"/>
              </w:rPr>
              <w:t xml:space="preserve"> </w:t>
            </w:r>
            <w:r w:rsidR="004716E0">
              <w:rPr>
                <w:rFonts w:ascii="Cambria Math" w:hAnsi="Cambria Math"/>
                <w:sz w:val="20"/>
              </w:rPr>
              <w:t xml:space="preserve">± </w:t>
            </w:r>
            <w:r w:rsidRPr="00293FDF">
              <w:rPr>
                <w:rFonts w:ascii="Palatino Linotype" w:hAnsi="Palatino Linotype"/>
                <w:sz w:val="20"/>
              </w:rPr>
              <w:t>183.0</w:t>
            </w:r>
          </w:p>
        </w:tc>
        <w:tc>
          <w:tcPr>
            <w:tcW w:w="866" w:type="dxa"/>
            <w:shd w:val="clear" w:color="auto" w:fill="auto"/>
            <w:vAlign w:val="center"/>
          </w:tcPr>
          <w:p w14:paraId="5B6CCA4B"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8.7093</w:t>
            </w:r>
          </w:p>
        </w:tc>
        <w:tc>
          <w:tcPr>
            <w:tcW w:w="616" w:type="dxa"/>
            <w:shd w:val="clear" w:color="auto" w:fill="auto"/>
            <w:vAlign w:val="center"/>
          </w:tcPr>
          <w:p w14:paraId="77999029"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1440</w:t>
            </w:r>
          </w:p>
        </w:tc>
        <w:tc>
          <w:tcPr>
            <w:tcW w:w="928" w:type="dxa"/>
            <w:shd w:val="clear" w:color="auto" w:fill="auto"/>
            <w:vAlign w:val="center"/>
          </w:tcPr>
          <w:p w14:paraId="593C6AD5"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&lt;0.0001</w:t>
            </w:r>
          </w:p>
        </w:tc>
        <w:tc>
          <w:tcPr>
            <w:tcW w:w="850" w:type="dxa"/>
            <w:tcBorders>
              <w:right w:val="nil"/>
            </w:tcBorders>
            <w:shd w:val="clear" w:color="auto" w:fill="auto"/>
            <w:vAlign w:val="center"/>
          </w:tcPr>
          <w:p w14:paraId="7DDB439E"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0.2188</w:t>
            </w:r>
          </w:p>
        </w:tc>
        <w:tc>
          <w:tcPr>
            <w:tcW w:w="961" w:type="dxa"/>
            <w:tcBorders>
              <w:top w:val="nil"/>
              <w:left w:val="nil"/>
              <w:bottom w:val="nil"/>
              <w:right w:val="nil"/>
            </w:tcBorders>
            <w:shd w:val="clear" w:color="auto" w:fill="auto"/>
            <w:vAlign w:val="center"/>
          </w:tcPr>
          <w:p w14:paraId="5FBE0739"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r>
      <w:tr w:rsidR="000C56FB" w:rsidRPr="00293FDF" w14:paraId="79A41A25" w14:textId="77777777" w:rsidTr="000F531F">
        <w:trPr>
          <w:jc w:val="center"/>
        </w:trPr>
        <w:tc>
          <w:tcPr>
            <w:tcW w:w="1437" w:type="dxa"/>
            <w:tcBorders>
              <w:top w:val="nil"/>
              <w:left w:val="nil"/>
              <w:bottom w:val="nil"/>
            </w:tcBorders>
            <w:shd w:val="clear" w:color="auto" w:fill="auto"/>
            <w:vAlign w:val="center"/>
          </w:tcPr>
          <w:p w14:paraId="4FF815B4"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≥43 years</w:t>
            </w:r>
          </w:p>
        </w:tc>
        <w:tc>
          <w:tcPr>
            <w:tcW w:w="616" w:type="dxa"/>
            <w:shd w:val="clear" w:color="auto" w:fill="auto"/>
            <w:vAlign w:val="center"/>
          </w:tcPr>
          <w:p w14:paraId="7B656D7C"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601</w:t>
            </w:r>
          </w:p>
        </w:tc>
        <w:tc>
          <w:tcPr>
            <w:tcW w:w="566" w:type="dxa"/>
            <w:shd w:val="clear" w:color="auto" w:fill="auto"/>
            <w:vAlign w:val="center"/>
          </w:tcPr>
          <w:p w14:paraId="7D2618BE"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29.4</w:t>
            </w:r>
          </w:p>
        </w:tc>
        <w:tc>
          <w:tcPr>
            <w:tcW w:w="2192" w:type="dxa"/>
            <w:shd w:val="clear" w:color="auto" w:fill="auto"/>
            <w:vAlign w:val="center"/>
          </w:tcPr>
          <w:p w14:paraId="3990240A" w14:textId="6659D96A"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182.4</w:t>
            </w:r>
            <w:r w:rsidR="004716E0">
              <w:rPr>
                <w:rFonts w:ascii="Palatino Linotype" w:hAnsi="Palatino Linotype"/>
                <w:sz w:val="20"/>
              </w:rPr>
              <w:t xml:space="preserve"> </w:t>
            </w:r>
            <w:r w:rsidR="004716E0">
              <w:rPr>
                <w:rFonts w:ascii="Cambria Math" w:hAnsi="Cambria Math"/>
                <w:sz w:val="20"/>
              </w:rPr>
              <w:t xml:space="preserve">± </w:t>
            </w:r>
            <w:r w:rsidRPr="00293FDF">
              <w:rPr>
                <w:rFonts w:ascii="Palatino Linotype" w:hAnsi="Palatino Linotype"/>
                <w:sz w:val="20"/>
              </w:rPr>
              <w:t>167.3</w:t>
            </w:r>
          </w:p>
        </w:tc>
        <w:tc>
          <w:tcPr>
            <w:tcW w:w="2339" w:type="dxa"/>
            <w:shd w:val="clear" w:color="auto" w:fill="auto"/>
            <w:vAlign w:val="center"/>
          </w:tcPr>
          <w:p w14:paraId="69C36694" w14:textId="0BE7C949"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129.6</w:t>
            </w:r>
            <w:r w:rsidR="004716E0">
              <w:rPr>
                <w:rFonts w:ascii="Palatino Linotype" w:hAnsi="Palatino Linotype"/>
                <w:sz w:val="20"/>
              </w:rPr>
              <w:t xml:space="preserve"> </w:t>
            </w:r>
            <w:r w:rsidR="004716E0">
              <w:rPr>
                <w:rFonts w:ascii="Cambria Math" w:hAnsi="Cambria Math"/>
                <w:sz w:val="20"/>
              </w:rPr>
              <w:t xml:space="preserve">± </w:t>
            </w:r>
            <w:r w:rsidRPr="00293FDF">
              <w:rPr>
                <w:rFonts w:ascii="Palatino Linotype" w:hAnsi="Palatino Linotype"/>
                <w:sz w:val="20"/>
              </w:rPr>
              <w:t>162.4</w:t>
            </w:r>
          </w:p>
        </w:tc>
        <w:tc>
          <w:tcPr>
            <w:tcW w:w="2631" w:type="dxa"/>
            <w:shd w:val="clear" w:color="auto" w:fill="auto"/>
            <w:vAlign w:val="center"/>
          </w:tcPr>
          <w:p w14:paraId="08431888" w14:textId="256BF73D"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52.8</w:t>
            </w:r>
            <w:r w:rsidR="004716E0">
              <w:rPr>
                <w:rFonts w:ascii="Palatino Linotype" w:hAnsi="Palatino Linotype"/>
                <w:sz w:val="20"/>
              </w:rPr>
              <w:t xml:space="preserve"> </w:t>
            </w:r>
            <w:r w:rsidR="004716E0">
              <w:rPr>
                <w:rFonts w:ascii="Cambria Math" w:hAnsi="Cambria Math"/>
                <w:sz w:val="20"/>
              </w:rPr>
              <w:t xml:space="preserve">± </w:t>
            </w:r>
            <w:r w:rsidRPr="00293FDF">
              <w:rPr>
                <w:rFonts w:ascii="Palatino Linotype" w:hAnsi="Palatino Linotype"/>
                <w:sz w:val="20"/>
              </w:rPr>
              <w:t>172.1</w:t>
            </w:r>
          </w:p>
        </w:tc>
        <w:tc>
          <w:tcPr>
            <w:tcW w:w="866" w:type="dxa"/>
            <w:shd w:val="clear" w:color="auto" w:fill="auto"/>
            <w:vAlign w:val="center"/>
          </w:tcPr>
          <w:p w14:paraId="1110C7F1"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7.5255</w:t>
            </w:r>
          </w:p>
        </w:tc>
        <w:tc>
          <w:tcPr>
            <w:tcW w:w="616" w:type="dxa"/>
            <w:shd w:val="clear" w:color="auto" w:fill="auto"/>
            <w:vAlign w:val="center"/>
          </w:tcPr>
          <w:p w14:paraId="4BD3144F"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600</w:t>
            </w:r>
          </w:p>
        </w:tc>
        <w:tc>
          <w:tcPr>
            <w:tcW w:w="928" w:type="dxa"/>
            <w:shd w:val="clear" w:color="auto" w:fill="auto"/>
            <w:vAlign w:val="center"/>
          </w:tcPr>
          <w:p w14:paraId="7BBEF788"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&lt;0.0001</w:t>
            </w:r>
          </w:p>
        </w:tc>
        <w:tc>
          <w:tcPr>
            <w:tcW w:w="850" w:type="dxa"/>
            <w:tcBorders>
              <w:right w:val="nil"/>
            </w:tcBorders>
            <w:shd w:val="clear" w:color="auto" w:fill="auto"/>
            <w:vAlign w:val="center"/>
          </w:tcPr>
          <w:p w14:paraId="682B1EA1"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0.3205</w:t>
            </w:r>
          </w:p>
        </w:tc>
        <w:tc>
          <w:tcPr>
            <w:tcW w:w="961" w:type="dxa"/>
            <w:tcBorders>
              <w:top w:val="nil"/>
              <w:left w:val="nil"/>
              <w:bottom w:val="nil"/>
              <w:right w:val="nil"/>
            </w:tcBorders>
            <w:shd w:val="clear" w:color="auto" w:fill="auto"/>
            <w:vAlign w:val="center"/>
          </w:tcPr>
          <w:p w14:paraId="5942FB00"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r>
      <w:tr w:rsidR="000C56FB" w:rsidRPr="00293FDF" w14:paraId="74190758" w14:textId="77777777" w:rsidTr="000F531F">
        <w:trPr>
          <w:jc w:val="center"/>
        </w:trPr>
        <w:tc>
          <w:tcPr>
            <w:tcW w:w="1437" w:type="dxa"/>
            <w:tcBorders>
              <w:top w:val="nil"/>
              <w:left w:val="nil"/>
              <w:bottom w:val="nil"/>
            </w:tcBorders>
            <w:shd w:val="clear" w:color="auto" w:fill="auto"/>
            <w:vAlign w:val="center"/>
          </w:tcPr>
          <w:p w14:paraId="278BF3E8"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b/>
                <w:sz w:val="20"/>
              </w:rPr>
            </w:pPr>
            <w:r w:rsidRPr="00293FDF">
              <w:rPr>
                <w:rFonts w:ascii="Palatino Linotype" w:hAnsi="Palatino Linotype"/>
                <w:b/>
                <w:sz w:val="20"/>
              </w:rPr>
              <w:t>Civil status</w:t>
            </w:r>
          </w:p>
        </w:tc>
        <w:tc>
          <w:tcPr>
            <w:tcW w:w="616" w:type="dxa"/>
            <w:shd w:val="clear" w:color="auto" w:fill="auto"/>
            <w:vAlign w:val="center"/>
          </w:tcPr>
          <w:p w14:paraId="3F18C580"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566" w:type="dxa"/>
            <w:shd w:val="clear" w:color="auto" w:fill="auto"/>
            <w:vAlign w:val="center"/>
          </w:tcPr>
          <w:p w14:paraId="345D9E83"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2192" w:type="dxa"/>
            <w:shd w:val="clear" w:color="auto" w:fill="auto"/>
            <w:vAlign w:val="center"/>
          </w:tcPr>
          <w:p w14:paraId="0696C75C"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2339" w:type="dxa"/>
            <w:shd w:val="clear" w:color="auto" w:fill="auto"/>
            <w:vAlign w:val="center"/>
          </w:tcPr>
          <w:p w14:paraId="616AB7A3"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2631" w:type="dxa"/>
            <w:shd w:val="clear" w:color="auto" w:fill="auto"/>
            <w:vAlign w:val="center"/>
          </w:tcPr>
          <w:p w14:paraId="5613D04A"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866" w:type="dxa"/>
            <w:shd w:val="clear" w:color="auto" w:fill="auto"/>
            <w:vAlign w:val="center"/>
          </w:tcPr>
          <w:p w14:paraId="512A8C2F"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616" w:type="dxa"/>
            <w:shd w:val="clear" w:color="auto" w:fill="auto"/>
            <w:vAlign w:val="center"/>
          </w:tcPr>
          <w:p w14:paraId="6850D717"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928" w:type="dxa"/>
            <w:shd w:val="clear" w:color="auto" w:fill="auto"/>
            <w:vAlign w:val="center"/>
          </w:tcPr>
          <w:p w14:paraId="00587C67"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850" w:type="dxa"/>
            <w:tcBorders>
              <w:right w:val="nil"/>
            </w:tcBorders>
            <w:shd w:val="clear" w:color="auto" w:fill="auto"/>
            <w:vAlign w:val="center"/>
          </w:tcPr>
          <w:p w14:paraId="5DA9363C"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961" w:type="dxa"/>
            <w:tcBorders>
              <w:top w:val="nil"/>
              <w:left w:val="nil"/>
              <w:bottom w:val="nil"/>
              <w:right w:val="nil"/>
            </w:tcBorders>
            <w:shd w:val="clear" w:color="auto" w:fill="auto"/>
            <w:vAlign w:val="center"/>
          </w:tcPr>
          <w:p w14:paraId="3F928C31"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0.1951</w:t>
            </w:r>
          </w:p>
        </w:tc>
      </w:tr>
      <w:tr w:rsidR="000C56FB" w:rsidRPr="00293FDF" w14:paraId="36D97FA1" w14:textId="77777777" w:rsidTr="000F531F">
        <w:trPr>
          <w:jc w:val="center"/>
        </w:trPr>
        <w:tc>
          <w:tcPr>
            <w:tcW w:w="1437" w:type="dxa"/>
            <w:tcBorders>
              <w:top w:val="nil"/>
              <w:left w:val="nil"/>
              <w:bottom w:val="nil"/>
            </w:tcBorders>
            <w:shd w:val="clear" w:color="auto" w:fill="auto"/>
            <w:vAlign w:val="center"/>
          </w:tcPr>
          <w:p w14:paraId="7F3BA91C"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Married</w:t>
            </w:r>
          </w:p>
        </w:tc>
        <w:tc>
          <w:tcPr>
            <w:tcW w:w="616" w:type="dxa"/>
            <w:shd w:val="clear" w:color="auto" w:fill="auto"/>
            <w:vAlign w:val="center"/>
          </w:tcPr>
          <w:p w14:paraId="2ED397FA"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1001</w:t>
            </w:r>
          </w:p>
        </w:tc>
        <w:tc>
          <w:tcPr>
            <w:tcW w:w="566" w:type="dxa"/>
            <w:shd w:val="clear" w:color="auto" w:fill="auto"/>
            <w:vAlign w:val="center"/>
          </w:tcPr>
          <w:p w14:paraId="067A0E97"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49.0</w:t>
            </w:r>
          </w:p>
        </w:tc>
        <w:tc>
          <w:tcPr>
            <w:tcW w:w="2192" w:type="dxa"/>
            <w:shd w:val="clear" w:color="auto" w:fill="auto"/>
            <w:vAlign w:val="center"/>
          </w:tcPr>
          <w:p w14:paraId="138E763F" w14:textId="50BE2BE0"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210.1</w:t>
            </w:r>
            <w:r w:rsidR="004716E0">
              <w:rPr>
                <w:rFonts w:ascii="Cambria Math" w:hAnsi="Cambria Math"/>
                <w:sz w:val="20"/>
              </w:rPr>
              <w:t xml:space="preserve"> ± </w:t>
            </w:r>
            <w:r w:rsidRPr="00293FDF">
              <w:rPr>
                <w:rFonts w:ascii="Palatino Linotype" w:hAnsi="Palatino Linotype"/>
                <w:sz w:val="20"/>
              </w:rPr>
              <w:t>187.6</w:t>
            </w:r>
          </w:p>
        </w:tc>
        <w:tc>
          <w:tcPr>
            <w:tcW w:w="2339" w:type="dxa"/>
            <w:shd w:val="clear" w:color="auto" w:fill="auto"/>
            <w:vAlign w:val="center"/>
          </w:tcPr>
          <w:p w14:paraId="5B5B1BFD" w14:textId="405860D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161.4</w:t>
            </w:r>
            <w:r w:rsidR="004716E0">
              <w:rPr>
                <w:rFonts w:ascii="Cambria Math" w:hAnsi="Cambria Math"/>
                <w:sz w:val="20"/>
              </w:rPr>
              <w:t xml:space="preserve"> ± </w:t>
            </w:r>
            <w:r w:rsidRPr="00293FDF">
              <w:rPr>
                <w:rFonts w:ascii="Palatino Linotype" w:hAnsi="Palatino Linotype"/>
                <w:sz w:val="20"/>
              </w:rPr>
              <w:t>170.6</w:t>
            </w:r>
          </w:p>
        </w:tc>
        <w:tc>
          <w:tcPr>
            <w:tcW w:w="2631" w:type="dxa"/>
            <w:shd w:val="clear" w:color="auto" w:fill="auto"/>
            <w:vAlign w:val="center"/>
          </w:tcPr>
          <w:p w14:paraId="514D8F3A" w14:textId="0F7C210A"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48.7</w:t>
            </w:r>
            <w:r w:rsidR="004716E0">
              <w:rPr>
                <w:rFonts w:ascii="Cambria Math" w:hAnsi="Cambria Math"/>
                <w:sz w:val="20"/>
              </w:rPr>
              <w:t xml:space="preserve"> ± </w:t>
            </w:r>
            <w:r w:rsidRPr="00293FDF">
              <w:rPr>
                <w:rFonts w:ascii="Palatino Linotype" w:hAnsi="Palatino Linotype"/>
                <w:sz w:val="20"/>
              </w:rPr>
              <w:t>173.7</w:t>
            </w:r>
          </w:p>
        </w:tc>
        <w:tc>
          <w:tcPr>
            <w:tcW w:w="866" w:type="dxa"/>
            <w:shd w:val="clear" w:color="auto" w:fill="auto"/>
            <w:vAlign w:val="center"/>
          </w:tcPr>
          <w:p w14:paraId="277C8781"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8.8637</w:t>
            </w:r>
          </w:p>
        </w:tc>
        <w:tc>
          <w:tcPr>
            <w:tcW w:w="616" w:type="dxa"/>
            <w:shd w:val="clear" w:color="auto" w:fill="auto"/>
            <w:vAlign w:val="center"/>
          </w:tcPr>
          <w:p w14:paraId="6F6714C3"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1000</w:t>
            </w:r>
          </w:p>
        </w:tc>
        <w:tc>
          <w:tcPr>
            <w:tcW w:w="928" w:type="dxa"/>
            <w:shd w:val="clear" w:color="auto" w:fill="auto"/>
            <w:vAlign w:val="center"/>
          </w:tcPr>
          <w:p w14:paraId="60945FD2"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&lt;0.0001</w:t>
            </w:r>
          </w:p>
        </w:tc>
        <w:tc>
          <w:tcPr>
            <w:tcW w:w="850" w:type="dxa"/>
            <w:tcBorders>
              <w:right w:val="nil"/>
            </w:tcBorders>
            <w:shd w:val="clear" w:color="auto" w:fill="auto"/>
            <w:vAlign w:val="center"/>
          </w:tcPr>
          <w:p w14:paraId="372CD32E"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0.2715</w:t>
            </w:r>
          </w:p>
        </w:tc>
        <w:tc>
          <w:tcPr>
            <w:tcW w:w="961" w:type="dxa"/>
            <w:tcBorders>
              <w:top w:val="nil"/>
              <w:left w:val="nil"/>
              <w:bottom w:val="nil"/>
              <w:right w:val="nil"/>
            </w:tcBorders>
            <w:shd w:val="clear" w:color="auto" w:fill="auto"/>
            <w:vAlign w:val="center"/>
          </w:tcPr>
          <w:p w14:paraId="4DAE6806"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r>
      <w:tr w:rsidR="000C56FB" w:rsidRPr="00293FDF" w14:paraId="0E1921D5" w14:textId="77777777" w:rsidTr="000F531F">
        <w:trPr>
          <w:jc w:val="center"/>
        </w:trPr>
        <w:tc>
          <w:tcPr>
            <w:tcW w:w="1437" w:type="dxa"/>
            <w:tcBorders>
              <w:top w:val="nil"/>
              <w:left w:val="nil"/>
              <w:bottom w:val="nil"/>
            </w:tcBorders>
            <w:shd w:val="clear" w:color="auto" w:fill="auto"/>
            <w:vAlign w:val="center"/>
          </w:tcPr>
          <w:p w14:paraId="510207F9"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Not married</w:t>
            </w:r>
          </w:p>
        </w:tc>
        <w:tc>
          <w:tcPr>
            <w:tcW w:w="616" w:type="dxa"/>
            <w:shd w:val="clear" w:color="auto" w:fill="auto"/>
            <w:vAlign w:val="center"/>
          </w:tcPr>
          <w:p w14:paraId="55F8B60B"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1041</w:t>
            </w:r>
          </w:p>
        </w:tc>
        <w:tc>
          <w:tcPr>
            <w:tcW w:w="566" w:type="dxa"/>
            <w:shd w:val="clear" w:color="auto" w:fill="auto"/>
            <w:vAlign w:val="center"/>
          </w:tcPr>
          <w:p w14:paraId="416CB4FD"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51.0</w:t>
            </w:r>
          </w:p>
        </w:tc>
        <w:tc>
          <w:tcPr>
            <w:tcW w:w="2192" w:type="dxa"/>
            <w:shd w:val="clear" w:color="auto" w:fill="auto"/>
            <w:vAlign w:val="center"/>
          </w:tcPr>
          <w:p w14:paraId="02682475" w14:textId="74E3C7C2"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233.2</w:t>
            </w:r>
            <w:r w:rsidR="004716E0">
              <w:rPr>
                <w:rFonts w:ascii="Cambria Math" w:hAnsi="Cambria Math"/>
                <w:sz w:val="20"/>
              </w:rPr>
              <w:t xml:space="preserve"> ± </w:t>
            </w:r>
            <w:r w:rsidRPr="00293FDF">
              <w:rPr>
                <w:rFonts w:ascii="Palatino Linotype" w:hAnsi="Palatino Linotype"/>
                <w:sz w:val="20"/>
              </w:rPr>
              <w:t>198.8</w:t>
            </w:r>
          </w:p>
        </w:tc>
        <w:tc>
          <w:tcPr>
            <w:tcW w:w="2339" w:type="dxa"/>
            <w:shd w:val="clear" w:color="auto" w:fill="auto"/>
            <w:vAlign w:val="center"/>
          </w:tcPr>
          <w:p w14:paraId="704B481C" w14:textId="1F2BCD00"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191.4</w:t>
            </w:r>
            <w:r w:rsidR="004716E0">
              <w:rPr>
                <w:rFonts w:ascii="Cambria Math" w:hAnsi="Cambria Math"/>
                <w:sz w:val="20"/>
              </w:rPr>
              <w:t xml:space="preserve"> ± </w:t>
            </w:r>
            <w:r w:rsidRPr="00293FDF">
              <w:rPr>
                <w:rFonts w:ascii="Palatino Linotype" w:hAnsi="Palatino Linotype"/>
                <w:sz w:val="20"/>
              </w:rPr>
              <w:t>185.5</w:t>
            </w:r>
          </w:p>
        </w:tc>
        <w:tc>
          <w:tcPr>
            <w:tcW w:w="2631" w:type="dxa"/>
            <w:shd w:val="clear" w:color="auto" w:fill="auto"/>
            <w:vAlign w:val="center"/>
          </w:tcPr>
          <w:p w14:paraId="131A4F71" w14:textId="13C3393A"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41.8</w:t>
            </w:r>
            <w:r w:rsidR="004716E0">
              <w:rPr>
                <w:rFonts w:ascii="Cambria Math" w:hAnsi="Cambria Math"/>
                <w:sz w:val="20"/>
              </w:rPr>
              <w:t xml:space="preserve"> ± </w:t>
            </w:r>
            <w:r w:rsidRPr="00293FDF">
              <w:rPr>
                <w:rFonts w:ascii="Palatino Linotype" w:hAnsi="Palatino Linotype"/>
                <w:sz w:val="20"/>
              </w:rPr>
              <w:t>185.7</w:t>
            </w:r>
          </w:p>
        </w:tc>
        <w:tc>
          <w:tcPr>
            <w:tcW w:w="866" w:type="dxa"/>
            <w:shd w:val="clear" w:color="auto" w:fill="auto"/>
            <w:vAlign w:val="center"/>
          </w:tcPr>
          <w:p w14:paraId="7366506E"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7.2681</w:t>
            </w:r>
          </w:p>
        </w:tc>
        <w:tc>
          <w:tcPr>
            <w:tcW w:w="616" w:type="dxa"/>
            <w:shd w:val="clear" w:color="auto" w:fill="auto"/>
            <w:vAlign w:val="center"/>
          </w:tcPr>
          <w:p w14:paraId="37287683"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1040</w:t>
            </w:r>
          </w:p>
        </w:tc>
        <w:tc>
          <w:tcPr>
            <w:tcW w:w="928" w:type="dxa"/>
            <w:shd w:val="clear" w:color="auto" w:fill="auto"/>
            <w:vAlign w:val="center"/>
          </w:tcPr>
          <w:p w14:paraId="26573E75"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&lt;0.0001</w:t>
            </w:r>
          </w:p>
        </w:tc>
        <w:tc>
          <w:tcPr>
            <w:tcW w:w="850" w:type="dxa"/>
            <w:tcBorders>
              <w:right w:val="nil"/>
            </w:tcBorders>
            <w:shd w:val="clear" w:color="auto" w:fill="auto"/>
            <w:vAlign w:val="center"/>
          </w:tcPr>
          <w:p w14:paraId="7C03D130"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0.2176</w:t>
            </w:r>
          </w:p>
        </w:tc>
        <w:tc>
          <w:tcPr>
            <w:tcW w:w="961" w:type="dxa"/>
            <w:tcBorders>
              <w:top w:val="nil"/>
              <w:left w:val="nil"/>
              <w:bottom w:val="nil"/>
              <w:right w:val="nil"/>
            </w:tcBorders>
            <w:shd w:val="clear" w:color="auto" w:fill="auto"/>
            <w:vAlign w:val="center"/>
          </w:tcPr>
          <w:p w14:paraId="397D119A"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r>
      <w:tr w:rsidR="000C56FB" w:rsidRPr="00293FDF" w14:paraId="2391C3CD" w14:textId="77777777" w:rsidTr="000F531F">
        <w:trPr>
          <w:jc w:val="center"/>
        </w:trPr>
        <w:tc>
          <w:tcPr>
            <w:tcW w:w="1437" w:type="dxa"/>
            <w:tcBorders>
              <w:top w:val="nil"/>
              <w:left w:val="nil"/>
              <w:bottom w:val="nil"/>
            </w:tcBorders>
            <w:shd w:val="clear" w:color="auto" w:fill="auto"/>
            <w:vAlign w:val="center"/>
          </w:tcPr>
          <w:p w14:paraId="75339688"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b/>
                <w:sz w:val="20"/>
              </w:rPr>
            </w:pPr>
            <w:r w:rsidRPr="00293FDF">
              <w:rPr>
                <w:rFonts w:ascii="Palatino Linotype" w:hAnsi="Palatino Linotype"/>
                <w:b/>
                <w:sz w:val="20"/>
              </w:rPr>
              <w:t>Education</w:t>
            </w:r>
          </w:p>
        </w:tc>
        <w:tc>
          <w:tcPr>
            <w:tcW w:w="616" w:type="dxa"/>
            <w:shd w:val="clear" w:color="auto" w:fill="auto"/>
            <w:vAlign w:val="center"/>
          </w:tcPr>
          <w:p w14:paraId="5722DB69"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566" w:type="dxa"/>
            <w:shd w:val="clear" w:color="auto" w:fill="auto"/>
            <w:vAlign w:val="center"/>
          </w:tcPr>
          <w:p w14:paraId="6F483CA9"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2192" w:type="dxa"/>
            <w:shd w:val="clear" w:color="auto" w:fill="auto"/>
            <w:vAlign w:val="center"/>
          </w:tcPr>
          <w:p w14:paraId="414C005A"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2339" w:type="dxa"/>
            <w:shd w:val="clear" w:color="auto" w:fill="auto"/>
            <w:vAlign w:val="center"/>
          </w:tcPr>
          <w:p w14:paraId="1BB65856"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2631" w:type="dxa"/>
            <w:shd w:val="clear" w:color="auto" w:fill="auto"/>
            <w:vAlign w:val="center"/>
          </w:tcPr>
          <w:p w14:paraId="3D679457"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866" w:type="dxa"/>
            <w:shd w:val="clear" w:color="auto" w:fill="auto"/>
            <w:vAlign w:val="center"/>
          </w:tcPr>
          <w:p w14:paraId="49B290D1"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616" w:type="dxa"/>
            <w:shd w:val="clear" w:color="auto" w:fill="auto"/>
            <w:vAlign w:val="center"/>
          </w:tcPr>
          <w:p w14:paraId="626A7924"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928" w:type="dxa"/>
            <w:shd w:val="clear" w:color="auto" w:fill="auto"/>
            <w:vAlign w:val="center"/>
          </w:tcPr>
          <w:p w14:paraId="29B64467"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850" w:type="dxa"/>
            <w:tcBorders>
              <w:right w:val="nil"/>
            </w:tcBorders>
            <w:shd w:val="clear" w:color="auto" w:fill="auto"/>
            <w:vAlign w:val="center"/>
          </w:tcPr>
          <w:p w14:paraId="506AF397"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961" w:type="dxa"/>
            <w:tcBorders>
              <w:top w:val="nil"/>
              <w:left w:val="nil"/>
              <w:bottom w:val="nil"/>
              <w:right w:val="nil"/>
            </w:tcBorders>
            <w:shd w:val="clear" w:color="auto" w:fill="auto"/>
            <w:vAlign w:val="center"/>
          </w:tcPr>
          <w:p w14:paraId="320FCF55"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0.0011</w:t>
            </w:r>
          </w:p>
        </w:tc>
      </w:tr>
      <w:tr w:rsidR="000C56FB" w:rsidRPr="00293FDF" w14:paraId="11826548" w14:textId="77777777" w:rsidTr="000F531F">
        <w:trPr>
          <w:jc w:val="center"/>
        </w:trPr>
        <w:tc>
          <w:tcPr>
            <w:tcW w:w="1437" w:type="dxa"/>
            <w:tcBorders>
              <w:top w:val="nil"/>
              <w:left w:val="nil"/>
              <w:bottom w:val="nil"/>
            </w:tcBorders>
            <w:shd w:val="clear" w:color="auto" w:fill="auto"/>
            <w:vAlign w:val="center"/>
          </w:tcPr>
          <w:p w14:paraId="2A1153BC"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University degree</w:t>
            </w:r>
          </w:p>
        </w:tc>
        <w:tc>
          <w:tcPr>
            <w:tcW w:w="616" w:type="dxa"/>
            <w:shd w:val="clear" w:color="auto" w:fill="auto"/>
            <w:vAlign w:val="center"/>
          </w:tcPr>
          <w:p w14:paraId="75C618FA"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1293</w:t>
            </w:r>
          </w:p>
        </w:tc>
        <w:tc>
          <w:tcPr>
            <w:tcW w:w="566" w:type="dxa"/>
            <w:shd w:val="clear" w:color="auto" w:fill="auto"/>
            <w:vAlign w:val="center"/>
          </w:tcPr>
          <w:p w14:paraId="4BB92C2D"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63.3</w:t>
            </w:r>
          </w:p>
        </w:tc>
        <w:tc>
          <w:tcPr>
            <w:tcW w:w="2192" w:type="dxa"/>
            <w:shd w:val="clear" w:color="auto" w:fill="auto"/>
            <w:vAlign w:val="center"/>
          </w:tcPr>
          <w:p w14:paraId="19E08FD8" w14:textId="4EFE74C9"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217.2</w:t>
            </w:r>
            <w:r w:rsidR="004716E0">
              <w:rPr>
                <w:rFonts w:ascii="Cambria Math" w:hAnsi="Cambria Math"/>
                <w:sz w:val="20"/>
              </w:rPr>
              <w:t xml:space="preserve"> ± </w:t>
            </w:r>
            <w:r w:rsidRPr="00293FDF">
              <w:rPr>
                <w:rFonts w:ascii="Palatino Linotype" w:hAnsi="Palatino Linotype"/>
                <w:sz w:val="20"/>
              </w:rPr>
              <w:t>180.7</w:t>
            </w:r>
          </w:p>
        </w:tc>
        <w:tc>
          <w:tcPr>
            <w:tcW w:w="2339" w:type="dxa"/>
            <w:shd w:val="clear" w:color="auto" w:fill="auto"/>
            <w:vAlign w:val="center"/>
          </w:tcPr>
          <w:p w14:paraId="56FB0E9C" w14:textId="46FE817E"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181.3</w:t>
            </w:r>
            <w:r w:rsidR="004716E0">
              <w:rPr>
                <w:rFonts w:ascii="Cambria Math" w:hAnsi="Cambria Math"/>
                <w:sz w:val="20"/>
              </w:rPr>
              <w:t xml:space="preserve"> ± </w:t>
            </w:r>
            <w:r w:rsidRPr="00293FDF">
              <w:rPr>
                <w:rFonts w:ascii="Palatino Linotype" w:hAnsi="Palatino Linotype"/>
                <w:sz w:val="20"/>
              </w:rPr>
              <w:t>174.4</w:t>
            </w:r>
          </w:p>
        </w:tc>
        <w:tc>
          <w:tcPr>
            <w:tcW w:w="2631" w:type="dxa"/>
            <w:shd w:val="clear" w:color="auto" w:fill="auto"/>
            <w:vAlign w:val="center"/>
          </w:tcPr>
          <w:p w14:paraId="786C58E6" w14:textId="0CBFD93F"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36.0</w:t>
            </w:r>
            <w:r w:rsidR="004716E0">
              <w:rPr>
                <w:rFonts w:ascii="Cambria Math" w:hAnsi="Cambria Math"/>
                <w:sz w:val="20"/>
              </w:rPr>
              <w:t xml:space="preserve"> ± </w:t>
            </w:r>
            <w:r w:rsidRPr="00293FDF">
              <w:rPr>
                <w:rFonts w:ascii="Palatino Linotype" w:hAnsi="Palatino Linotype"/>
                <w:sz w:val="20"/>
              </w:rPr>
              <w:t>174.2</w:t>
            </w:r>
          </w:p>
        </w:tc>
        <w:tc>
          <w:tcPr>
            <w:tcW w:w="866" w:type="dxa"/>
            <w:shd w:val="clear" w:color="auto" w:fill="auto"/>
            <w:vAlign w:val="center"/>
          </w:tcPr>
          <w:p w14:paraId="6F9B74C6"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7.4155</w:t>
            </w:r>
          </w:p>
        </w:tc>
        <w:tc>
          <w:tcPr>
            <w:tcW w:w="616" w:type="dxa"/>
            <w:shd w:val="clear" w:color="auto" w:fill="auto"/>
            <w:vAlign w:val="center"/>
          </w:tcPr>
          <w:p w14:paraId="39DBCEA2"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1292</w:t>
            </w:r>
          </w:p>
        </w:tc>
        <w:tc>
          <w:tcPr>
            <w:tcW w:w="928" w:type="dxa"/>
            <w:shd w:val="clear" w:color="auto" w:fill="auto"/>
            <w:vAlign w:val="center"/>
          </w:tcPr>
          <w:p w14:paraId="4092FCAF"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&lt;0.0001</w:t>
            </w:r>
          </w:p>
        </w:tc>
        <w:tc>
          <w:tcPr>
            <w:tcW w:w="850" w:type="dxa"/>
            <w:tcBorders>
              <w:right w:val="nil"/>
            </w:tcBorders>
            <w:shd w:val="clear" w:color="auto" w:fill="auto"/>
            <w:vAlign w:val="center"/>
          </w:tcPr>
          <w:p w14:paraId="61F4ABA0"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0.2023</w:t>
            </w:r>
          </w:p>
        </w:tc>
        <w:tc>
          <w:tcPr>
            <w:tcW w:w="961" w:type="dxa"/>
            <w:tcBorders>
              <w:top w:val="nil"/>
              <w:left w:val="nil"/>
              <w:bottom w:val="nil"/>
              <w:right w:val="nil"/>
            </w:tcBorders>
            <w:shd w:val="clear" w:color="auto" w:fill="auto"/>
            <w:vAlign w:val="center"/>
          </w:tcPr>
          <w:p w14:paraId="0269021B"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r>
      <w:tr w:rsidR="000C56FB" w:rsidRPr="00293FDF" w14:paraId="756D86E1" w14:textId="77777777" w:rsidTr="000F531F">
        <w:trPr>
          <w:jc w:val="center"/>
        </w:trPr>
        <w:tc>
          <w:tcPr>
            <w:tcW w:w="1437" w:type="dxa"/>
            <w:tcBorders>
              <w:top w:val="nil"/>
              <w:left w:val="nil"/>
              <w:bottom w:val="nil"/>
            </w:tcBorders>
            <w:shd w:val="clear" w:color="auto" w:fill="auto"/>
            <w:vAlign w:val="center"/>
          </w:tcPr>
          <w:p w14:paraId="527439B9"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No University degree</w:t>
            </w:r>
          </w:p>
        </w:tc>
        <w:tc>
          <w:tcPr>
            <w:tcW w:w="616" w:type="dxa"/>
            <w:shd w:val="clear" w:color="auto" w:fill="auto"/>
            <w:vAlign w:val="center"/>
          </w:tcPr>
          <w:p w14:paraId="4FD75263"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749</w:t>
            </w:r>
          </w:p>
        </w:tc>
        <w:tc>
          <w:tcPr>
            <w:tcW w:w="566" w:type="dxa"/>
            <w:shd w:val="clear" w:color="auto" w:fill="auto"/>
            <w:vAlign w:val="center"/>
          </w:tcPr>
          <w:p w14:paraId="12807430"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36.7</w:t>
            </w:r>
          </w:p>
        </w:tc>
        <w:tc>
          <w:tcPr>
            <w:tcW w:w="2192" w:type="dxa"/>
            <w:shd w:val="clear" w:color="auto" w:fill="auto"/>
            <w:vAlign w:val="center"/>
          </w:tcPr>
          <w:p w14:paraId="64F60F35" w14:textId="48C73149"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221.9</w:t>
            </w:r>
            <w:r w:rsidR="004716E0">
              <w:rPr>
                <w:rFonts w:ascii="Cambria Math" w:hAnsi="Cambria Math"/>
                <w:sz w:val="20"/>
              </w:rPr>
              <w:t xml:space="preserve"> ± </w:t>
            </w:r>
            <w:r w:rsidRPr="00293FDF">
              <w:rPr>
                <w:rFonts w:ascii="Palatino Linotype" w:hAnsi="Palatino Linotype"/>
                <w:sz w:val="20"/>
              </w:rPr>
              <w:t>180.7</w:t>
            </w:r>
          </w:p>
        </w:tc>
        <w:tc>
          <w:tcPr>
            <w:tcW w:w="2339" w:type="dxa"/>
            <w:shd w:val="clear" w:color="auto" w:fill="auto"/>
            <w:vAlign w:val="center"/>
          </w:tcPr>
          <w:p w14:paraId="4EB23FD1" w14:textId="3B874A8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168.8</w:t>
            </w:r>
            <w:r w:rsidR="004716E0">
              <w:rPr>
                <w:rFonts w:ascii="Cambria Math" w:hAnsi="Cambria Math"/>
                <w:sz w:val="20"/>
              </w:rPr>
              <w:t xml:space="preserve"> ± </w:t>
            </w:r>
            <w:r w:rsidRPr="00293FDF">
              <w:rPr>
                <w:rFonts w:ascii="Palatino Linotype" w:hAnsi="Palatino Linotype"/>
                <w:sz w:val="20"/>
              </w:rPr>
              <w:t>186.4</w:t>
            </w:r>
          </w:p>
        </w:tc>
        <w:tc>
          <w:tcPr>
            <w:tcW w:w="2631" w:type="dxa"/>
            <w:shd w:val="clear" w:color="auto" w:fill="auto"/>
            <w:vAlign w:val="center"/>
          </w:tcPr>
          <w:p w14:paraId="27470D6B" w14:textId="33CC905C"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61.2</w:t>
            </w:r>
            <w:r w:rsidR="004716E0">
              <w:rPr>
                <w:rFonts w:ascii="Cambria Math" w:hAnsi="Cambria Math"/>
                <w:sz w:val="20"/>
              </w:rPr>
              <w:t xml:space="preserve"> ± </w:t>
            </w:r>
            <w:r w:rsidRPr="00293FDF">
              <w:rPr>
                <w:rFonts w:ascii="Palatino Linotype" w:hAnsi="Palatino Linotype"/>
                <w:sz w:val="20"/>
              </w:rPr>
              <w:t>188.4</w:t>
            </w:r>
          </w:p>
        </w:tc>
        <w:tc>
          <w:tcPr>
            <w:tcW w:w="866" w:type="dxa"/>
            <w:shd w:val="clear" w:color="auto" w:fill="auto"/>
            <w:vAlign w:val="center"/>
          </w:tcPr>
          <w:p w14:paraId="6BDA8933"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8.8845</w:t>
            </w:r>
          </w:p>
        </w:tc>
        <w:tc>
          <w:tcPr>
            <w:tcW w:w="616" w:type="dxa"/>
            <w:shd w:val="clear" w:color="auto" w:fill="auto"/>
            <w:vAlign w:val="center"/>
          </w:tcPr>
          <w:p w14:paraId="39CE66BC"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748</w:t>
            </w:r>
          </w:p>
        </w:tc>
        <w:tc>
          <w:tcPr>
            <w:tcW w:w="928" w:type="dxa"/>
            <w:shd w:val="clear" w:color="auto" w:fill="auto"/>
            <w:vAlign w:val="center"/>
          </w:tcPr>
          <w:p w14:paraId="3E4801DB"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&lt;0.0001</w:t>
            </w:r>
          </w:p>
        </w:tc>
        <w:tc>
          <w:tcPr>
            <w:tcW w:w="850" w:type="dxa"/>
            <w:tcBorders>
              <w:right w:val="nil"/>
            </w:tcBorders>
            <w:shd w:val="clear" w:color="auto" w:fill="auto"/>
            <w:vAlign w:val="center"/>
          </w:tcPr>
          <w:p w14:paraId="6B7BF3F1"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0.3048</w:t>
            </w:r>
          </w:p>
        </w:tc>
        <w:tc>
          <w:tcPr>
            <w:tcW w:w="961" w:type="dxa"/>
            <w:tcBorders>
              <w:top w:val="nil"/>
              <w:left w:val="nil"/>
              <w:bottom w:val="nil"/>
              <w:right w:val="nil"/>
            </w:tcBorders>
            <w:shd w:val="clear" w:color="auto" w:fill="auto"/>
            <w:vAlign w:val="center"/>
          </w:tcPr>
          <w:p w14:paraId="0D4A4609"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r>
      <w:tr w:rsidR="000C56FB" w:rsidRPr="00293FDF" w14:paraId="6CB6E124" w14:textId="77777777" w:rsidTr="000F531F">
        <w:trPr>
          <w:jc w:val="center"/>
        </w:trPr>
        <w:tc>
          <w:tcPr>
            <w:tcW w:w="1437" w:type="dxa"/>
            <w:tcBorders>
              <w:top w:val="nil"/>
              <w:left w:val="nil"/>
              <w:bottom w:val="nil"/>
            </w:tcBorders>
            <w:shd w:val="clear" w:color="auto" w:fill="auto"/>
            <w:vAlign w:val="center"/>
          </w:tcPr>
          <w:p w14:paraId="05DC6E1D"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b/>
                <w:sz w:val="20"/>
              </w:rPr>
            </w:pPr>
            <w:r w:rsidRPr="00293FDF">
              <w:rPr>
                <w:rFonts w:ascii="Palatino Linotype" w:hAnsi="Palatino Linotype"/>
                <w:b/>
                <w:sz w:val="20"/>
              </w:rPr>
              <w:t>Occupation</w:t>
            </w:r>
          </w:p>
        </w:tc>
        <w:tc>
          <w:tcPr>
            <w:tcW w:w="616" w:type="dxa"/>
            <w:shd w:val="clear" w:color="auto" w:fill="auto"/>
            <w:vAlign w:val="center"/>
          </w:tcPr>
          <w:p w14:paraId="7478F220"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566" w:type="dxa"/>
            <w:shd w:val="clear" w:color="auto" w:fill="auto"/>
            <w:vAlign w:val="center"/>
          </w:tcPr>
          <w:p w14:paraId="5EED9A2D"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2192" w:type="dxa"/>
            <w:shd w:val="clear" w:color="auto" w:fill="auto"/>
            <w:vAlign w:val="center"/>
          </w:tcPr>
          <w:p w14:paraId="5C40A78F"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2339" w:type="dxa"/>
            <w:shd w:val="clear" w:color="auto" w:fill="auto"/>
            <w:vAlign w:val="center"/>
          </w:tcPr>
          <w:p w14:paraId="3768F26A"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2631" w:type="dxa"/>
            <w:shd w:val="clear" w:color="auto" w:fill="auto"/>
            <w:vAlign w:val="center"/>
          </w:tcPr>
          <w:p w14:paraId="5028A1B3"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866" w:type="dxa"/>
            <w:shd w:val="clear" w:color="auto" w:fill="auto"/>
            <w:vAlign w:val="center"/>
          </w:tcPr>
          <w:p w14:paraId="41D03E06"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616" w:type="dxa"/>
            <w:shd w:val="clear" w:color="auto" w:fill="auto"/>
            <w:vAlign w:val="center"/>
          </w:tcPr>
          <w:p w14:paraId="6CE83887"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928" w:type="dxa"/>
            <w:shd w:val="clear" w:color="auto" w:fill="auto"/>
            <w:vAlign w:val="center"/>
          </w:tcPr>
          <w:p w14:paraId="23CD96C5"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850" w:type="dxa"/>
            <w:tcBorders>
              <w:right w:val="nil"/>
            </w:tcBorders>
            <w:shd w:val="clear" w:color="auto" w:fill="auto"/>
            <w:vAlign w:val="center"/>
          </w:tcPr>
          <w:p w14:paraId="211DC3A2"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c>
          <w:tcPr>
            <w:tcW w:w="961" w:type="dxa"/>
            <w:tcBorders>
              <w:top w:val="nil"/>
              <w:left w:val="nil"/>
              <w:bottom w:val="nil"/>
              <w:right w:val="nil"/>
            </w:tcBorders>
            <w:shd w:val="clear" w:color="auto" w:fill="auto"/>
            <w:vAlign w:val="center"/>
          </w:tcPr>
          <w:p w14:paraId="0DE6DCF2"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0.0249</w:t>
            </w:r>
          </w:p>
        </w:tc>
      </w:tr>
      <w:tr w:rsidR="000C56FB" w:rsidRPr="00293FDF" w14:paraId="5C17315A" w14:textId="77777777" w:rsidTr="000F531F">
        <w:trPr>
          <w:jc w:val="center"/>
        </w:trPr>
        <w:tc>
          <w:tcPr>
            <w:tcW w:w="1437" w:type="dxa"/>
            <w:tcBorders>
              <w:top w:val="nil"/>
              <w:left w:val="nil"/>
              <w:bottom w:val="nil"/>
            </w:tcBorders>
            <w:shd w:val="clear" w:color="auto" w:fill="auto"/>
            <w:vAlign w:val="center"/>
          </w:tcPr>
          <w:p w14:paraId="3EE808E1"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Employed</w:t>
            </w:r>
          </w:p>
        </w:tc>
        <w:tc>
          <w:tcPr>
            <w:tcW w:w="616" w:type="dxa"/>
            <w:shd w:val="clear" w:color="auto" w:fill="auto"/>
            <w:vAlign w:val="center"/>
          </w:tcPr>
          <w:p w14:paraId="66A981AB"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1287</w:t>
            </w:r>
          </w:p>
        </w:tc>
        <w:tc>
          <w:tcPr>
            <w:tcW w:w="566" w:type="dxa"/>
            <w:shd w:val="clear" w:color="auto" w:fill="auto"/>
            <w:vAlign w:val="center"/>
          </w:tcPr>
          <w:p w14:paraId="0FE06679"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63.0</w:t>
            </w:r>
          </w:p>
        </w:tc>
        <w:tc>
          <w:tcPr>
            <w:tcW w:w="2192" w:type="dxa"/>
            <w:shd w:val="clear" w:color="auto" w:fill="auto"/>
            <w:vAlign w:val="center"/>
          </w:tcPr>
          <w:p w14:paraId="2EC7F245" w14:textId="0AAC59F6"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205.0</w:t>
            </w:r>
            <w:r w:rsidR="004716E0">
              <w:rPr>
                <w:rFonts w:ascii="Cambria Math" w:hAnsi="Cambria Math"/>
                <w:sz w:val="20"/>
              </w:rPr>
              <w:t xml:space="preserve"> ± </w:t>
            </w:r>
            <w:r w:rsidRPr="00293FDF">
              <w:rPr>
                <w:rFonts w:ascii="Palatino Linotype" w:hAnsi="Palatino Linotype"/>
                <w:sz w:val="20"/>
              </w:rPr>
              <w:t>180.0</w:t>
            </w:r>
          </w:p>
        </w:tc>
        <w:tc>
          <w:tcPr>
            <w:tcW w:w="2339" w:type="dxa"/>
            <w:shd w:val="clear" w:color="auto" w:fill="auto"/>
            <w:vAlign w:val="center"/>
          </w:tcPr>
          <w:p w14:paraId="47A61164" w14:textId="6047421A"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165.6</w:t>
            </w:r>
            <w:r w:rsidR="004716E0">
              <w:rPr>
                <w:rFonts w:ascii="Cambria Math" w:hAnsi="Cambria Math"/>
                <w:sz w:val="20"/>
              </w:rPr>
              <w:t xml:space="preserve"> ± </w:t>
            </w:r>
            <w:r w:rsidRPr="00293FDF">
              <w:rPr>
                <w:rFonts w:ascii="Palatino Linotype" w:hAnsi="Palatino Linotype"/>
                <w:sz w:val="20"/>
              </w:rPr>
              <w:t>168.7</w:t>
            </w:r>
          </w:p>
        </w:tc>
        <w:tc>
          <w:tcPr>
            <w:tcW w:w="2631" w:type="dxa"/>
            <w:shd w:val="clear" w:color="auto" w:fill="auto"/>
            <w:vAlign w:val="center"/>
          </w:tcPr>
          <w:p w14:paraId="48F5F861" w14:textId="5F64A97B"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39.2</w:t>
            </w:r>
            <w:r w:rsidR="004716E0">
              <w:rPr>
                <w:rFonts w:ascii="Cambria Math" w:hAnsi="Cambria Math"/>
                <w:sz w:val="20"/>
              </w:rPr>
              <w:t xml:space="preserve"> ± </w:t>
            </w:r>
            <w:r w:rsidRPr="00293FDF">
              <w:rPr>
                <w:rFonts w:ascii="Palatino Linotype" w:hAnsi="Palatino Linotype"/>
                <w:sz w:val="20"/>
              </w:rPr>
              <w:t>175.2</w:t>
            </w:r>
          </w:p>
        </w:tc>
        <w:tc>
          <w:tcPr>
            <w:tcW w:w="866" w:type="dxa"/>
            <w:shd w:val="clear" w:color="auto" w:fill="auto"/>
            <w:vAlign w:val="center"/>
          </w:tcPr>
          <w:p w14:paraId="1F466CEB"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8.0281</w:t>
            </w:r>
          </w:p>
        </w:tc>
        <w:tc>
          <w:tcPr>
            <w:tcW w:w="616" w:type="dxa"/>
            <w:shd w:val="clear" w:color="auto" w:fill="auto"/>
            <w:vAlign w:val="center"/>
          </w:tcPr>
          <w:p w14:paraId="6BCD3861"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1286</w:t>
            </w:r>
          </w:p>
        </w:tc>
        <w:tc>
          <w:tcPr>
            <w:tcW w:w="928" w:type="dxa"/>
            <w:shd w:val="clear" w:color="auto" w:fill="auto"/>
            <w:vAlign w:val="center"/>
          </w:tcPr>
          <w:p w14:paraId="3AF8C63E"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&lt;0.0001</w:t>
            </w:r>
          </w:p>
        </w:tc>
        <w:tc>
          <w:tcPr>
            <w:tcW w:w="850" w:type="dxa"/>
            <w:tcBorders>
              <w:right w:val="nil"/>
            </w:tcBorders>
            <w:shd w:val="clear" w:color="auto" w:fill="auto"/>
            <w:vAlign w:val="center"/>
          </w:tcPr>
          <w:p w14:paraId="74DA0CAA"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0.2247</w:t>
            </w:r>
          </w:p>
        </w:tc>
        <w:tc>
          <w:tcPr>
            <w:tcW w:w="961" w:type="dxa"/>
            <w:tcBorders>
              <w:top w:val="nil"/>
              <w:left w:val="nil"/>
              <w:bottom w:val="nil"/>
              <w:right w:val="nil"/>
            </w:tcBorders>
            <w:shd w:val="clear" w:color="auto" w:fill="auto"/>
            <w:vAlign w:val="center"/>
          </w:tcPr>
          <w:p w14:paraId="6C24D549"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r>
      <w:tr w:rsidR="000C56FB" w:rsidRPr="00293FDF" w14:paraId="471282EC" w14:textId="77777777" w:rsidTr="000F531F">
        <w:trPr>
          <w:jc w:val="center"/>
        </w:trPr>
        <w:tc>
          <w:tcPr>
            <w:tcW w:w="1437" w:type="dxa"/>
            <w:tcBorders>
              <w:top w:val="nil"/>
              <w:left w:val="nil"/>
              <w:bottom w:val="single" w:sz="4" w:space="0" w:color="auto"/>
            </w:tcBorders>
            <w:shd w:val="clear" w:color="auto" w:fill="auto"/>
            <w:vAlign w:val="center"/>
          </w:tcPr>
          <w:p w14:paraId="00CD2FD4"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Not employed</w:t>
            </w:r>
          </w:p>
        </w:tc>
        <w:tc>
          <w:tcPr>
            <w:tcW w:w="616" w:type="dxa"/>
            <w:tcBorders>
              <w:bottom w:val="single" w:sz="4" w:space="0" w:color="auto"/>
            </w:tcBorders>
            <w:shd w:val="clear" w:color="auto" w:fill="auto"/>
            <w:vAlign w:val="center"/>
          </w:tcPr>
          <w:p w14:paraId="5AB07B3B"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755</w:t>
            </w:r>
          </w:p>
        </w:tc>
        <w:tc>
          <w:tcPr>
            <w:tcW w:w="566" w:type="dxa"/>
            <w:tcBorders>
              <w:bottom w:val="single" w:sz="4" w:space="0" w:color="auto"/>
            </w:tcBorders>
            <w:shd w:val="clear" w:color="auto" w:fill="auto"/>
            <w:vAlign w:val="center"/>
          </w:tcPr>
          <w:p w14:paraId="3F746E83"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37.0</w:t>
            </w:r>
          </w:p>
        </w:tc>
        <w:tc>
          <w:tcPr>
            <w:tcW w:w="2192" w:type="dxa"/>
            <w:tcBorders>
              <w:bottom w:val="single" w:sz="4" w:space="0" w:color="auto"/>
            </w:tcBorders>
            <w:shd w:val="clear" w:color="auto" w:fill="auto"/>
            <w:vAlign w:val="center"/>
          </w:tcPr>
          <w:p w14:paraId="70C061FE" w14:textId="6B711784"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251.0</w:t>
            </w:r>
            <w:r w:rsidR="004716E0">
              <w:rPr>
                <w:rFonts w:ascii="Cambria Math" w:hAnsi="Cambria Math"/>
                <w:sz w:val="20"/>
              </w:rPr>
              <w:t xml:space="preserve"> ± </w:t>
            </w:r>
            <w:r w:rsidRPr="00293FDF">
              <w:rPr>
                <w:rFonts w:ascii="Palatino Linotype" w:hAnsi="Palatino Linotype"/>
                <w:sz w:val="20"/>
              </w:rPr>
              <w:t>212.0</w:t>
            </w:r>
          </w:p>
        </w:tc>
        <w:tc>
          <w:tcPr>
            <w:tcW w:w="2339" w:type="dxa"/>
            <w:tcBorders>
              <w:bottom w:val="single" w:sz="4" w:space="0" w:color="auto"/>
            </w:tcBorders>
            <w:shd w:val="clear" w:color="auto" w:fill="auto"/>
            <w:vAlign w:val="center"/>
          </w:tcPr>
          <w:p w14:paraId="1F7C3547" w14:textId="55E1CDBE"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195.6</w:t>
            </w:r>
            <w:r w:rsidR="004716E0">
              <w:rPr>
                <w:rFonts w:ascii="Cambria Math" w:hAnsi="Cambria Math"/>
                <w:sz w:val="20"/>
              </w:rPr>
              <w:t xml:space="preserve"> ± </w:t>
            </w:r>
            <w:r w:rsidRPr="00293FDF">
              <w:rPr>
                <w:rFonts w:ascii="Palatino Linotype" w:hAnsi="Palatino Linotype"/>
                <w:sz w:val="20"/>
              </w:rPr>
              <w:t>193.7</w:t>
            </w:r>
          </w:p>
        </w:tc>
        <w:tc>
          <w:tcPr>
            <w:tcW w:w="2631" w:type="dxa"/>
            <w:tcBorders>
              <w:bottom w:val="single" w:sz="4" w:space="0" w:color="auto"/>
            </w:tcBorders>
            <w:shd w:val="clear" w:color="auto" w:fill="auto"/>
            <w:vAlign w:val="center"/>
          </w:tcPr>
          <w:p w14:paraId="7B149CC3" w14:textId="341ECB01"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55.4</w:t>
            </w:r>
            <w:r w:rsidR="004716E0">
              <w:rPr>
                <w:rFonts w:ascii="Cambria Math" w:hAnsi="Cambria Math"/>
                <w:sz w:val="20"/>
              </w:rPr>
              <w:t xml:space="preserve"> ± </w:t>
            </w:r>
            <w:r w:rsidRPr="00293FDF">
              <w:rPr>
                <w:rFonts w:ascii="Palatino Linotype" w:hAnsi="Palatino Linotype"/>
                <w:sz w:val="20"/>
              </w:rPr>
              <w:t>187.4</w:t>
            </w:r>
          </w:p>
        </w:tc>
        <w:tc>
          <w:tcPr>
            <w:tcW w:w="866" w:type="dxa"/>
            <w:tcBorders>
              <w:bottom w:val="single" w:sz="4" w:space="0" w:color="auto"/>
            </w:tcBorders>
            <w:shd w:val="clear" w:color="auto" w:fill="auto"/>
            <w:vAlign w:val="center"/>
          </w:tcPr>
          <w:p w14:paraId="60CED8FA"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8.1205</w:t>
            </w:r>
          </w:p>
        </w:tc>
        <w:tc>
          <w:tcPr>
            <w:tcW w:w="616" w:type="dxa"/>
            <w:tcBorders>
              <w:bottom w:val="single" w:sz="4" w:space="0" w:color="auto"/>
            </w:tcBorders>
            <w:shd w:val="clear" w:color="auto" w:fill="auto"/>
            <w:vAlign w:val="center"/>
          </w:tcPr>
          <w:p w14:paraId="7A66DDA3"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754</w:t>
            </w:r>
          </w:p>
        </w:tc>
        <w:tc>
          <w:tcPr>
            <w:tcW w:w="928" w:type="dxa"/>
            <w:tcBorders>
              <w:bottom w:val="single" w:sz="4" w:space="0" w:color="auto"/>
            </w:tcBorders>
            <w:shd w:val="clear" w:color="auto" w:fill="auto"/>
            <w:vAlign w:val="center"/>
          </w:tcPr>
          <w:p w14:paraId="5751A8DB"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&lt;0.0001</w:t>
            </w:r>
          </w:p>
        </w:tc>
        <w:tc>
          <w:tcPr>
            <w:tcW w:w="850" w:type="dxa"/>
            <w:tcBorders>
              <w:bottom w:val="single" w:sz="4" w:space="0" w:color="auto"/>
              <w:right w:val="nil"/>
            </w:tcBorders>
            <w:shd w:val="clear" w:color="auto" w:fill="auto"/>
            <w:vAlign w:val="center"/>
          </w:tcPr>
          <w:p w14:paraId="72C7B019"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r w:rsidRPr="00293FDF">
              <w:rPr>
                <w:rFonts w:ascii="Palatino Linotype" w:hAnsi="Palatino Linotype"/>
                <w:sz w:val="20"/>
              </w:rPr>
              <w:t>0.2728</w:t>
            </w:r>
          </w:p>
        </w:tc>
        <w:tc>
          <w:tcPr>
            <w:tcW w:w="961" w:type="dxa"/>
            <w:tcBorders>
              <w:top w:val="nil"/>
              <w:left w:val="nil"/>
              <w:bottom w:val="single" w:sz="4" w:space="0" w:color="auto"/>
              <w:right w:val="nil"/>
            </w:tcBorders>
            <w:shd w:val="clear" w:color="auto" w:fill="auto"/>
            <w:vAlign w:val="center"/>
          </w:tcPr>
          <w:p w14:paraId="71BBA76A"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
        </w:tc>
      </w:tr>
      <w:tr w:rsidR="000C56FB" w:rsidRPr="00293FDF" w14:paraId="209B7CD9" w14:textId="77777777" w:rsidTr="000F531F">
        <w:trPr>
          <w:jc w:val="center"/>
        </w:trPr>
        <w:tc>
          <w:tcPr>
            <w:tcW w:w="13041" w:type="dxa"/>
            <w:gridSpan w:val="10"/>
            <w:tcBorders>
              <w:top w:val="single" w:sz="4" w:space="0" w:color="auto"/>
              <w:left w:val="nil"/>
              <w:bottom w:val="single" w:sz="8" w:space="0" w:color="auto"/>
              <w:right w:val="nil"/>
            </w:tcBorders>
            <w:shd w:val="clear" w:color="auto" w:fill="auto"/>
            <w:vAlign w:val="center"/>
          </w:tcPr>
          <w:p w14:paraId="2C35637D"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rPr>
            </w:pPr>
            <w:proofErr w:type="spellStart"/>
            <w:r w:rsidRPr="00293FDF">
              <w:rPr>
                <w:rFonts w:ascii="Palatino Linotype" w:hAnsi="Palatino Linotype"/>
                <w:sz w:val="20"/>
                <w:vertAlign w:val="superscript"/>
              </w:rPr>
              <w:t>a</w:t>
            </w:r>
            <w:r w:rsidRPr="00293FDF">
              <w:rPr>
                <w:rFonts w:ascii="Palatino Linotype" w:hAnsi="Palatino Linotype"/>
                <w:sz w:val="20"/>
              </w:rPr>
              <w:t>T</w:t>
            </w:r>
            <w:proofErr w:type="spellEnd"/>
            <w:r w:rsidRPr="00293FDF">
              <w:rPr>
                <w:rFonts w:ascii="Palatino Linotype" w:hAnsi="Palatino Linotype"/>
                <w:sz w:val="20"/>
              </w:rPr>
              <w:t xml:space="preserve">-paired test (PA before and during isolation). </w:t>
            </w:r>
            <w:proofErr w:type="spellStart"/>
            <w:r w:rsidRPr="00293FDF">
              <w:rPr>
                <w:rFonts w:ascii="Palatino Linotype" w:hAnsi="Palatino Linotype"/>
                <w:sz w:val="20"/>
                <w:vertAlign w:val="superscript"/>
              </w:rPr>
              <w:t>b</w:t>
            </w:r>
            <w:r w:rsidRPr="00293FDF">
              <w:rPr>
                <w:rFonts w:ascii="Palatino Linotype" w:hAnsi="Palatino Linotype"/>
                <w:sz w:val="20"/>
              </w:rPr>
              <w:t>Cohen’s</w:t>
            </w:r>
            <w:proofErr w:type="spellEnd"/>
            <w:r w:rsidRPr="00293FDF">
              <w:rPr>
                <w:rFonts w:ascii="Palatino Linotype" w:hAnsi="Palatino Linotype"/>
                <w:sz w:val="20"/>
              </w:rPr>
              <w:t xml:space="preserve"> d: Small 0.20; Medium 0.50; Large 0.80.</w:t>
            </w:r>
            <w:r w:rsidRPr="00293FDF">
              <w:rPr>
                <w:rFonts w:ascii="Palatino Linotype" w:hAnsi="Palatino Linotype"/>
                <w:sz w:val="20"/>
                <w:vertAlign w:val="superscript"/>
              </w:rPr>
              <w:t>c</w:t>
            </w:r>
            <w:r w:rsidRPr="00293FDF">
              <w:rPr>
                <w:rFonts w:ascii="Palatino Linotype" w:hAnsi="Palatino Linotype"/>
                <w:sz w:val="20"/>
              </w:rPr>
              <w:t>T-test for independent subgroups within categories.</w:t>
            </w:r>
          </w:p>
        </w:tc>
        <w:tc>
          <w:tcPr>
            <w:tcW w:w="961" w:type="dxa"/>
            <w:tcBorders>
              <w:top w:val="single" w:sz="4" w:space="0" w:color="auto"/>
              <w:left w:val="nil"/>
              <w:bottom w:val="single" w:sz="8" w:space="0" w:color="auto"/>
              <w:right w:val="nil"/>
            </w:tcBorders>
            <w:shd w:val="clear" w:color="auto" w:fill="auto"/>
            <w:vAlign w:val="center"/>
          </w:tcPr>
          <w:p w14:paraId="17367E64" w14:textId="77777777" w:rsidR="000C56FB" w:rsidRPr="00293FDF" w:rsidRDefault="000C56FB" w:rsidP="000F531F">
            <w:pPr>
              <w:autoSpaceDE w:val="0"/>
              <w:autoSpaceDN w:val="0"/>
              <w:adjustRightInd w:val="0"/>
              <w:snapToGrid w:val="0"/>
              <w:spacing w:line="240" w:lineRule="auto"/>
              <w:jc w:val="center"/>
              <w:rPr>
                <w:rFonts w:ascii="Palatino Linotype" w:hAnsi="Palatino Linotype"/>
                <w:sz w:val="20"/>
                <w:vertAlign w:val="superscript"/>
              </w:rPr>
            </w:pPr>
          </w:p>
        </w:tc>
      </w:tr>
    </w:tbl>
    <w:p w14:paraId="6941DC72" w14:textId="77777777" w:rsidR="00976988" w:rsidRPr="00C61949" w:rsidRDefault="00976988" w:rsidP="00900930">
      <w:pPr>
        <w:pStyle w:val="MDPI22heading2"/>
        <w:jc w:val="both"/>
        <w:rPr>
          <w:i w:val="0"/>
          <w:noProof w:val="0"/>
        </w:rPr>
      </w:pPr>
    </w:p>
    <w:p w14:paraId="1EB2F4E2" w14:textId="77777777" w:rsidR="00976988" w:rsidRPr="00C61949" w:rsidRDefault="00976988" w:rsidP="00900930">
      <w:pPr>
        <w:pStyle w:val="MDPI22heading2"/>
        <w:jc w:val="both"/>
        <w:rPr>
          <w:i w:val="0"/>
          <w:noProof w:val="0"/>
        </w:rPr>
      </w:pPr>
    </w:p>
    <w:p w14:paraId="4A397F29" w14:textId="77777777" w:rsidR="00976988" w:rsidRPr="00C61949" w:rsidRDefault="00976988" w:rsidP="00B7154A">
      <w:pPr>
        <w:spacing w:after="160"/>
        <w:rPr>
          <w:b/>
          <w:sz w:val="20"/>
        </w:rPr>
        <w:sectPr w:rsidR="00976988" w:rsidRPr="00C61949" w:rsidSect="00C61949">
          <w:pgSz w:w="16838" w:h="11906" w:orient="landscape" w:code="9"/>
          <w:pgMar w:top="1531" w:right="1418" w:bottom="1531" w:left="1077" w:header="1021" w:footer="851" w:gutter="0"/>
          <w:pgNumType w:start="1"/>
          <w:cols w:space="425"/>
          <w:titlePg/>
          <w:docGrid w:type="lines" w:linePitch="326"/>
        </w:sectPr>
      </w:pPr>
    </w:p>
    <w:p w14:paraId="6DE40E3F" w14:textId="424CC7BB" w:rsidR="00DB70DF" w:rsidRDefault="00DB70DF" w:rsidP="00DB70DF">
      <w:pPr>
        <w:pStyle w:val="MDPI41tablecaption"/>
        <w:jc w:val="center"/>
      </w:pPr>
      <w:r w:rsidRPr="00DB70DF">
        <w:rPr>
          <w:b/>
        </w:rPr>
        <w:lastRenderedPageBreak/>
        <w:t xml:space="preserve">Table 2. </w:t>
      </w:r>
      <w:r w:rsidRPr="00C61949">
        <w:t>Adherence to WHO PA guidelines before and during COVID-19 confinement</w:t>
      </w:r>
      <w:r>
        <w:t>.</w:t>
      </w:r>
    </w:p>
    <w:tbl>
      <w:tblPr>
        <w:tblW w:w="101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8"/>
        <w:gridCol w:w="813"/>
        <w:gridCol w:w="745"/>
        <w:gridCol w:w="810"/>
        <w:gridCol w:w="888"/>
        <w:gridCol w:w="1344"/>
        <w:gridCol w:w="750"/>
        <w:gridCol w:w="468"/>
        <w:gridCol w:w="1064"/>
        <w:gridCol w:w="862"/>
      </w:tblGrid>
      <w:tr w:rsidR="00DB70DF" w:rsidRPr="00DB70DF" w14:paraId="75AF4281" w14:textId="77777777" w:rsidTr="00DB70DF">
        <w:trPr>
          <w:jc w:val="center"/>
        </w:trPr>
        <w:tc>
          <w:tcPr>
            <w:tcW w:w="0" w:type="auto"/>
            <w:tcBorders>
              <w:top w:val="single" w:sz="8" w:space="0" w:color="auto"/>
              <w:left w:val="nil"/>
              <w:bottom w:val="nil"/>
              <w:right w:val="nil"/>
            </w:tcBorders>
            <w:shd w:val="clear" w:color="auto" w:fill="auto"/>
            <w:vAlign w:val="center"/>
          </w:tcPr>
          <w:p w14:paraId="35705123"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b/>
                <w:sz w:val="20"/>
              </w:rPr>
            </w:pPr>
          </w:p>
        </w:tc>
        <w:tc>
          <w:tcPr>
            <w:tcW w:w="0" w:type="auto"/>
            <w:gridSpan w:val="2"/>
            <w:tcBorders>
              <w:top w:val="single" w:sz="8" w:space="0" w:color="auto"/>
              <w:left w:val="nil"/>
              <w:bottom w:val="nil"/>
              <w:right w:val="nil"/>
            </w:tcBorders>
            <w:shd w:val="clear" w:color="auto" w:fill="auto"/>
            <w:vAlign w:val="center"/>
          </w:tcPr>
          <w:p w14:paraId="30E56C14"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b/>
                <w:sz w:val="20"/>
              </w:rPr>
            </w:pPr>
            <w:r w:rsidRPr="00DB70DF">
              <w:rPr>
                <w:rFonts w:ascii="Palatino Linotype" w:hAnsi="Palatino Linotype"/>
                <w:b/>
                <w:sz w:val="20"/>
              </w:rPr>
              <w:t>WHO before</w:t>
            </w:r>
          </w:p>
        </w:tc>
        <w:tc>
          <w:tcPr>
            <w:tcW w:w="0" w:type="auto"/>
            <w:gridSpan w:val="2"/>
            <w:tcBorders>
              <w:top w:val="single" w:sz="8" w:space="0" w:color="auto"/>
              <w:left w:val="nil"/>
              <w:bottom w:val="nil"/>
              <w:right w:val="nil"/>
            </w:tcBorders>
            <w:shd w:val="clear" w:color="auto" w:fill="auto"/>
            <w:vAlign w:val="center"/>
          </w:tcPr>
          <w:p w14:paraId="6C70163A"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b/>
                <w:sz w:val="20"/>
              </w:rPr>
            </w:pPr>
            <w:r w:rsidRPr="00DB70DF">
              <w:rPr>
                <w:rFonts w:ascii="Palatino Linotype" w:hAnsi="Palatino Linotype"/>
                <w:b/>
                <w:sz w:val="20"/>
              </w:rPr>
              <w:t>WHO isolated</w:t>
            </w:r>
          </w:p>
        </w:tc>
        <w:tc>
          <w:tcPr>
            <w:tcW w:w="0" w:type="auto"/>
            <w:gridSpan w:val="5"/>
            <w:tcBorders>
              <w:top w:val="single" w:sz="8" w:space="0" w:color="auto"/>
              <w:left w:val="nil"/>
              <w:bottom w:val="nil"/>
              <w:right w:val="nil"/>
            </w:tcBorders>
            <w:shd w:val="clear" w:color="auto" w:fill="auto"/>
            <w:vAlign w:val="center"/>
          </w:tcPr>
          <w:p w14:paraId="23119C8B"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b/>
                <w:i/>
                <w:sz w:val="20"/>
              </w:rPr>
            </w:pPr>
          </w:p>
        </w:tc>
      </w:tr>
      <w:tr w:rsidR="00DB70DF" w:rsidRPr="00DB70DF" w14:paraId="487360F7" w14:textId="77777777" w:rsidTr="00DB70DF">
        <w:trPr>
          <w:jc w:val="center"/>
        </w:trPr>
        <w:tc>
          <w:tcPr>
            <w:tcW w:w="0" w:type="auto"/>
            <w:tcBorders>
              <w:top w:val="nil"/>
              <w:left w:val="nil"/>
              <w:bottom w:val="single" w:sz="4" w:space="0" w:color="auto"/>
              <w:right w:val="nil"/>
            </w:tcBorders>
            <w:shd w:val="clear" w:color="auto" w:fill="auto"/>
            <w:vAlign w:val="center"/>
          </w:tcPr>
          <w:p w14:paraId="5F97500A"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b/>
                <w:sz w:val="20"/>
              </w:rPr>
            </w:pPr>
          </w:p>
        </w:tc>
        <w:tc>
          <w:tcPr>
            <w:tcW w:w="0" w:type="auto"/>
            <w:tcBorders>
              <w:top w:val="nil"/>
              <w:left w:val="nil"/>
              <w:bottom w:val="single" w:sz="4" w:space="0" w:color="auto"/>
              <w:right w:val="nil"/>
            </w:tcBorders>
            <w:shd w:val="clear" w:color="auto" w:fill="auto"/>
            <w:vAlign w:val="center"/>
          </w:tcPr>
          <w:p w14:paraId="4AE66F2B"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b/>
                <w:sz w:val="20"/>
              </w:rPr>
            </w:pPr>
            <w:r w:rsidRPr="00DB70DF">
              <w:rPr>
                <w:rFonts w:ascii="Palatino Linotype" w:hAnsi="Palatino Linotype"/>
                <w:b/>
                <w:sz w:val="20"/>
              </w:rPr>
              <w:t>n</w:t>
            </w:r>
          </w:p>
        </w:tc>
        <w:tc>
          <w:tcPr>
            <w:tcW w:w="0" w:type="auto"/>
            <w:tcBorders>
              <w:top w:val="nil"/>
              <w:left w:val="nil"/>
              <w:bottom w:val="single" w:sz="4" w:space="0" w:color="auto"/>
              <w:right w:val="nil"/>
            </w:tcBorders>
            <w:shd w:val="clear" w:color="auto" w:fill="auto"/>
            <w:vAlign w:val="center"/>
          </w:tcPr>
          <w:p w14:paraId="05438ECE"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b/>
                <w:sz w:val="20"/>
              </w:rPr>
            </w:pPr>
            <w:r w:rsidRPr="00DB70DF">
              <w:rPr>
                <w:rFonts w:ascii="Palatino Linotype" w:hAnsi="Palatino Linotype"/>
                <w:b/>
                <w:sz w:val="20"/>
              </w:rPr>
              <w:t>%</w:t>
            </w:r>
          </w:p>
        </w:tc>
        <w:tc>
          <w:tcPr>
            <w:tcW w:w="0" w:type="auto"/>
            <w:tcBorders>
              <w:top w:val="nil"/>
              <w:left w:val="nil"/>
              <w:bottom w:val="single" w:sz="4" w:space="0" w:color="auto"/>
              <w:right w:val="nil"/>
            </w:tcBorders>
            <w:shd w:val="clear" w:color="auto" w:fill="auto"/>
            <w:vAlign w:val="center"/>
          </w:tcPr>
          <w:p w14:paraId="0BCA2192"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b/>
                <w:sz w:val="20"/>
              </w:rPr>
            </w:pPr>
            <w:r w:rsidRPr="00DB70DF">
              <w:rPr>
                <w:rFonts w:ascii="Palatino Linotype" w:hAnsi="Palatino Linotype"/>
                <w:b/>
                <w:sz w:val="20"/>
              </w:rPr>
              <w:t>n</w:t>
            </w:r>
          </w:p>
        </w:tc>
        <w:tc>
          <w:tcPr>
            <w:tcW w:w="0" w:type="auto"/>
            <w:tcBorders>
              <w:top w:val="nil"/>
              <w:left w:val="nil"/>
              <w:bottom w:val="single" w:sz="4" w:space="0" w:color="auto"/>
              <w:right w:val="nil"/>
            </w:tcBorders>
            <w:shd w:val="clear" w:color="auto" w:fill="auto"/>
            <w:vAlign w:val="center"/>
          </w:tcPr>
          <w:p w14:paraId="6476A25F"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b/>
                <w:sz w:val="20"/>
              </w:rPr>
            </w:pPr>
            <w:r w:rsidRPr="00DB70DF">
              <w:rPr>
                <w:rFonts w:ascii="Palatino Linotype" w:hAnsi="Palatino Linotype"/>
                <w:b/>
                <w:sz w:val="20"/>
              </w:rPr>
              <w:t>%</w:t>
            </w:r>
          </w:p>
        </w:tc>
        <w:tc>
          <w:tcPr>
            <w:tcW w:w="0" w:type="auto"/>
            <w:tcBorders>
              <w:top w:val="nil"/>
              <w:left w:val="nil"/>
              <w:bottom w:val="single" w:sz="4" w:space="0" w:color="auto"/>
              <w:right w:val="nil"/>
            </w:tcBorders>
            <w:shd w:val="clear" w:color="auto" w:fill="auto"/>
            <w:vAlign w:val="center"/>
          </w:tcPr>
          <w:p w14:paraId="36400987"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b/>
                <w:sz w:val="20"/>
              </w:rPr>
            </w:pPr>
            <w:r w:rsidRPr="00DB70DF">
              <w:rPr>
                <w:rFonts w:ascii="Palatino Linotype" w:hAnsi="Palatino Linotype"/>
                <w:b/>
                <w:sz w:val="20"/>
              </w:rPr>
              <w:t>Difference</w:t>
            </w:r>
          </w:p>
        </w:tc>
        <w:tc>
          <w:tcPr>
            <w:tcW w:w="0" w:type="auto"/>
            <w:tcBorders>
              <w:top w:val="nil"/>
              <w:left w:val="nil"/>
              <w:bottom w:val="single" w:sz="4" w:space="0" w:color="auto"/>
              <w:right w:val="nil"/>
            </w:tcBorders>
            <w:shd w:val="clear" w:color="auto" w:fill="auto"/>
            <w:vAlign w:val="center"/>
          </w:tcPr>
          <w:p w14:paraId="51BA52EA"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b/>
                <w:i/>
                <w:sz w:val="20"/>
              </w:rPr>
            </w:pPr>
            <w:r w:rsidRPr="00DB70DF">
              <w:rPr>
                <w:rFonts w:ascii="Palatino Linotype" w:hAnsi="Palatino Linotype"/>
                <w:b/>
                <w:i/>
                <w:sz w:val="20"/>
                <w:lang w:val="en-GB"/>
              </w:rPr>
              <w:t>χ</w:t>
            </w:r>
            <w:r w:rsidRPr="00DB70DF">
              <w:rPr>
                <w:rFonts w:ascii="Palatino Linotype" w:hAnsi="Palatino Linotype"/>
                <w:b/>
                <w:i/>
                <w:sz w:val="20"/>
                <w:vertAlign w:val="superscript"/>
                <w:lang w:val="en-GB"/>
              </w:rPr>
              <w:t>2</w:t>
            </w:r>
          </w:p>
        </w:tc>
        <w:tc>
          <w:tcPr>
            <w:tcW w:w="0" w:type="auto"/>
            <w:tcBorders>
              <w:top w:val="nil"/>
              <w:left w:val="nil"/>
              <w:bottom w:val="single" w:sz="4" w:space="0" w:color="auto"/>
              <w:right w:val="nil"/>
            </w:tcBorders>
            <w:shd w:val="clear" w:color="auto" w:fill="auto"/>
            <w:vAlign w:val="center"/>
          </w:tcPr>
          <w:p w14:paraId="740BB0CC"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b/>
                <w:sz w:val="20"/>
              </w:rPr>
            </w:pPr>
            <w:r w:rsidRPr="00DB70DF">
              <w:rPr>
                <w:rFonts w:ascii="Palatino Linotype" w:hAnsi="Palatino Linotype"/>
                <w:b/>
                <w:sz w:val="20"/>
              </w:rPr>
              <w:t>df</w:t>
            </w:r>
          </w:p>
        </w:tc>
        <w:tc>
          <w:tcPr>
            <w:tcW w:w="0" w:type="auto"/>
            <w:tcBorders>
              <w:top w:val="nil"/>
              <w:left w:val="nil"/>
              <w:bottom w:val="single" w:sz="4" w:space="0" w:color="auto"/>
              <w:right w:val="nil"/>
            </w:tcBorders>
            <w:shd w:val="clear" w:color="auto" w:fill="auto"/>
            <w:vAlign w:val="center"/>
          </w:tcPr>
          <w:p w14:paraId="7F8A817C"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b/>
                <w:sz w:val="20"/>
              </w:rPr>
            </w:pPr>
            <w:r w:rsidRPr="00DB70DF">
              <w:rPr>
                <w:rFonts w:ascii="Palatino Linotype" w:hAnsi="Palatino Linotype"/>
                <w:b/>
                <w:sz w:val="20"/>
              </w:rPr>
              <w:t xml:space="preserve">P </w:t>
            </w:r>
            <w:proofErr w:type="spellStart"/>
            <w:r w:rsidRPr="00DB70DF">
              <w:rPr>
                <w:rFonts w:ascii="Palatino Linotype" w:hAnsi="Palatino Linotype"/>
                <w:b/>
                <w:sz w:val="20"/>
              </w:rPr>
              <w:t>value</w:t>
            </w:r>
            <w:r w:rsidRPr="00DB70DF">
              <w:rPr>
                <w:rFonts w:ascii="Palatino Linotype" w:hAnsi="Palatino Linotype"/>
                <w:b/>
                <w:sz w:val="20"/>
                <w:vertAlign w:val="superscript"/>
              </w:rPr>
              <w:t>a</w:t>
            </w:r>
            <w:proofErr w:type="spellEnd"/>
          </w:p>
        </w:tc>
        <w:tc>
          <w:tcPr>
            <w:tcW w:w="0" w:type="auto"/>
            <w:tcBorders>
              <w:top w:val="nil"/>
              <w:left w:val="nil"/>
              <w:bottom w:val="single" w:sz="4" w:space="0" w:color="auto"/>
              <w:right w:val="nil"/>
            </w:tcBorders>
            <w:shd w:val="clear" w:color="auto" w:fill="auto"/>
            <w:vAlign w:val="center"/>
          </w:tcPr>
          <w:p w14:paraId="7F966A27"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b/>
                <w:i/>
                <w:sz w:val="20"/>
              </w:rPr>
            </w:pPr>
            <w:proofErr w:type="spellStart"/>
            <w:r w:rsidRPr="00DB70DF">
              <w:rPr>
                <w:rFonts w:ascii="Palatino Linotype" w:hAnsi="Palatino Linotype"/>
                <w:b/>
                <w:i/>
                <w:sz w:val="20"/>
              </w:rPr>
              <w:t>d</w:t>
            </w:r>
            <w:r w:rsidRPr="00DB70DF">
              <w:rPr>
                <w:rFonts w:ascii="Palatino Linotype" w:hAnsi="Palatino Linotype"/>
                <w:b/>
                <w:i/>
                <w:sz w:val="20"/>
                <w:vertAlign w:val="superscript"/>
              </w:rPr>
              <w:t>b</w:t>
            </w:r>
            <w:proofErr w:type="spellEnd"/>
          </w:p>
        </w:tc>
      </w:tr>
      <w:tr w:rsidR="00DB70DF" w:rsidRPr="00DB70DF" w14:paraId="15A14D03" w14:textId="77777777" w:rsidTr="00DB70DF">
        <w:trPr>
          <w:jc w:val="center"/>
        </w:trPr>
        <w:tc>
          <w:tcPr>
            <w:tcW w:w="0" w:type="auto"/>
            <w:tcBorders>
              <w:top w:val="single" w:sz="4" w:space="0" w:color="auto"/>
              <w:left w:val="nil"/>
              <w:bottom w:val="nil"/>
              <w:right w:val="nil"/>
            </w:tcBorders>
            <w:shd w:val="clear" w:color="auto" w:fill="auto"/>
            <w:vAlign w:val="center"/>
          </w:tcPr>
          <w:p w14:paraId="0D5BB4E2"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b/>
                <w:sz w:val="20"/>
              </w:rPr>
            </w:pPr>
            <w:r w:rsidRPr="00DB70DF">
              <w:rPr>
                <w:rFonts w:ascii="Palatino Linotype" w:hAnsi="Palatino Linotype"/>
                <w:b/>
                <w:sz w:val="20"/>
              </w:rPr>
              <w:t>Overall</w:t>
            </w:r>
          </w:p>
        </w:tc>
        <w:tc>
          <w:tcPr>
            <w:tcW w:w="0" w:type="auto"/>
            <w:tcBorders>
              <w:top w:val="single" w:sz="4" w:space="0" w:color="auto"/>
              <w:left w:val="nil"/>
              <w:bottom w:val="nil"/>
              <w:right w:val="nil"/>
            </w:tcBorders>
            <w:shd w:val="clear" w:color="auto" w:fill="auto"/>
            <w:vAlign w:val="center"/>
          </w:tcPr>
          <w:p w14:paraId="1236EAB7"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1238</w:t>
            </w:r>
          </w:p>
        </w:tc>
        <w:tc>
          <w:tcPr>
            <w:tcW w:w="0" w:type="auto"/>
            <w:tcBorders>
              <w:top w:val="single" w:sz="4" w:space="0" w:color="auto"/>
              <w:left w:val="nil"/>
              <w:bottom w:val="nil"/>
              <w:right w:val="nil"/>
            </w:tcBorders>
            <w:shd w:val="clear" w:color="auto" w:fill="auto"/>
            <w:vAlign w:val="center"/>
          </w:tcPr>
          <w:p w14:paraId="5FD73330"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60.6</w:t>
            </w:r>
          </w:p>
        </w:tc>
        <w:tc>
          <w:tcPr>
            <w:tcW w:w="0" w:type="auto"/>
            <w:tcBorders>
              <w:top w:val="single" w:sz="4" w:space="0" w:color="auto"/>
              <w:left w:val="nil"/>
              <w:bottom w:val="nil"/>
              <w:right w:val="nil"/>
            </w:tcBorders>
            <w:shd w:val="clear" w:color="auto" w:fill="auto"/>
            <w:vAlign w:val="center"/>
          </w:tcPr>
          <w:p w14:paraId="5DD3A7EE"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999</w:t>
            </w:r>
          </w:p>
        </w:tc>
        <w:tc>
          <w:tcPr>
            <w:tcW w:w="0" w:type="auto"/>
            <w:tcBorders>
              <w:top w:val="single" w:sz="4" w:space="0" w:color="auto"/>
              <w:left w:val="nil"/>
              <w:bottom w:val="nil"/>
              <w:right w:val="nil"/>
            </w:tcBorders>
            <w:shd w:val="clear" w:color="auto" w:fill="auto"/>
            <w:vAlign w:val="center"/>
          </w:tcPr>
          <w:p w14:paraId="1BDE3A18"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48.9</w:t>
            </w:r>
          </w:p>
        </w:tc>
        <w:tc>
          <w:tcPr>
            <w:tcW w:w="0" w:type="auto"/>
            <w:tcBorders>
              <w:top w:val="single" w:sz="4" w:space="0" w:color="auto"/>
              <w:left w:val="nil"/>
              <w:bottom w:val="nil"/>
              <w:right w:val="nil"/>
            </w:tcBorders>
            <w:shd w:val="clear" w:color="auto" w:fill="auto"/>
            <w:vAlign w:val="center"/>
          </w:tcPr>
          <w:p w14:paraId="37675C06"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11.7</w:t>
            </w:r>
          </w:p>
        </w:tc>
        <w:tc>
          <w:tcPr>
            <w:tcW w:w="0" w:type="auto"/>
            <w:tcBorders>
              <w:top w:val="single" w:sz="4" w:space="0" w:color="auto"/>
              <w:left w:val="nil"/>
              <w:bottom w:val="nil"/>
              <w:right w:val="nil"/>
            </w:tcBorders>
            <w:shd w:val="clear" w:color="auto" w:fill="auto"/>
            <w:vAlign w:val="center"/>
          </w:tcPr>
          <w:p w14:paraId="13421997"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16.67</w:t>
            </w:r>
          </w:p>
        </w:tc>
        <w:tc>
          <w:tcPr>
            <w:tcW w:w="0" w:type="auto"/>
            <w:tcBorders>
              <w:top w:val="single" w:sz="4" w:space="0" w:color="auto"/>
              <w:left w:val="nil"/>
              <w:bottom w:val="nil"/>
              <w:right w:val="nil"/>
            </w:tcBorders>
            <w:shd w:val="clear" w:color="auto" w:fill="auto"/>
            <w:vAlign w:val="center"/>
          </w:tcPr>
          <w:p w14:paraId="69DC6D4D"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1</w:t>
            </w:r>
          </w:p>
        </w:tc>
        <w:tc>
          <w:tcPr>
            <w:tcW w:w="0" w:type="auto"/>
            <w:tcBorders>
              <w:top w:val="single" w:sz="4" w:space="0" w:color="auto"/>
              <w:left w:val="nil"/>
              <w:bottom w:val="nil"/>
              <w:right w:val="nil"/>
            </w:tcBorders>
            <w:shd w:val="clear" w:color="auto" w:fill="auto"/>
            <w:vAlign w:val="center"/>
          </w:tcPr>
          <w:p w14:paraId="485A0CB2"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&lt;0.0001</w:t>
            </w:r>
          </w:p>
        </w:tc>
        <w:tc>
          <w:tcPr>
            <w:tcW w:w="0" w:type="auto"/>
            <w:tcBorders>
              <w:top w:val="single" w:sz="4" w:space="0" w:color="auto"/>
              <w:left w:val="nil"/>
              <w:bottom w:val="nil"/>
              <w:right w:val="nil"/>
            </w:tcBorders>
            <w:shd w:val="clear" w:color="auto" w:fill="auto"/>
            <w:vAlign w:val="center"/>
          </w:tcPr>
          <w:p w14:paraId="41A5EDD1"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0.2367</w:t>
            </w:r>
          </w:p>
        </w:tc>
      </w:tr>
      <w:tr w:rsidR="00DB70DF" w:rsidRPr="00DB70DF" w14:paraId="36422BBB" w14:textId="77777777" w:rsidTr="00DB70DF">
        <w:trPr>
          <w:jc w:val="center"/>
        </w:trPr>
        <w:tc>
          <w:tcPr>
            <w:tcW w:w="0" w:type="auto"/>
            <w:tcBorders>
              <w:top w:val="nil"/>
              <w:left w:val="nil"/>
              <w:bottom w:val="nil"/>
              <w:right w:val="nil"/>
            </w:tcBorders>
            <w:shd w:val="clear" w:color="auto" w:fill="auto"/>
            <w:vAlign w:val="center"/>
          </w:tcPr>
          <w:p w14:paraId="681416A6"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b/>
                <w:sz w:val="20"/>
              </w:rPr>
            </w:pPr>
            <w:r w:rsidRPr="00DB70DF">
              <w:rPr>
                <w:rFonts w:ascii="Palatino Linotype" w:hAnsi="Palatino Linotype"/>
                <w:b/>
                <w:sz w:val="20"/>
              </w:rPr>
              <w:t>Gender</w:t>
            </w:r>
          </w:p>
        </w:tc>
        <w:tc>
          <w:tcPr>
            <w:tcW w:w="0" w:type="auto"/>
            <w:tcBorders>
              <w:top w:val="nil"/>
              <w:left w:val="nil"/>
              <w:bottom w:val="nil"/>
              <w:right w:val="nil"/>
            </w:tcBorders>
            <w:shd w:val="clear" w:color="auto" w:fill="auto"/>
            <w:vAlign w:val="center"/>
          </w:tcPr>
          <w:p w14:paraId="65B5BEBC"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086329BC"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5F44D94D"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6F514E2A"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1D309061"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6B1F9B19"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368E0153"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00D58EB8"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1BD0D9D9"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r>
      <w:tr w:rsidR="00DB70DF" w:rsidRPr="00DB70DF" w14:paraId="4EDD1BC9" w14:textId="77777777" w:rsidTr="00DB70DF">
        <w:trPr>
          <w:jc w:val="center"/>
        </w:trPr>
        <w:tc>
          <w:tcPr>
            <w:tcW w:w="0" w:type="auto"/>
            <w:tcBorders>
              <w:top w:val="nil"/>
              <w:left w:val="nil"/>
              <w:bottom w:val="nil"/>
              <w:right w:val="nil"/>
            </w:tcBorders>
            <w:shd w:val="clear" w:color="auto" w:fill="auto"/>
            <w:vAlign w:val="center"/>
          </w:tcPr>
          <w:p w14:paraId="2394785E"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Men</w:t>
            </w:r>
          </w:p>
        </w:tc>
        <w:tc>
          <w:tcPr>
            <w:tcW w:w="0" w:type="auto"/>
            <w:tcBorders>
              <w:top w:val="nil"/>
              <w:left w:val="nil"/>
              <w:bottom w:val="nil"/>
              <w:right w:val="nil"/>
            </w:tcBorders>
            <w:shd w:val="clear" w:color="auto" w:fill="auto"/>
            <w:vAlign w:val="center"/>
          </w:tcPr>
          <w:p w14:paraId="11DA7EA0"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662</w:t>
            </w:r>
          </w:p>
        </w:tc>
        <w:tc>
          <w:tcPr>
            <w:tcW w:w="0" w:type="auto"/>
            <w:tcBorders>
              <w:top w:val="nil"/>
              <w:left w:val="nil"/>
              <w:bottom w:val="nil"/>
              <w:right w:val="nil"/>
            </w:tcBorders>
            <w:shd w:val="clear" w:color="auto" w:fill="auto"/>
            <w:vAlign w:val="center"/>
          </w:tcPr>
          <w:p w14:paraId="063876C0"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70.6</w:t>
            </w:r>
          </w:p>
        </w:tc>
        <w:tc>
          <w:tcPr>
            <w:tcW w:w="0" w:type="auto"/>
            <w:tcBorders>
              <w:top w:val="nil"/>
              <w:left w:val="nil"/>
              <w:bottom w:val="nil"/>
              <w:right w:val="nil"/>
            </w:tcBorders>
            <w:shd w:val="clear" w:color="auto" w:fill="auto"/>
            <w:vAlign w:val="center"/>
          </w:tcPr>
          <w:p w14:paraId="3F306730"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502</w:t>
            </w:r>
          </w:p>
        </w:tc>
        <w:tc>
          <w:tcPr>
            <w:tcW w:w="0" w:type="auto"/>
            <w:tcBorders>
              <w:top w:val="nil"/>
              <w:left w:val="nil"/>
              <w:bottom w:val="nil"/>
              <w:right w:val="nil"/>
            </w:tcBorders>
            <w:shd w:val="clear" w:color="auto" w:fill="auto"/>
            <w:vAlign w:val="center"/>
          </w:tcPr>
          <w:p w14:paraId="3EF36232"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53.5</w:t>
            </w:r>
          </w:p>
        </w:tc>
        <w:tc>
          <w:tcPr>
            <w:tcW w:w="0" w:type="auto"/>
            <w:tcBorders>
              <w:top w:val="nil"/>
              <w:left w:val="nil"/>
              <w:bottom w:val="nil"/>
              <w:right w:val="nil"/>
            </w:tcBorders>
            <w:shd w:val="clear" w:color="auto" w:fill="auto"/>
            <w:vAlign w:val="center"/>
          </w:tcPr>
          <w:p w14:paraId="1A0AF620"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17.1</w:t>
            </w:r>
          </w:p>
        </w:tc>
        <w:tc>
          <w:tcPr>
            <w:tcW w:w="0" w:type="auto"/>
            <w:tcBorders>
              <w:top w:val="nil"/>
              <w:left w:val="nil"/>
              <w:bottom w:val="nil"/>
              <w:right w:val="nil"/>
            </w:tcBorders>
            <w:shd w:val="clear" w:color="auto" w:fill="auto"/>
            <w:vAlign w:val="center"/>
          </w:tcPr>
          <w:p w14:paraId="3190FAEC"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94.12</w:t>
            </w:r>
          </w:p>
        </w:tc>
        <w:tc>
          <w:tcPr>
            <w:tcW w:w="0" w:type="auto"/>
            <w:tcBorders>
              <w:top w:val="nil"/>
              <w:left w:val="nil"/>
              <w:bottom w:val="nil"/>
              <w:right w:val="nil"/>
            </w:tcBorders>
            <w:shd w:val="clear" w:color="auto" w:fill="auto"/>
            <w:vAlign w:val="center"/>
          </w:tcPr>
          <w:p w14:paraId="21F70CA6"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1</w:t>
            </w:r>
          </w:p>
        </w:tc>
        <w:tc>
          <w:tcPr>
            <w:tcW w:w="0" w:type="auto"/>
            <w:tcBorders>
              <w:top w:val="nil"/>
              <w:left w:val="nil"/>
              <w:bottom w:val="nil"/>
              <w:right w:val="nil"/>
            </w:tcBorders>
            <w:shd w:val="clear" w:color="auto" w:fill="auto"/>
            <w:vAlign w:val="center"/>
          </w:tcPr>
          <w:p w14:paraId="1DACF8C6"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&lt;0.0001</w:t>
            </w:r>
          </w:p>
        </w:tc>
        <w:tc>
          <w:tcPr>
            <w:tcW w:w="0" w:type="auto"/>
            <w:tcBorders>
              <w:top w:val="nil"/>
              <w:left w:val="nil"/>
              <w:bottom w:val="nil"/>
              <w:right w:val="nil"/>
            </w:tcBorders>
            <w:shd w:val="clear" w:color="auto" w:fill="auto"/>
            <w:vAlign w:val="center"/>
          </w:tcPr>
          <w:p w14:paraId="0FD08DD0"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0.3569</w:t>
            </w:r>
          </w:p>
        </w:tc>
      </w:tr>
      <w:tr w:rsidR="00DB70DF" w:rsidRPr="00DB70DF" w14:paraId="1162C919" w14:textId="77777777" w:rsidTr="00DB70DF">
        <w:trPr>
          <w:jc w:val="center"/>
        </w:trPr>
        <w:tc>
          <w:tcPr>
            <w:tcW w:w="0" w:type="auto"/>
            <w:tcBorders>
              <w:top w:val="nil"/>
              <w:left w:val="nil"/>
              <w:bottom w:val="nil"/>
              <w:right w:val="nil"/>
            </w:tcBorders>
            <w:shd w:val="clear" w:color="auto" w:fill="auto"/>
            <w:vAlign w:val="center"/>
          </w:tcPr>
          <w:p w14:paraId="137FC2D7"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Women</w:t>
            </w:r>
          </w:p>
        </w:tc>
        <w:tc>
          <w:tcPr>
            <w:tcW w:w="0" w:type="auto"/>
            <w:tcBorders>
              <w:top w:val="nil"/>
              <w:left w:val="nil"/>
              <w:bottom w:val="nil"/>
              <w:right w:val="nil"/>
            </w:tcBorders>
            <w:shd w:val="clear" w:color="auto" w:fill="auto"/>
            <w:vAlign w:val="center"/>
          </w:tcPr>
          <w:p w14:paraId="27627D43"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576</w:t>
            </w:r>
          </w:p>
        </w:tc>
        <w:tc>
          <w:tcPr>
            <w:tcW w:w="0" w:type="auto"/>
            <w:tcBorders>
              <w:top w:val="nil"/>
              <w:left w:val="nil"/>
              <w:bottom w:val="nil"/>
              <w:right w:val="nil"/>
            </w:tcBorders>
            <w:shd w:val="clear" w:color="auto" w:fill="auto"/>
            <w:vAlign w:val="center"/>
          </w:tcPr>
          <w:p w14:paraId="086C2DF0"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52.2</w:t>
            </w:r>
          </w:p>
        </w:tc>
        <w:tc>
          <w:tcPr>
            <w:tcW w:w="0" w:type="auto"/>
            <w:tcBorders>
              <w:top w:val="nil"/>
              <w:left w:val="nil"/>
              <w:bottom w:val="nil"/>
              <w:right w:val="nil"/>
            </w:tcBorders>
            <w:shd w:val="clear" w:color="auto" w:fill="auto"/>
            <w:vAlign w:val="center"/>
          </w:tcPr>
          <w:p w14:paraId="392B0550"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497</w:t>
            </w:r>
          </w:p>
        </w:tc>
        <w:tc>
          <w:tcPr>
            <w:tcW w:w="0" w:type="auto"/>
            <w:tcBorders>
              <w:top w:val="nil"/>
              <w:left w:val="nil"/>
              <w:bottom w:val="nil"/>
              <w:right w:val="nil"/>
            </w:tcBorders>
            <w:shd w:val="clear" w:color="auto" w:fill="auto"/>
            <w:vAlign w:val="center"/>
          </w:tcPr>
          <w:p w14:paraId="42779F96"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45.0</w:t>
            </w:r>
          </w:p>
        </w:tc>
        <w:tc>
          <w:tcPr>
            <w:tcW w:w="0" w:type="auto"/>
            <w:tcBorders>
              <w:top w:val="nil"/>
              <w:left w:val="nil"/>
              <w:bottom w:val="nil"/>
              <w:right w:val="nil"/>
            </w:tcBorders>
            <w:shd w:val="clear" w:color="auto" w:fill="auto"/>
            <w:vAlign w:val="center"/>
          </w:tcPr>
          <w:p w14:paraId="023208F3"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7.2</w:t>
            </w:r>
          </w:p>
        </w:tc>
        <w:tc>
          <w:tcPr>
            <w:tcW w:w="0" w:type="auto"/>
            <w:tcBorders>
              <w:top w:val="nil"/>
              <w:left w:val="nil"/>
              <w:bottom w:val="nil"/>
              <w:right w:val="nil"/>
            </w:tcBorders>
            <w:shd w:val="clear" w:color="auto" w:fill="auto"/>
            <w:vAlign w:val="center"/>
          </w:tcPr>
          <w:p w14:paraId="548E0261"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17.19</w:t>
            </w:r>
          </w:p>
        </w:tc>
        <w:tc>
          <w:tcPr>
            <w:tcW w:w="0" w:type="auto"/>
            <w:tcBorders>
              <w:top w:val="nil"/>
              <w:left w:val="nil"/>
              <w:bottom w:val="nil"/>
              <w:right w:val="nil"/>
            </w:tcBorders>
            <w:shd w:val="clear" w:color="auto" w:fill="auto"/>
            <w:vAlign w:val="center"/>
          </w:tcPr>
          <w:p w14:paraId="66FE349B"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1</w:t>
            </w:r>
          </w:p>
        </w:tc>
        <w:tc>
          <w:tcPr>
            <w:tcW w:w="0" w:type="auto"/>
            <w:tcBorders>
              <w:top w:val="nil"/>
              <w:left w:val="nil"/>
              <w:bottom w:val="nil"/>
              <w:right w:val="nil"/>
            </w:tcBorders>
            <w:shd w:val="clear" w:color="auto" w:fill="auto"/>
            <w:vAlign w:val="center"/>
          </w:tcPr>
          <w:p w14:paraId="41350855"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&lt;0.0001</w:t>
            </w:r>
          </w:p>
        </w:tc>
        <w:tc>
          <w:tcPr>
            <w:tcW w:w="0" w:type="auto"/>
            <w:tcBorders>
              <w:top w:val="nil"/>
              <w:left w:val="nil"/>
              <w:bottom w:val="nil"/>
              <w:right w:val="nil"/>
            </w:tcBorders>
            <w:shd w:val="clear" w:color="auto" w:fill="auto"/>
            <w:vAlign w:val="center"/>
          </w:tcPr>
          <w:p w14:paraId="2A8D7F8B"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0.1435</w:t>
            </w:r>
          </w:p>
        </w:tc>
      </w:tr>
      <w:tr w:rsidR="00DB70DF" w:rsidRPr="00DB70DF" w14:paraId="1A34699F" w14:textId="77777777" w:rsidTr="00DB70DF">
        <w:trPr>
          <w:jc w:val="center"/>
        </w:trPr>
        <w:tc>
          <w:tcPr>
            <w:tcW w:w="0" w:type="auto"/>
            <w:tcBorders>
              <w:top w:val="nil"/>
              <w:left w:val="nil"/>
              <w:bottom w:val="nil"/>
              <w:right w:val="nil"/>
            </w:tcBorders>
            <w:shd w:val="clear" w:color="auto" w:fill="auto"/>
            <w:vAlign w:val="center"/>
          </w:tcPr>
          <w:p w14:paraId="15C97025"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b/>
                <w:sz w:val="20"/>
              </w:rPr>
            </w:pPr>
            <w:r w:rsidRPr="00DB70DF">
              <w:rPr>
                <w:rFonts w:ascii="Palatino Linotype" w:hAnsi="Palatino Linotype"/>
                <w:b/>
                <w:sz w:val="20"/>
              </w:rPr>
              <w:t>Age</w:t>
            </w:r>
          </w:p>
        </w:tc>
        <w:tc>
          <w:tcPr>
            <w:tcW w:w="0" w:type="auto"/>
            <w:tcBorders>
              <w:top w:val="nil"/>
              <w:left w:val="nil"/>
              <w:bottom w:val="nil"/>
              <w:right w:val="nil"/>
            </w:tcBorders>
            <w:shd w:val="clear" w:color="auto" w:fill="auto"/>
            <w:vAlign w:val="center"/>
          </w:tcPr>
          <w:p w14:paraId="6BDFE76C"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07BE0BFB"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20DE4579"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0A1BE9A9"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6BDF9C6F"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7C813652"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040DEC7E"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25364543"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2E0BEA9E"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r>
      <w:tr w:rsidR="00DB70DF" w:rsidRPr="00DB70DF" w14:paraId="1D0EEE48" w14:textId="77777777" w:rsidTr="00DB70DF">
        <w:trPr>
          <w:jc w:val="center"/>
        </w:trPr>
        <w:tc>
          <w:tcPr>
            <w:tcW w:w="0" w:type="auto"/>
            <w:tcBorders>
              <w:top w:val="nil"/>
              <w:left w:val="nil"/>
              <w:bottom w:val="nil"/>
              <w:right w:val="nil"/>
            </w:tcBorders>
            <w:shd w:val="clear" w:color="auto" w:fill="auto"/>
            <w:vAlign w:val="center"/>
          </w:tcPr>
          <w:p w14:paraId="67C4B168"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&lt;43 years</w:t>
            </w:r>
          </w:p>
        </w:tc>
        <w:tc>
          <w:tcPr>
            <w:tcW w:w="0" w:type="auto"/>
            <w:tcBorders>
              <w:top w:val="nil"/>
              <w:left w:val="nil"/>
              <w:bottom w:val="nil"/>
              <w:right w:val="nil"/>
            </w:tcBorders>
            <w:shd w:val="clear" w:color="auto" w:fill="auto"/>
            <w:vAlign w:val="center"/>
          </w:tcPr>
          <w:p w14:paraId="7FD6C8E8"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928</w:t>
            </w:r>
          </w:p>
        </w:tc>
        <w:tc>
          <w:tcPr>
            <w:tcW w:w="0" w:type="auto"/>
            <w:tcBorders>
              <w:top w:val="nil"/>
              <w:left w:val="nil"/>
              <w:bottom w:val="nil"/>
              <w:right w:val="nil"/>
            </w:tcBorders>
            <w:shd w:val="clear" w:color="auto" w:fill="auto"/>
            <w:vAlign w:val="center"/>
          </w:tcPr>
          <w:p w14:paraId="6DE65C39"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64.4</w:t>
            </w:r>
          </w:p>
        </w:tc>
        <w:tc>
          <w:tcPr>
            <w:tcW w:w="0" w:type="auto"/>
            <w:tcBorders>
              <w:top w:val="nil"/>
              <w:left w:val="nil"/>
              <w:bottom w:val="nil"/>
              <w:right w:val="nil"/>
            </w:tcBorders>
            <w:shd w:val="clear" w:color="auto" w:fill="auto"/>
            <w:vAlign w:val="center"/>
          </w:tcPr>
          <w:p w14:paraId="396CDEEF"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792</w:t>
            </w:r>
          </w:p>
        </w:tc>
        <w:tc>
          <w:tcPr>
            <w:tcW w:w="0" w:type="auto"/>
            <w:tcBorders>
              <w:top w:val="nil"/>
              <w:left w:val="nil"/>
              <w:bottom w:val="nil"/>
              <w:right w:val="nil"/>
            </w:tcBorders>
            <w:shd w:val="clear" w:color="auto" w:fill="auto"/>
            <w:vAlign w:val="center"/>
          </w:tcPr>
          <w:p w14:paraId="20B143C7"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55.0</w:t>
            </w:r>
          </w:p>
        </w:tc>
        <w:tc>
          <w:tcPr>
            <w:tcW w:w="0" w:type="auto"/>
            <w:tcBorders>
              <w:top w:val="nil"/>
              <w:left w:val="nil"/>
              <w:bottom w:val="nil"/>
              <w:right w:val="nil"/>
            </w:tcBorders>
            <w:shd w:val="clear" w:color="auto" w:fill="auto"/>
            <w:vAlign w:val="center"/>
          </w:tcPr>
          <w:p w14:paraId="4B81F1AC"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9.4</w:t>
            </w:r>
          </w:p>
        </w:tc>
        <w:tc>
          <w:tcPr>
            <w:tcW w:w="0" w:type="auto"/>
            <w:tcBorders>
              <w:top w:val="nil"/>
              <w:left w:val="nil"/>
              <w:bottom w:val="nil"/>
              <w:right w:val="nil"/>
            </w:tcBorders>
            <w:shd w:val="clear" w:color="auto" w:fill="auto"/>
            <w:vAlign w:val="center"/>
          </w:tcPr>
          <w:p w14:paraId="53213F28"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43.42</w:t>
            </w:r>
          </w:p>
        </w:tc>
        <w:tc>
          <w:tcPr>
            <w:tcW w:w="0" w:type="auto"/>
            <w:tcBorders>
              <w:top w:val="nil"/>
              <w:left w:val="nil"/>
              <w:bottom w:val="nil"/>
              <w:right w:val="nil"/>
            </w:tcBorders>
            <w:shd w:val="clear" w:color="auto" w:fill="auto"/>
            <w:vAlign w:val="center"/>
          </w:tcPr>
          <w:p w14:paraId="3D80BC0C"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1</w:t>
            </w:r>
          </w:p>
        </w:tc>
        <w:tc>
          <w:tcPr>
            <w:tcW w:w="0" w:type="auto"/>
            <w:tcBorders>
              <w:top w:val="nil"/>
              <w:left w:val="nil"/>
              <w:bottom w:val="nil"/>
              <w:right w:val="nil"/>
            </w:tcBorders>
            <w:shd w:val="clear" w:color="auto" w:fill="auto"/>
            <w:vAlign w:val="center"/>
          </w:tcPr>
          <w:p w14:paraId="0EBADC06"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&lt;0.0001</w:t>
            </w:r>
          </w:p>
        </w:tc>
        <w:tc>
          <w:tcPr>
            <w:tcW w:w="0" w:type="auto"/>
            <w:tcBorders>
              <w:top w:val="nil"/>
              <w:left w:val="nil"/>
              <w:bottom w:val="nil"/>
              <w:right w:val="nil"/>
            </w:tcBorders>
            <w:shd w:val="clear" w:color="auto" w:fill="auto"/>
            <w:vAlign w:val="center"/>
          </w:tcPr>
          <w:p w14:paraId="3197867B"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0.1932</w:t>
            </w:r>
          </w:p>
        </w:tc>
      </w:tr>
      <w:tr w:rsidR="00DB70DF" w:rsidRPr="00DB70DF" w14:paraId="457F95D1" w14:textId="77777777" w:rsidTr="00DB70DF">
        <w:trPr>
          <w:jc w:val="center"/>
        </w:trPr>
        <w:tc>
          <w:tcPr>
            <w:tcW w:w="0" w:type="auto"/>
            <w:tcBorders>
              <w:top w:val="nil"/>
              <w:left w:val="nil"/>
              <w:bottom w:val="nil"/>
              <w:right w:val="nil"/>
            </w:tcBorders>
            <w:shd w:val="clear" w:color="auto" w:fill="auto"/>
            <w:vAlign w:val="center"/>
          </w:tcPr>
          <w:p w14:paraId="60D81293"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≥43 years</w:t>
            </w:r>
          </w:p>
        </w:tc>
        <w:tc>
          <w:tcPr>
            <w:tcW w:w="0" w:type="auto"/>
            <w:tcBorders>
              <w:top w:val="nil"/>
              <w:left w:val="nil"/>
              <w:bottom w:val="nil"/>
              <w:right w:val="nil"/>
            </w:tcBorders>
            <w:shd w:val="clear" w:color="auto" w:fill="auto"/>
            <w:vAlign w:val="center"/>
          </w:tcPr>
          <w:p w14:paraId="5C4D8A1C"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310</w:t>
            </w:r>
          </w:p>
        </w:tc>
        <w:tc>
          <w:tcPr>
            <w:tcW w:w="0" w:type="auto"/>
            <w:tcBorders>
              <w:top w:val="nil"/>
              <w:left w:val="nil"/>
              <w:bottom w:val="nil"/>
              <w:right w:val="nil"/>
            </w:tcBorders>
            <w:shd w:val="clear" w:color="auto" w:fill="auto"/>
            <w:vAlign w:val="center"/>
          </w:tcPr>
          <w:p w14:paraId="25B845EA"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51.6</w:t>
            </w:r>
          </w:p>
        </w:tc>
        <w:tc>
          <w:tcPr>
            <w:tcW w:w="0" w:type="auto"/>
            <w:tcBorders>
              <w:top w:val="nil"/>
              <w:left w:val="nil"/>
              <w:bottom w:val="nil"/>
              <w:right w:val="nil"/>
            </w:tcBorders>
            <w:shd w:val="clear" w:color="auto" w:fill="auto"/>
            <w:vAlign w:val="center"/>
          </w:tcPr>
          <w:p w14:paraId="295EF182"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207</w:t>
            </w:r>
          </w:p>
        </w:tc>
        <w:tc>
          <w:tcPr>
            <w:tcW w:w="0" w:type="auto"/>
            <w:tcBorders>
              <w:top w:val="nil"/>
              <w:left w:val="nil"/>
              <w:bottom w:val="nil"/>
              <w:right w:val="nil"/>
            </w:tcBorders>
            <w:shd w:val="clear" w:color="auto" w:fill="auto"/>
            <w:vAlign w:val="center"/>
          </w:tcPr>
          <w:p w14:paraId="3A63D75A"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34.4</w:t>
            </w:r>
          </w:p>
        </w:tc>
        <w:tc>
          <w:tcPr>
            <w:tcW w:w="0" w:type="auto"/>
            <w:tcBorders>
              <w:top w:val="nil"/>
              <w:left w:val="nil"/>
              <w:bottom w:val="nil"/>
              <w:right w:val="nil"/>
            </w:tcBorders>
            <w:shd w:val="clear" w:color="auto" w:fill="auto"/>
            <w:vAlign w:val="center"/>
          </w:tcPr>
          <w:p w14:paraId="23496A58"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17.2</w:t>
            </w:r>
          </w:p>
        </w:tc>
        <w:tc>
          <w:tcPr>
            <w:tcW w:w="0" w:type="auto"/>
            <w:tcBorders>
              <w:top w:val="nil"/>
              <w:left w:val="nil"/>
              <w:bottom w:val="nil"/>
              <w:right w:val="nil"/>
            </w:tcBorders>
            <w:shd w:val="clear" w:color="auto" w:fill="auto"/>
            <w:vAlign w:val="center"/>
          </w:tcPr>
          <w:p w14:paraId="528172DB"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50.76</w:t>
            </w:r>
          </w:p>
        </w:tc>
        <w:tc>
          <w:tcPr>
            <w:tcW w:w="0" w:type="auto"/>
            <w:tcBorders>
              <w:top w:val="nil"/>
              <w:left w:val="nil"/>
              <w:bottom w:val="nil"/>
              <w:right w:val="nil"/>
            </w:tcBorders>
            <w:shd w:val="clear" w:color="auto" w:fill="auto"/>
            <w:vAlign w:val="center"/>
          </w:tcPr>
          <w:p w14:paraId="4B2020F0"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1</w:t>
            </w:r>
          </w:p>
        </w:tc>
        <w:tc>
          <w:tcPr>
            <w:tcW w:w="0" w:type="auto"/>
            <w:tcBorders>
              <w:top w:val="nil"/>
              <w:left w:val="nil"/>
              <w:bottom w:val="nil"/>
              <w:right w:val="nil"/>
            </w:tcBorders>
            <w:shd w:val="clear" w:color="auto" w:fill="auto"/>
            <w:vAlign w:val="center"/>
          </w:tcPr>
          <w:p w14:paraId="2A9C67D0"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&lt;0.0001</w:t>
            </w:r>
          </w:p>
        </w:tc>
        <w:tc>
          <w:tcPr>
            <w:tcW w:w="0" w:type="auto"/>
            <w:tcBorders>
              <w:top w:val="nil"/>
              <w:left w:val="nil"/>
              <w:bottom w:val="nil"/>
              <w:right w:val="nil"/>
            </w:tcBorders>
            <w:shd w:val="clear" w:color="auto" w:fill="auto"/>
            <w:vAlign w:val="center"/>
          </w:tcPr>
          <w:p w14:paraId="4D475B1F"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0.3512</w:t>
            </w:r>
          </w:p>
        </w:tc>
      </w:tr>
      <w:tr w:rsidR="00DB70DF" w:rsidRPr="00DB70DF" w14:paraId="5BDDCFB5" w14:textId="77777777" w:rsidTr="00DB70DF">
        <w:trPr>
          <w:jc w:val="center"/>
        </w:trPr>
        <w:tc>
          <w:tcPr>
            <w:tcW w:w="0" w:type="auto"/>
            <w:tcBorders>
              <w:top w:val="nil"/>
              <w:left w:val="nil"/>
              <w:bottom w:val="nil"/>
              <w:right w:val="nil"/>
            </w:tcBorders>
            <w:shd w:val="clear" w:color="auto" w:fill="auto"/>
            <w:vAlign w:val="center"/>
          </w:tcPr>
          <w:p w14:paraId="4AA35FCC"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b/>
                <w:sz w:val="20"/>
              </w:rPr>
            </w:pPr>
            <w:r w:rsidRPr="00DB70DF">
              <w:rPr>
                <w:rFonts w:ascii="Palatino Linotype" w:hAnsi="Palatino Linotype"/>
                <w:b/>
                <w:sz w:val="20"/>
              </w:rPr>
              <w:t>Civil status</w:t>
            </w:r>
          </w:p>
        </w:tc>
        <w:tc>
          <w:tcPr>
            <w:tcW w:w="0" w:type="auto"/>
            <w:tcBorders>
              <w:top w:val="nil"/>
              <w:left w:val="nil"/>
              <w:bottom w:val="nil"/>
              <w:right w:val="nil"/>
            </w:tcBorders>
            <w:shd w:val="clear" w:color="auto" w:fill="auto"/>
            <w:vAlign w:val="center"/>
          </w:tcPr>
          <w:p w14:paraId="789EEC06"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03D196FF"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1A9A6F02"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31A1664F"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17DEC296"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57DBBED2"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24345F53"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0839AF40"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2804D14A"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r>
      <w:tr w:rsidR="00DB70DF" w:rsidRPr="00DB70DF" w14:paraId="335426AB" w14:textId="77777777" w:rsidTr="00DB70DF">
        <w:trPr>
          <w:jc w:val="center"/>
        </w:trPr>
        <w:tc>
          <w:tcPr>
            <w:tcW w:w="0" w:type="auto"/>
            <w:tcBorders>
              <w:top w:val="nil"/>
              <w:left w:val="nil"/>
              <w:bottom w:val="nil"/>
              <w:right w:val="nil"/>
            </w:tcBorders>
            <w:shd w:val="clear" w:color="auto" w:fill="auto"/>
            <w:vAlign w:val="center"/>
          </w:tcPr>
          <w:p w14:paraId="67764C10"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Married</w:t>
            </w:r>
          </w:p>
        </w:tc>
        <w:tc>
          <w:tcPr>
            <w:tcW w:w="0" w:type="auto"/>
            <w:tcBorders>
              <w:top w:val="nil"/>
              <w:left w:val="nil"/>
              <w:bottom w:val="nil"/>
              <w:right w:val="nil"/>
            </w:tcBorders>
            <w:shd w:val="clear" w:color="auto" w:fill="auto"/>
            <w:vAlign w:val="center"/>
          </w:tcPr>
          <w:p w14:paraId="4050DE93"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593</w:t>
            </w:r>
          </w:p>
        </w:tc>
        <w:tc>
          <w:tcPr>
            <w:tcW w:w="0" w:type="auto"/>
            <w:tcBorders>
              <w:top w:val="nil"/>
              <w:left w:val="nil"/>
              <w:bottom w:val="nil"/>
              <w:right w:val="nil"/>
            </w:tcBorders>
            <w:shd w:val="clear" w:color="auto" w:fill="auto"/>
            <w:vAlign w:val="center"/>
          </w:tcPr>
          <w:p w14:paraId="7977824B"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59.2</w:t>
            </w:r>
          </w:p>
        </w:tc>
        <w:tc>
          <w:tcPr>
            <w:tcW w:w="0" w:type="auto"/>
            <w:tcBorders>
              <w:top w:val="nil"/>
              <w:left w:val="nil"/>
              <w:bottom w:val="nil"/>
              <w:right w:val="nil"/>
            </w:tcBorders>
            <w:shd w:val="clear" w:color="auto" w:fill="auto"/>
            <w:vAlign w:val="center"/>
          </w:tcPr>
          <w:p w14:paraId="78CE6FBA"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461</w:t>
            </w:r>
          </w:p>
        </w:tc>
        <w:tc>
          <w:tcPr>
            <w:tcW w:w="0" w:type="auto"/>
            <w:tcBorders>
              <w:top w:val="nil"/>
              <w:left w:val="nil"/>
              <w:bottom w:val="nil"/>
              <w:right w:val="nil"/>
            </w:tcBorders>
            <w:shd w:val="clear" w:color="auto" w:fill="auto"/>
            <w:vAlign w:val="center"/>
          </w:tcPr>
          <w:p w14:paraId="22A135C6"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46.1</w:t>
            </w:r>
          </w:p>
        </w:tc>
        <w:tc>
          <w:tcPr>
            <w:tcW w:w="0" w:type="auto"/>
            <w:tcBorders>
              <w:top w:val="nil"/>
              <w:left w:val="nil"/>
              <w:bottom w:val="nil"/>
              <w:right w:val="nil"/>
            </w:tcBorders>
            <w:shd w:val="clear" w:color="auto" w:fill="auto"/>
            <w:vAlign w:val="center"/>
          </w:tcPr>
          <w:p w14:paraId="1D98A281"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13.1</w:t>
            </w:r>
          </w:p>
        </w:tc>
        <w:tc>
          <w:tcPr>
            <w:tcW w:w="0" w:type="auto"/>
            <w:tcBorders>
              <w:top w:val="nil"/>
              <w:left w:val="nil"/>
              <w:bottom w:val="nil"/>
              <w:right w:val="nil"/>
            </w:tcBorders>
            <w:shd w:val="clear" w:color="auto" w:fill="auto"/>
            <w:vAlign w:val="center"/>
          </w:tcPr>
          <w:p w14:paraId="039F03D6"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52.80</w:t>
            </w:r>
          </w:p>
        </w:tc>
        <w:tc>
          <w:tcPr>
            <w:tcW w:w="0" w:type="auto"/>
            <w:tcBorders>
              <w:top w:val="nil"/>
              <w:left w:val="nil"/>
              <w:bottom w:val="nil"/>
              <w:right w:val="nil"/>
            </w:tcBorders>
            <w:shd w:val="clear" w:color="auto" w:fill="auto"/>
            <w:vAlign w:val="center"/>
          </w:tcPr>
          <w:p w14:paraId="0662DB79"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1</w:t>
            </w:r>
          </w:p>
        </w:tc>
        <w:tc>
          <w:tcPr>
            <w:tcW w:w="0" w:type="auto"/>
            <w:tcBorders>
              <w:top w:val="nil"/>
              <w:left w:val="nil"/>
              <w:bottom w:val="nil"/>
              <w:right w:val="nil"/>
            </w:tcBorders>
            <w:shd w:val="clear" w:color="auto" w:fill="auto"/>
            <w:vAlign w:val="center"/>
          </w:tcPr>
          <w:p w14:paraId="198A6350"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&lt;0.0001</w:t>
            </w:r>
          </w:p>
        </w:tc>
        <w:tc>
          <w:tcPr>
            <w:tcW w:w="0" w:type="auto"/>
            <w:tcBorders>
              <w:top w:val="nil"/>
              <w:left w:val="nil"/>
              <w:bottom w:val="nil"/>
              <w:right w:val="nil"/>
            </w:tcBorders>
            <w:shd w:val="clear" w:color="auto" w:fill="auto"/>
            <w:vAlign w:val="center"/>
          </w:tcPr>
          <w:p w14:paraId="6D10A9EF"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0.2663</w:t>
            </w:r>
          </w:p>
        </w:tc>
      </w:tr>
      <w:tr w:rsidR="00DB70DF" w:rsidRPr="00DB70DF" w14:paraId="7E2FB841" w14:textId="77777777" w:rsidTr="00DB70DF">
        <w:trPr>
          <w:jc w:val="center"/>
        </w:trPr>
        <w:tc>
          <w:tcPr>
            <w:tcW w:w="0" w:type="auto"/>
            <w:tcBorders>
              <w:top w:val="nil"/>
              <w:left w:val="nil"/>
              <w:bottom w:val="nil"/>
              <w:right w:val="nil"/>
            </w:tcBorders>
            <w:shd w:val="clear" w:color="auto" w:fill="auto"/>
            <w:vAlign w:val="center"/>
          </w:tcPr>
          <w:p w14:paraId="3E5C36E0"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Not married</w:t>
            </w:r>
          </w:p>
        </w:tc>
        <w:tc>
          <w:tcPr>
            <w:tcW w:w="0" w:type="auto"/>
            <w:tcBorders>
              <w:top w:val="nil"/>
              <w:left w:val="nil"/>
              <w:bottom w:val="nil"/>
              <w:right w:val="nil"/>
            </w:tcBorders>
            <w:shd w:val="clear" w:color="auto" w:fill="auto"/>
            <w:vAlign w:val="center"/>
          </w:tcPr>
          <w:p w14:paraId="72B21786"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645</w:t>
            </w:r>
          </w:p>
        </w:tc>
        <w:tc>
          <w:tcPr>
            <w:tcW w:w="0" w:type="auto"/>
            <w:tcBorders>
              <w:top w:val="nil"/>
              <w:left w:val="nil"/>
              <w:bottom w:val="nil"/>
              <w:right w:val="nil"/>
            </w:tcBorders>
            <w:shd w:val="clear" w:color="auto" w:fill="auto"/>
            <w:vAlign w:val="center"/>
          </w:tcPr>
          <w:p w14:paraId="353D5BF4"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61.0</w:t>
            </w:r>
          </w:p>
        </w:tc>
        <w:tc>
          <w:tcPr>
            <w:tcW w:w="0" w:type="auto"/>
            <w:tcBorders>
              <w:top w:val="nil"/>
              <w:left w:val="nil"/>
              <w:bottom w:val="nil"/>
              <w:right w:val="nil"/>
            </w:tcBorders>
            <w:shd w:val="clear" w:color="auto" w:fill="auto"/>
            <w:vAlign w:val="center"/>
          </w:tcPr>
          <w:p w14:paraId="0DFD6541"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538</w:t>
            </w:r>
          </w:p>
        </w:tc>
        <w:tc>
          <w:tcPr>
            <w:tcW w:w="0" w:type="auto"/>
            <w:tcBorders>
              <w:top w:val="nil"/>
              <w:left w:val="nil"/>
              <w:bottom w:val="nil"/>
              <w:right w:val="nil"/>
            </w:tcBorders>
            <w:shd w:val="clear" w:color="auto" w:fill="auto"/>
            <w:vAlign w:val="center"/>
          </w:tcPr>
          <w:p w14:paraId="4D221846"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51.7</w:t>
            </w:r>
          </w:p>
        </w:tc>
        <w:tc>
          <w:tcPr>
            <w:tcW w:w="0" w:type="auto"/>
            <w:tcBorders>
              <w:top w:val="nil"/>
              <w:left w:val="nil"/>
              <w:bottom w:val="nil"/>
              <w:right w:val="nil"/>
            </w:tcBorders>
            <w:shd w:val="clear" w:color="auto" w:fill="auto"/>
            <w:vAlign w:val="center"/>
          </w:tcPr>
          <w:p w14:paraId="300A0EF8"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9.3</w:t>
            </w:r>
          </w:p>
        </w:tc>
        <w:tc>
          <w:tcPr>
            <w:tcW w:w="0" w:type="auto"/>
            <w:tcBorders>
              <w:top w:val="nil"/>
              <w:left w:val="nil"/>
              <w:bottom w:val="nil"/>
              <w:right w:val="nil"/>
            </w:tcBorders>
            <w:shd w:val="clear" w:color="auto" w:fill="auto"/>
            <w:vAlign w:val="center"/>
          </w:tcPr>
          <w:p w14:paraId="0CED1C42"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37.54</w:t>
            </w:r>
          </w:p>
        </w:tc>
        <w:tc>
          <w:tcPr>
            <w:tcW w:w="0" w:type="auto"/>
            <w:tcBorders>
              <w:top w:val="nil"/>
              <w:left w:val="nil"/>
              <w:bottom w:val="nil"/>
              <w:right w:val="nil"/>
            </w:tcBorders>
            <w:shd w:val="clear" w:color="auto" w:fill="auto"/>
            <w:vAlign w:val="center"/>
          </w:tcPr>
          <w:p w14:paraId="7F61D37C"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1</w:t>
            </w:r>
          </w:p>
        </w:tc>
        <w:tc>
          <w:tcPr>
            <w:tcW w:w="0" w:type="auto"/>
            <w:tcBorders>
              <w:top w:val="nil"/>
              <w:left w:val="nil"/>
              <w:bottom w:val="nil"/>
              <w:right w:val="nil"/>
            </w:tcBorders>
            <w:shd w:val="clear" w:color="auto" w:fill="auto"/>
            <w:vAlign w:val="center"/>
          </w:tcPr>
          <w:p w14:paraId="66FB2F22"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&lt;0.0001</w:t>
            </w:r>
          </w:p>
        </w:tc>
        <w:tc>
          <w:tcPr>
            <w:tcW w:w="0" w:type="auto"/>
            <w:tcBorders>
              <w:top w:val="nil"/>
              <w:left w:val="nil"/>
              <w:bottom w:val="nil"/>
              <w:right w:val="nil"/>
            </w:tcBorders>
            <w:shd w:val="clear" w:color="auto" w:fill="auto"/>
            <w:vAlign w:val="center"/>
          </w:tcPr>
          <w:p w14:paraId="4D4C2B8E"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0.2085</w:t>
            </w:r>
          </w:p>
        </w:tc>
      </w:tr>
      <w:tr w:rsidR="00DB70DF" w:rsidRPr="00DB70DF" w14:paraId="1E04C6B4" w14:textId="77777777" w:rsidTr="00DB70DF">
        <w:trPr>
          <w:jc w:val="center"/>
        </w:trPr>
        <w:tc>
          <w:tcPr>
            <w:tcW w:w="0" w:type="auto"/>
            <w:tcBorders>
              <w:top w:val="nil"/>
              <w:left w:val="nil"/>
              <w:bottom w:val="nil"/>
              <w:right w:val="nil"/>
            </w:tcBorders>
            <w:shd w:val="clear" w:color="auto" w:fill="auto"/>
            <w:vAlign w:val="center"/>
          </w:tcPr>
          <w:p w14:paraId="07BC955F"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b/>
                <w:sz w:val="20"/>
              </w:rPr>
            </w:pPr>
            <w:r w:rsidRPr="00DB70DF">
              <w:rPr>
                <w:rFonts w:ascii="Palatino Linotype" w:hAnsi="Palatino Linotype"/>
                <w:b/>
                <w:sz w:val="20"/>
              </w:rPr>
              <w:t>Education</w:t>
            </w:r>
          </w:p>
        </w:tc>
        <w:tc>
          <w:tcPr>
            <w:tcW w:w="0" w:type="auto"/>
            <w:tcBorders>
              <w:top w:val="nil"/>
              <w:left w:val="nil"/>
              <w:bottom w:val="nil"/>
              <w:right w:val="nil"/>
            </w:tcBorders>
            <w:shd w:val="clear" w:color="auto" w:fill="auto"/>
            <w:vAlign w:val="center"/>
          </w:tcPr>
          <w:p w14:paraId="68BB0572"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69CCDF7F"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73A6F95A"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67B8F950"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3E416993"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6E7BFB60"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25677CF3"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0E313F7C"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125D3D49"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r>
      <w:tr w:rsidR="00DB70DF" w:rsidRPr="00DB70DF" w14:paraId="18C06978" w14:textId="77777777" w:rsidTr="00DB70DF">
        <w:trPr>
          <w:jc w:val="center"/>
        </w:trPr>
        <w:tc>
          <w:tcPr>
            <w:tcW w:w="0" w:type="auto"/>
            <w:tcBorders>
              <w:top w:val="nil"/>
              <w:left w:val="nil"/>
              <w:bottom w:val="nil"/>
              <w:right w:val="nil"/>
            </w:tcBorders>
            <w:shd w:val="clear" w:color="auto" w:fill="auto"/>
            <w:vAlign w:val="center"/>
          </w:tcPr>
          <w:p w14:paraId="3847AF2C"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University degree</w:t>
            </w:r>
          </w:p>
        </w:tc>
        <w:tc>
          <w:tcPr>
            <w:tcW w:w="0" w:type="auto"/>
            <w:tcBorders>
              <w:top w:val="nil"/>
              <w:left w:val="nil"/>
              <w:bottom w:val="nil"/>
              <w:right w:val="nil"/>
            </w:tcBorders>
            <w:shd w:val="clear" w:color="auto" w:fill="auto"/>
            <w:vAlign w:val="center"/>
          </w:tcPr>
          <w:p w14:paraId="31180546"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798</w:t>
            </w:r>
          </w:p>
        </w:tc>
        <w:tc>
          <w:tcPr>
            <w:tcW w:w="0" w:type="auto"/>
            <w:tcBorders>
              <w:top w:val="nil"/>
              <w:left w:val="nil"/>
              <w:bottom w:val="nil"/>
              <w:right w:val="nil"/>
            </w:tcBorders>
            <w:shd w:val="clear" w:color="auto" w:fill="auto"/>
            <w:vAlign w:val="center"/>
          </w:tcPr>
          <w:p w14:paraId="018F238D"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61.7</w:t>
            </w:r>
          </w:p>
        </w:tc>
        <w:tc>
          <w:tcPr>
            <w:tcW w:w="0" w:type="auto"/>
            <w:tcBorders>
              <w:top w:val="nil"/>
              <w:left w:val="nil"/>
              <w:bottom w:val="nil"/>
              <w:right w:val="nil"/>
            </w:tcBorders>
            <w:shd w:val="clear" w:color="auto" w:fill="auto"/>
            <w:vAlign w:val="center"/>
          </w:tcPr>
          <w:p w14:paraId="6B5398E2"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667</w:t>
            </w:r>
          </w:p>
        </w:tc>
        <w:tc>
          <w:tcPr>
            <w:tcW w:w="0" w:type="auto"/>
            <w:tcBorders>
              <w:top w:val="nil"/>
              <w:left w:val="nil"/>
              <w:bottom w:val="nil"/>
              <w:right w:val="nil"/>
            </w:tcBorders>
            <w:shd w:val="clear" w:color="auto" w:fill="auto"/>
            <w:vAlign w:val="center"/>
          </w:tcPr>
          <w:p w14:paraId="011D0CF1"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51.6</w:t>
            </w:r>
          </w:p>
        </w:tc>
        <w:tc>
          <w:tcPr>
            <w:tcW w:w="0" w:type="auto"/>
            <w:tcBorders>
              <w:top w:val="nil"/>
              <w:left w:val="nil"/>
              <w:bottom w:val="nil"/>
              <w:right w:val="nil"/>
            </w:tcBorders>
            <w:shd w:val="clear" w:color="auto" w:fill="auto"/>
            <w:vAlign w:val="center"/>
          </w:tcPr>
          <w:p w14:paraId="52863BB6"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10.1</w:t>
            </w:r>
          </w:p>
        </w:tc>
        <w:tc>
          <w:tcPr>
            <w:tcW w:w="0" w:type="auto"/>
            <w:tcBorders>
              <w:top w:val="nil"/>
              <w:left w:val="nil"/>
              <w:bottom w:val="nil"/>
              <w:right w:val="nil"/>
            </w:tcBorders>
            <w:shd w:val="clear" w:color="auto" w:fill="auto"/>
            <w:vAlign w:val="center"/>
          </w:tcPr>
          <w:p w14:paraId="02AD9DDF"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42.37</w:t>
            </w:r>
          </w:p>
        </w:tc>
        <w:tc>
          <w:tcPr>
            <w:tcW w:w="0" w:type="auto"/>
            <w:tcBorders>
              <w:top w:val="nil"/>
              <w:left w:val="nil"/>
              <w:bottom w:val="nil"/>
              <w:right w:val="nil"/>
            </w:tcBorders>
            <w:shd w:val="clear" w:color="auto" w:fill="auto"/>
            <w:vAlign w:val="center"/>
          </w:tcPr>
          <w:p w14:paraId="598E3067"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1</w:t>
            </w:r>
          </w:p>
        </w:tc>
        <w:tc>
          <w:tcPr>
            <w:tcW w:w="0" w:type="auto"/>
            <w:tcBorders>
              <w:top w:val="nil"/>
              <w:left w:val="nil"/>
              <w:bottom w:val="nil"/>
              <w:right w:val="nil"/>
            </w:tcBorders>
            <w:shd w:val="clear" w:color="auto" w:fill="auto"/>
            <w:vAlign w:val="center"/>
          </w:tcPr>
          <w:p w14:paraId="3EE3C8B2"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&lt;0.0001</w:t>
            </w:r>
          </w:p>
        </w:tc>
        <w:tc>
          <w:tcPr>
            <w:tcW w:w="0" w:type="auto"/>
            <w:tcBorders>
              <w:top w:val="nil"/>
              <w:left w:val="nil"/>
              <w:bottom w:val="nil"/>
              <w:right w:val="nil"/>
            </w:tcBorders>
            <w:shd w:val="clear" w:color="auto" w:fill="auto"/>
            <w:vAlign w:val="center"/>
          </w:tcPr>
          <w:p w14:paraId="43972703"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0.2054</w:t>
            </w:r>
          </w:p>
        </w:tc>
      </w:tr>
      <w:tr w:rsidR="00DB70DF" w:rsidRPr="00DB70DF" w14:paraId="09256485" w14:textId="77777777" w:rsidTr="00DB70DF">
        <w:trPr>
          <w:jc w:val="center"/>
        </w:trPr>
        <w:tc>
          <w:tcPr>
            <w:tcW w:w="0" w:type="auto"/>
            <w:tcBorders>
              <w:top w:val="nil"/>
              <w:left w:val="nil"/>
              <w:bottom w:val="nil"/>
              <w:right w:val="nil"/>
            </w:tcBorders>
            <w:shd w:val="clear" w:color="auto" w:fill="auto"/>
            <w:vAlign w:val="center"/>
          </w:tcPr>
          <w:p w14:paraId="289AF018"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No University degree</w:t>
            </w:r>
          </w:p>
        </w:tc>
        <w:tc>
          <w:tcPr>
            <w:tcW w:w="0" w:type="auto"/>
            <w:tcBorders>
              <w:top w:val="nil"/>
              <w:left w:val="nil"/>
              <w:bottom w:val="nil"/>
              <w:right w:val="nil"/>
            </w:tcBorders>
            <w:shd w:val="clear" w:color="auto" w:fill="auto"/>
            <w:vAlign w:val="center"/>
          </w:tcPr>
          <w:p w14:paraId="5AF997D7"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440</w:t>
            </w:r>
          </w:p>
        </w:tc>
        <w:tc>
          <w:tcPr>
            <w:tcW w:w="0" w:type="auto"/>
            <w:tcBorders>
              <w:top w:val="nil"/>
              <w:left w:val="nil"/>
              <w:bottom w:val="nil"/>
              <w:right w:val="nil"/>
            </w:tcBorders>
            <w:shd w:val="clear" w:color="auto" w:fill="auto"/>
            <w:vAlign w:val="center"/>
          </w:tcPr>
          <w:p w14:paraId="34430C1E"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58.7</w:t>
            </w:r>
          </w:p>
        </w:tc>
        <w:tc>
          <w:tcPr>
            <w:tcW w:w="0" w:type="auto"/>
            <w:tcBorders>
              <w:top w:val="nil"/>
              <w:left w:val="nil"/>
              <w:bottom w:val="nil"/>
              <w:right w:val="nil"/>
            </w:tcBorders>
            <w:shd w:val="clear" w:color="auto" w:fill="auto"/>
            <w:vAlign w:val="center"/>
          </w:tcPr>
          <w:p w14:paraId="0B349BCA"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332</w:t>
            </w:r>
          </w:p>
        </w:tc>
        <w:tc>
          <w:tcPr>
            <w:tcW w:w="0" w:type="auto"/>
            <w:tcBorders>
              <w:top w:val="nil"/>
              <w:left w:val="nil"/>
              <w:bottom w:val="nil"/>
              <w:right w:val="nil"/>
            </w:tcBorders>
            <w:shd w:val="clear" w:color="auto" w:fill="auto"/>
            <w:vAlign w:val="center"/>
          </w:tcPr>
          <w:p w14:paraId="7C495365"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44.3</w:t>
            </w:r>
          </w:p>
        </w:tc>
        <w:tc>
          <w:tcPr>
            <w:tcW w:w="0" w:type="auto"/>
            <w:tcBorders>
              <w:top w:val="nil"/>
              <w:left w:val="nil"/>
              <w:bottom w:val="nil"/>
              <w:right w:val="nil"/>
            </w:tcBorders>
            <w:shd w:val="clear" w:color="auto" w:fill="auto"/>
            <w:vAlign w:val="center"/>
          </w:tcPr>
          <w:p w14:paraId="241140AE"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14.4</w:t>
            </w:r>
          </w:p>
        </w:tc>
        <w:tc>
          <w:tcPr>
            <w:tcW w:w="0" w:type="auto"/>
            <w:tcBorders>
              <w:top w:val="nil"/>
              <w:left w:val="nil"/>
              <w:bottom w:val="nil"/>
              <w:right w:val="nil"/>
            </w:tcBorders>
            <w:shd w:val="clear" w:color="auto" w:fill="auto"/>
            <w:vAlign w:val="center"/>
          </w:tcPr>
          <w:p w14:paraId="44EB17C5"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50.71</w:t>
            </w:r>
          </w:p>
        </w:tc>
        <w:tc>
          <w:tcPr>
            <w:tcW w:w="0" w:type="auto"/>
            <w:tcBorders>
              <w:top w:val="nil"/>
              <w:left w:val="nil"/>
              <w:bottom w:val="nil"/>
              <w:right w:val="nil"/>
            </w:tcBorders>
            <w:shd w:val="clear" w:color="auto" w:fill="auto"/>
            <w:vAlign w:val="center"/>
          </w:tcPr>
          <w:p w14:paraId="09FBC220"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1</w:t>
            </w:r>
          </w:p>
        </w:tc>
        <w:tc>
          <w:tcPr>
            <w:tcW w:w="0" w:type="auto"/>
            <w:tcBorders>
              <w:top w:val="nil"/>
              <w:left w:val="nil"/>
              <w:bottom w:val="nil"/>
              <w:right w:val="nil"/>
            </w:tcBorders>
            <w:shd w:val="clear" w:color="auto" w:fill="auto"/>
            <w:vAlign w:val="center"/>
          </w:tcPr>
          <w:p w14:paraId="1A530C23"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&lt;0.0001</w:t>
            </w:r>
          </w:p>
        </w:tc>
        <w:tc>
          <w:tcPr>
            <w:tcW w:w="0" w:type="auto"/>
            <w:tcBorders>
              <w:top w:val="nil"/>
              <w:left w:val="nil"/>
              <w:bottom w:val="nil"/>
              <w:right w:val="nil"/>
            </w:tcBorders>
            <w:shd w:val="clear" w:color="auto" w:fill="auto"/>
            <w:vAlign w:val="center"/>
          </w:tcPr>
          <w:p w14:paraId="7F054B44"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0.2914</w:t>
            </w:r>
          </w:p>
        </w:tc>
      </w:tr>
      <w:tr w:rsidR="00DB70DF" w:rsidRPr="00DB70DF" w14:paraId="7E48D729" w14:textId="77777777" w:rsidTr="00DB70DF">
        <w:trPr>
          <w:jc w:val="center"/>
        </w:trPr>
        <w:tc>
          <w:tcPr>
            <w:tcW w:w="0" w:type="auto"/>
            <w:tcBorders>
              <w:top w:val="nil"/>
              <w:left w:val="nil"/>
              <w:bottom w:val="nil"/>
              <w:right w:val="nil"/>
            </w:tcBorders>
            <w:shd w:val="clear" w:color="auto" w:fill="auto"/>
            <w:vAlign w:val="center"/>
          </w:tcPr>
          <w:p w14:paraId="7A8DFCAF"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b/>
                <w:sz w:val="20"/>
              </w:rPr>
            </w:pPr>
            <w:r w:rsidRPr="00DB70DF">
              <w:rPr>
                <w:rFonts w:ascii="Palatino Linotype" w:hAnsi="Palatino Linotype"/>
                <w:b/>
                <w:sz w:val="20"/>
              </w:rPr>
              <w:t>Occupation</w:t>
            </w:r>
          </w:p>
        </w:tc>
        <w:tc>
          <w:tcPr>
            <w:tcW w:w="0" w:type="auto"/>
            <w:tcBorders>
              <w:top w:val="nil"/>
              <w:left w:val="nil"/>
              <w:bottom w:val="nil"/>
              <w:right w:val="nil"/>
            </w:tcBorders>
            <w:shd w:val="clear" w:color="auto" w:fill="auto"/>
            <w:vAlign w:val="center"/>
          </w:tcPr>
          <w:p w14:paraId="3423B285"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5884765A"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6CBD32F5"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3158E029"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399C41D0"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3A9595E4"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17A410B1"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0C210702"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c>
          <w:tcPr>
            <w:tcW w:w="0" w:type="auto"/>
            <w:tcBorders>
              <w:top w:val="nil"/>
              <w:left w:val="nil"/>
              <w:bottom w:val="nil"/>
              <w:right w:val="nil"/>
            </w:tcBorders>
            <w:shd w:val="clear" w:color="auto" w:fill="auto"/>
            <w:vAlign w:val="center"/>
          </w:tcPr>
          <w:p w14:paraId="6A168DBF"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
        </w:tc>
      </w:tr>
      <w:tr w:rsidR="00DB70DF" w:rsidRPr="00DB70DF" w14:paraId="26E11132" w14:textId="77777777" w:rsidTr="00DB70DF">
        <w:trPr>
          <w:jc w:val="center"/>
        </w:trPr>
        <w:tc>
          <w:tcPr>
            <w:tcW w:w="0" w:type="auto"/>
            <w:tcBorders>
              <w:top w:val="nil"/>
              <w:left w:val="nil"/>
              <w:bottom w:val="nil"/>
              <w:right w:val="nil"/>
            </w:tcBorders>
            <w:shd w:val="clear" w:color="auto" w:fill="auto"/>
            <w:vAlign w:val="center"/>
          </w:tcPr>
          <w:p w14:paraId="4B734CFC"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Employed</w:t>
            </w:r>
          </w:p>
        </w:tc>
        <w:tc>
          <w:tcPr>
            <w:tcW w:w="0" w:type="auto"/>
            <w:tcBorders>
              <w:top w:val="nil"/>
              <w:left w:val="nil"/>
              <w:bottom w:val="nil"/>
              <w:right w:val="nil"/>
            </w:tcBorders>
            <w:shd w:val="clear" w:color="auto" w:fill="auto"/>
            <w:vAlign w:val="center"/>
          </w:tcPr>
          <w:p w14:paraId="215D3A96"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750</w:t>
            </w:r>
          </w:p>
        </w:tc>
        <w:tc>
          <w:tcPr>
            <w:tcW w:w="0" w:type="auto"/>
            <w:tcBorders>
              <w:top w:val="nil"/>
              <w:left w:val="nil"/>
              <w:bottom w:val="nil"/>
              <w:right w:val="nil"/>
            </w:tcBorders>
            <w:shd w:val="clear" w:color="auto" w:fill="auto"/>
            <w:vAlign w:val="center"/>
          </w:tcPr>
          <w:p w14:paraId="109D5A92"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58.3</w:t>
            </w:r>
          </w:p>
        </w:tc>
        <w:tc>
          <w:tcPr>
            <w:tcW w:w="0" w:type="auto"/>
            <w:tcBorders>
              <w:top w:val="nil"/>
              <w:left w:val="nil"/>
              <w:bottom w:val="nil"/>
              <w:right w:val="nil"/>
            </w:tcBorders>
            <w:shd w:val="clear" w:color="auto" w:fill="auto"/>
            <w:vAlign w:val="center"/>
          </w:tcPr>
          <w:p w14:paraId="7FA850DA"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606</w:t>
            </w:r>
          </w:p>
        </w:tc>
        <w:tc>
          <w:tcPr>
            <w:tcW w:w="0" w:type="auto"/>
            <w:tcBorders>
              <w:top w:val="nil"/>
              <w:left w:val="nil"/>
              <w:bottom w:val="nil"/>
              <w:right w:val="nil"/>
            </w:tcBorders>
            <w:shd w:val="clear" w:color="auto" w:fill="auto"/>
            <w:vAlign w:val="center"/>
          </w:tcPr>
          <w:p w14:paraId="7732B5C6"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47.1</w:t>
            </w:r>
          </w:p>
        </w:tc>
        <w:tc>
          <w:tcPr>
            <w:tcW w:w="0" w:type="auto"/>
            <w:tcBorders>
              <w:top w:val="nil"/>
              <w:left w:val="nil"/>
              <w:bottom w:val="nil"/>
              <w:right w:val="nil"/>
            </w:tcBorders>
            <w:shd w:val="clear" w:color="auto" w:fill="auto"/>
            <w:vAlign w:val="center"/>
          </w:tcPr>
          <w:p w14:paraId="6F74736C"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11.2</w:t>
            </w:r>
          </w:p>
        </w:tc>
        <w:tc>
          <w:tcPr>
            <w:tcW w:w="0" w:type="auto"/>
            <w:tcBorders>
              <w:top w:val="nil"/>
              <w:left w:val="nil"/>
              <w:bottom w:val="nil"/>
              <w:right w:val="nil"/>
            </w:tcBorders>
            <w:shd w:val="clear" w:color="auto" w:fill="auto"/>
            <w:vAlign w:val="center"/>
          </w:tcPr>
          <w:p w14:paraId="617CF83C"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52.36</w:t>
            </w:r>
          </w:p>
        </w:tc>
        <w:tc>
          <w:tcPr>
            <w:tcW w:w="0" w:type="auto"/>
            <w:tcBorders>
              <w:top w:val="nil"/>
              <w:left w:val="nil"/>
              <w:bottom w:val="nil"/>
              <w:right w:val="nil"/>
            </w:tcBorders>
            <w:shd w:val="clear" w:color="auto" w:fill="auto"/>
            <w:vAlign w:val="center"/>
          </w:tcPr>
          <w:p w14:paraId="124BF555"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1</w:t>
            </w:r>
          </w:p>
        </w:tc>
        <w:tc>
          <w:tcPr>
            <w:tcW w:w="0" w:type="auto"/>
            <w:tcBorders>
              <w:top w:val="nil"/>
              <w:left w:val="nil"/>
              <w:bottom w:val="nil"/>
              <w:right w:val="nil"/>
            </w:tcBorders>
            <w:shd w:val="clear" w:color="auto" w:fill="auto"/>
            <w:vAlign w:val="center"/>
          </w:tcPr>
          <w:p w14:paraId="070F8810"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&lt;0.0001</w:t>
            </w:r>
          </w:p>
        </w:tc>
        <w:tc>
          <w:tcPr>
            <w:tcW w:w="0" w:type="auto"/>
            <w:tcBorders>
              <w:top w:val="nil"/>
              <w:left w:val="nil"/>
              <w:bottom w:val="nil"/>
              <w:right w:val="nil"/>
            </w:tcBorders>
            <w:shd w:val="clear" w:color="auto" w:fill="auto"/>
            <w:vAlign w:val="center"/>
          </w:tcPr>
          <w:p w14:paraId="79E37A8B"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0.2254</w:t>
            </w:r>
          </w:p>
        </w:tc>
      </w:tr>
      <w:tr w:rsidR="00DB70DF" w:rsidRPr="00DB70DF" w14:paraId="27EFDD13" w14:textId="77777777" w:rsidTr="00DB70DF">
        <w:trPr>
          <w:jc w:val="center"/>
        </w:trPr>
        <w:tc>
          <w:tcPr>
            <w:tcW w:w="0" w:type="auto"/>
            <w:tcBorders>
              <w:top w:val="nil"/>
              <w:left w:val="nil"/>
              <w:bottom w:val="single" w:sz="4" w:space="0" w:color="auto"/>
              <w:right w:val="nil"/>
            </w:tcBorders>
            <w:shd w:val="clear" w:color="auto" w:fill="auto"/>
            <w:vAlign w:val="center"/>
          </w:tcPr>
          <w:p w14:paraId="235D77D1"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Not employed</w:t>
            </w:r>
          </w:p>
        </w:tc>
        <w:tc>
          <w:tcPr>
            <w:tcW w:w="0" w:type="auto"/>
            <w:tcBorders>
              <w:top w:val="nil"/>
              <w:left w:val="nil"/>
              <w:bottom w:val="single" w:sz="4" w:space="0" w:color="auto"/>
              <w:right w:val="nil"/>
            </w:tcBorders>
            <w:shd w:val="clear" w:color="auto" w:fill="auto"/>
            <w:vAlign w:val="center"/>
          </w:tcPr>
          <w:p w14:paraId="53CA5FCC"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488</w:t>
            </w:r>
          </w:p>
        </w:tc>
        <w:tc>
          <w:tcPr>
            <w:tcW w:w="0" w:type="auto"/>
            <w:tcBorders>
              <w:top w:val="nil"/>
              <w:left w:val="nil"/>
              <w:bottom w:val="single" w:sz="4" w:space="0" w:color="auto"/>
              <w:right w:val="nil"/>
            </w:tcBorders>
            <w:shd w:val="clear" w:color="auto" w:fill="auto"/>
            <w:vAlign w:val="center"/>
          </w:tcPr>
          <w:p w14:paraId="15C9EAE8"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64.6</w:t>
            </w:r>
          </w:p>
        </w:tc>
        <w:tc>
          <w:tcPr>
            <w:tcW w:w="0" w:type="auto"/>
            <w:tcBorders>
              <w:top w:val="nil"/>
              <w:left w:val="nil"/>
              <w:bottom w:val="single" w:sz="4" w:space="0" w:color="auto"/>
              <w:right w:val="nil"/>
            </w:tcBorders>
            <w:shd w:val="clear" w:color="auto" w:fill="auto"/>
            <w:vAlign w:val="center"/>
          </w:tcPr>
          <w:p w14:paraId="7E4578EE"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393</w:t>
            </w:r>
          </w:p>
        </w:tc>
        <w:tc>
          <w:tcPr>
            <w:tcW w:w="0" w:type="auto"/>
            <w:tcBorders>
              <w:top w:val="nil"/>
              <w:left w:val="nil"/>
              <w:bottom w:val="single" w:sz="4" w:space="0" w:color="auto"/>
              <w:right w:val="nil"/>
            </w:tcBorders>
            <w:shd w:val="clear" w:color="auto" w:fill="auto"/>
            <w:vAlign w:val="center"/>
          </w:tcPr>
          <w:p w14:paraId="4A3D3A92"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52.1</w:t>
            </w:r>
          </w:p>
        </w:tc>
        <w:tc>
          <w:tcPr>
            <w:tcW w:w="0" w:type="auto"/>
            <w:tcBorders>
              <w:top w:val="nil"/>
              <w:left w:val="nil"/>
              <w:bottom w:val="single" w:sz="4" w:space="0" w:color="auto"/>
              <w:right w:val="nil"/>
            </w:tcBorders>
            <w:shd w:val="clear" w:color="auto" w:fill="auto"/>
            <w:vAlign w:val="center"/>
          </w:tcPr>
          <w:p w14:paraId="29FCD379"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12.5</w:t>
            </w:r>
          </w:p>
        </w:tc>
        <w:tc>
          <w:tcPr>
            <w:tcW w:w="0" w:type="auto"/>
            <w:tcBorders>
              <w:top w:val="nil"/>
              <w:left w:val="nil"/>
              <w:bottom w:val="single" w:sz="4" w:space="0" w:color="auto"/>
              <w:right w:val="nil"/>
            </w:tcBorders>
            <w:shd w:val="clear" w:color="auto" w:fill="auto"/>
            <w:vAlign w:val="center"/>
          </w:tcPr>
          <w:p w14:paraId="63499A07"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37.76</w:t>
            </w:r>
          </w:p>
        </w:tc>
        <w:tc>
          <w:tcPr>
            <w:tcW w:w="0" w:type="auto"/>
            <w:tcBorders>
              <w:top w:val="nil"/>
              <w:left w:val="nil"/>
              <w:bottom w:val="single" w:sz="4" w:space="0" w:color="auto"/>
              <w:right w:val="nil"/>
            </w:tcBorders>
            <w:shd w:val="clear" w:color="auto" w:fill="auto"/>
            <w:vAlign w:val="center"/>
          </w:tcPr>
          <w:p w14:paraId="19A6ECEA"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1</w:t>
            </w:r>
          </w:p>
        </w:tc>
        <w:tc>
          <w:tcPr>
            <w:tcW w:w="0" w:type="auto"/>
            <w:tcBorders>
              <w:top w:val="nil"/>
              <w:left w:val="nil"/>
              <w:bottom w:val="single" w:sz="4" w:space="0" w:color="auto"/>
              <w:right w:val="nil"/>
            </w:tcBorders>
            <w:shd w:val="clear" w:color="auto" w:fill="auto"/>
            <w:vAlign w:val="center"/>
          </w:tcPr>
          <w:p w14:paraId="33DB95D7"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&lt;0.0001</w:t>
            </w:r>
          </w:p>
        </w:tc>
        <w:tc>
          <w:tcPr>
            <w:tcW w:w="0" w:type="auto"/>
            <w:tcBorders>
              <w:top w:val="nil"/>
              <w:left w:val="nil"/>
              <w:bottom w:val="single" w:sz="4" w:space="0" w:color="auto"/>
              <w:right w:val="nil"/>
            </w:tcBorders>
            <w:shd w:val="clear" w:color="auto" w:fill="auto"/>
            <w:vAlign w:val="center"/>
          </w:tcPr>
          <w:p w14:paraId="0A1021DD"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r w:rsidRPr="00DB70DF">
              <w:rPr>
                <w:rFonts w:ascii="Palatino Linotype" w:hAnsi="Palatino Linotype"/>
                <w:sz w:val="20"/>
              </w:rPr>
              <w:t>0.2572</w:t>
            </w:r>
          </w:p>
        </w:tc>
      </w:tr>
      <w:tr w:rsidR="00DB70DF" w:rsidRPr="00DB70DF" w14:paraId="15C9DC19" w14:textId="77777777" w:rsidTr="00DB70DF">
        <w:trPr>
          <w:jc w:val="center"/>
        </w:trPr>
        <w:tc>
          <w:tcPr>
            <w:tcW w:w="0" w:type="auto"/>
            <w:gridSpan w:val="10"/>
            <w:tcBorders>
              <w:left w:val="nil"/>
              <w:bottom w:val="single" w:sz="8" w:space="0" w:color="auto"/>
              <w:right w:val="nil"/>
            </w:tcBorders>
            <w:shd w:val="clear" w:color="auto" w:fill="auto"/>
            <w:vAlign w:val="center"/>
          </w:tcPr>
          <w:p w14:paraId="3800E7D0" w14:textId="77777777" w:rsidR="00DB70DF" w:rsidRPr="00DB70DF" w:rsidRDefault="00DB70DF" w:rsidP="00DB70DF">
            <w:pPr>
              <w:autoSpaceDE w:val="0"/>
              <w:autoSpaceDN w:val="0"/>
              <w:adjustRightInd w:val="0"/>
              <w:snapToGrid w:val="0"/>
              <w:spacing w:line="240" w:lineRule="auto"/>
              <w:jc w:val="center"/>
              <w:rPr>
                <w:rFonts w:ascii="Palatino Linotype" w:hAnsi="Palatino Linotype"/>
                <w:sz w:val="20"/>
              </w:rPr>
            </w:pPr>
            <w:proofErr w:type="spellStart"/>
            <w:r w:rsidRPr="00DB70DF">
              <w:rPr>
                <w:rFonts w:ascii="Palatino Linotype" w:hAnsi="Palatino Linotype"/>
                <w:sz w:val="20"/>
                <w:vertAlign w:val="superscript"/>
              </w:rPr>
              <w:t>a</w:t>
            </w:r>
            <w:r w:rsidRPr="00DB70DF">
              <w:rPr>
                <w:rFonts w:ascii="Palatino Linotype" w:hAnsi="Palatino Linotype"/>
                <w:sz w:val="20"/>
              </w:rPr>
              <w:t>Mc</w:t>
            </w:r>
            <w:proofErr w:type="spellEnd"/>
            <w:r w:rsidRPr="00DB70DF">
              <w:rPr>
                <w:rFonts w:ascii="Palatino Linotype" w:hAnsi="Palatino Linotype"/>
                <w:sz w:val="20"/>
              </w:rPr>
              <w:t xml:space="preserve"> </w:t>
            </w:r>
            <w:proofErr w:type="spellStart"/>
            <w:r w:rsidRPr="00DB70DF">
              <w:rPr>
                <w:rFonts w:ascii="Palatino Linotype" w:hAnsi="Palatino Linotype"/>
                <w:sz w:val="20"/>
              </w:rPr>
              <w:t>Nemar’s</w:t>
            </w:r>
            <w:proofErr w:type="spellEnd"/>
            <w:r w:rsidRPr="00DB70DF">
              <w:rPr>
                <w:rFonts w:ascii="Palatino Linotype" w:hAnsi="Palatino Linotype"/>
                <w:sz w:val="20"/>
              </w:rPr>
              <w:t xml:space="preserve"> chi square test (WHO before and during isolation).</w:t>
            </w:r>
            <w:r w:rsidRPr="00DB70DF">
              <w:rPr>
                <w:rFonts w:ascii="Palatino Linotype" w:hAnsi="Palatino Linotype"/>
                <w:sz w:val="20"/>
                <w:vertAlign w:val="superscript"/>
              </w:rPr>
              <w:t xml:space="preserve"> b </w:t>
            </w:r>
            <w:r w:rsidRPr="00DB70DF">
              <w:rPr>
                <w:rFonts w:ascii="Palatino Linotype" w:hAnsi="Palatino Linotype"/>
                <w:sz w:val="20"/>
              </w:rPr>
              <w:t xml:space="preserve">Cohen’s </w:t>
            </w:r>
            <w:r w:rsidRPr="00DB70DF">
              <w:rPr>
                <w:rFonts w:ascii="Palatino Linotype" w:hAnsi="Palatino Linotype"/>
                <w:i/>
                <w:sz w:val="20"/>
              </w:rPr>
              <w:t>d</w:t>
            </w:r>
            <w:r w:rsidRPr="00DB70DF">
              <w:rPr>
                <w:rFonts w:ascii="Palatino Linotype" w:hAnsi="Palatino Linotype"/>
                <w:sz w:val="20"/>
              </w:rPr>
              <w:t>: Small 0.20; Medium 0.50; Large 0.80.</w:t>
            </w:r>
          </w:p>
        </w:tc>
      </w:tr>
    </w:tbl>
    <w:p w14:paraId="6DE75613" w14:textId="380D362C" w:rsidR="00900930" w:rsidRPr="00C61949" w:rsidRDefault="00900930" w:rsidP="00DB70DF">
      <w:pPr>
        <w:pStyle w:val="MDPI31text"/>
        <w:spacing w:before="120"/>
        <w:rPr>
          <w:i/>
        </w:rPr>
      </w:pPr>
      <w:r w:rsidRPr="00C61949">
        <w:t xml:space="preserve">Regarding WHO guidelines </w:t>
      </w:r>
      <w:r w:rsidR="009D793A" w:rsidRPr="00C61949">
        <w:t>concerning</w:t>
      </w:r>
      <w:r w:rsidRPr="00C61949">
        <w:t xml:space="preserve"> PA, participants from all categories present</w:t>
      </w:r>
      <w:r w:rsidR="006505AD" w:rsidRPr="00C61949">
        <w:t>ed</w:t>
      </w:r>
      <w:r w:rsidRPr="00C61949">
        <w:t xml:space="preserve"> lower values during the isolation in Table 2. The overall percentage of reduction </w:t>
      </w:r>
      <w:r w:rsidR="006505AD" w:rsidRPr="00C61949">
        <w:t xml:space="preserve">was </w:t>
      </w:r>
      <w:r w:rsidRPr="00C61949">
        <w:t xml:space="preserve">11.7% (p&lt;0.0001) with values remaining significant for all the subgroups </w:t>
      </w:r>
      <w:r w:rsidR="009D793A" w:rsidRPr="00C61949">
        <w:t>except for</w:t>
      </w:r>
      <w:r w:rsidRPr="00C61949">
        <w:t xml:space="preserve"> women. The subgroup of men and </w:t>
      </w:r>
      <w:r w:rsidR="005259BB" w:rsidRPr="00C61949">
        <w:t>participants aged 43 or over</w:t>
      </w:r>
      <w:r w:rsidRPr="00C61949">
        <w:t xml:space="preserve"> show</w:t>
      </w:r>
      <w:r w:rsidR="006505AD" w:rsidRPr="00C61949">
        <w:t>ed</w:t>
      </w:r>
      <w:r w:rsidRPr="00C61949">
        <w:t xml:space="preserve"> higher reductions of WHO guidelines achievement with respectively 17.1% (p&lt;0.0001) and 17.2% (p&lt;0.0001). </w:t>
      </w:r>
      <w:r w:rsidR="00D6491C" w:rsidRPr="00C61949">
        <w:t>Concerning differences in the number of weekly PA minutes reduced during the COVID-19 isolation period, the subgroups of women (p&lt;0.0001), participants holding a university degree (p&lt;0.005), and employed (p&lt;0.05) showed significantly lower reductions of PA weekly minutes as regards their counterparts.</w:t>
      </w:r>
    </w:p>
    <w:p w14:paraId="5EDE154E" w14:textId="0CF50B77" w:rsidR="00900930" w:rsidRDefault="00900930" w:rsidP="000C56FB">
      <w:pPr>
        <w:pStyle w:val="MDPI31text"/>
      </w:pPr>
      <w:r w:rsidRPr="00C61949">
        <w:t xml:space="preserve">The subgroup aged 43 and over </w:t>
      </w:r>
      <w:r w:rsidR="006505AD" w:rsidRPr="00C61949">
        <w:t xml:space="preserve">was </w:t>
      </w:r>
      <w:r w:rsidRPr="00C61949">
        <w:t xml:space="preserve">the only one not reaching WHO guidelines regarding PA before and in the course of the confinement period. Minutes of PA declined during the isolation period for all subgroups; </w:t>
      </w:r>
      <w:r w:rsidR="006505AD" w:rsidRPr="00C61949">
        <w:t>T</w:t>
      </w:r>
      <w:r w:rsidRPr="00C61949">
        <w:t>able 1 also show</w:t>
      </w:r>
      <w:r w:rsidR="006505AD" w:rsidRPr="00C61949">
        <w:t>ed</w:t>
      </w:r>
      <w:r w:rsidRPr="00C61949">
        <w:t xml:space="preserve"> a significant difference of 45.2 minutes (p&lt;0.0001) between the PA performed before and during the isolation for the overall sample. When examining the decline for each demographic characteristic, men, adults with no university education</w:t>
      </w:r>
      <w:r w:rsidR="00D6491C" w:rsidRPr="00C61949">
        <w:t>,</w:t>
      </w:r>
      <w:r w:rsidRPr="00C61949">
        <w:t xml:space="preserve"> and adults not employed reported significantly larger declines in minutes of PA.</w:t>
      </w:r>
    </w:p>
    <w:p w14:paraId="2FC587B5" w14:textId="7FCB9424" w:rsidR="00D61381" w:rsidRPr="00C61949" w:rsidRDefault="00D61381" w:rsidP="000C56FB">
      <w:pPr>
        <w:pStyle w:val="MDPI31text"/>
        <w:rPr>
          <w:i/>
        </w:rPr>
      </w:pPr>
      <w:r w:rsidRPr="00C61949">
        <w:t>As regards the way PA was performed during the COVID-19 isolation period, Figure 1 lists a range of activities that the participants performed. Household ranked first in this list (62.2%), in which social networks and applications devices respectively accounted for 27.4% and 19.4% of the participants.</w:t>
      </w:r>
    </w:p>
    <w:p w14:paraId="08E43BAA" w14:textId="7627BAFC" w:rsidR="00900930" w:rsidRPr="00C61949" w:rsidRDefault="00283E52" w:rsidP="000C56FB">
      <w:pPr>
        <w:pStyle w:val="MDPI31text"/>
        <w:rPr>
          <w:i/>
        </w:rPr>
      </w:pPr>
      <w:r w:rsidRPr="00C61949">
        <w:rPr>
          <w:noProof/>
          <w:lang w:val="es-ES"/>
        </w:rPr>
        <w:lastRenderedPageBreak/>
        <w:drawing>
          <wp:inline distT="0" distB="0" distL="0" distR="0" wp14:anchorId="71943AC4" wp14:editId="757E64FC">
            <wp:extent cx="5610225" cy="3743325"/>
            <wp:effectExtent l="0" t="0" r="9525" b="0"/>
            <wp:docPr id="9" name="Picture 3"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0225" cy="3743325"/>
                    </a:xfrm>
                    <a:prstGeom prst="rect">
                      <a:avLst/>
                    </a:prstGeom>
                    <a:noFill/>
                  </pic:spPr>
                </pic:pic>
              </a:graphicData>
            </a:graphic>
          </wp:inline>
        </w:drawing>
      </w:r>
    </w:p>
    <w:p w14:paraId="20F0AC27" w14:textId="2C8D4FAB" w:rsidR="003B24F1" w:rsidRPr="00C61949" w:rsidRDefault="00D61381" w:rsidP="00D61381">
      <w:pPr>
        <w:pStyle w:val="MDPI51figurecaption"/>
        <w:jc w:val="center"/>
      </w:pPr>
      <w:r w:rsidRPr="00D61381">
        <w:rPr>
          <w:b/>
        </w:rPr>
        <w:t>Figure 1.</w:t>
      </w:r>
      <w:r w:rsidR="003B24F1" w:rsidRPr="00D61381">
        <w:rPr>
          <w:b/>
        </w:rPr>
        <w:t xml:space="preserve"> </w:t>
      </w:r>
      <w:r w:rsidR="003B24F1" w:rsidRPr="00C61949">
        <w:t xml:space="preserve">Ways of performing </w:t>
      </w:r>
      <w:r w:rsidR="006505AD" w:rsidRPr="00C61949">
        <w:t>PA</w:t>
      </w:r>
      <w:r w:rsidR="003B24F1" w:rsidRPr="00C61949">
        <w:t xml:space="preserve"> during COVID-19 isolation in Spain.</w:t>
      </w:r>
    </w:p>
    <w:p w14:paraId="4C092816" w14:textId="77777777" w:rsidR="00D6491C" w:rsidRPr="00C61949" w:rsidRDefault="00D6491C" w:rsidP="003B24F1">
      <w:pPr>
        <w:tabs>
          <w:tab w:val="left" w:pos="2370"/>
        </w:tabs>
        <w:jc w:val="center"/>
        <w:rPr>
          <w:rFonts w:ascii="Palatino Linotype" w:hAnsi="Palatino Linotype"/>
          <w:b/>
          <w:sz w:val="20"/>
        </w:rPr>
      </w:pPr>
    </w:p>
    <w:p w14:paraId="1653BE9E" w14:textId="77777777" w:rsidR="00D6491C" w:rsidRPr="00C61949" w:rsidRDefault="00D6491C" w:rsidP="003B24F1">
      <w:pPr>
        <w:tabs>
          <w:tab w:val="left" w:pos="2370"/>
        </w:tabs>
        <w:jc w:val="center"/>
        <w:rPr>
          <w:rFonts w:ascii="Palatino Linotype" w:hAnsi="Palatino Linotype"/>
          <w:b/>
          <w:sz w:val="20"/>
        </w:rPr>
      </w:pPr>
    </w:p>
    <w:p w14:paraId="25C47915" w14:textId="77777777" w:rsidR="00D6491C" w:rsidRPr="00C61949" w:rsidRDefault="00D6491C" w:rsidP="003B24F1">
      <w:pPr>
        <w:tabs>
          <w:tab w:val="left" w:pos="2370"/>
        </w:tabs>
        <w:jc w:val="center"/>
        <w:rPr>
          <w:rFonts w:ascii="Palatino Linotype" w:hAnsi="Palatino Linotype"/>
          <w:b/>
          <w:sz w:val="20"/>
        </w:rPr>
      </w:pPr>
    </w:p>
    <w:p w14:paraId="7D65F19E" w14:textId="77777777" w:rsidR="00D6491C" w:rsidRPr="00C61949" w:rsidRDefault="00D6491C" w:rsidP="003B24F1">
      <w:pPr>
        <w:tabs>
          <w:tab w:val="left" w:pos="2370"/>
        </w:tabs>
        <w:jc w:val="center"/>
        <w:rPr>
          <w:rFonts w:ascii="Palatino Linotype" w:hAnsi="Palatino Linotype"/>
          <w:b/>
          <w:sz w:val="20"/>
        </w:rPr>
      </w:pPr>
    </w:p>
    <w:p w14:paraId="4AF3362E" w14:textId="77777777" w:rsidR="00D6491C" w:rsidRPr="00C61949" w:rsidRDefault="00D6491C" w:rsidP="008C2C95">
      <w:pPr>
        <w:tabs>
          <w:tab w:val="left" w:pos="2370"/>
        </w:tabs>
        <w:rPr>
          <w:rFonts w:ascii="Palatino Linotype" w:hAnsi="Palatino Linotype"/>
          <w:b/>
          <w:sz w:val="20"/>
        </w:rPr>
      </w:pPr>
    </w:p>
    <w:p w14:paraId="6F725F3F" w14:textId="77777777" w:rsidR="00D6491C" w:rsidRPr="00C61949" w:rsidRDefault="00D6491C" w:rsidP="003B24F1">
      <w:pPr>
        <w:tabs>
          <w:tab w:val="left" w:pos="2370"/>
        </w:tabs>
        <w:jc w:val="center"/>
        <w:rPr>
          <w:rFonts w:ascii="Palatino Linotype" w:hAnsi="Palatino Linotype"/>
          <w:b/>
          <w:sz w:val="20"/>
        </w:rPr>
      </w:pPr>
    </w:p>
    <w:p w14:paraId="11BCDA3E" w14:textId="77777777" w:rsidR="00D6491C" w:rsidRPr="00C61949" w:rsidRDefault="00D6491C" w:rsidP="008C2C95">
      <w:pPr>
        <w:tabs>
          <w:tab w:val="left" w:pos="2370"/>
        </w:tabs>
        <w:rPr>
          <w:rFonts w:ascii="Palatino Linotype" w:hAnsi="Palatino Linotype"/>
          <w:b/>
          <w:sz w:val="20"/>
        </w:rPr>
      </w:pPr>
    </w:p>
    <w:p w14:paraId="150D34CC" w14:textId="77777777" w:rsidR="00D6491C" w:rsidRPr="00C61949" w:rsidRDefault="00D6491C" w:rsidP="003B24F1">
      <w:pPr>
        <w:tabs>
          <w:tab w:val="left" w:pos="2370"/>
        </w:tabs>
        <w:jc w:val="center"/>
        <w:rPr>
          <w:rFonts w:ascii="Palatino Linotype" w:hAnsi="Palatino Linotype"/>
          <w:b/>
          <w:sz w:val="20"/>
        </w:rPr>
      </w:pPr>
    </w:p>
    <w:p w14:paraId="36AF3965" w14:textId="2E2B2726" w:rsidR="003B24F1" w:rsidRPr="00A13350" w:rsidRDefault="00283E52" w:rsidP="000C56FB">
      <w:pPr>
        <w:pStyle w:val="MDPI51figurecaption"/>
        <w:rPr>
          <w:szCs w:val="24"/>
        </w:rPr>
      </w:pPr>
      <w:r w:rsidRPr="000C56FB">
        <w:rPr>
          <w:b/>
          <w:noProof/>
          <w:lang w:val="es-ES"/>
        </w:rPr>
        <w:drawing>
          <wp:inline distT="0" distB="0" distL="0" distR="0" wp14:anchorId="23F429F2" wp14:editId="68F9DF4F">
            <wp:extent cx="6042660" cy="1600200"/>
            <wp:effectExtent l="0" t="0" r="0" b="0"/>
            <wp:docPr id="8" name="Picture 4"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42660" cy="1600200"/>
                    </a:xfrm>
                    <a:prstGeom prst="rect">
                      <a:avLst/>
                    </a:prstGeom>
                    <a:noFill/>
                    <a:ln>
                      <a:noFill/>
                    </a:ln>
                  </pic:spPr>
                </pic:pic>
              </a:graphicData>
            </a:graphic>
          </wp:inline>
        </w:drawing>
      </w:r>
      <w:r w:rsidR="000C56FB" w:rsidRPr="00A13350">
        <w:rPr>
          <w:b/>
        </w:rPr>
        <w:t>Figure 2.</w:t>
      </w:r>
      <w:r w:rsidR="003B24F1" w:rsidRPr="00A13350">
        <w:rPr>
          <w:b/>
        </w:rPr>
        <w:t xml:space="preserve"> </w:t>
      </w:r>
      <w:r w:rsidR="003B24F1" w:rsidRPr="00A13350">
        <w:t xml:space="preserve">Estimated levels of weekly </w:t>
      </w:r>
      <w:r w:rsidR="006505AD" w:rsidRPr="00A13350">
        <w:t>PA</w:t>
      </w:r>
      <w:r w:rsidR="003B24F1" w:rsidRPr="00A13350">
        <w:t xml:space="preserve"> before and after the Spanish state of alarm.</w:t>
      </w:r>
    </w:p>
    <w:p w14:paraId="7B39B5DF" w14:textId="185B43F8" w:rsidR="00CD3203" w:rsidRPr="00A13350" w:rsidRDefault="00B037B3" w:rsidP="00B037B3">
      <w:pPr>
        <w:pStyle w:val="MDPI21heading1"/>
      </w:pPr>
      <w:r w:rsidRPr="00A13350">
        <w:t xml:space="preserve">4. </w:t>
      </w:r>
      <w:r w:rsidR="00CD3203" w:rsidRPr="00A13350">
        <w:t>Discussion</w:t>
      </w:r>
    </w:p>
    <w:p w14:paraId="70033893" w14:textId="0B5143F7" w:rsidR="003D258C" w:rsidRPr="00C61949" w:rsidRDefault="003D258C" w:rsidP="000C56FB">
      <w:pPr>
        <w:pStyle w:val="MDPI31text"/>
      </w:pPr>
      <w:r w:rsidRPr="00A13350">
        <w:t xml:space="preserve">Findings from the present study in a large sample of the Spanish adult population showed that PA weekly minutes significantly decreased by 20% with the COVID-19 confinement (Figure 2). This reduction was particularly pronounced in men, older </w:t>
      </w:r>
      <w:bookmarkStart w:id="1" w:name="_GoBack"/>
      <w:bookmarkEnd w:id="1"/>
      <w:r w:rsidRPr="00A13350">
        <w:t>participants, and those with lower education</w:t>
      </w:r>
      <w:r w:rsidRPr="00C61949">
        <w:t xml:space="preserve"> level</w:t>
      </w:r>
      <w:r w:rsidR="009D793A" w:rsidRPr="00C61949">
        <w:t>s</w:t>
      </w:r>
      <w:r w:rsidRPr="00C61949">
        <w:t>. The results of the present study support the general notion that an isolation context associates with less PA, as observed in p</w:t>
      </w:r>
      <w:r w:rsidR="00233D06" w:rsidRPr="00C61949">
        <w:t>rior research with older adults [</w:t>
      </w:r>
      <w:r w:rsidRPr="00C61949">
        <w:t>3</w:t>
      </w:r>
      <w:r w:rsidR="00EB67DD" w:rsidRPr="00C61949">
        <w:t>6</w:t>
      </w:r>
      <w:r w:rsidR="00233D06" w:rsidRPr="00C61949">
        <w:t>].</w:t>
      </w:r>
      <w:r w:rsidRPr="00C61949">
        <w:t xml:space="preserve"> </w:t>
      </w:r>
      <w:r w:rsidR="00F11640" w:rsidRPr="00C61949">
        <w:t xml:space="preserve">Further, </w:t>
      </w:r>
      <w:r w:rsidR="00ED5939" w:rsidRPr="00C61949">
        <w:t xml:space="preserve">this study strengthens the </w:t>
      </w:r>
      <w:r w:rsidR="00ED5939" w:rsidRPr="00C61949">
        <w:lastRenderedPageBreak/>
        <w:t>findings found in</w:t>
      </w:r>
      <w:r w:rsidR="00F11640" w:rsidRPr="00C61949">
        <w:t xml:space="preserve"> recent research, in which adult populations showed lower PA levels during the COVID-19 confinement in all type</w:t>
      </w:r>
      <w:r w:rsidR="00D6491C" w:rsidRPr="00C61949">
        <w:t>s</w:t>
      </w:r>
      <w:r w:rsidR="00F11640" w:rsidRPr="00C61949">
        <w:t xml:space="preserve"> of PA intensity levels as well as in both, physica</w:t>
      </w:r>
      <w:r w:rsidR="00ED5939" w:rsidRPr="00C61949">
        <w:t>l</w:t>
      </w:r>
      <w:r w:rsidR="00F11640" w:rsidRPr="00C61949">
        <w:t xml:space="preserve">ly active and inactive </w:t>
      </w:r>
      <w:r w:rsidR="00ED5939" w:rsidRPr="00C61949">
        <w:t>participants [</w:t>
      </w:r>
      <w:r w:rsidR="00EB67DD" w:rsidRPr="00C61949">
        <w:t>37</w:t>
      </w:r>
      <w:r w:rsidR="00ED5939" w:rsidRPr="00C61949">
        <w:t>,</w:t>
      </w:r>
      <w:r w:rsidR="00EB67DD" w:rsidRPr="00C61949">
        <w:t>38</w:t>
      </w:r>
      <w:r w:rsidR="00ED5939" w:rsidRPr="00C61949">
        <w:t>].</w:t>
      </w:r>
      <w:r w:rsidR="00F11640" w:rsidRPr="00C61949">
        <w:t xml:space="preserve"> </w:t>
      </w:r>
      <w:r w:rsidRPr="00C61949">
        <w:t>Nevertheless, our study provides novel data from an unknown setting, in which participants have not voluntar</w:t>
      </w:r>
      <w:r w:rsidR="009D793A" w:rsidRPr="00C61949">
        <w:t>il</w:t>
      </w:r>
      <w:r w:rsidRPr="00C61949">
        <w:t xml:space="preserve">y decided to isolate themselves, and citizens </w:t>
      </w:r>
      <w:r w:rsidR="009D793A" w:rsidRPr="00C61949">
        <w:t xml:space="preserve">of </w:t>
      </w:r>
      <w:r w:rsidRPr="00C61949">
        <w:t>all ages ha</w:t>
      </w:r>
      <w:r w:rsidR="00F11640" w:rsidRPr="00C61949">
        <w:t>d</w:t>
      </w:r>
      <w:r w:rsidRPr="00C61949">
        <w:t xml:space="preserve"> been officially ordered to stay at home for, at least, a month. Importantly, our study showed that only a week of isolation might have a great impact </w:t>
      </w:r>
      <w:r w:rsidR="009D793A" w:rsidRPr="00C61949">
        <w:t xml:space="preserve">on </w:t>
      </w:r>
      <w:r w:rsidRPr="00C61949">
        <w:t>PA reduction.</w:t>
      </w:r>
    </w:p>
    <w:p w14:paraId="469E5650" w14:textId="3D849C3A" w:rsidR="003D258C" w:rsidRPr="00C61949" w:rsidRDefault="003D258C" w:rsidP="000C56FB">
      <w:pPr>
        <w:pStyle w:val="MDPI31text"/>
      </w:pPr>
      <w:r w:rsidRPr="00C61949">
        <w:t>A report from the European Union (EU) found Spanish PA levels to be on average regarding other European countries, wi</w:t>
      </w:r>
      <w:r w:rsidR="00233D06" w:rsidRPr="00C61949">
        <w:t>th 56% never or seldom doing PA [</w:t>
      </w:r>
      <w:r w:rsidR="00EB67DD" w:rsidRPr="00C61949">
        <w:t>39</w:t>
      </w:r>
      <w:r w:rsidR="00233D06" w:rsidRPr="00C61949">
        <w:t>].</w:t>
      </w:r>
      <w:r w:rsidRPr="00C61949">
        <w:t xml:space="preserve"> However, a study by Fernández-Navarro et al.</w:t>
      </w:r>
      <w:r w:rsidR="00233D06" w:rsidRPr="00C61949">
        <w:t xml:space="preserve"> [</w:t>
      </w:r>
      <w:r w:rsidRPr="00C61949">
        <w:t>4</w:t>
      </w:r>
      <w:r w:rsidR="00EB67DD" w:rsidRPr="00C61949">
        <w:t>0</w:t>
      </w:r>
      <w:r w:rsidR="00233D06" w:rsidRPr="00C61949">
        <w:t>]</w:t>
      </w:r>
      <w:r w:rsidRPr="00C61949">
        <w:t xml:space="preserve"> suggests a worse situation, in which around 73% of the Spanish population do</w:t>
      </w:r>
      <w:r w:rsidR="009D793A" w:rsidRPr="00C61949">
        <w:t>es</w:t>
      </w:r>
      <w:r w:rsidRPr="00C61949">
        <w:t xml:space="preserve"> not meet the WHO guidelines concerning PA, with </w:t>
      </w:r>
      <w:r w:rsidR="009D793A" w:rsidRPr="00C61949">
        <w:t xml:space="preserve">a </w:t>
      </w:r>
      <w:r w:rsidRPr="00C61949">
        <w:t>subsequent higher risk of chronic diseases; as observed in that research, our study also showed men to be more physically active than women, as well as the important role of education. On the other hand, our study points at a higher percentage of Spanish residents achieving PA recommended levels, particularly before the COVID-19 isolation, which could be due to substantial differences regarding age (i.e.</w:t>
      </w:r>
      <w:r w:rsidR="00C61949" w:rsidRPr="00C61949">
        <w:t>,</w:t>
      </w:r>
      <w:r w:rsidRPr="00C61949">
        <w:t xml:space="preserve"> our study sample of adults is younger compared to other studies). In fact, our study found lower levels of PA in older participants, which might be partly explain</w:t>
      </w:r>
      <w:r w:rsidR="00233D06" w:rsidRPr="00C61949">
        <w:t>ed by the ageing process itself [</w:t>
      </w:r>
      <w:r w:rsidRPr="00C61949">
        <w:t>4</w:t>
      </w:r>
      <w:r w:rsidR="00EB67DD" w:rsidRPr="00C61949">
        <w:t>1</w:t>
      </w:r>
      <w:r w:rsidR="00233D06" w:rsidRPr="00C61949">
        <w:t>].</w:t>
      </w:r>
      <w:r w:rsidRPr="00C61949">
        <w:t xml:space="preserve"> Another highlight was that university degree holders performed higher PA, and presented a lower decline of PA levels as regards their counterparts; one plausible explanation for this finding might be a higher awareness of having a healthy lifestyle, particularly in such exceptional setting, since educational differences have been underscored to be a reliab</w:t>
      </w:r>
      <w:r w:rsidR="00233D06" w:rsidRPr="00C61949">
        <w:t>le predictor of leisure-time PA [</w:t>
      </w:r>
      <w:r w:rsidRPr="00C61949">
        <w:t>4</w:t>
      </w:r>
      <w:r w:rsidR="00EB67DD" w:rsidRPr="00C61949">
        <w:t>2</w:t>
      </w:r>
      <w:r w:rsidR="00233D06" w:rsidRPr="00C61949">
        <w:t>].</w:t>
      </w:r>
      <w:r w:rsidRPr="00C61949">
        <w:t xml:space="preserve"> </w:t>
      </w:r>
      <w:r w:rsidR="009D793A" w:rsidRPr="00C61949">
        <w:t xml:space="preserve">In accordance </w:t>
      </w:r>
      <w:r w:rsidR="00233D06" w:rsidRPr="00C61949">
        <w:t>to previous research [</w:t>
      </w:r>
      <w:r w:rsidRPr="00C61949">
        <w:t>4</w:t>
      </w:r>
      <w:r w:rsidR="00EB67DD" w:rsidRPr="00C61949">
        <w:t>3</w:t>
      </w:r>
      <w:r w:rsidR="00233D06" w:rsidRPr="00C61949">
        <w:t>],</w:t>
      </w:r>
      <w:r w:rsidRPr="00C61949">
        <w:t xml:space="preserve"> unemployed participants of this study showed lower PA levels than those employed, although the fact that specific job roles (e.g.</w:t>
      </w:r>
      <w:r w:rsidR="00C61949" w:rsidRPr="00C61949">
        <w:t>,</w:t>
      </w:r>
      <w:r w:rsidRPr="00C61949">
        <w:t xml:space="preserve"> health workers or security forces and corps) are exempt from complying with the COVID-19 isolation governmental normative might partially explain these differences (i.e.</w:t>
      </w:r>
      <w:r w:rsidR="00C61949" w:rsidRPr="00C61949">
        <w:t>,</w:t>
      </w:r>
      <w:r w:rsidRPr="00C61949">
        <w:t xml:space="preserve"> working duties of specific job roles such as health workers and security corps might contribute to increase their PA levels).</w:t>
      </w:r>
    </w:p>
    <w:p w14:paraId="43621F18" w14:textId="236A43E0" w:rsidR="003D258C" w:rsidRPr="00C61949" w:rsidRDefault="003D258C" w:rsidP="000C56FB">
      <w:pPr>
        <w:pStyle w:val="MDPI31text"/>
      </w:pPr>
      <w:r w:rsidRPr="00C61949">
        <w:t xml:space="preserve">Our study observed significant reductions in performed weekly PA as well as in adherence to WHO guidelines in all subgroups; however, such reductions mainly showed a small to medium effect size. Thus, according to this data, PA reductions are wide-spread </w:t>
      </w:r>
      <w:r w:rsidR="009D793A" w:rsidRPr="00C61949">
        <w:t xml:space="preserve">within </w:t>
      </w:r>
      <w:r w:rsidRPr="00C61949">
        <w:t xml:space="preserve">the sample without particularly focusing too much on any specific subgroup. Nevertheless, it is important to notice that the effect seemed to be more pronounced in groups with lower education as well as in </w:t>
      </w:r>
      <w:r w:rsidR="009D793A" w:rsidRPr="00C61949">
        <w:t xml:space="preserve">the </w:t>
      </w:r>
      <w:r w:rsidRPr="00C61949">
        <w:t>elderly, i.e.</w:t>
      </w:r>
      <w:r w:rsidR="00C61949" w:rsidRPr="00C61949">
        <w:t>,</w:t>
      </w:r>
      <w:r w:rsidRPr="00C61949">
        <w:t xml:space="preserve"> groups that are already at increased risk of lifestyle diseases. Thus, confinement may amplify existing inequalities in health across groups in society.</w:t>
      </w:r>
    </w:p>
    <w:p w14:paraId="264FA201" w14:textId="4D26CDE2" w:rsidR="003D258C" w:rsidRPr="00C61949" w:rsidRDefault="003D258C" w:rsidP="000C56FB">
      <w:pPr>
        <w:pStyle w:val="MDPI31text"/>
      </w:pPr>
      <w:r w:rsidRPr="00C61949">
        <w:t xml:space="preserve">As expected, household chores were observed to be a prevalent PA content among the participants of this study. Due to the amount of time the participants are supposed to spend at home, </w:t>
      </w:r>
      <w:r w:rsidR="00C343E4" w:rsidRPr="00C61949">
        <w:t xml:space="preserve">the </w:t>
      </w:r>
      <w:r w:rsidRPr="00C61949">
        <w:t>household accounts for an important part of the performed weekly PA. It is noticeable that social media and application devices are moderately used for PA purposes during this period, although our percentages are similar to ot</w:t>
      </w:r>
      <w:r w:rsidR="00233D06" w:rsidRPr="00C61949">
        <w:t>hers found in previous research [</w:t>
      </w:r>
      <w:r w:rsidR="00DF0CE3" w:rsidRPr="00C61949">
        <w:t>4</w:t>
      </w:r>
      <w:r w:rsidR="00EB67DD" w:rsidRPr="00C61949">
        <w:t>4</w:t>
      </w:r>
      <w:r w:rsidR="00233D06" w:rsidRPr="00C61949">
        <w:t>].</w:t>
      </w:r>
      <w:r w:rsidRPr="00C61949">
        <w:t xml:space="preserve"> Performing home-based PA through wearables and smartphone applications might be a way forward to promote sufficient PA during this confinement period, although the effects of their implementation to increase PA levels have been generally estimated between small to moderate, and it is still a challenge to reach the most physically inactive </w:t>
      </w:r>
      <w:r w:rsidR="00233D06" w:rsidRPr="00C61949">
        <w:t>people with these type of tools [</w:t>
      </w:r>
      <w:r w:rsidR="00DF0CE3" w:rsidRPr="00C61949">
        <w:t>4</w:t>
      </w:r>
      <w:r w:rsidR="00EB67DD" w:rsidRPr="00C61949">
        <w:t>5</w:t>
      </w:r>
      <w:r w:rsidR="00233D06" w:rsidRPr="00C61949">
        <w:t>].</w:t>
      </w:r>
    </w:p>
    <w:p w14:paraId="5806C260" w14:textId="3EBAA3F2" w:rsidR="003D258C" w:rsidRPr="00C61949" w:rsidRDefault="003D258C" w:rsidP="000C56FB">
      <w:pPr>
        <w:pStyle w:val="MDPI31text"/>
      </w:pPr>
      <w:r w:rsidRPr="00C61949">
        <w:t>Overall as well as subgroup reductions of weekly PA might be explained for the lack of social support and the feelings of loneliness, which have been associated with lower levels of PA and poor health condition</w:t>
      </w:r>
      <w:r w:rsidR="009D793A" w:rsidRPr="00C61949">
        <w:t>s</w:t>
      </w:r>
      <w:r w:rsidRPr="00C61949">
        <w:t xml:space="preserve"> i</w:t>
      </w:r>
      <w:r w:rsidR="00233D06" w:rsidRPr="00C61949">
        <w:t>n both younger and older adults [</w:t>
      </w:r>
      <w:r w:rsidRPr="00C61949">
        <w:t>3</w:t>
      </w:r>
      <w:r w:rsidR="00EB67DD" w:rsidRPr="00C61949">
        <w:t>6</w:t>
      </w:r>
      <w:r w:rsidRPr="00C61949">
        <w:t>,</w:t>
      </w:r>
      <w:r w:rsidR="00EB67DD" w:rsidRPr="00C61949">
        <w:t>46</w:t>
      </w:r>
      <w:r w:rsidRPr="00C61949">
        <w:t>,</w:t>
      </w:r>
      <w:r w:rsidR="00EB67DD" w:rsidRPr="00C61949">
        <w:t>47</w:t>
      </w:r>
      <w:r w:rsidR="00233D06" w:rsidRPr="00C61949">
        <w:t>].</w:t>
      </w:r>
      <w:r w:rsidRPr="00C61949">
        <w:t xml:space="preserve"> In fact, a prolonged time of social isolation has been observed to associate with cardiovascular diseases, poor mental health, and </w:t>
      </w:r>
      <w:r w:rsidR="00233D06" w:rsidRPr="00C61949">
        <w:t>to increase all-cause mortality [</w:t>
      </w:r>
      <w:r w:rsidRPr="00C61949">
        <w:t>22,</w:t>
      </w:r>
      <w:r w:rsidR="007C1F72" w:rsidRPr="00C61949">
        <w:t>48</w:t>
      </w:r>
      <w:r w:rsidR="00233D06" w:rsidRPr="00C61949">
        <w:t>].</w:t>
      </w:r>
      <w:r w:rsidRPr="00C61949">
        <w:t xml:space="preserve"> Social isolation and feelings of loneliness are current issues </w:t>
      </w:r>
      <w:r w:rsidR="009D793A" w:rsidRPr="00C61949">
        <w:t>that</w:t>
      </w:r>
      <w:r w:rsidRPr="00C61949">
        <w:t>, in this particular situation of confinement due to COVID-19, might be exacerbated by the fact that physical human interaction has been constrained for a significant period. In addition, natural light and natural environment exposure deprivation might lead to a worse mood and poor mental health, which consequentl</w:t>
      </w:r>
      <w:r w:rsidR="00233D06" w:rsidRPr="00C61949">
        <w:t>y, might predispose for less PA [</w:t>
      </w:r>
      <w:r w:rsidR="007C1F72" w:rsidRPr="00C61949">
        <w:t>49</w:t>
      </w:r>
      <w:r w:rsidR="00233D06" w:rsidRPr="00C61949">
        <w:t>].</w:t>
      </w:r>
      <w:r w:rsidRPr="00C61949">
        <w:t xml:space="preserve"> Thus, </w:t>
      </w:r>
      <w:r w:rsidR="00D6491C" w:rsidRPr="00C61949">
        <w:t xml:space="preserve">anxiety may </w:t>
      </w:r>
      <w:r w:rsidRPr="00C61949">
        <w:t xml:space="preserve">increase as the COVID-19 related mortality increases </w:t>
      </w:r>
      <w:r w:rsidR="00D6491C" w:rsidRPr="00C61949">
        <w:t>if</w:t>
      </w:r>
      <w:r w:rsidR="00233D06" w:rsidRPr="00C61949">
        <w:t xml:space="preserve"> the quarantine time continues [</w:t>
      </w:r>
      <w:r w:rsidRPr="00C61949">
        <w:t>5</w:t>
      </w:r>
      <w:r w:rsidR="007C1F72" w:rsidRPr="00C61949">
        <w:t>0</w:t>
      </w:r>
      <w:r w:rsidR="00233D06" w:rsidRPr="00C61949">
        <w:t>].</w:t>
      </w:r>
      <w:r w:rsidR="009D793A" w:rsidRPr="00C61949">
        <w:t xml:space="preserve"> Besides, </w:t>
      </w:r>
      <w:r w:rsidR="00DF0CE3" w:rsidRPr="00C61949">
        <w:t xml:space="preserve">prior research </w:t>
      </w:r>
      <w:r w:rsidR="00D6491C" w:rsidRPr="00C61949">
        <w:t xml:space="preserve">has </w:t>
      </w:r>
      <w:r w:rsidR="00DF0CE3" w:rsidRPr="00C61949">
        <w:t>observed</w:t>
      </w:r>
      <w:r w:rsidR="009D793A" w:rsidRPr="00C61949">
        <w:t xml:space="preserve"> lower socioeconomic status (i.e.</w:t>
      </w:r>
      <w:r w:rsidR="00C61949" w:rsidRPr="00C61949">
        <w:t>,</w:t>
      </w:r>
      <w:r w:rsidR="009D793A" w:rsidRPr="00C61949">
        <w:t xml:space="preserve"> lower educational level and unemployed) </w:t>
      </w:r>
      <w:r w:rsidR="00DF0CE3" w:rsidRPr="00C61949">
        <w:t>to increase</w:t>
      </w:r>
      <w:r w:rsidR="009D793A" w:rsidRPr="00C61949">
        <w:t xml:space="preserve"> the odds for </w:t>
      </w:r>
      <w:r w:rsidR="009D793A" w:rsidRPr="00C61949">
        <w:lastRenderedPageBreak/>
        <w:t>joint health-risk behaviors involving physical activity, screen exposure, sleep time, fruits and vegetable consumption, alcohol consumption, and smoking habit [5</w:t>
      </w:r>
      <w:r w:rsidR="007C1F72" w:rsidRPr="00C61949">
        <w:t>1</w:t>
      </w:r>
      <w:r w:rsidR="009D793A" w:rsidRPr="00C61949">
        <w:t>] among Spanish adults confined due to COVID-19, hence future research focused on deprived populations, such as those from poorer backgrounds or those financially affected by the COVID-19 pandemic, would be of special interest.</w:t>
      </w:r>
    </w:p>
    <w:p w14:paraId="18D87E24" w14:textId="19303DE7" w:rsidR="003D258C" w:rsidRPr="00C61949" w:rsidRDefault="003D258C" w:rsidP="000C56FB">
      <w:pPr>
        <w:pStyle w:val="MDPI31text"/>
      </w:pPr>
      <w:r w:rsidRPr="00C61949">
        <w:t>Strengths of the current study include using a large and wide spread sample of Spanish adults (i.e.</w:t>
      </w:r>
      <w:r w:rsidR="00C61949" w:rsidRPr="00C61949">
        <w:t>,</w:t>
      </w:r>
      <w:r w:rsidRPr="00C61949">
        <w:t xml:space="preserve"> participants from all the Spanish regions) and the use of a validated tool to assess PA. Moreover, the fact that significant reductions of PA levels and adherence to WHO guidelines have significantly decreased in all the study subgroups within a short-term, provides consistency to our findings. However, several limitations should be highlighted for this study. First, due to the fact that PA and other variables are self-reported, it might lead to information bias. Second, since young adults are overrepresented in the study sample, estimated PA levels might be higher than in the general Spanish population of adults; owing to the type of sampling, there is a possibility of selection bias. Third, due to the study design, the present work does not allow drawing causal inferences. Fourth, adjusted analyses for health status might lead to different results. Also, important aspects regarding PA (i.e.</w:t>
      </w:r>
      <w:r w:rsidR="00C61949" w:rsidRPr="00C61949">
        <w:t>,</w:t>
      </w:r>
      <w:r w:rsidRPr="00C61949">
        <w:t xml:space="preserve"> intensity levels) or critical health-related habits such as diet have not been reflected in this study. Last, because the collected data were mainly referred to the first week of the COVID-19 outbreak in Spain, it might not still properly reflect the big picture of the influence of social isolation and confinement over PA (i.e.</w:t>
      </w:r>
      <w:r w:rsidR="00C61949" w:rsidRPr="00C61949">
        <w:t>,</w:t>
      </w:r>
      <w:r w:rsidRPr="00C61949">
        <w:t xml:space="preserve"> more days of isolation might associate with even lower levels of PA). Thus, future research should investigate how PA levels are varying during this complete period.</w:t>
      </w:r>
    </w:p>
    <w:p w14:paraId="446BD7CF" w14:textId="004B322D" w:rsidR="00CD3203" w:rsidRPr="00C61949" w:rsidRDefault="00B037B3" w:rsidP="00B037B3">
      <w:pPr>
        <w:pStyle w:val="MDPI21heading1"/>
      </w:pPr>
      <w:r>
        <w:t xml:space="preserve">5. </w:t>
      </w:r>
      <w:r w:rsidR="00CD3203" w:rsidRPr="00C61949">
        <w:t>Conclusions</w:t>
      </w:r>
    </w:p>
    <w:p w14:paraId="78430AE5" w14:textId="6AC3893A" w:rsidR="003D258C" w:rsidRPr="00C61949" w:rsidRDefault="003D258C" w:rsidP="00B037B3">
      <w:pPr>
        <w:pStyle w:val="MDPI31text"/>
      </w:pPr>
      <w:r w:rsidRPr="00C61949">
        <w:t>The PA levels of the Spanish population generally declined during the first days of COVID-19 confinement. The promotion of home-based physical activities is particularly recommendable in this specific context to reach the recommended PA levels set out by WHO.</w:t>
      </w:r>
    </w:p>
    <w:p w14:paraId="605D5233" w14:textId="77777777" w:rsidR="002E57DB" w:rsidRPr="00C61949" w:rsidRDefault="002E57DB" w:rsidP="00822B3D">
      <w:pPr>
        <w:pStyle w:val="MDPI62Acknowledgments"/>
      </w:pPr>
      <w:r w:rsidRPr="00C61949">
        <w:rPr>
          <w:b/>
        </w:rPr>
        <w:t xml:space="preserve">Author Contributions: </w:t>
      </w:r>
      <w:r w:rsidR="0087259E" w:rsidRPr="00C61949">
        <w:t xml:space="preserve">Conceptualization, RLB, JCal, LS and GFLS; Data curation, RLB; Formal analysis, RLB; Investigation, RLB, JCal and GFLS; Methodology, JAC and LS; Project administration, LS and GFLS; Software, RLB; Supervision, GFLS; Validation, LLA, CBF and </w:t>
      </w:r>
      <w:proofErr w:type="spellStart"/>
      <w:r w:rsidR="0087259E" w:rsidRPr="00C61949">
        <w:t>JCas</w:t>
      </w:r>
      <w:proofErr w:type="spellEnd"/>
      <w:r w:rsidR="0087259E" w:rsidRPr="00C61949">
        <w:t xml:space="preserve">; Visualization, </w:t>
      </w:r>
      <w:r w:rsidR="00813AC8" w:rsidRPr="00C61949">
        <w:t>RLB</w:t>
      </w:r>
      <w:r w:rsidR="0087259E" w:rsidRPr="00C61949">
        <w:t xml:space="preserve">; Writing – original draft, </w:t>
      </w:r>
      <w:r w:rsidR="00813AC8" w:rsidRPr="00C61949">
        <w:t>RLB</w:t>
      </w:r>
      <w:r w:rsidR="0087259E" w:rsidRPr="00C61949">
        <w:t xml:space="preserve">, </w:t>
      </w:r>
      <w:r w:rsidR="00813AC8" w:rsidRPr="00C61949">
        <w:t>LS</w:t>
      </w:r>
      <w:r w:rsidR="0087259E" w:rsidRPr="00C61949">
        <w:t xml:space="preserve"> and </w:t>
      </w:r>
      <w:r w:rsidR="00813AC8" w:rsidRPr="00C61949">
        <w:t>GFLS</w:t>
      </w:r>
      <w:r w:rsidR="0087259E" w:rsidRPr="00C61949">
        <w:t>; Writing – review &amp; editing, J</w:t>
      </w:r>
      <w:r w:rsidR="00813AC8" w:rsidRPr="00C61949">
        <w:t>Cal</w:t>
      </w:r>
      <w:r w:rsidR="0087259E" w:rsidRPr="00C61949">
        <w:t xml:space="preserve">, </w:t>
      </w:r>
      <w:r w:rsidR="00813AC8" w:rsidRPr="00C61949">
        <w:t>LLA</w:t>
      </w:r>
      <w:r w:rsidR="0087259E" w:rsidRPr="00C61949">
        <w:t xml:space="preserve">, </w:t>
      </w:r>
      <w:r w:rsidR="00813AC8" w:rsidRPr="00C61949">
        <w:t>CBF</w:t>
      </w:r>
      <w:r w:rsidR="0087259E" w:rsidRPr="00C61949">
        <w:t xml:space="preserve">, </w:t>
      </w:r>
      <w:proofErr w:type="spellStart"/>
      <w:r w:rsidR="00813AC8" w:rsidRPr="00C61949">
        <w:t>JCas</w:t>
      </w:r>
      <w:proofErr w:type="spellEnd"/>
      <w:r w:rsidR="0087259E" w:rsidRPr="00C61949">
        <w:t xml:space="preserve"> and </w:t>
      </w:r>
      <w:r w:rsidR="00813AC8" w:rsidRPr="00C61949">
        <w:t>JAC</w:t>
      </w:r>
      <w:r w:rsidR="0087259E" w:rsidRPr="00C61949">
        <w:t>.</w:t>
      </w:r>
      <w:r w:rsidR="00C8316E" w:rsidRPr="00C61949">
        <w:t xml:space="preserve"> All authors have read and agreed to the published version of the manuscript.</w:t>
      </w:r>
    </w:p>
    <w:p w14:paraId="77274B49" w14:textId="77777777" w:rsidR="0077402B" w:rsidRPr="00C61949" w:rsidRDefault="0077402B" w:rsidP="00822B3D">
      <w:pPr>
        <w:pStyle w:val="MDPI62Acknowledgments"/>
      </w:pPr>
      <w:r w:rsidRPr="00C61949">
        <w:rPr>
          <w:b/>
        </w:rPr>
        <w:t xml:space="preserve">Funding: </w:t>
      </w:r>
      <w:r w:rsidRPr="00C61949">
        <w:t>This researc</w:t>
      </w:r>
      <w:r w:rsidR="0044362C" w:rsidRPr="00C61949">
        <w:t>h received no external funding.</w:t>
      </w:r>
    </w:p>
    <w:p w14:paraId="39802AC7" w14:textId="77777777" w:rsidR="00822B3D" w:rsidRPr="00C61949" w:rsidRDefault="007628E6" w:rsidP="00822B3D">
      <w:pPr>
        <w:pStyle w:val="MDPI62Acknowledgments"/>
      </w:pPr>
      <w:r w:rsidRPr="00C61949">
        <w:rPr>
          <w:b/>
        </w:rPr>
        <w:t>Acknowledgments:</w:t>
      </w:r>
      <w:r w:rsidRPr="00C61949">
        <w:t xml:space="preserve"> </w:t>
      </w:r>
      <w:r w:rsidR="0044362C" w:rsidRPr="00C61949">
        <w:t>The authors express their gratitude to the respondents for their time and effort.</w:t>
      </w:r>
    </w:p>
    <w:p w14:paraId="04F5E67E" w14:textId="7DDE79FA" w:rsidR="00A158B5" w:rsidRDefault="00822B3D" w:rsidP="003B24F1">
      <w:pPr>
        <w:pStyle w:val="MDPI64CoI"/>
      </w:pPr>
      <w:r w:rsidRPr="00C61949">
        <w:rPr>
          <w:b/>
        </w:rPr>
        <w:t>Conflicts of Interest:</w:t>
      </w:r>
      <w:r w:rsidRPr="00C61949">
        <w:t xml:space="preserve"> The authors declare no conflict of interest.</w:t>
      </w:r>
    </w:p>
    <w:p w14:paraId="0E0AEB16" w14:textId="77777777" w:rsidR="00195752" w:rsidRPr="00C80CAC" w:rsidRDefault="00195752" w:rsidP="00195752">
      <w:pPr>
        <w:pStyle w:val="MDPI21heading1"/>
      </w:pPr>
      <w:r w:rsidRPr="00C80CAC">
        <w:t>References</w:t>
      </w:r>
    </w:p>
    <w:p w14:paraId="53E961B0" w14:textId="77777777" w:rsidR="00195752" w:rsidRPr="00C80CAC" w:rsidRDefault="00195752" w:rsidP="00195752">
      <w:pPr>
        <w:pStyle w:val="MDPI71References"/>
      </w:pPr>
      <w:r w:rsidRPr="00C80CAC">
        <w:t xml:space="preserve">World Health Organization. Coronavirus </w:t>
      </w:r>
      <w:r>
        <w:t>D</w:t>
      </w:r>
      <w:r w:rsidRPr="00C80CAC">
        <w:t xml:space="preserve">isease 2019 (COVID-19): Situation </w:t>
      </w:r>
      <w:r>
        <w:t>R</w:t>
      </w:r>
      <w:r w:rsidRPr="00C80CAC">
        <w:t>eport, 51. 2020. Available online: https://www.who.int/emergencies/diseases/novel-coronavirus-2019/situation-reports (accessed on 22 March 2020).</w:t>
      </w:r>
    </w:p>
    <w:p w14:paraId="3B558DB5" w14:textId="77777777" w:rsidR="00195752" w:rsidRPr="00C80CAC" w:rsidRDefault="00195752" w:rsidP="00195752">
      <w:pPr>
        <w:pStyle w:val="MDPI71References"/>
      </w:pPr>
      <w:r w:rsidRPr="00C80CAC">
        <w:t xml:space="preserve">World Health Organization. Coronavirus </w:t>
      </w:r>
      <w:r>
        <w:t>D</w:t>
      </w:r>
      <w:r w:rsidRPr="00C80CAC">
        <w:t xml:space="preserve">isease 2019 (COVID-19): Situation </w:t>
      </w:r>
      <w:r>
        <w:t>R</w:t>
      </w:r>
      <w:r w:rsidRPr="00C80CAC">
        <w:t>eport, 69. 2020. Available online: https://www.who.int/emergencies/diseases/novel-coronavirus-2019/situation-reports (accessed on 29 March 2020).</w:t>
      </w:r>
    </w:p>
    <w:p w14:paraId="5C2A1A64" w14:textId="77777777" w:rsidR="00195752" w:rsidRPr="00C80CAC" w:rsidRDefault="00195752" w:rsidP="00195752">
      <w:pPr>
        <w:pStyle w:val="MDPI71References"/>
      </w:pPr>
      <w:proofErr w:type="spellStart"/>
      <w:r w:rsidRPr="00C80CAC">
        <w:t>Ministerio</w:t>
      </w:r>
      <w:proofErr w:type="spellEnd"/>
      <w:r w:rsidRPr="00C80CAC">
        <w:t xml:space="preserve"> de </w:t>
      </w:r>
      <w:proofErr w:type="spellStart"/>
      <w:r w:rsidRPr="00C80CAC">
        <w:t>Sanidad</w:t>
      </w:r>
      <w:proofErr w:type="spellEnd"/>
      <w:r w:rsidRPr="00C80CAC">
        <w:t xml:space="preserve">, </w:t>
      </w:r>
      <w:proofErr w:type="spellStart"/>
      <w:r w:rsidRPr="00C80CAC">
        <w:t>Consumo</w:t>
      </w:r>
      <w:proofErr w:type="spellEnd"/>
      <w:r w:rsidRPr="00C80CAC">
        <w:t xml:space="preserve"> y </w:t>
      </w:r>
      <w:proofErr w:type="spellStart"/>
      <w:r w:rsidRPr="00C80CAC">
        <w:t>Bienestar</w:t>
      </w:r>
      <w:proofErr w:type="spellEnd"/>
      <w:r w:rsidRPr="00C80CAC">
        <w:t xml:space="preserve"> Social. </w:t>
      </w:r>
      <w:proofErr w:type="spellStart"/>
      <w:r w:rsidRPr="00C80CAC">
        <w:t>Enfermedad</w:t>
      </w:r>
      <w:proofErr w:type="spellEnd"/>
      <w:r w:rsidRPr="00C80CAC">
        <w:t xml:space="preserve"> por </w:t>
      </w:r>
      <w:r>
        <w:t>N</w:t>
      </w:r>
      <w:r w:rsidRPr="00C80CAC">
        <w:t xml:space="preserve">uevo </w:t>
      </w:r>
      <w:r>
        <w:t>C</w:t>
      </w:r>
      <w:r w:rsidRPr="00C80CAC">
        <w:t xml:space="preserve">oronavirus, COVID-19: </w:t>
      </w:r>
      <w:proofErr w:type="spellStart"/>
      <w:r w:rsidRPr="00C80CAC">
        <w:t>Situación</w:t>
      </w:r>
      <w:proofErr w:type="spellEnd"/>
      <w:r w:rsidRPr="00C80CAC">
        <w:t xml:space="preserve"> </w:t>
      </w:r>
      <w:r>
        <w:t>A</w:t>
      </w:r>
      <w:r w:rsidRPr="00C80CAC">
        <w:t xml:space="preserve">ctual. </w:t>
      </w:r>
      <w:proofErr w:type="spellStart"/>
      <w:r w:rsidRPr="00C80CAC">
        <w:t>Actualización</w:t>
      </w:r>
      <w:proofErr w:type="spellEnd"/>
      <w:r w:rsidRPr="00C80CAC">
        <w:t xml:space="preserve"> n</w:t>
      </w:r>
      <w:r>
        <w:t>o</w:t>
      </w:r>
      <w:r w:rsidRPr="00C80CAC">
        <w:t xml:space="preserve"> 60. 2020. Available online: https://www.mscbs.gob.es/profesionales/saludPublica/ccayes/alertasActual/nCov-China/situacionActual.htm (accessed on 30 March 2020).</w:t>
      </w:r>
    </w:p>
    <w:p w14:paraId="56434CA9" w14:textId="77777777" w:rsidR="00195752" w:rsidRPr="00C80CAC" w:rsidRDefault="00195752" w:rsidP="00195752">
      <w:pPr>
        <w:pStyle w:val="MDPI71References"/>
      </w:pPr>
      <w:proofErr w:type="spellStart"/>
      <w:r w:rsidRPr="00C80CAC">
        <w:t>Gobierno</w:t>
      </w:r>
      <w:proofErr w:type="spellEnd"/>
      <w:r w:rsidRPr="00C80CAC">
        <w:t xml:space="preserve"> de </w:t>
      </w:r>
      <w:proofErr w:type="spellStart"/>
      <w:r w:rsidRPr="00C80CAC">
        <w:t>España</w:t>
      </w:r>
      <w:proofErr w:type="spellEnd"/>
      <w:r w:rsidRPr="00C80CAC">
        <w:t>. 2020. Available online: https://www.lamoncloa.gob.es/ (accessed on 22 March 2020).</w:t>
      </w:r>
    </w:p>
    <w:p w14:paraId="6EE0E388" w14:textId="77777777" w:rsidR="00195752" w:rsidRPr="00C80CAC" w:rsidRDefault="00195752" w:rsidP="00195752">
      <w:pPr>
        <w:pStyle w:val="MDPI71References"/>
      </w:pPr>
      <w:r w:rsidRPr="00C80CAC">
        <w:rPr>
          <w:lang w:val="fr-FR"/>
        </w:rPr>
        <w:t xml:space="preserve">Real </w:t>
      </w:r>
      <w:proofErr w:type="spellStart"/>
      <w:r w:rsidRPr="00C80CAC">
        <w:rPr>
          <w:lang w:val="fr-FR"/>
        </w:rPr>
        <w:t>Decreto</w:t>
      </w:r>
      <w:proofErr w:type="spellEnd"/>
      <w:r w:rsidRPr="00C80CAC">
        <w:rPr>
          <w:lang w:val="fr-FR"/>
        </w:rPr>
        <w:t xml:space="preserve"> 463/2020, de 14 de </w:t>
      </w:r>
      <w:r>
        <w:rPr>
          <w:lang w:val="fr-FR"/>
        </w:rPr>
        <w:t>M</w:t>
      </w:r>
      <w:r w:rsidRPr="00C80CAC">
        <w:rPr>
          <w:lang w:val="fr-FR"/>
        </w:rPr>
        <w:t xml:space="preserve">arzo, </w:t>
      </w:r>
      <w:proofErr w:type="spellStart"/>
      <w:r w:rsidRPr="00C80CAC">
        <w:rPr>
          <w:lang w:val="fr-FR"/>
        </w:rPr>
        <w:t>por</w:t>
      </w:r>
      <w:proofErr w:type="spellEnd"/>
      <w:r w:rsidRPr="00C80CAC">
        <w:rPr>
          <w:lang w:val="fr-FR"/>
        </w:rPr>
        <w:t xml:space="preserve"> el que se </w:t>
      </w:r>
      <w:proofErr w:type="spellStart"/>
      <w:r>
        <w:rPr>
          <w:lang w:val="fr-FR"/>
        </w:rPr>
        <w:t>D</w:t>
      </w:r>
      <w:r w:rsidRPr="00C80CAC">
        <w:rPr>
          <w:lang w:val="fr-FR"/>
        </w:rPr>
        <w:t>eclara</w:t>
      </w:r>
      <w:proofErr w:type="spellEnd"/>
      <w:r w:rsidRPr="00C80CAC">
        <w:rPr>
          <w:lang w:val="fr-FR"/>
        </w:rPr>
        <w:t xml:space="preserve"> el </w:t>
      </w:r>
      <w:proofErr w:type="spellStart"/>
      <w:r>
        <w:rPr>
          <w:lang w:val="fr-FR"/>
        </w:rPr>
        <w:t>E</w:t>
      </w:r>
      <w:r w:rsidRPr="00C80CAC">
        <w:rPr>
          <w:lang w:val="fr-FR"/>
        </w:rPr>
        <w:t>stado</w:t>
      </w:r>
      <w:proofErr w:type="spellEnd"/>
      <w:r w:rsidRPr="00C80CAC">
        <w:rPr>
          <w:lang w:val="fr-FR"/>
        </w:rPr>
        <w:t xml:space="preserve"> de </w:t>
      </w:r>
      <w:r>
        <w:rPr>
          <w:lang w:val="fr-FR"/>
        </w:rPr>
        <w:t>A</w:t>
      </w:r>
      <w:r w:rsidRPr="00C80CAC">
        <w:rPr>
          <w:lang w:val="fr-FR"/>
        </w:rPr>
        <w:t xml:space="preserve">larma para la </w:t>
      </w:r>
      <w:proofErr w:type="spellStart"/>
      <w:r>
        <w:rPr>
          <w:lang w:val="fr-FR"/>
        </w:rPr>
        <w:t>G</w:t>
      </w:r>
      <w:r w:rsidRPr="00C80CAC">
        <w:rPr>
          <w:lang w:val="fr-FR"/>
        </w:rPr>
        <w:t>estión</w:t>
      </w:r>
      <w:proofErr w:type="spellEnd"/>
      <w:r w:rsidRPr="00C80CAC">
        <w:rPr>
          <w:lang w:val="fr-FR"/>
        </w:rPr>
        <w:t xml:space="preserve"> de la </w:t>
      </w:r>
      <w:proofErr w:type="spellStart"/>
      <w:r>
        <w:rPr>
          <w:lang w:val="fr-FR"/>
        </w:rPr>
        <w:t>S</w:t>
      </w:r>
      <w:r w:rsidRPr="00C80CAC">
        <w:rPr>
          <w:lang w:val="fr-FR"/>
        </w:rPr>
        <w:t>ituación</w:t>
      </w:r>
      <w:proofErr w:type="spellEnd"/>
      <w:r w:rsidRPr="00C80CAC">
        <w:rPr>
          <w:lang w:val="fr-FR"/>
        </w:rPr>
        <w:t xml:space="preserve"> de </w:t>
      </w:r>
      <w:r>
        <w:rPr>
          <w:lang w:val="fr-FR"/>
        </w:rPr>
        <w:t>C</w:t>
      </w:r>
      <w:r w:rsidRPr="00C80CAC">
        <w:rPr>
          <w:lang w:val="fr-FR"/>
        </w:rPr>
        <w:t xml:space="preserve">risis </w:t>
      </w:r>
      <w:proofErr w:type="spellStart"/>
      <w:r>
        <w:rPr>
          <w:lang w:val="fr-FR"/>
        </w:rPr>
        <w:t>S</w:t>
      </w:r>
      <w:r w:rsidRPr="00C80CAC">
        <w:rPr>
          <w:lang w:val="fr-FR"/>
        </w:rPr>
        <w:t>anitaria</w:t>
      </w:r>
      <w:proofErr w:type="spellEnd"/>
      <w:r w:rsidRPr="00C80CAC">
        <w:rPr>
          <w:lang w:val="fr-FR"/>
        </w:rPr>
        <w:t xml:space="preserve"> </w:t>
      </w:r>
      <w:proofErr w:type="spellStart"/>
      <w:r>
        <w:rPr>
          <w:lang w:val="fr-FR"/>
        </w:rPr>
        <w:t>O</w:t>
      </w:r>
      <w:r w:rsidRPr="00C80CAC">
        <w:rPr>
          <w:lang w:val="fr-FR"/>
        </w:rPr>
        <w:t>casionada</w:t>
      </w:r>
      <w:proofErr w:type="spellEnd"/>
      <w:r w:rsidRPr="00C80CAC">
        <w:rPr>
          <w:lang w:val="fr-FR"/>
        </w:rPr>
        <w:t xml:space="preserve"> </w:t>
      </w:r>
      <w:proofErr w:type="spellStart"/>
      <w:r w:rsidRPr="00C80CAC">
        <w:rPr>
          <w:lang w:val="fr-FR"/>
        </w:rPr>
        <w:t>por</w:t>
      </w:r>
      <w:proofErr w:type="spellEnd"/>
      <w:r w:rsidRPr="00C80CAC">
        <w:rPr>
          <w:lang w:val="fr-FR"/>
        </w:rPr>
        <w:t xml:space="preserve"> el COVID-19. </w:t>
      </w:r>
      <w:r w:rsidRPr="00C80CAC">
        <w:t>2020. Available online: https://www.boe.es/buscar/doc.php?id=BOE-A-2020-3692 (accessed on 22 March 2020).</w:t>
      </w:r>
    </w:p>
    <w:p w14:paraId="4485C713" w14:textId="77777777" w:rsidR="00195752" w:rsidRPr="00C80CAC" w:rsidRDefault="00195752" w:rsidP="00195752">
      <w:pPr>
        <w:pStyle w:val="MDPI71References"/>
      </w:pPr>
      <w:proofErr w:type="spellStart"/>
      <w:r w:rsidRPr="00C80CAC">
        <w:lastRenderedPageBreak/>
        <w:t>Consejo</w:t>
      </w:r>
      <w:proofErr w:type="spellEnd"/>
      <w:r w:rsidRPr="00C80CAC">
        <w:t xml:space="preserve"> Superior de </w:t>
      </w:r>
      <w:proofErr w:type="spellStart"/>
      <w:r w:rsidRPr="00C80CAC">
        <w:t>Deportes</w:t>
      </w:r>
      <w:proofErr w:type="spellEnd"/>
      <w:r w:rsidRPr="00C80CAC">
        <w:t>. 2020. Available online: https://www.csd.gob.es/es/la-campana-yomemuevoencasa-del-csd-y-el-consejo-colef-recuerda-la-importancia-de-mantener-un-estilo-de-vida-activo-durante (acces</w:t>
      </w:r>
      <w:r>
        <w:t>s</w:t>
      </w:r>
      <w:r w:rsidRPr="00C80CAC">
        <w:t>ed on 24 March 2020).</w:t>
      </w:r>
    </w:p>
    <w:p w14:paraId="5B3308AE" w14:textId="77777777" w:rsidR="00195752" w:rsidRPr="00C80CAC" w:rsidRDefault="00195752" w:rsidP="00195752">
      <w:pPr>
        <w:pStyle w:val="MDPI71References"/>
      </w:pPr>
      <w:r w:rsidRPr="00C80CAC">
        <w:t xml:space="preserve">Schaefer, L.; </w:t>
      </w:r>
      <w:proofErr w:type="spellStart"/>
      <w:r w:rsidRPr="00C80CAC">
        <w:t>Plotnikoff</w:t>
      </w:r>
      <w:proofErr w:type="spellEnd"/>
      <w:r w:rsidRPr="00C80CAC">
        <w:t xml:space="preserve">, R.C.; Majumdar, S.R.; </w:t>
      </w:r>
      <w:proofErr w:type="spellStart"/>
      <w:r w:rsidRPr="00C80CAC">
        <w:t>Mollard</w:t>
      </w:r>
      <w:proofErr w:type="spellEnd"/>
      <w:r w:rsidRPr="00C80CAC">
        <w:t xml:space="preserve">, R.; Woo, M.; </w:t>
      </w:r>
      <w:proofErr w:type="spellStart"/>
      <w:r w:rsidRPr="00C80CAC">
        <w:t>Sadman</w:t>
      </w:r>
      <w:proofErr w:type="spellEnd"/>
      <w:r w:rsidRPr="00C80CAC">
        <w:t xml:space="preserve">, R.; Rinaldi, R.L.; </w:t>
      </w:r>
      <w:proofErr w:type="spellStart"/>
      <w:r w:rsidRPr="00C80CAC">
        <w:t>Boulé</w:t>
      </w:r>
      <w:proofErr w:type="spellEnd"/>
      <w:r w:rsidRPr="00C80CAC">
        <w:t xml:space="preserve">, N.; Torrance, B.; Ball, G.D.C.; et al. Outdoor time is associated with physical activity, sedentary time, and cardiorespiratory fitness in youth. </w:t>
      </w:r>
      <w:r w:rsidRPr="00C80CAC">
        <w:rPr>
          <w:i/>
        </w:rPr>
        <w:t xml:space="preserve">J. </w:t>
      </w:r>
      <w:proofErr w:type="spellStart"/>
      <w:r w:rsidRPr="00C80CAC">
        <w:rPr>
          <w:i/>
        </w:rPr>
        <w:t>Pediatr</w:t>
      </w:r>
      <w:proofErr w:type="spellEnd"/>
      <w:r w:rsidRPr="00C80CAC">
        <w:t xml:space="preserve">. </w:t>
      </w:r>
      <w:r w:rsidRPr="00C80CAC">
        <w:rPr>
          <w:b/>
        </w:rPr>
        <w:t>2014</w:t>
      </w:r>
      <w:r w:rsidRPr="00C80CAC">
        <w:t xml:space="preserve">, </w:t>
      </w:r>
      <w:r w:rsidRPr="00C80CAC">
        <w:rPr>
          <w:i/>
        </w:rPr>
        <w:t>165</w:t>
      </w:r>
      <w:r w:rsidRPr="00C80CAC">
        <w:t>, 516–521, doi:10.1016/j.jpeds.2014.05.029.</w:t>
      </w:r>
    </w:p>
    <w:p w14:paraId="4FE0E0D0" w14:textId="77777777" w:rsidR="00195752" w:rsidRPr="00C80CAC" w:rsidRDefault="00195752" w:rsidP="00195752">
      <w:pPr>
        <w:pStyle w:val="MDPI71References"/>
      </w:pPr>
      <w:proofErr w:type="spellStart"/>
      <w:r w:rsidRPr="00C80CAC">
        <w:t>Eigenschenk</w:t>
      </w:r>
      <w:proofErr w:type="spellEnd"/>
      <w:r w:rsidRPr="00C80CAC">
        <w:t xml:space="preserve">, B.; Thomann, A.; McClure, M.; Davies, L.; Gregory, M.; </w:t>
      </w:r>
      <w:proofErr w:type="spellStart"/>
      <w:r w:rsidRPr="00C80CAC">
        <w:t>Dettweiler</w:t>
      </w:r>
      <w:proofErr w:type="spellEnd"/>
      <w:r w:rsidRPr="00C80CAC">
        <w:t xml:space="preserve">, U.; </w:t>
      </w:r>
      <w:proofErr w:type="spellStart"/>
      <w:r w:rsidRPr="00C80CAC">
        <w:t>Inglés</w:t>
      </w:r>
      <w:proofErr w:type="spellEnd"/>
      <w:r w:rsidRPr="00C80CAC">
        <w:t xml:space="preserve">, E. Benefits of outdoor sports for society. A systematic literature review and reflections on evidence. </w:t>
      </w:r>
      <w:r w:rsidRPr="00C80CAC">
        <w:rPr>
          <w:i/>
        </w:rPr>
        <w:t>Int. J. Environ. Res. Public Healt</w:t>
      </w:r>
      <w:r w:rsidRPr="00F90846">
        <w:rPr>
          <w:i/>
          <w:iCs/>
        </w:rPr>
        <w:t>h</w:t>
      </w:r>
      <w:r w:rsidRPr="00C80CAC">
        <w:t xml:space="preserve"> </w:t>
      </w:r>
      <w:r w:rsidRPr="00C80CAC">
        <w:rPr>
          <w:b/>
        </w:rPr>
        <w:t>2019</w:t>
      </w:r>
      <w:r w:rsidRPr="00C80CAC">
        <w:t xml:space="preserve">, </w:t>
      </w:r>
      <w:r w:rsidRPr="00C80CAC">
        <w:rPr>
          <w:i/>
        </w:rPr>
        <w:t>16</w:t>
      </w:r>
      <w:r w:rsidRPr="00C80CAC">
        <w:t>, doi:10.3390/ijerph16060937.</w:t>
      </w:r>
    </w:p>
    <w:p w14:paraId="011D7118" w14:textId="77777777" w:rsidR="00195752" w:rsidRPr="00F90846" w:rsidRDefault="00195752" w:rsidP="00195752">
      <w:pPr>
        <w:pStyle w:val="MDPI71References"/>
      </w:pPr>
      <w:r w:rsidRPr="00C80CAC">
        <w:t xml:space="preserve">Wetmore, C.M.; Ulrich, C.M. Mechanisms associating physical activity with </w:t>
      </w:r>
      <w:r w:rsidRPr="00F90846">
        <w:t xml:space="preserve">cancer incidence: Exercise and immune function. In </w:t>
      </w:r>
      <w:r w:rsidRPr="00F90846">
        <w:rPr>
          <w:i/>
        </w:rPr>
        <w:t xml:space="preserve">Cancer Prevention </w:t>
      </w:r>
      <w:proofErr w:type="gramStart"/>
      <w:r>
        <w:rPr>
          <w:i/>
        </w:rPr>
        <w:t>A</w:t>
      </w:r>
      <w:r w:rsidRPr="00F90846">
        <w:rPr>
          <w:i/>
        </w:rPr>
        <w:t>nd</w:t>
      </w:r>
      <w:proofErr w:type="gramEnd"/>
      <w:r w:rsidRPr="00F90846">
        <w:rPr>
          <w:i/>
        </w:rPr>
        <w:t xml:space="preserve"> Management </w:t>
      </w:r>
      <w:r>
        <w:rPr>
          <w:i/>
        </w:rPr>
        <w:t>t</w:t>
      </w:r>
      <w:r w:rsidRPr="00F90846">
        <w:rPr>
          <w:i/>
        </w:rPr>
        <w:t xml:space="preserve">hrough Exercise </w:t>
      </w:r>
      <w:r>
        <w:rPr>
          <w:i/>
        </w:rPr>
        <w:t>a</w:t>
      </w:r>
      <w:r w:rsidRPr="00F90846">
        <w:rPr>
          <w:i/>
        </w:rPr>
        <w:t>nd Weight Control</w:t>
      </w:r>
      <w:r w:rsidRPr="00F90846">
        <w:rPr>
          <w:iCs/>
        </w:rPr>
        <w:t>;</w:t>
      </w:r>
      <w:r w:rsidRPr="00F90846">
        <w:t xml:space="preserve"> </w:t>
      </w:r>
      <w:proofErr w:type="spellStart"/>
      <w:r w:rsidRPr="00F90846">
        <w:t>McTiernan</w:t>
      </w:r>
      <w:proofErr w:type="spellEnd"/>
      <w:r w:rsidRPr="00F90846">
        <w:t xml:space="preserve">, A., </w:t>
      </w:r>
      <w:r>
        <w:t>E</w:t>
      </w:r>
      <w:r w:rsidRPr="00F90846">
        <w:t>d.</w:t>
      </w:r>
      <w:r>
        <w:t>;</w:t>
      </w:r>
      <w:r w:rsidRPr="00F90846">
        <w:t xml:space="preserve"> CRC Press: Los </w:t>
      </w:r>
      <w:r>
        <w:t>A</w:t>
      </w:r>
      <w:r w:rsidRPr="00F90846">
        <w:t>ngeles,</w:t>
      </w:r>
      <w:r>
        <w:t xml:space="preserve"> CA,</w:t>
      </w:r>
      <w:r w:rsidRPr="00F90846">
        <w:t xml:space="preserve"> USA, 2006; pp. 157</w:t>
      </w:r>
      <w:r>
        <w:t>–</w:t>
      </w:r>
      <w:r w:rsidRPr="00F90846">
        <w:t>176.</w:t>
      </w:r>
    </w:p>
    <w:p w14:paraId="61885DEA" w14:textId="77777777" w:rsidR="00195752" w:rsidRPr="00C80CAC" w:rsidRDefault="00195752" w:rsidP="00195752">
      <w:pPr>
        <w:pStyle w:val="MDPI71References"/>
        <w:rPr>
          <w:lang w:val="fr-FR"/>
        </w:rPr>
      </w:pPr>
      <w:r w:rsidRPr="00C80CAC">
        <w:t xml:space="preserve">Gleeson, M. Immune function in sport and exercise. </w:t>
      </w:r>
      <w:r w:rsidRPr="00C80CAC">
        <w:rPr>
          <w:i/>
          <w:lang w:val="fr-FR"/>
        </w:rPr>
        <w:t xml:space="preserve">J. </w:t>
      </w:r>
      <w:proofErr w:type="spellStart"/>
      <w:r w:rsidRPr="00C80CAC">
        <w:rPr>
          <w:i/>
          <w:lang w:val="fr-FR"/>
        </w:rPr>
        <w:t>Appl</w:t>
      </w:r>
      <w:proofErr w:type="spellEnd"/>
      <w:r>
        <w:rPr>
          <w:i/>
          <w:lang w:val="fr-FR"/>
        </w:rPr>
        <w:t>.</w:t>
      </w:r>
      <w:r w:rsidRPr="00C80CAC">
        <w:rPr>
          <w:i/>
          <w:lang w:val="fr-FR"/>
        </w:rPr>
        <w:t xml:space="preserve"> </w:t>
      </w:r>
      <w:proofErr w:type="spellStart"/>
      <w:r w:rsidRPr="00C80CAC">
        <w:rPr>
          <w:i/>
          <w:lang w:val="fr-FR"/>
        </w:rPr>
        <w:t>Physiol</w:t>
      </w:r>
      <w:proofErr w:type="spellEnd"/>
      <w:r>
        <w:rPr>
          <w:i/>
          <w:lang w:val="fr-FR"/>
        </w:rPr>
        <w:t>.</w:t>
      </w:r>
      <w:r w:rsidRPr="00C80CAC">
        <w:rPr>
          <w:i/>
          <w:lang w:val="fr-FR"/>
        </w:rPr>
        <w:t xml:space="preserve"> </w:t>
      </w:r>
      <w:r w:rsidRPr="00C80CAC">
        <w:rPr>
          <w:b/>
          <w:lang w:val="fr-FR"/>
        </w:rPr>
        <w:t>2007</w:t>
      </w:r>
      <w:r w:rsidRPr="00C80CAC">
        <w:rPr>
          <w:lang w:val="fr-FR"/>
        </w:rPr>
        <w:t xml:space="preserve">, </w:t>
      </w:r>
      <w:r w:rsidRPr="00C80CAC">
        <w:rPr>
          <w:i/>
          <w:lang w:val="fr-FR"/>
        </w:rPr>
        <w:t>103</w:t>
      </w:r>
      <w:r w:rsidRPr="00C80CAC">
        <w:rPr>
          <w:lang w:val="fr-FR"/>
        </w:rPr>
        <w:t xml:space="preserve">, 693–699, </w:t>
      </w:r>
      <w:proofErr w:type="gramStart"/>
      <w:r w:rsidRPr="00C80CAC">
        <w:rPr>
          <w:lang w:val="fr-FR"/>
        </w:rPr>
        <w:t>doi</w:t>
      </w:r>
      <w:r>
        <w:rPr>
          <w:lang w:val="fr-FR"/>
        </w:rPr>
        <w:t>:</w:t>
      </w:r>
      <w:proofErr w:type="gramEnd"/>
      <w:r w:rsidRPr="00C80CAC">
        <w:rPr>
          <w:lang w:val="fr-FR"/>
        </w:rPr>
        <w:t>10.1152/japplphysiol.00008.2007.</w:t>
      </w:r>
    </w:p>
    <w:p w14:paraId="4787BCB0" w14:textId="77777777" w:rsidR="00195752" w:rsidRPr="00C80CAC" w:rsidRDefault="00195752" w:rsidP="00195752">
      <w:pPr>
        <w:pStyle w:val="MDPI71References"/>
      </w:pPr>
      <w:proofErr w:type="spellStart"/>
      <w:r w:rsidRPr="00C80CAC">
        <w:t>Mazzeo</w:t>
      </w:r>
      <w:proofErr w:type="spellEnd"/>
      <w:r w:rsidRPr="00C80CAC">
        <w:t xml:space="preserve">, R.S. Altitude, exercise and immune function. </w:t>
      </w:r>
      <w:proofErr w:type="spellStart"/>
      <w:r w:rsidRPr="00C80CAC">
        <w:rPr>
          <w:i/>
        </w:rPr>
        <w:t>Exerc</w:t>
      </w:r>
      <w:proofErr w:type="spellEnd"/>
      <w:r>
        <w:rPr>
          <w:i/>
        </w:rPr>
        <w:t>.</w:t>
      </w:r>
      <w:r w:rsidRPr="00C80CAC">
        <w:rPr>
          <w:i/>
        </w:rPr>
        <w:t xml:space="preserve"> Immunol</w:t>
      </w:r>
      <w:r>
        <w:rPr>
          <w:i/>
        </w:rPr>
        <w:t>.</w:t>
      </w:r>
      <w:r w:rsidRPr="00C80CAC">
        <w:rPr>
          <w:i/>
        </w:rPr>
        <w:t xml:space="preserve"> Rev.</w:t>
      </w:r>
      <w:r w:rsidRPr="00C80CAC">
        <w:t xml:space="preserve"> </w:t>
      </w:r>
      <w:r w:rsidRPr="00C80CAC">
        <w:rPr>
          <w:b/>
        </w:rPr>
        <w:t>2005</w:t>
      </w:r>
      <w:r w:rsidRPr="00C80CAC">
        <w:t xml:space="preserve">, </w:t>
      </w:r>
      <w:r w:rsidRPr="00C80CAC">
        <w:rPr>
          <w:i/>
        </w:rPr>
        <w:t>11</w:t>
      </w:r>
      <w:r w:rsidRPr="00C80CAC">
        <w:t>, 6–16.</w:t>
      </w:r>
    </w:p>
    <w:p w14:paraId="3D5E99B5" w14:textId="77777777" w:rsidR="00195752" w:rsidRPr="00C80CAC" w:rsidRDefault="00195752" w:rsidP="00195752">
      <w:pPr>
        <w:pStyle w:val="MDPI71References"/>
      </w:pPr>
      <w:r w:rsidRPr="00C80CAC">
        <w:t xml:space="preserve">Woods, J.A.; </w:t>
      </w:r>
      <w:proofErr w:type="spellStart"/>
      <w:r w:rsidRPr="00C80CAC">
        <w:t>Lowder</w:t>
      </w:r>
      <w:proofErr w:type="spellEnd"/>
      <w:r w:rsidRPr="00C80CAC">
        <w:t xml:space="preserve">, T.W.; Keylock, K.T. Can exercise training improve immune function in the aged? </w:t>
      </w:r>
      <w:r w:rsidRPr="00C80CAC">
        <w:rPr>
          <w:i/>
        </w:rPr>
        <w:t>Ann. N</w:t>
      </w:r>
      <w:r>
        <w:rPr>
          <w:i/>
        </w:rPr>
        <w:t>.</w:t>
      </w:r>
      <w:r w:rsidRPr="00C80CAC">
        <w:rPr>
          <w:i/>
        </w:rPr>
        <w:t xml:space="preserve"> Y</w:t>
      </w:r>
      <w:r>
        <w:rPr>
          <w:i/>
        </w:rPr>
        <w:t>.</w:t>
      </w:r>
      <w:r w:rsidRPr="00C80CAC">
        <w:rPr>
          <w:i/>
        </w:rPr>
        <w:t xml:space="preserve"> Acad</w:t>
      </w:r>
      <w:r>
        <w:rPr>
          <w:i/>
        </w:rPr>
        <w:t>.</w:t>
      </w:r>
      <w:r w:rsidRPr="00C80CAC">
        <w:rPr>
          <w:i/>
        </w:rPr>
        <w:t xml:space="preserve"> Sci</w:t>
      </w:r>
      <w:r>
        <w:rPr>
          <w:i/>
        </w:rPr>
        <w:t>.</w:t>
      </w:r>
      <w:r w:rsidRPr="00C80CAC">
        <w:t xml:space="preserve"> </w:t>
      </w:r>
      <w:r w:rsidRPr="00C80CAC">
        <w:rPr>
          <w:b/>
        </w:rPr>
        <w:t>2002</w:t>
      </w:r>
      <w:r w:rsidRPr="00C80CAC">
        <w:t xml:space="preserve">, </w:t>
      </w:r>
      <w:r w:rsidRPr="00C80CAC">
        <w:rPr>
          <w:i/>
        </w:rPr>
        <w:t>959</w:t>
      </w:r>
      <w:r w:rsidRPr="00C80CAC">
        <w:t>, 117–127, doi:10.1111/j.1749-6632.2002.tb02088.x.</w:t>
      </w:r>
    </w:p>
    <w:p w14:paraId="713B9290" w14:textId="77777777" w:rsidR="00195752" w:rsidRPr="00C80CAC" w:rsidRDefault="00195752" w:rsidP="00195752">
      <w:pPr>
        <w:pStyle w:val="MDPI71References"/>
      </w:pPr>
      <w:r w:rsidRPr="00C80CAC">
        <w:t xml:space="preserve">Woods, J.A.; Davis, J.M.; Smith, J.A.; Nieman, D.C. Exercise and cellular innate immune function. </w:t>
      </w:r>
      <w:r w:rsidRPr="00C80CAC">
        <w:rPr>
          <w:i/>
        </w:rPr>
        <w:t>Med. Sci</w:t>
      </w:r>
      <w:r>
        <w:rPr>
          <w:i/>
        </w:rPr>
        <w:t>.</w:t>
      </w:r>
      <w:r w:rsidRPr="00C80CAC">
        <w:rPr>
          <w:i/>
        </w:rPr>
        <w:t xml:space="preserve"> Sports </w:t>
      </w:r>
      <w:proofErr w:type="spellStart"/>
      <w:r w:rsidRPr="00C80CAC">
        <w:rPr>
          <w:i/>
        </w:rPr>
        <w:t>Exerc</w:t>
      </w:r>
      <w:proofErr w:type="spellEnd"/>
      <w:r w:rsidRPr="00C80CAC">
        <w:rPr>
          <w:i/>
        </w:rPr>
        <w:t>.</w:t>
      </w:r>
      <w:r w:rsidRPr="00C80CAC">
        <w:t xml:space="preserve"> </w:t>
      </w:r>
      <w:r w:rsidRPr="00C80CAC">
        <w:rPr>
          <w:b/>
        </w:rPr>
        <w:t>1999</w:t>
      </w:r>
      <w:r w:rsidRPr="00C80CAC">
        <w:t xml:space="preserve">, </w:t>
      </w:r>
      <w:r w:rsidRPr="00C80CAC">
        <w:rPr>
          <w:i/>
        </w:rPr>
        <w:t>31</w:t>
      </w:r>
      <w:r w:rsidRPr="00C80CAC">
        <w:t>, 5–66, doi:10.1097/00005768-199901000-00011.</w:t>
      </w:r>
    </w:p>
    <w:p w14:paraId="1572880A" w14:textId="77777777" w:rsidR="00195752" w:rsidRPr="0032393D" w:rsidRDefault="00195752" w:rsidP="00195752">
      <w:pPr>
        <w:pStyle w:val="MDPI71References"/>
      </w:pPr>
      <w:r w:rsidRPr="00C80CAC">
        <w:t xml:space="preserve">Shephard, R.J.; </w:t>
      </w:r>
      <w:proofErr w:type="spellStart"/>
      <w:r w:rsidRPr="00C80CAC">
        <w:t>Shek</w:t>
      </w:r>
      <w:proofErr w:type="spellEnd"/>
      <w:r w:rsidRPr="00C80CAC">
        <w:t xml:space="preserve">, P.N. Exercise, immunity, and susceptibility to </w:t>
      </w:r>
      <w:r w:rsidRPr="0032393D">
        <w:t xml:space="preserve">infection: A J-shaped relationship? </w:t>
      </w:r>
      <w:r w:rsidRPr="0032393D">
        <w:rPr>
          <w:i/>
        </w:rPr>
        <w:t xml:space="preserve">Phys. </w:t>
      </w:r>
      <w:proofErr w:type="spellStart"/>
      <w:r w:rsidRPr="0032393D">
        <w:rPr>
          <w:i/>
        </w:rPr>
        <w:t>Sportsmed</w:t>
      </w:r>
      <w:proofErr w:type="spellEnd"/>
      <w:r w:rsidRPr="0032393D">
        <w:t xml:space="preserve">. </w:t>
      </w:r>
      <w:r w:rsidRPr="0032393D">
        <w:rPr>
          <w:b/>
        </w:rPr>
        <w:t>1999</w:t>
      </w:r>
      <w:r w:rsidRPr="0032393D">
        <w:t xml:space="preserve">, </w:t>
      </w:r>
      <w:r w:rsidRPr="0032393D">
        <w:rPr>
          <w:i/>
        </w:rPr>
        <w:t>27</w:t>
      </w:r>
      <w:r w:rsidRPr="0032393D">
        <w:t>, 47–71, doi:10.3810/psm.1999.06.873.</w:t>
      </w:r>
    </w:p>
    <w:p w14:paraId="65D9A67F" w14:textId="77777777" w:rsidR="00195752" w:rsidRPr="00C80CAC" w:rsidRDefault="00195752" w:rsidP="00195752">
      <w:pPr>
        <w:pStyle w:val="MDPI71References"/>
      </w:pPr>
      <w:r w:rsidRPr="00C80CAC">
        <w:t xml:space="preserve">Peters, E.M. Exercise, immunology and upper respiratory tract infections. </w:t>
      </w:r>
      <w:r w:rsidRPr="00C80CAC">
        <w:rPr>
          <w:i/>
        </w:rPr>
        <w:t>Int</w:t>
      </w:r>
      <w:r>
        <w:rPr>
          <w:i/>
        </w:rPr>
        <w:t>.</w:t>
      </w:r>
      <w:r w:rsidRPr="00C80CAC">
        <w:rPr>
          <w:i/>
        </w:rPr>
        <w:t xml:space="preserve"> J. Sports Med.</w:t>
      </w:r>
      <w:r w:rsidRPr="00C80CAC">
        <w:t xml:space="preserve"> </w:t>
      </w:r>
      <w:r w:rsidRPr="00C80CAC">
        <w:rPr>
          <w:b/>
        </w:rPr>
        <w:t>1997</w:t>
      </w:r>
      <w:r w:rsidRPr="00C80CAC">
        <w:t xml:space="preserve">, </w:t>
      </w:r>
      <w:r w:rsidRPr="00C80CAC">
        <w:rPr>
          <w:i/>
        </w:rPr>
        <w:t>18</w:t>
      </w:r>
      <w:r w:rsidRPr="00C80CAC">
        <w:t>, S69</w:t>
      </w:r>
      <w:r>
        <w:t>–</w:t>
      </w:r>
      <w:r w:rsidRPr="00C80CAC">
        <w:t>S77.</w:t>
      </w:r>
    </w:p>
    <w:p w14:paraId="69D53F2F" w14:textId="77777777" w:rsidR="00195752" w:rsidRPr="00C80CAC" w:rsidRDefault="00195752" w:rsidP="00195752">
      <w:pPr>
        <w:pStyle w:val="MDPI71References"/>
      </w:pPr>
      <w:r w:rsidRPr="00C80CAC">
        <w:t>Nieman, D.C.; Wentz, L.M. The compelling link between physical activity and the body’s defense system.</w:t>
      </w:r>
      <w:r w:rsidRPr="00C80CAC">
        <w:rPr>
          <w:i/>
        </w:rPr>
        <w:t xml:space="preserve"> J. Sport Heal. Sci.</w:t>
      </w:r>
      <w:r w:rsidRPr="00C80CAC">
        <w:t xml:space="preserve"> </w:t>
      </w:r>
      <w:r w:rsidRPr="00C80CAC">
        <w:rPr>
          <w:b/>
        </w:rPr>
        <w:t>2019</w:t>
      </w:r>
      <w:r w:rsidRPr="00C80CAC">
        <w:t xml:space="preserve">, </w:t>
      </w:r>
      <w:r w:rsidRPr="00C80CAC">
        <w:rPr>
          <w:i/>
        </w:rPr>
        <w:t>8</w:t>
      </w:r>
      <w:r w:rsidRPr="00C80CAC">
        <w:t>, 201–217, doi:10.1055/s-2007-972702.</w:t>
      </w:r>
    </w:p>
    <w:p w14:paraId="34E5E13D" w14:textId="77777777" w:rsidR="00195752" w:rsidRPr="00C80CAC" w:rsidRDefault="00195752" w:rsidP="00195752">
      <w:pPr>
        <w:pStyle w:val="MDPI71References"/>
      </w:pPr>
      <w:r w:rsidRPr="00C80CAC">
        <w:t xml:space="preserve">Hamer, M.; Donovan, GO.; Stamatakis, E. Lifestyle risk factors, obesity and infectious disease mortality in the general population: Linkage study of 97,844 adults from England and Scotland. </w:t>
      </w:r>
      <w:r w:rsidRPr="00C80CAC">
        <w:rPr>
          <w:i/>
        </w:rPr>
        <w:t>Prev</w:t>
      </w:r>
      <w:r>
        <w:rPr>
          <w:i/>
        </w:rPr>
        <w:t>.</w:t>
      </w:r>
      <w:r w:rsidRPr="00C80CAC">
        <w:rPr>
          <w:i/>
        </w:rPr>
        <w:t xml:space="preserve"> Med. </w:t>
      </w:r>
      <w:proofErr w:type="spellStart"/>
      <w:r w:rsidRPr="00C80CAC">
        <w:rPr>
          <w:i/>
        </w:rPr>
        <w:t>Baltim</w:t>
      </w:r>
      <w:proofErr w:type="spellEnd"/>
      <w:r w:rsidRPr="00C80CAC">
        <w:t xml:space="preserve">. </w:t>
      </w:r>
      <w:r w:rsidRPr="00C80CAC">
        <w:rPr>
          <w:b/>
        </w:rPr>
        <w:t>2019</w:t>
      </w:r>
      <w:r w:rsidRPr="00C80CAC">
        <w:t xml:space="preserve">, </w:t>
      </w:r>
      <w:r w:rsidRPr="00C80CAC">
        <w:rPr>
          <w:i/>
        </w:rPr>
        <w:t>123</w:t>
      </w:r>
      <w:r w:rsidRPr="00C80CAC">
        <w:t>, 65–70, doi:10.1016/j.ypmed.2019.03.002.</w:t>
      </w:r>
    </w:p>
    <w:p w14:paraId="71FEC1F7" w14:textId="77777777" w:rsidR="00195752" w:rsidRPr="00C80CAC" w:rsidRDefault="00195752" w:rsidP="00195752">
      <w:pPr>
        <w:pStyle w:val="MDPI71References"/>
      </w:pPr>
      <w:proofErr w:type="spellStart"/>
      <w:r w:rsidRPr="00C80CAC">
        <w:t>Vider</w:t>
      </w:r>
      <w:proofErr w:type="spellEnd"/>
      <w:r w:rsidRPr="00C80CAC">
        <w:t xml:space="preserve">, J.; </w:t>
      </w:r>
      <w:proofErr w:type="spellStart"/>
      <w:r w:rsidRPr="00C80CAC">
        <w:t>Lehtmaa</w:t>
      </w:r>
      <w:proofErr w:type="spellEnd"/>
      <w:r w:rsidRPr="00C80CAC">
        <w:t xml:space="preserve">, J.; </w:t>
      </w:r>
      <w:proofErr w:type="spellStart"/>
      <w:r w:rsidRPr="00C80CAC">
        <w:t>Kullisaar</w:t>
      </w:r>
      <w:proofErr w:type="spellEnd"/>
      <w:r w:rsidRPr="00C80CAC">
        <w:t xml:space="preserve">, T.; </w:t>
      </w:r>
      <w:proofErr w:type="spellStart"/>
      <w:r w:rsidRPr="00C80CAC">
        <w:t>Vihalemm</w:t>
      </w:r>
      <w:proofErr w:type="spellEnd"/>
      <w:r w:rsidRPr="00C80CAC">
        <w:t xml:space="preserve">, T.; </w:t>
      </w:r>
      <w:proofErr w:type="spellStart"/>
      <w:r w:rsidRPr="00C80CAC">
        <w:t>Zilmer</w:t>
      </w:r>
      <w:proofErr w:type="spellEnd"/>
      <w:r w:rsidRPr="00C80CAC">
        <w:t xml:space="preserve">, K.; </w:t>
      </w:r>
      <w:proofErr w:type="spellStart"/>
      <w:r w:rsidRPr="00C80CAC">
        <w:t>Kairane</w:t>
      </w:r>
      <w:proofErr w:type="spellEnd"/>
      <w:r w:rsidRPr="00C80CAC">
        <w:t xml:space="preserve">, A.; </w:t>
      </w:r>
      <w:proofErr w:type="spellStart"/>
      <w:r w:rsidRPr="00C80CAC">
        <w:t>Landõr</w:t>
      </w:r>
      <w:proofErr w:type="spellEnd"/>
      <w:r w:rsidRPr="00C80CAC">
        <w:t xml:space="preserve">, A.; </w:t>
      </w:r>
      <w:proofErr w:type="spellStart"/>
      <w:r w:rsidRPr="00C80CAC">
        <w:t>Karu</w:t>
      </w:r>
      <w:proofErr w:type="spellEnd"/>
      <w:r w:rsidRPr="00C80CAC">
        <w:t xml:space="preserve">, T.; </w:t>
      </w:r>
      <w:proofErr w:type="spellStart"/>
      <w:r w:rsidRPr="00C80CAC">
        <w:t>Zilmer</w:t>
      </w:r>
      <w:proofErr w:type="spellEnd"/>
      <w:r w:rsidRPr="00C80CAC">
        <w:t xml:space="preserve">, M. Acute immune response in respect to exercise-induced oxidative stress. </w:t>
      </w:r>
      <w:r w:rsidRPr="00C80CAC">
        <w:rPr>
          <w:i/>
        </w:rPr>
        <w:t>Pathophysiology</w:t>
      </w:r>
      <w:r w:rsidRPr="00C80CAC">
        <w:t xml:space="preserve"> </w:t>
      </w:r>
      <w:r w:rsidRPr="00C80CAC">
        <w:rPr>
          <w:b/>
        </w:rPr>
        <w:t>2001</w:t>
      </w:r>
      <w:r w:rsidRPr="00C80CAC">
        <w:t xml:space="preserve">, </w:t>
      </w:r>
      <w:r w:rsidRPr="00C80CAC">
        <w:rPr>
          <w:i/>
        </w:rPr>
        <w:t>7</w:t>
      </w:r>
      <w:r w:rsidRPr="00C80CAC">
        <w:t>, 263–270, doi:10.1016/S0928-4680(00)00057-2.</w:t>
      </w:r>
    </w:p>
    <w:p w14:paraId="556414A5" w14:textId="77777777" w:rsidR="00195752" w:rsidRPr="00C80CAC" w:rsidRDefault="00195752" w:rsidP="00195752">
      <w:pPr>
        <w:pStyle w:val="MDPI71References"/>
      </w:pPr>
      <w:proofErr w:type="spellStart"/>
      <w:r w:rsidRPr="00C80CAC">
        <w:t>Baik</w:t>
      </w:r>
      <w:proofErr w:type="spellEnd"/>
      <w:r w:rsidRPr="00C80CAC">
        <w:t xml:space="preserve">, I.; </w:t>
      </w:r>
      <w:proofErr w:type="spellStart"/>
      <w:r w:rsidRPr="00C80CAC">
        <w:t>Curhan</w:t>
      </w:r>
      <w:proofErr w:type="spellEnd"/>
      <w:r w:rsidRPr="00C80CAC">
        <w:t xml:space="preserve">, G.C.; </w:t>
      </w:r>
      <w:proofErr w:type="spellStart"/>
      <w:r w:rsidRPr="00C80CAC">
        <w:t>Rimm</w:t>
      </w:r>
      <w:proofErr w:type="spellEnd"/>
      <w:r w:rsidRPr="00C80CAC">
        <w:t xml:space="preserve">, E.B.; </w:t>
      </w:r>
      <w:proofErr w:type="spellStart"/>
      <w:r w:rsidRPr="00C80CAC">
        <w:t>Bendich</w:t>
      </w:r>
      <w:proofErr w:type="spellEnd"/>
      <w:r w:rsidRPr="00C80CAC">
        <w:t xml:space="preserve">, A.; Willet, W.C.; Fawzi, W.W. A prospective study of age and lifestyle factors in relation to community-acquired pneumonia in US men and women. </w:t>
      </w:r>
      <w:r w:rsidRPr="00C80CAC">
        <w:rPr>
          <w:i/>
        </w:rPr>
        <w:t>Arch. Intern. Med.</w:t>
      </w:r>
      <w:r w:rsidRPr="00C80CAC">
        <w:t xml:space="preserve"> </w:t>
      </w:r>
      <w:r w:rsidRPr="00C80CAC">
        <w:rPr>
          <w:b/>
        </w:rPr>
        <w:t>2000</w:t>
      </w:r>
      <w:r w:rsidRPr="00C80CAC">
        <w:t xml:space="preserve">, </w:t>
      </w:r>
      <w:r w:rsidRPr="00C80CAC">
        <w:rPr>
          <w:i/>
        </w:rPr>
        <w:t>160</w:t>
      </w:r>
      <w:r w:rsidRPr="00C80CAC">
        <w:t>, 3082–3088, doi:10.1001/archinte.160.20.3082.</w:t>
      </w:r>
    </w:p>
    <w:p w14:paraId="7B78D7C7" w14:textId="77777777" w:rsidR="00195752" w:rsidRPr="00C80CAC" w:rsidRDefault="00195752" w:rsidP="00195752">
      <w:pPr>
        <w:pStyle w:val="MDPI71References"/>
      </w:pPr>
      <w:r w:rsidRPr="00C80CAC">
        <w:t xml:space="preserve">Mayo Clinic. Coronavirus </w:t>
      </w:r>
      <w:r>
        <w:t>D</w:t>
      </w:r>
      <w:r w:rsidRPr="00C80CAC">
        <w:t>isease 2019 (COVID-19). Available online: https://www.mayoclinic.org/diseases-conditions/coronavirus/symptoms-causes/syc-20479963 (accessed 22 March 2020).</w:t>
      </w:r>
    </w:p>
    <w:p w14:paraId="65FAE553" w14:textId="77777777" w:rsidR="00195752" w:rsidRPr="00C80CAC" w:rsidRDefault="00195752" w:rsidP="00195752">
      <w:pPr>
        <w:pStyle w:val="MDPI71References"/>
      </w:pPr>
      <w:proofErr w:type="spellStart"/>
      <w:r w:rsidRPr="00C80CAC">
        <w:t>Calati</w:t>
      </w:r>
      <w:proofErr w:type="spellEnd"/>
      <w:r w:rsidRPr="00C80CAC">
        <w:t xml:space="preserve">, R.; Ferrari, C.; </w:t>
      </w:r>
      <w:proofErr w:type="spellStart"/>
      <w:r w:rsidRPr="00C80CAC">
        <w:t>Brittner</w:t>
      </w:r>
      <w:proofErr w:type="spellEnd"/>
      <w:r w:rsidRPr="00C80CAC">
        <w:t xml:space="preserve">, M.; </w:t>
      </w:r>
      <w:proofErr w:type="spellStart"/>
      <w:r w:rsidRPr="00C80CAC">
        <w:t>Oasi</w:t>
      </w:r>
      <w:proofErr w:type="spellEnd"/>
      <w:r w:rsidRPr="00C80CAC">
        <w:t xml:space="preserve">, O.; </w:t>
      </w:r>
      <w:proofErr w:type="spellStart"/>
      <w:r w:rsidRPr="00C80CAC">
        <w:t>Olié</w:t>
      </w:r>
      <w:proofErr w:type="spellEnd"/>
      <w:r w:rsidRPr="00C80CAC">
        <w:t xml:space="preserve">, E.; Carvalho, A.F.; </w:t>
      </w:r>
      <w:proofErr w:type="spellStart"/>
      <w:r w:rsidRPr="00C80CAC">
        <w:t>Courtet</w:t>
      </w:r>
      <w:proofErr w:type="spellEnd"/>
      <w:r w:rsidRPr="00C80CAC">
        <w:t xml:space="preserve">, P. Suicidal thoughts and behaviors and social isolation: A narrative review of the literature. </w:t>
      </w:r>
      <w:r w:rsidRPr="00C80CAC">
        <w:rPr>
          <w:i/>
        </w:rPr>
        <w:t xml:space="preserve">J. Affect. </w:t>
      </w:r>
      <w:proofErr w:type="spellStart"/>
      <w:r w:rsidRPr="00C80CAC">
        <w:rPr>
          <w:i/>
        </w:rPr>
        <w:t>Disord</w:t>
      </w:r>
      <w:proofErr w:type="spellEnd"/>
      <w:r w:rsidRPr="00C80CAC">
        <w:t xml:space="preserve">. </w:t>
      </w:r>
      <w:r w:rsidRPr="00C80CAC">
        <w:rPr>
          <w:b/>
        </w:rPr>
        <w:t>2019</w:t>
      </w:r>
      <w:r w:rsidRPr="00C80CAC">
        <w:t xml:space="preserve">, </w:t>
      </w:r>
      <w:r w:rsidRPr="00C80CAC">
        <w:rPr>
          <w:i/>
        </w:rPr>
        <w:t>245</w:t>
      </w:r>
      <w:r w:rsidRPr="00C80CAC">
        <w:t>, 653–667, doi:10.1016/j.jad.2018.11.022.</w:t>
      </w:r>
    </w:p>
    <w:p w14:paraId="653CA10E" w14:textId="77777777" w:rsidR="00195752" w:rsidRPr="00C80CAC" w:rsidRDefault="00195752" w:rsidP="00195752">
      <w:pPr>
        <w:pStyle w:val="MDPI71References"/>
      </w:pPr>
      <w:r w:rsidRPr="00C80CAC">
        <w:t xml:space="preserve">Leigh-Hunt, N.; </w:t>
      </w:r>
      <w:proofErr w:type="spellStart"/>
      <w:r w:rsidRPr="00C80CAC">
        <w:t>Bagguley</w:t>
      </w:r>
      <w:proofErr w:type="spellEnd"/>
      <w:r w:rsidRPr="00C80CAC">
        <w:t xml:space="preserve">, D.; Bash, K.; Turner, V.; Turnbull, S.; </w:t>
      </w:r>
      <w:proofErr w:type="spellStart"/>
      <w:r w:rsidRPr="00C80CAC">
        <w:t>Valtorta</w:t>
      </w:r>
      <w:proofErr w:type="spellEnd"/>
      <w:r w:rsidRPr="00C80CAC">
        <w:t xml:space="preserve">, N.; </w:t>
      </w:r>
      <w:proofErr w:type="spellStart"/>
      <w:r w:rsidRPr="00C80CAC">
        <w:t>Caan</w:t>
      </w:r>
      <w:proofErr w:type="spellEnd"/>
      <w:r w:rsidRPr="00C80CAC">
        <w:t xml:space="preserve">, W. An overview of systematic reviews on the public health consequences of social isolation and loneliness. </w:t>
      </w:r>
      <w:r w:rsidRPr="00C80CAC">
        <w:rPr>
          <w:i/>
        </w:rPr>
        <w:t>Public Health</w:t>
      </w:r>
      <w:r w:rsidRPr="00C80CAC">
        <w:rPr>
          <w:b/>
        </w:rPr>
        <w:t xml:space="preserve"> 2017</w:t>
      </w:r>
      <w:r w:rsidRPr="00C80CAC">
        <w:t xml:space="preserve">, </w:t>
      </w:r>
      <w:r w:rsidRPr="00C80CAC">
        <w:rPr>
          <w:i/>
        </w:rPr>
        <w:t>152</w:t>
      </w:r>
      <w:r w:rsidRPr="00C80CAC">
        <w:t>, 157–171.</w:t>
      </w:r>
    </w:p>
    <w:p w14:paraId="61FB723F" w14:textId="77777777" w:rsidR="00195752" w:rsidRPr="00C80CAC" w:rsidRDefault="00195752" w:rsidP="00195752">
      <w:pPr>
        <w:pStyle w:val="MDPI71References"/>
      </w:pPr>
      <w:r w:rsidRPr="00C80CAC">
        <w:t xml:space="preserve">Santini, Z.I.; Jose, P.E.; York Cornwell, E.; Koyanagi, A.; Nielsen, L.; </w:t>
      </w:r>
      <w:proofErr w:type="spellStart"/>
      <w:r w:rsidRPr="00C80CAC">
        <w:t>Hinrichsen</w:t>
      </w:r>
      <w:proofErr w:type="spellEnd"/>
      <w:r w:rsidRPr="00C80CAC">
        <w:t xml:space="preserve">, C.; </w:t>
      </w:r>
      <w:proofErr w:type="spellStart"/>
      <w:r w:rsidRPr="00C80CAC">
        <w:t>Meilstrup</w:t>
      </w:r>
      <w:proofErr w:type="spellEnd"/>
      <w:r w:rsidRPr="00C80CAC">
        <w:t xml:space="preserve">, C.; Madsen, K.R.; </w:t>
      </w:r>
      <w:proofErr w:type="spellStart"/>
      <w:r w:rsidRPr="00C80CAC">
        <w:t>Koushede</w:t>
      </w:r>
      <w:proofErr w:type="spellEnd"/>
      <w:r w:rsidRPr="00C80CAC">
        <w:t xml:space="preserve">, V. Social </w:t>
      </w:r>
      <w:r w:rsidRPr="009F0A97">
        <w:t>disconnectedness, perceived isolation, and symptoms of depression and anxiety among older Americans (NSHAP): A longitudinal</w:t>
      </w:r>
      <w:r w:rsidRPr="00C80CAC">
        <w:t xml:space="preserve"> mediation analysis. </w:t>
      </w:r>
      <w:r w:rsidRPr="00C80CAC">
        <w:rPr>
          <w:i/>
        </w:rPr>
        <w:t>Lancet Public Heal</w:t>
      </w:r>
      <w:r w:rsidRPr="00C80CAC">
        <w:t xml:space="preserve">. </w:t>
      </w:r>
      <w:r w:rsidRPr="00C80CAC">
        <w:rPr>
          <w:b/>
        </w:rPr>
        <w:t>2020</w:t>
      </w:r>
      <w:r w:rsidRPr="00C80CAC">
        <w:t xml:space="preserve">, </w:t>
      </w:r>
      <w:r w:rsidRPr="00C80CAC">
        <w:rPr>
          <w:i/>
        </w:rPr>
        <w:t>5</w:t>
      </w:r>
      <w:r w:rsidRPr="00C80CAC">
        <w:t>, e62</w:t>
      </w:r>
      <w:r>
        <w:t>–</w:t>
      </w:r>
      <w:r w:rsidRPr="00C80CAC">
        <w:t>e70, doi:10.1016/S2468-2667(19)30230-0.</w:t>
      </w:r>
    </w:p>
    <w:p w14:paraId="065AC4C4" w14:textId="77777777" w:rsidR="00195752" w:rsidRPr="00C80CAC" w:rsidRDefault="00195752" w:rsidP="00195752">
      <w:pPr>
        <w:pStyle w:val="MDPI71References"/>
      </w:pPr>
      <w:proofErr w:type="spellStart"/>
      <w:r w:rsidRPr="00C80CAC">
        <w:t>Chekroud</w:t>
      </w:r>
      <w:proofErr w:type="spellEnd"/>
      <w:r w:rsidRPr="00C80CAC">
        <w:t xml:space="preserve">, S.R.; </w:t>
      </w:r>
      <w:proofErr w:type="spellStart"/>
      <w:r w:rsidRPr="00C80CAC">
        <w:t>Gueorguieva</w:t>
      </w:r>
      <w:proofErr w:type="spellEnd"/>
      <w:r w:rsidRPr="00C80CAC">
        <w:t xml:space="preserve">, R.; </w:t>
      </w:r>
      <w:proofErr w:type="spellStart"/>
      <w:r w:rsidRPr="00C80CAC">
        <w:t>Zheutlin</w:t>
      </w:r>
      <w:proofErr w:type="spellEnd"/>
      <w:r w:rsidRPr="00C80CAC">
        <w:t xml:space="preserve">, A.B.; Paulus, M.; </w:t>
      </w:r>
      <w:proofErr w:type="spellStart"/>
      <w:r w:rsidRPr="00C80CAC">
        <w:t>Krumholz</w:t>
      </w:r>
      <w:proofErr w:type="spellEnd"/>
      <w:r w:rsidRPr="00C80CAC">
        <w:t xml:space="preserve">, H.M.; Krystal, J.H.; </w:t>
      </w:r>
      <w:proofErr w:type="spellStart"/>
      <w:r w:rsidRPr="00C80CAC">
        <w:t>Chekroud</w:t>
      </w:r>
      <w:proofErr w:type="spellEnd"/>
      <w:r w:rsidRPr="00C80CAC">
        <w:t>, A.M. Association between physical exercise and mental health in 1</w:t>
      </w:r>
      <w:r>
        <w:t>.</w:t>
      </w:r>
      <w:r w:rsidRPr="00C80CAC">
        <w:t>2 million individuals in the USA between 2011 and 2015</w:t>
      </w:r>
      <w:r w:rsidRPr="009F0A97">
        <w:t>: A</w:t>
      </w:r>
      <w:r w:rsidRPr="00C80CAC">
        <w:t xml:space="preserve"> cross-sectional study. </w:t>
      </w:r>
      <w:r w:rsidRPr="00C80CAC">
        <w:rPr>
          <w:i/>
        </w:rPr>
        <w:t>The Lancet Psychiatry</w:t>
      </w:r>
      <w:r w:rsidRPr="00C80CAC">
        <w:t xml:space="preserve"> </w:t>
      </w:r>
      <w:r w:rsidRPr="00C80CAC">
        <w:rPr>
          <w:b/>
        </w:rPr>
        <w:t>2018</w:t>
      </w:r>
      <w:r w:rsidRPr="00C80CAC">
        <w:t xml:space="preserve">, </w:t>
      </w:r>
      <w:r w:rsidRPr="00C80CAC">
        <w:rPr>
          <w:i/>
        </w:rPr>
        <w:t>5</w:t>
      </w:r>
      <w:r w:rsidRPr="00C80CAC">
        <w:t>, 739–746, doi:10.1016/S2215-0366(18)30227-X.</w:t>
      </w:r>
    </w:p>
    <w:p w14:paraId="633B3991" w14:textId="77777777" w:rsidR="00195752" w:rsidRPr="00C80CAC" w:rsidRDefault="00195752" w:rsidP="00195752">
      <w:pPr>
        <w:pStyle w:val="MDPI71References"/>
      </w:pPr>
      <w:proofErr w:type="spellStart"/>
      <w:r w:rsidRPr="00C80CAC">
        <w:t>Kandola</w:t>
      </w:r>
      <w:proofErr w:type="spellEnd"/>
      <w:r w:rsidRPr="00C80CAC">
        <w:t xml:space="preserve">, A.; Ashdown-Franks, G.; </w:t>
      </w:r>
      <w:proofErr w:type="spellStart"/>
      <w:r w:rsidRPr="00C80CAC">
        <w:t>Hendrikse</w:t>
      </w:r>
      <w:proofErr w:type="spellEnd"/>
      <w:r w:rsidRPr="00C80CAC">
        <w:t xml:space="preserve">, J.; </w:t>
      </w:r>
      <w:proofErr w:type="spellStart"/>
      <w:r w:rsidRPr="00C80CAC">
        <w:t>Sabiston</w:t>
      </w:r>
      <w:proofErr w:type="spellEnd"/>
      <w:r w:rsidRPr="00C80CAC">
        <w:t xml:space="preserve">, C.M.; Stubbs, B. Physical activity and depression: Towards understanding the antidepressant mechanisms of physical activity. </w:t>
      </w:r>
      <w:proofErr w:type="spellStart"/>
      <w:r w:rsidRPr="00C80CAC">
        <w:rPr>
          <w:i/>
        </w:rPr>
        <w:t>Neurosci</w:t>
      </w:r>
      <w:proofErr w:type="spellEnd"/>
      <w:r>
        <w:rPr>
          <w:i/>
        </w:rPr>
        <w:t>.</w:t>
      </w:r>
      <w:r w:rsidRPr="00C80CAC">
        <w:rPr>
          <w:i/>
        </w:rPr>
        <w:t xml:space="preserve"> </w:t>
      </w:r>
      <w:proofErr w:type="spellStart"/>
      <w:r w:rsidRPr="00C80CAC">
        <w:rPr>
          <w:i/>
        </w:rPr>
        <w:t>Biobehav</w:t>
      </w:r>
      <w:proofErr w:type="spellEnd"/>
      <w:r>
        <w:rPr>
          <w:i/>
        </w:rPr>
        <w:t>.</w:t>
      </w:r>
      <w:r w:rsidRPr="00C80CAC">
        <w:rPr>
          <w:i/>
        </w:rPr>
        <w:t xml:space="preserve"> Rev.</w:t>
      </w:r>
      <w:r w:rsidRPr="00C80CAC">
        <w:t xml:space="preserve"> </w:t>
      </w:r>
      <w:r w:rsidRPr="00C80CAC">
        <w:rPr>
          <w:b/>
        </w:rPr>
        <w:t>2019</w:t>
      </w:r>
      <w:r w:rsidRPr="00C80CAC">
        <w:t xml:space="preserve">, </w:t>
      </w:r>
      <w:r w:rsidRPr="00C80CAC">
        <w:rPr>
          <w:i/>
        </w:rPr>
        <w:t>107</w:t>
      </w:r>
      <w:r w:rsidRPr="00C80CAC">
        <w:t>, 525–539, doi:10.1016/j.neubiorev.2019.09.040.</w:t>
      </w:r>
    </w:p>
    <w:p w14:paraId="721C4983" w14:textId="77777777" w:rsidR="00195752" w:rsidRPr="00140933" w:rsidRDefault="00195752" w:rsidP="00195752">
      <w:pPr>
        <w:pStyle w:val="MDPI71References"/>
      </w:pPr>
      <w:r w:rsidRPr="00C80CAC">
        <w:lastRenderedPageBreak/>
        <w:t xml:space="preserve">Cao, C.; Liu, Q.; Yang, L.; Zheng, X.; Lan, P.; Koyanagi, A.; Vancampfort, D.; Soysal, P.; Veronese, N.; Stubbs, B.; et al. Handgrip strength is associated with suicidal thoughts in men: Cross‐sectional analyses from NHANES. </w:t>
      </w:r>
      <w:r w:rsidRPr="00C80CAC">
        <w:rPr>
          <w:i/>
        </w:rPr>
        <w:t xml:space="preserve">Scand. J. Med. Sci. Sports </w:t>
      </w:r>
      <w:r w:rsidRPr="00C80CAC">
        <w:rPr>
          <w:b/>
        </w:rPr>
        <w:t>2019</w:t>
      </w:r>
      <w:r w:rsidRPr="00C80CAC">
        <w:t xml:space="preserve">, </w:t>
      </w:r>
      <w:r w:rsidRPr="00C80CAC">
        <w:rPr>
          <w:i/>
        </w:rPr>
        <w:t>30</w:t>
      </w:r>
      <w:r w:rsidRPr="00C80CAC">
        <w:t>, 1–8</w:t>
      </w:r>
      <w:r w:rsidRPr="00140933">
        <w:t>, doi:10.1111/sms.13559.</w:t>
      </w:r>
    </w:p>
    <w:p w14:paraId="423D1EA0" w14:textId="77777777" w:rsidR="00195752" w:rsidRPr="00C80CAC" w:rsidRDefault="00195752" w:rsidP="00195752">
      <w:pPr>
        <w:pStyle w:val="MDPI71References"/>
      </w:pPr>
      <w:r w:rsidRPr="00140933">
        <w:t>Peluso, M.A.M.; Guerra de Andrade, L.H.S. Physical activity and mental health: The association between exercise and mood.</w:t>
      </w:r>
      <w:r w:rsidRPr="00140933">
        <w:rPr>
          <w:i/>
        </w:rPr>
        <w:t xml:space="preserve"> Clinics</w:t>
      </w:r>
      <w:r w:rsidRPr="00140933">
        <w:t xml:space="preserve"> </w:t>
      </w:r>
      <w:r w:rsidRPr="00140933">
        <w:rPr>
          <w:b/>
        </w:rPr>
        <w:t>2005</w:t>
      </w:r>
      <w:r w:rsidRPr="00140933">
        <w:t xml:space="preserve">, </w:t>
      </w:r>
      <w:r w:rsidRPr="00140933">
        <w:rPr>
          <w:i/>
        </w:rPr>
        <w:t>60</w:t>
      </w:r>
      <w:r w:rsidRPr="00140933">
        <w:t>, 61–70, doi:10.1590/s1807</w:t>
      </w:r>
      <w:r w:rsidRPr="00C80CAC">
        <w:t>-59322005000100012.</w:t>
      </w:r>
    </w:p>
    <w:p w14:paraId="3DCCB9AA" w14:textId="77777777" w:rsidR="00195752" w:rsidRPr="00C80CAC" w:rsidRDefault="00195752" w:rsidP="00195752">
      <w:pPr>
        <w:pStyle w:val="MDPI71References"/>
      </w:pPr>
      <w:r w:rsidRPr="00C80CAC">
        <w:t xml:space="preserve">Martinsen, E.W. Physical activity in the prevention and treatment of anxiety and depression. </w:t>
      </w:r>
      <w:r w:rsidRPr="00C80CAC">
        <w:rPr>
          <w:i/>
        </w:rPr>
        <w:t>Nord. J. Psychiatry</w:t>
      </w:r>
      <w:r w:rsidRPr="00C80CAC">
        <w:t xml:space="preserve"> </w:t>
      </w:r>
      <w:r w:rsidRPr="00C80CAC">
        <w:rPr>
          <w:b/>
        </w:rPr>
        <w:t>2008</w:t>
      </w:r>
      <w:r w:rsidRPr="00C80CAC">
        <w:t xml:space="preserve">, </w:t>
      </w:r>
      <w:r w:rsidRPr="00C80CAC">
        <w:rPr>
          <w:i/>
        </w:rPr>
        <w:t>62</w:t>
      </w:r>
      <w:r w:rsidRPr="00C80CAC">
        <w:t>, 25–29, doi:10.1080/08039480802315640.</w:t>
      </w:r>
    </w:p>
    <w:p w14:paraId="71FB8AEB" w14:textId="77777777" w:rsidR="00195752" w:rsidRPr="00C80CAC" w:rsidRDefault="00195752" w:rsidP="00195752">
      <w:pPr>
        <w:pStyle w:val="MDPI71References"/>
      </w:pPr>
      <w:r w:rsidRPr="00C80CAC">
        <w:t xml:space="preserve">Szabo, A. Acute psychological benefits of exercise performed at self-selected workloads: Implications for theory and practice. </w:t>
      </w:r>
      <w:r w:rsidRPr="00C80CAC">
        <w:rPr>
          <w:i/>
        </w:rPr>
        <w:t>J. Sport Sci Med.</w:t>
      </w:r>
      <w:r w:rsidRPr="00C80CAC">
        <w:t xml:space="preserve"> </w:t>
      </w:r>
      <w:r w:rsidRPr="00C80CAC">
        <w:rPr>
          <w:b/>
        </w:rPr>
        <w:t>2003</w:t>
      </w:r>
      <w:r w:rsidRPr="00C80CAC">
        <w:t xml:space="preserve">, </w:t>
      </w:r>
      <w:r w:rsidRPr="00C80CAC">
        <w:rPr>
          <w:i/>
        </w:rPr>
        <w:t>2</w:t>
      </w:r>
      <w:r w:rsidRPr="00C80CAC">
        <w:t>, 77–87.</w:t>
      </w:r>
    </w:p>
    <w:p w14:paraId="5A0D433E" w14:textId="77777777" w:rsidR="00195752" w:rsidRPr="00C80CAC" w:rsidRDefault="00195752" w:rsidP="00195752">
      <w:pPr>
        <w:pStyle w:val="MDPI71References"/>
      </w:pPr>
      <w:r w:rsidRPr="00C80CAC">
        <w:t xml:space="preserve">Fleming, K.M.; Campbell, M.; Herring, M.P. Acute effects of Pilates on mood states among young adult males. </w:t>
      </w:r>
      <w:r w:rsidRPr="00C80CAC">
        <w:rPr>
          <w:i/>
        </w:rPr>
        <w:t xml:space="preserve">Complement. </w:t>
      </w:r>
      <w:proofErr w:type="spellStart"/>
      <w:r w:rsidRPr="00C80CAC">
        <w:rPr>
          <w:i/>
        </w:rPr>
        <w:t>Ther</w:t>
      </w:r>
      <w:proofErr w:type="spellEnd"/>
      <w:r w:rsidRPr="00C80CAC">
        <w:rPr>
          <w:i/>
        </w:rPr>
        <w:t xml:space="preserve"> Med</w:t>
      </w:r>
      <w:r w:rsidRPr="00C80CAC">
        <w:t xml:space="preserve">. </w:t>
      </w:r>
      <w:r w:rsidRPr="00C80CAC">
        <w:rPr>
          <w:b/>
        </w:rPr>
        <w:t>2020</w:t>
      </w:r>
      <w:r w:rsidRPr="00C80CAC">
        <w:t xml:space="preserve">, </w:t>
      </w:r>
      <w:r w:rsidRPr="00C80CAC">
        <w:rPr>
          <w:i/>
        </w:rPr>
        <w:t>49</w:t>
      </w:r>
      <w:r w:rsidRPr="00C80CAC">
        <w:t>, 102313, doi:10.1016/j.ctim.2020.102313.</w:t>
      </w:r>
    </w:p>
    <w:p w14:paraId="49D994B0" w14:textId="77777777" w:rsidR="00195752" w:rsidRPr="00C80CAC" w:rsidRDefault="00195752" w:rsidP="00195752">
      <w:pPr>
        <w:pStyle w:val="MDPI71References"/>
      </w:pPr>
      <w:r w:rsidRPr="00C80CAC">
        <w:t xml:space="preserve">Morgan, W.P.; Horstman, D.H. Anxiety reduction following acute physical activity. </w:t>
      </w:r>
      <w:proofErr w:type="spellStart"/>
      <w:r w:rsidRPr="00C80CAC">
        <w:rPr>
          <w:i/>
        </w:rPr>
        <w:t>Psychiatr</w:t>
      </w:r>
      <w:proofErr w:type="spellEnd"/>
      <w:r>
        <w:rPr>
          <w:i/>
        </w:rPr>
        <w:t>.</w:t>
      </w:r>
      <w:r w:rsidRPr="00C80CAC">
        <w:rPr>
          <w:i/>
        </w:rPr>
        <w:t xml:space="preserve"> Ann.</w:t>
      </w:r>
      <w:r w:rsidRPr="00C80CAC">
        <w:t xml:space="preserve"> </w:t>
      </w:r>
      <w:r w:rsidRPr="00C80CAC">
        <w:rPr>
          <w:b/>
        </w:rPr>
        <w:t>1979</w:t>
      </w:r>
      <w:r w:rsidRPr="00C80CAC">
        <w:t xml:space="preserve">, </w:t>
      </w:r>
      <w:r w:rsidRPr="00C80CAC">
        <w:rPr>
          <w:i/>
        </w:rPr>
        <w:t>9</w:t>
      </w:r>
      <w:r w:rsidRPr="00C80CAC">
        <w:t>, 36–45.</w:t>
      </w:r>
    </w:p>
    <w:p w14:paraId="3B2A04BF" w14:textId="77777777" w:rsidR="00195752" w:rsidRPr="00C80CAC" w:rsidRDefault="00195752" w:rsidP="00195752">
      <w:pPr>
        <w:pStyle w:val="MDPI71References"/>
      </w:pPr>
      <w:r w:rsidRPr="00C80CAC">
        <w:t xml:space="preserve">World Health Organization. Global </w:t>
      </w:r>
      <w:r>
        <w:t>R</w:t>
      </w:r>
      <w:r w:rsidRPr="00C80CAC">
        <w:t xml:space="preserve">ecommendations on </w:t>
      </w:r>
      <w:r>
        <w:t>P</w:t>
      </w:r>
      <w:r w:rsidRPr="00C80CAC">
        <w:t xml:space="preserve">hysical </w:t>
      </w:r>
      <w:r>
        <w:t>A</w:t>
      </w:r>
      <w:r w:rsidRPr="00C80CAC">
        <w:t xml:space="preserve">ctivity for </w:t>
      </w:r>
      <w:r>
        <w:t>H</w:t>
      </w:r>
      <w:r w:rsidRPr="00C80CAC">
        <w:t>ealth. 2014. Available online: https://www.who.int/dietphysicalactivity/factsheet_recommendations/en/ (accessed on 22 March 2020.</w:t>
      </w:r>
    </w:p>
    <w:p w14:paraId="5604E0F0" w14:textId="77777777" w:rsidR="00195752" w:rsidRPr="00C80CAC" w:rsidRDefault="00195752" w:rsidP="00195752">
      <w:pPr>
        <w:pStyle w:val="MDPI71References"/>
      </w:pPr>
      <w:r w:rsidRPr="00C80CAC">
        <w:t xml:space="preserve">López-Sánchez, G.F.; Pardhan, S.; Trott, M.; Sánchez-Castillo, S.; Jackson, S.E.; Tully, M.; Gorely, T.; López-Bueno, R.; Veronese, N.; </w:t>
      </w:r>
      <w:proofErr w:type="spellStart"/>
      <w:r w:rsidRPr="00C80CAC">
        <w:t>Skalska</w:t>
      </w:r>
      <w:proofErr w:type="spellEnd"/>
      <w:r w:rsidRPr="00C80CAC">
        <w:t xml:space="preserve">, M.; et al. The Association Between Physical Activity and Cataracts Among 17,777 People Aged 15–69 Years Residing in Spain. </w:t>
      </w:r>
      <w:r w:rsidRPr="00C80CAC">
        <w:rPr>
          <w:i/>
        </w:rPr>
        <w:t>Ophthalmic Epidemiol</w:t>
      </w:r>
      <w:r w:rsidRPr="00C80CAC">
        <w:t xml:space="preserve">. </w:t>
      </w:r>
      <w:r w:rsidRPr="00C80CAC">
        <w:rPr>
          <w:b/>
        </w:rPr>
        <w:t>2020</w:t>
      </w:r>
      <w:r w:rsidRPr="00C80CAC">
        <w:t xml:space="preserve">, </w:t>
      </w:r>
      <w:r w:rsidRPr="00C80CAC">
        <w:rPr>
          <w:i/>
        </w:rPr>
        <w:t>27</w:t>
      </w:r>
      <w:r w:rsidRPr="00C80CAC">
        <w:t>, 272–277, doi:10.1080/09286586.2020.1730911.</w:t>
      </w:r>
    </w:p>
    <w:p w14:paraId="143630F4" w14:textId="77777777" w:rsidR="00195752" w:rsidRPr="00C80CAC" w:rsidRDefault="00195752" w:rsidP="00195752">
      <w:pPr>
        <w:pStyle w:val="MDPI71References"/>
      </w:pPr>
      <w:proofErr w:type="spellStart"/>
      <w:r w:rsidRPr="00C80CAC">
        <w:t>Vandenbroucke</w:t>
      </w:r>
      <w:proofErr w:type="spellEnd"/>
      <w:r w:rsidRPr="00C80CAC">
        <w:t xml:space="preserve">, J.P.; Von Elm, E.; Altman, D.G.; </w:t>
      </w:r>
      <w:proofErr w:type="spellStart"/>
      <w:r w:rsidRPr="00C80CAC">
        <w:t>Gøtzsche</w:t>
      </w:r>
      <w:proofErr w:type="spellEnd"/>
      <w:r w:rsidRPr="00C80CAC">
        <w:t xml:space="preserve">, P.C.; Mulrow, C.D.; Pocock, S.J.; Poole, C.; </w:t>
      </w:r>
      <w:proofErr w:type="spellStart"/>
      <w:r w:rsidRPr="00C80CAC">
        <w:t>Schlesselman</w:t>
      </w:r>
      <w:proofErr w:type="spellEnd"/>
      <w:r w:rsidRPr="00C80CAC">
        <w:t xml:space="preserve">, J.J.; Egger, M. Strengthening the Reporting of Observational Studies in Epidemiology (STROBE): Explanation and elaboration. </w:t>
      </w:r>
      <w:proofErr w:type="spellStart"/>
      <w:r w:rsidRPr="00C80CAC">
        <w:rPr>
          <w:i/>
        </w:rPr>
        <w:t>PLoS</w:t>
      </w:r>
      <w:proofErr w:type="spellEnd"/>
      <w:r w:rsidRPr="00C80CAC">
        <w:rPr>
          <w:i/>
        </w:rPr>
        <w:t xml:space="preserve"> Med</w:t>
      </w:r>
      <w:r w:rsidRPr="00C80CAC">
        <w:t xml:space="preserve">. </w:t>
      </w:r>
      <w:r w:rsidRPr="00C80CAC">
        <w:rPr>
          <w:b/>
        </w:rPr>
        <w:t>2007</w:t>
      </w:r>
      <w:r w:rsidRPr="00C80CAC">
        <w:t xml:space="preserve">, </w:t>
      </w:r>
      <w:r w:rsidRPr="00C80CAC">
        <w:rPr>
          <w:i/>
        </w:rPr>
        <w:t>4</w:t>
      </w:r>
      <w:r w:rsidRPr="00C80CAC">
        <w:t>, 1628–1654, doi:10.1371/journal.pmed.0040297.</w:t>
      </w:r>
    </w:p>
    <w:p w14:paraId="7E00CB57" w14:textId="77777777" w:rsidR="00195752" w:rsidRPr="00C80CAC" w:rsidRDefault="00195752" w:rsidP="00195752">
      <w:pPr>
        <w:pStyle w:val="MDPI71References"/>
      </w:pPr>
      <w:r w:rsidRPr="00C80CAC">
        <w:t xml:space="preserve">Greenwood, J.L.J.; Joy, E.A.; Stanford, J.B. The Physical Activity Vital Sign: A Primary Care Tool to Guide Counseling for Obesity. </w:t>
      </w:r>
      <w:r w:rsidRPr="00C80CAC">
        <w:rPr>
          <w:i/>
        </w:rPr>
        <w:t>J. Phys. Act. Heal.</w:t>
      </w:r>
      <w:r w:rsidRPr="00C80CAC">
        <w:t xml:space="preserve"> </w:t>
      </w:r>
      <w:r w:rsidRPr="00C80CAC">
        <w:rPr>
          <w:b/>
        </w:rPr>
        <w:t>2010</w:t>
      </w:r>
      <w:r w:rsidRPr="00C80CAC">
        <w:t xml:space="preserve">, </w:t>
      </w:r>
      <w:r w:rsidRPr="00C80CAC">
        <w:rPr>
          <w:i/>
        </w:rPr>
        <w:t>7</w:t>
      </w:r>
      <w:r w:rsidRPr="00C80CAC">
        <w:t>, 571–576, doi:10.1123/jpah.7.5.571.</w:t>
      </w:r>
    </w:p>
    <w:p w14:paraId="7F85CC7A" w14:textId="77777777" w:rsidR="00195752" w:rsidRPr="00C80CAC" w:rsidRDefault="00195752" w:rsidP="00195752">
      <w:pPr>
        <w:pStyle w:val="MDPI71References"/>
      </w:pPr>
      <w:proofErr w:type="spellStart"/>
      <w:r w:rsidRPr="00C80CAC">
        <w:t>Schrempft</w:t>
      </w:r>
      <w:proofErr w:type="spellEnd"/>
      <w:r w:rsidRPr="00C80CAC">
        <w:t xml:space="preserve">, S.; </w:t>
      </w:r>
      <w:proofErr w:type="spellStart"/>
      <w:r w:rsidRPr="00C80CAC">
        <w:t>Jackowska</w:t>
      </w:r>
      <w:proofErr w:type="spellEnd"/>
      <w:r w:rsidRPr="00C80CAC">
        <w:t>, M.; Hamer, M.; Steptoe, A. Associations between social isolation, loneliness, and objective physical activity in older men and women.</w:t>
      </w:r>
      <w:r w:rsidRPr="00C80CAC">
        <w:rPr>
          <w:i/>
        </w:rPr>
        <w:t xml:space="preserve"> BMC Public Health</w:t>
      </w:r>
      <w:r w:rsidRPr="00C80CAC">
        <w:t xml:space="preserve"> </w:t>
      </w:r>
      <w:r w:rsidRPr="00C80CAC">
        <w:rPr>
          <w:b/>
        </w:rPr>
        <w:t>2019</w:t>
      </w:r>
      <w:r w:rsidRPr="00C80CAC">
        <w:t xml:space="preserve">, </w:t>
      </w:r>
      <w:r w:rsidRPr="00C80CAC">
        <w:rPr>
          <w:i/>
        </w:rPr>
        <w:t>19</w:t>
      </w:r>
      <w:r w:rsidRPr="00C80CAC">
        <w:t>, 1–10, doi:10.1186/s12889-019-6424-y.</w:t>
      </w:r>
    </w:p>
    <w:p w14:paraId="4B025889" w14:textId="77777777" w:rsidR="00195752" w:rsidRPr="00C80CAC" w:rsidRDefault="00195752" w:rsidP="00195752">
      <w:pPr>
        <w:pStyle w:val="MDPI71References"/>
      </w:pPr>
      <w:r w:rsidRPr="00C80CAC">
        <w:t xml:space="preserve">Ammar, A.; Brach, M.; </w:t>
      </w:r>
      <w:proofErr w:type="spellStart"/>
      <w:r w:rsidRPr="00C80CAC">
        <w:t>Trabelsi</w:t>
      </w:r>
      <w:proofErr w:type="spellEnd"/>
      <w:r w:rsidRPr="00C80CAC">
        <w:t xml:space="preserve">, K.; </w:t>
      </w:r>
      <w:proofErr w:type="spellStart"/>
      <w:r w:rsidRPr="00C80CAC">
        <w:t>Chtourou</w:t>
      </w:r>
      <w:proofErr w:type="spellEnd"/>
      <w:r w:rsidRPr="00C80CAC">
        <w:t xml:space="preserve">, H.; </w:t>
      </w:r>
      <w:proofErr w:type="spellStart"/>
      <w:r w:rsidRPr="00C80CAC">
        <w:t>Boukhris</w:t>
      </w:r>
      <w:proofErr w:type="spellEnd"/>
      <w:r w:rsidRPr="00C80CAC">
        <w:t xml:space="preserve">, O.; </w:t>
      </w:r>
      <w:proofErr w:type="spellStart"/>
      <w:r w:rsidRPr="00C80CAC">
        <w:t>Masmoudi</w:t>
      </w:r>
      <w:proofErr w:type="spellEnd"/>
      <w:r w:rsidRPr="00C80CAC">
        <w:t xml:space="preserve">, L.; </w:t>
      </w:r>
      <w:proofErr w:type="spellStart"/>
      <w:r w:rsidRPr="00C80CAC">
        <w:t>Bouaziz</w:t>
      </w:r>
      <w:proofErr w:type="spellEnd"/>
      <w:r w:rsidRPr="00C80CAC">
        <w:t xml:space="preserve">, B.; </w:t>
      </w:r>
      <w:proofErr w:type="spellStart"/>
      <w:r w:rsidRPr="00C80CAC">
        <w:t>Bentlage</w:t>
      </w:r>
      <w:proofErr w:type="spellEnd"/>
      <w:r w:rsidRPr="00C80CAC">
        <w:t xml:space="preserve">, E.; How, D.; Ahmed, M.; el al. On Behalf of the ECLB-COVID19 Consortium. Effects of COVID-19 Home Confinement on Eating </w:t>
      </w:r>
      <w:proofErr w:type="spellStart"/>
      <w:r w:rsidRPr="00C80CAC">
        <w:t>Behaviour</w:t>
      </w:r>
      <w:proofErr w:type="spellEnd"/>
      <w:r w:rsidRPr="00C80CAC">
        <w:t xml:space="preserve"> and Physical Activity: Results of the ECLB-COVID19 International Online Survey. </w:t>
      </w:r>
      <w:r w:rsidRPr="00C80CAC">
        <w:rPr>
          <w:i/>
        </w:rPr>
        <w:t>Nutrients</w:t>
      </w:r>
      <w:r w:rsidRPr="00C80CAC">
        <w:t xml:space="preserve"> </w:t>
      </w:r>
      <w:r w:rsidRPr="00C80CAC">
        <w:rPr>
          <w:b/>
        </w:rPr>
        <w:t>2020</w:t>
      </w:r>
      <w:r w:rsidRPr="00C80CAC">
        <w:t xml:space="preserve">, </w:t>
      </w:r>
      <w:r w:rsidRPr="00C80CAC">
        <w:rPr>
          <w:i/>
        </w:rPr>
        <w:t>12</w:t>
      </w:r>
      <w:r w:rsidRPr="00C80CAC">
        <w:t>, 1583, doi:10.3390/nu12061583.</w:t>
      </w:r>
    </w:p>
    <w:p w14:paraId="340B4F1F" w14:textId="77777777" w:rsidR="00195752" w:rsidRPr="00C80CAC" w:rsidRDefault="00195752" w:rsidP="00195752">
      <w:pPr>
        <w:pStyle w:val="MDPI71References"/>
      </w:pPr>
      <w:r w:rsidRPr="00C80CAC">
        <w:t xml:space="preserve">Lesser, I.A.; </w:t>
      </w:r>
      <w:proofErr w:type="spellStart"/>
      <w:r w:rsidRPr="00C80CAC">
        <w:t>Nienhuis</w:t>
      </w:r>
      <w:proofErr w:type="spellEnd"/>
      <w:r w:rsidRPr="00C80CAC">
        <w:t xml:space="preserve">, C.P. The Impact of COVID-19 on Physical Activity Behavior and Well-Being of Canadians. </w:t>
      </w:r>
      <w:r w:rsidRPr="00C80CAC">
        <w:rPr>
          <w:i/>
        </w:rPr>
        <w:t>Int. J. Environ. Res. Public Health</w:t>
      </w:r>
      <w:r w:rsidRPr="00C80CAC">
        <w:t xml:space="preserve"> </w:t>
      </w:r>
      <w:r w:rsidRPr="00C80CAC">
        <w:rPr>
          <w:b/>
        </w:rPr>
        <w:t>2020</w:t>
      </w:r>
      <w:r w:rsidRPr="00C80CAC">
        <w:t xml:space="preserve">, </w:t>
      </w:r>
      <w:r w:rsidRPr="00C80CAC">
        <w:rPr>
          <w:i/>
        </w:rPr>
        <w:t>17</w:t>
      </w:r>
      <w:r w:rsidRPr="00C80CAC">
        <w:t>, 3899, doi:10.3390/ijerph17113899.</w:t>
      </w:r>
    </w:p>
    <w:p w14:paraId="30E71973" w14:textId="77777777" w:rsidR="00195752" w:rsidRPr="00C80CAC" w:rsidRDefault="00195752" w:rsidP="00195752">
      <w:pPr>
        <w:pStyle w:val="MDPI71References"/>
      </w:pPr>
      <w:r w:rsidRPr="00C80CAC">
        <w:t xml:space="preserve">European Commission. Special Eurobarometer 472 Report Sport and Physical Activity Fieldwork. 2018. Available online: </w:t>
      </w:r>
      <w:r w:rsidRPr="00A46817">
        <w:t>http://ec.europa.eu/commfrontoffice/publicopinion/index.cfm/survey</w:t>
      </w:r>
      <w:r w:rsidRPr="00C80CAC">
        <w:t xml:space="preserve"> (acces</w:t>
      </w:r>
      <w:r>
        <w:t>s</w:t>
      </w:r>
      <w:r w:rsidRPr="00C80CAC">
        <w:t>ed on 23 March 2020).</w:t>
      </w:r>
    </w:p>
    <w:p w14:paraId="2CC82BAB" w14:textId="77777777" w:rsidR="00195752" w:rsidRPr="00C80CAC" w:rsidRDefault="00195752" w:rsidP="00195752">
      <w:pPr>
        <w:pStyle w:val="MDPI71References"/>
      </w:pPr>
      <w:r w:rsidRPr="00C80CAC">
        <w:t xml:space="preserve">Fernandez-Navarro, P.; </w:t>
      </w:r>
      <w:proofErr w:type="spellStart"/>
      <w:r w:rsidRPr="00C80CAC">
        <w:t>Aragones</w:t>
      </w:r>
      <w:proofErr w:type="spellEnd"/>
      <w:r w:rsidRPr="00C80CAC">
        <w:t xml:space="preserve">, M.T.; Ley, V. Leisure-time physical activity and prevalence of non-communicable pathologies and prescription medication in Spain. </w:t>
      </w:r>
      <w:proofErr w:type="spellStart"/>
      <w:r w:rsidRPr="00C80CAC">
        <w:rPr>
          <w:i/>
        </w:rPr>
        <w:t>PLoS</w:t>
      </w:r>
      <w:proofErr w:type="spellEnd"/>
      <w:r w:rsidRPr="00C80CAC">
        <w:rPr>
          <w:i/>
        </w:rPr>
        <w:t xml:space="preserve"> </w:t>
      </w:r>
      <w:r>
        <w:rPr>
          <w:i/>
        </w:rPr>
        <w:t>ONE</w:t>
      </w:r>
      <w:r w:rsidRPr="00C80CAC">
        <w:t xml:space="preserve"> </w:t>
      </w:r>
      <w:r w:rsidRPr="00C80CAC">
        <w:rPr>
          <w:b/>
        </w:rPr>
        <w:t>2018</w:t>
      </w:r>
      <w:r w:rsidRPr="00C80CAC">
        <w:t xml:space="preserve">, </w:t>
      </w:r>
      <w:r w:rsidRPr="00C80CAC">
        <w:rPr>
          <w:i/>
        </w:rPr>
        <w:t>13</w:t>
      </w:r>
      <w:r w:rsidRPr="00C80CAC">
        <w:t>, 1–13, doi:10.1371/journal.pone.0191542.</w:t>
      </w:r>
    </w:p>
    <w:p w14:paraId="163FFF43" w14:textId="77777777" w:rsidR="00195752" w:rsidRPr="00C80CAC" w:rsidRDefault="00195752" w:rsidP="00195752">
      <w:pPr>
        <w:pStyle w:val="MDPI71References"/>
      </w:pPr>
      <w:proofErr w:type="spellStart"/>
      <w:r w:rsidRPr="00C80CAC">
        <w:t>Milanović</w:t>
      </w:r>
      <w:proofErr w:type="spellEnd"/>
      <w:r w:rsidRPr="00C80CAC">
        <w:t xml:space="preserve">, Z.; </w:t>
      </w:r>
      <w:proofErr w:type="spellStart"/>
      <w:r w:rsidRPr="00C80CAC">
        <w:t>Pantelić</w:t>
      </w:r>
      <w:proofErr w:type="spellEnd"/>
      <w:r w:rsidRPr="00C80CAC">
        <w:t xml:space="preserve">, S.; </w:t>
      </w:r>
      <w:proofErr w:type="spellStart"/>
      <w:r w:rsidRPr="00C80CAC">
        <w:t>Trajković</w:t>
      </w:r>
      <w:proofErr w:type="spellEnd"/>
      <w:r w:rsidRPr="00C80CAC">
        <w:t xml:space="preserve">, N.; </w:t>
      </w:r>
      <w:proofErr w:type="spellStart"/>
      <w:r w:rsidRPr="00C80CAC">
        <w:t>Sporiš</w:t>
      </w:r>
      <w:proofErr w:type="spellEnd"/>
      <w:r w:rsidRPr="00C80CAC">
        <w:t xml:space="preserve">, G.; </w:t>
      </w:r>
      <w:proofErr w:type="spellStart"/>
      <w:r w:rsidRPr="00C80CAC">
        <w:t>Kostić</w:t>
      </w:r>
      <w:proofErr w:type="spellEnd"/>
      <w:r w:rsidRPr="00C80CAC">
        <w:t xml:space="preserve">, R.; James, N. Age-related decrease in physical activity and functional fitness among elderly men and women. </w:t>
      </w:r>
      <w:r w:rsidRPr="00C80CAC">
        <w:rPr>
          <w:i/>
        </w:rPr>
        <w:t xml:space="preserve">Clin. </w:t>
      </w:r>
      <w:proofErr w:type="spellStart"/>
      <w:r w:rsidRPr="00C80CAC">
        <w:rPr>
          <w:i/>
        </w:rPr>
        <w:t>Interv</w:t>
      </w:r>
      <w:proofErr w:type="spellEnd"/>
      <w:r>
        <w:rPr>
          <w:i/>
        </w:rPr>
        <w:t>.</w:t>
      </w:r>
      <w:r w:rsidRPr="00C80CAC">
        <w:rPr>
          <w:i/>
        </w:rPr>
        <w:t xml:space="preserve"> Aging</w:t>
      </w:r>
      <w:r w:rsidRPr="00C80CAC">
        <w:t xml:space="preserve"> </w:t>
      </w:r>
      <w:r w:rsidRPr="00C80CAC">
        <w:rPr>
          <w:b/>
        </w:rPr>
        <w:t>2013</w:t>
      </w:r>
      <w:r w:rsidRPr="00C80CAC">
        <w:t xml:space="preserve">, </w:t>
      </w:r>
      <w:r w:rsidRPr="00C80CAC">
        <w:rPr>
          <w:i/>
        </w:rPr>
        <w:t>8</w:t>
      </w:r>
      <w:r w:rsidRPr="00C80CAC">
        <w:t>, 549–556, doi:10.2147/CIA.S44112.</w:t>
      </w:r>
    </w:p>
    <w:p w14:paraId="30307366" w14:textId="77777777" w:rsidR="00195752" w:rsidRPr="00C80CAC" w:rsidRDefault="00195752" w:rsidP="00195752">
      <w:pPr>
        <w:pStyle w:val="MDPI71References"/>
      </w:pPr>
      <w:proofErr w:type="spellStart"/>
      <w:r w:rsidRPr="00C80CAC">
        <w:t>Mäkinen</w:t>
      </w:r>
      <w:proofErr w:type="spellEnd"/>
      <w:r w:rsidRPr="00C80CAC">
        <w:t xml:space="preserve">, T.E.; </w:t>
      </w:r>
      <w:proofErr w:type="spellStart"/>
      <w:r w:rsidRPr="00C80CAC">
        <w:t>Sippola</w:t>
      </w:r>
      <w:proofErr w:type="spellEnd"/>
      <w:r w:rsidRPr="00C80CAC">
        <w:t xml:space="preserve">, R.; </w:t>
      </w:r>
      <w:proofErr w:type="spellStart"/>
      <w:r w:rsidRPr="00C80CAC">
        <w:t>Borodulin</w:t>
      </w:r>
      <w:proofErr w:type="spellEnd"/>
      <w:r w:rsidRPr="00C80CAC">
        <w:t xml:space="preserve">, K.; </w:t>
      </w:r>
      <w:proofErr w:type="spellStart"/>
      <w:r w:rsidRPr="00C80CAC">
        <w:t>Rahkonen</w:t>
      </w:r>
      <w:proofErr w:type="spellEnd"/>
      <w:r w:rsidRPr="00C80CAC">
        <w:t xml:space="preserve">, O.; Kunst, A.; </w:t>
      </w:r>
      <w:proofErr w:type="spellStart"/>
      <w:r w:rsidRPr="00C80CAC">
        <w:t>Klumbiene</w:t>
      </w:r>
      <w:proofErr w:type="spellEnd"/>
      <w:r w:rsidRPr="00C80CAC">
        <w:t xml:space="preserve">, J.; Regidor, E.; </w:t>
      </w:r>
      <w:proofErr w:type="spellStart"/>
      <w:r w:rsidRPr="00C80CAC">
        <w:t>Ekholm</w:t>
      </w:r>
      <w:proofErr w:type="spellEnd"/>
      <w:r w:rsidRPr="00C80CAC">
        <w:t xml:space="preserve">, O.; </w:t>
      </w:r>
      <w:proofErr w:type="spellStart"/>
      <w:r w:rsidRPr="00C80CAC">
        <w:t>MacKenbach</w:t>
      </w:r>
      <w:proofErr w:type="spellEnd"/>
      <w:r w:rsidRPr="00C80CAC">
        <w:t xml:space="preserve">, J.; </w:t>
      </w:r>
      <w:proofErr w:type="spellStart"/>
      <w:r w:rsidRPr="00C80CAC">
        <w:t>Prättälä</w:t>
      </w:r>
      <w:proofErr w:type="spellEnd"/>
      <w:r w:rsidRPr="00C80CAC">
        <w:t xml:space="preserve">, R. Explaining educational differences in leisure-time physical activity in Europe: The contribution of work-related factors. </w:t>
      </w:r>
      <w:r w:rsidRPr="00C80CAC">
        <w:rPr>
          <w:i/>
        </w:rPr>
        <w:t>Scand. J. Med. Sci. Sport</w:t>
      </w:r>
      <w:r w:rsidRPr="00C80CAC">
        <w:t xml:space="preserve"> </w:t>
      </w:r>
      <w:r w:rsidRPr="00C80CAC">
        <w:rPr>
          <w:b/>
        </w:rPr>
        <w:t>2012</w:t>
      </w:r>
      <w:r w:rsidRPr="00C80CAC">
        <w:t xml:space="preserve">, </w:t>
      </w:r>
      <w:r w:rsidRPr="00C80CAC">
        <w:rPr>
          <w:i/>
        </w:rPr>
        <w:t>22</w:t>
      </w:r>
      <w:r w:rsidRPr="00C80CAC">
        <w:t>, 439–447, doi:10.1111/j.1600-0838.2010.01234.x.</w:t>
      </w:r>
    </w:p>
    <w:p w14:paraId="4DC7E386" w14:textId="77777777" w:rsidR="00195752" w:rsidRPr="00C80CAC" w:rsidRDefault="00195752" w:rsidP="00195752">
      <w:pPr>
        <w:pStyle w:val="MDPI71References"/>
      </w:pPr>
      <w:r w:rsidRPr="00C80CAC">
        <w:t xml:space="preserve">Mohammad Ali, S.; </w:t>
      </w:r>
      <w:proofErr w:type="spellStart"/>
      <w:r w:rsidRPr="00C80CAC">
        <w:t>Lindström</w:t>
      </w:r>
      <w:proofErr w:type="spellEnd"/>
      <w:r w:rsidRPr="00C80CAC">
        <w:t xml:space="preserve">, M. Psychosocial work conditions, unemployment, and leisure-time physical activity: A population-based study. </w:t>
      </w:r>
      <w:r w:rsidRPr="00C80CAC">
        <w:rPr>
          <w:i/>
        </w:rPr>
        <w:t>Scand</w:t>
      </w:r>
      <w:r>
        <w:rPr>
          <w:i/>
        </w:rPr>
        <w:t>.</w:t>
      </w:r>
      <w:r w:rsidRPr="00C80CAC">
        <w:rPr>
          <w:i/>
        </w:rPr>
        <w:t xml:space="preserve"> J. Public Health</w:t>
      </w:r>
      <w:r w:rsidRPr="00C80CAC">
        <w:t xml:space="preserve"> </w:t>
      </w:r>
      <w:r w:rsidRPr="00C80CAC">
        <w:rPr>
          <w:b/>
        </w:rPr>
        <w:t>2006</w:t>
      </w:r>
      <w:r w:rsidRPr="00C80CAC">
        <w:t xml:space="preserve">, </w:t>
      </w:r>
      <w:r w:rsidRPr="00C80CAC">
        <w:rPr>
          <w:i/>
        </w:rPr>
        <w:t>34</w:t>
      </w:r>
      <w:r w:rsidRPr="00C80CAC">
        <w:t>, 209–</w:t>
      </w:r>
      <w:r>
        <w:t>2</w:t>
      </w:r>
      <w:r w:rsidRPr="00C80CAC">
        <w:t>16, doi:10.1080/14034940500307515.</w:t>
      </w:r>
    </w:p>
    <w:p w14:paraId="087072DC" w14:textId="77777777" w:rsidR="00195752" w:rsidRPr="00C80CAC" w:rsidRDefault="00195752" w:rsidP="00195752">
      <w:pPr>
        <w:pStyle w:val="MDPI71References"/>
      </w:pPr>
      <w:r w:rsidRPr="00C80CAC">
        <w:t xml:space="preserve">Seifert, A.; </w:t>
      </w:r>
      <w:proofErr w:type="spellStart"/>
      <w:r w:rsidRPr="00C80CAC">
        <w:t>Schlomann</w:t>
      </w:r>
      <w:proofErr w:type="spellEnd"/>
      <w:r w:rsidRPr="00C80CAC">
        <w:t xml:space="preserve">, A.; </w:t>
      </w:r>
      <w:proofErr w:type="spellStart"/>
      <w:r w:rsidRPr="00C80CAC">
        <w:t>Rietz</w:t>
      </w:r>
      <w:proofErr w:type="spellEnd"/>
      <w:r w:rsidRPr="00C80CAC">
        <w:t xml:space="preserve">, C.; Schelling, H.R. The use of mobile devices for physical activity tracking in older adults’ everyday life. </w:t>
      </w:r>
      <w:r w:rsidRPr="00C80CAC">
        <w:rPr>
          <w:i/>
        </w:rPr>
        <w:t>Digit. Heal</w:t>
      </w:r>
      <w:r w:rsidRPr="00C80CAC">
        <w:t xml:space="preserve">. </w:t>
      </w:r>
      <w:r w:rsidRPr="00C80CAC">
        <w:rPr>
          <w:b/>
        </w:rPr>
        <w:t>2017</w:t>
      </w:r>
      <w:r w:rsidRPr="00C80CAC">
        <w:t xml:space="preserve">, </w:t>
      </w:r>
      <w:r w:rsidRPr="00C80CAC">
        <w:rPr>
          <w:i/>
        </w:rPr>
        <w:t>3</w:t>
      </w:r>
      <w:r w:rsidRPr="00C80CAC">
        <w:t>, 205520761774008, doi:10.1177/2055207617740088.</w:t>
      </w:r>
    </w:p>
    <w:p w14:paraId="5CF319F8" w14:textId="77777777" w:rsidR="00195752" w:rsidRPr="00027887" w:rsidRDefault="00195752" w:rsidP="00195752">
      <w:pPr>
        <w:pStyle w:val="MDPI71References"/>
      </w:pPr>
      <w:r w:rsidRPr="00C80CAC">
        <w:lastRenderedPageBreak/>
        <w:t xml:space="preserve">Ga, R.; May, A.M.; van </w:t>
      </w:r>
      <w:proofErr w:type="spellStart"/>
      <w:r w:rsidRPr="00C80CAC">
        <w:t>Overmeeren</w:t>
      </w:r>
      <w:proofErr w:type="spellEnd"/>
      <w:r w:rsidRPr="00C80CAC">
        <w:t xml:space="preserve">, E.J.; Simons, M.; </w:t>
      </w:r>
      <w:proofErr w:type="spellStart"/>
      <w:r w:rsidRPr="00C80CAC">
        <w:t>Monninkhof</w:t>
      </w:r>
      <w:proofErr w:type="spellEnd"/>
      <w:r w:rsidRPr="00C80CAC">
        <w:t xml:space="preserve">, E.M. The Effect of Physical Activity Interventions Comprising Wearables and Smartphone Applications on Physical </w:t>
      </w:r>
      <w:r w:rsidRPr="00027887">
        <w:t xml:space="preserve">Activity: A Systematic Review and Meta-analysis. </w:t>
      </w:r>
      <w:r w:rsidRPr="00027887">
        <w:rPr>
          <w:i/>
        </w:rPr>
        <w:t>Sport Med</w:t>
      </w:r>
      <w:r>
        <w:rPr>
          <w:i/>
        </w:rPr>
        <w:t xml:space="preserve">. </w:t>
      </w:r>
      <w:r w:rsidRPr="00027887">
        <w:rPr>
          <w:i/>
        </w:rPr>
        <w:t>Open</w:t>
      </w:r>
      <w:r w:rsidRPr="00027887">
        <w:t xml:space="preserve"> </w:t>
      </w:r>
      <w:r w:rsidRPr="00027887">
        <w:rPr>
          <w:b/>
        </w:rPr>
        <w:t>2018</w:t>
      </w:r>
      <w:r w:rsidRPr="00027887">
        <w:t xml:space="preserve">, </w:t>
      </w:r>
      <w:r w:rsidRPr="00027887">
        <w:rPr>
          <w:i/>
        </w:rPr>
        <w:t>4</w:t>
      </w:r>
      <w:r w:rsidRPr="00027887">
        <w:t>, 42, doi:10.1186/s40798-018-0157-9.</w:t>
      </w:r>
    </w:p>
    <w:p w14:paraId="753813D6" w14:textId="77777777" w:rsidR="00195752" w:rsidRPr="00C80CAC" w:rsidRDefault="00195752" w:rsidP="00195752">
      <w:pPr>
        <w:pStyle w:val="MDPI71References"/>
      </w:pPr>
      <w:r w:rsidRPr="00C80CAC">
        <w:t xml:space="preserve">Lindsay Smith, G.; Banting, L.; </w:t>
      </w:r>
      <w:proofErr w:type="spellStart"/>
      <w:r w:rsidRPr="00C80CAC">
        <w:t>Eime</w:t>
      </w:r>
      <w:proofErr w:type="spellEnd"/>
      <w:r w:rsidRPr="00C80CAC">
        <w:t xml:space="preserve">, R.; O’Sullivan, G.; van </w:t>
      </w:r>
      <w:proofErr w:type="spellStart"/>
      <w:r w:rsidRPr="00C80CAC">
        <w:t>Uffelen</w:t>
      </w:r>
      <w:proofErr w:type="spellEnd"/>
      <w:r w:rsidRPr="00C80CAC">
        <w:t xml:space="preserve">, J.G.Z. The association between social support and physical activity in older adults: A systematic review. </w:t>
      </w:r>
      <w:r w:rsidRPr="00C80CAC">
        <w:rPr>
          <w:i/>
        </w:rPr>
        <w:t>Int</w:t>
      </w:r>
      <w:r>
        <w:rPr>
          <w:i/>
        </w:rPr>
        <w:t>.</w:t>
      </w:r>
      <w:r w:rsidRPr="00C80CAC">
        <w:rPr>
          <w:i/>
        </w:rPr>
        <w:t xml:space="preserve"> J. </w:t>
      </w:r>
      <w:proofErr w:type="spellStart"/>
      <w:r w:rsidRPr="00C80CAC">
        <w:rPr>
          <w:i/>
        </w:rPr>
        <w:t>Behav</w:t>
      </w:r>
      <w:proofErr w:type="spellEnd"/>
      <w:r>
        <w:rPr>
          <w:i/>
        </w:rPr>
        <w:t>.</w:t>
      </w:r>
      <w:r w:rsidRPr="00C80CAC">
        <w:rPr>
          <w:i/>
        </w:rPr>
        <w:t xml:space="preserve"> </w:t>
      </w:r>
      <w:proofErr w:type="spellStart"/>
      <w:r w:rsidRPr="00C80CAC">
        <w:rPr>
          <w:i/>
        </w:rPr>
        <w:t>Nutr</w:t>
      </w:r>
      <w:proofErr w:type="spellEnd"/>
      <w:r>
        <w:rPr>
          <w:i/>
        </w:rPr>
        <w:t>.</w:t>
      </w:r>
      <w:r w:rsidRPr="00C80CAC">
        <w:rPr>
          <w:i/>
        </w:rPr>
        <w:t xml:space="preserve"> Phys. Act</w:t>
      </w:r>
      <w:r w:rsidRPr="00C80CAC">
        <w:t xml:space="preserve">. </w:t>
      </w:r>
      <w:r w:rsidRPr="00C80CAC">
        <w:rPr>
          <w:b/>
        </w:rPr>
        <w:t>2017</w:t>
      </w:r>
      <w:r w:rsidRPr="00C80CAC">
        <w:t xml:space="preserve">, </w:t>
      </w:r>
      <w:r w:rsidRPr="00C80CAC">
        <w:rPr>
          <w:i/>
        </w:rPr>
        <w:t>14</w:t>
      </w:r>
      <w:r w:rsidRPr="00C80CAC">
        <w:t>, 1–21.</w:t>
      </w:r>
    </w:p>
    <w:p w14:paraId="035DE34B" w14:textId="77777777" w:rsidR="00195752" w:rsidRPr="00C80CAC" w:rsidRDefault="00195752" w:rsidP="00195752">
      <w:pPr>
        <w:pStyle w:val="MDPI71References"/>
      </w:pPr>
      <w:proofErr w:type="spellStart"/>
      <w:r w:rsidRPr="00C80CAC">
        <w:t>Hämmig</w:t>
      </w:r>
      <w:proofErr w:type="spellEnd"/>
      <w:r w:rsidRPr="00C80CAC">
        <w:t xml:space="preserve">, O. Health risks associated with social isolation in general and in young, middle and old age. </w:t>
      </w:r>
      <w:proofErr w:type="spellStart"/>
      <w:r w:rsidRPr="00C80CAC">
        <w:rPr>
          <w:i/>
        </w:rPr>
        <w:t>PLoS</w:t>
      </w:r>
      <w:proofErr w:type="spellEnd"/>
      <w:r w:rsidRPr="00C80CAC">
        <w:rPr>
          <w:i/>
        </w:rPr>
        <w:t xml:space="preserve"> O</w:t>
      </w:r>
      <w:r>
        <w:rPr>
          <w:i/>
        </w:rPr>
        <w:t>NE</w:t>
      </w:r>
      <w:r w:rsidRPr="00C80CAC">
        <w:t xml:space="preserve"> </w:t>
      </w:r>
      <w:r w:rsidRPr="00C80CAC">
        <w:rPr>
          <w:b/>
        </w:rPr>
        <w:t>2019</w:t>
      </w:r>
      <w:r w:rsidRPr="00C80CAC">
        <w:t xml:space="preserve">, </w:t>
      </w:r>
      <w:r w:rsidRPr="00C80CAC">
        <w:rPr>
          <w:i/>
        </w:rPr>
        <w:t>14</w:t>
      </w:r>
      <w:r w:rsidRPr="00C80CAC">
        <w:t>, e0219663, doi:10.1186/s12966-017-0509-8.</w:t>
      </w:r>
    </w:p>
    <w:p w14:paraId="43E5731C" w14:textId="77777777" w:rsidR="00195752" w:rsidRPr="00C80CAC" w:rsidRDefault="00195752" w:rsidP="00195752">
      <w:pPr>
        <w:pStyle w:val="MDPI71References"/>
      </w:pPr>
      <w:r w:rsidRPr="00C80CAC">
        <w:t xml:space="preserve">Yu, B.; Steptoe, A.; Chen, L.J.; Chen, Y.H.; Lin, C.H.; Ku, P.W. Social Isolation, Loneliness, and All-Cause Mortality in Patients </w:t>
      </w:r>
      <w:proofErr w:type="gramStart"/>
      <w:r w:rsidRPr="00C80CAC">
        <w:t>With</w:t>
      </w:r>
      <w:proofErr w:type="gramEnd"/>
      <w:r w:rsidRPr="00C80CAC">
        <w:t xml:space="preserve"> Cardiovascular Disease: A 10-Year Follow-up Study. </w:t>
      </w:r>
      <w:proofErr w:type="spellStart"/>
      <w:r w:rsidRPr="00C80CAC">
        <w:rPr>
          <w:i/>
        </w:rPr>
        <w:t>Psychosom</w:t>
      </w:r>
      <w:proofErr w:type="spellEnd"/>
      <w:r>
        <w:rPr>
          <w:i/>
        </w:rPr>
        <w:t>.</w:t>
      </w:r>
      <w:r w:rsidRPr="00C80CAC">
        <w:rPr>
          <w:i/>
        </w:rPr>
        <w:t xml:space="preserve"> Med</w:t>
      </w:r>
      <w:r w:rsidRPr="00C80CAC">
        <w:t xml:space="preserve">. </w:t>
      </w:r>
      <w:r w:rsidRPr="00C80CAC">
        <w:rPr>
          <w:b/>
        </w:rPr>
        <w:t>2020</w:t>
      </w:r>
      <w:r w:rsidRPr="00C80CAC">
        <w:t xml:space="preserve">, </w:t>
      </w:r>
      <w:r w:rsidRPr="00C80CAC">
        <w:rPr>
          <w:i/>
        </w:rPr>
        <w:t>82</w:t>
      </w:r>
      <w:r w:rsidRPr="00C80CAC">
        <w:t>, 208–214, doi:10.1097/PSY.0000000000000777.</w:t>
      </w:r>
    </w:p>
    <w:p w14:paraId="547DE238" w14:textId="77777777" w:rsidR="00195752" w:rsidRPr="00C80CAC" w:rsidRDefault="00195752" w:rsidP="00195752">
      <w:pPr>
        <w:pStyle w:val="MDPI71References"/>
      </w:pPr>
      <w:r w:rsidRPr="00C80CAC">
        <w:t>Barton, J.; Pretty, J. What is the best dose of nature and green exercise for improving mental health</w:t>
      </w:r>
      <w:r>
        <w:t>—</w:t>
      </w:r>
      <w:r w:rsidRPr="00C80CAC">
        <w:t xml:space="preserve">A multi-study analysis. </w:t>
      </w:r>
      <w:r w:rsidRPr="00C80CAC">
        <w:rPr>
          <w:i/>
        </w:rPr>
        <w:t>Environ. Sci</w:t>
      </w:r>
      <w:r>
        <w:rPr>
          <w:i/>
        </w:rPr>
        <w:t>.</w:t>
      </w:r>
      <w:r w:rsidRPr="00C80CAC">
        <w:rPr>
          <w:i/>
        </w:rPr>
        <w:t xml:space="preserve"> Technol.</w:t>
      </w:r>
      <w:r w:rsidRPr="00C80CAC">
        <w:rPr>
          <w:b/>
        </w:rPr>
        <w:t xml:space="preserve"> 2010</w:t>
      </w:r>
      <w:r w:rsidRPr="00C80CAC">
        <w:t xml:space="preserve">, </w:t>
      </w:r>
      <w:r w:rsidRPr="00C80CAC">
        <w:rPr>
          <w:i/>
        </w:rPr>
        <w:t>44</w:t>
      </w:r>
      <w:r w:rsidRPr="00C80CAC">
        <w:t>, 3947–3955, doi:10.1021/es903183r.</w:t>
      </w:r>
    </w:p>
    <w:p w14:paraId="7C5C7181" w14:textId="77777777" w:rsidR="00195752" w:rsidRPr="00C80CAC" w:rsidRDefault="00195752" w:rsidP="00195752">
      <w:pPr>
        <w:pStyle w:val="MDPI71References"/>
      </w:pPr>
      <w:r w:rsidRPr="00C80CAC">
        <w:t>Lima, C.K.T.; Carvalho, P.M.</w:t>
      </w:r>
      <w:r>
        <w:t>;</w:t>
      </w:r>
      <w:r w:rsidRPr="00C80CAC">
        <w:t xml:space="preserve"> de M.; Lima, I.</w:t>
      </w:r>
      <w:r>
        <w:t>;</w:t>
      </w:r>
      <w:r w:rsidRPr="00C80CAC">
        <w:t xml:space="preserve"> de A.A.S.; Nunes, J.V.A.</w:t>
      </w:r>
      <w:r>
        <w:t>;</w:t>
      </w:r>
      <w:r w:rsidRPr="00C80CAC">
        <w:t xml:space="preserve"> de O.; Saraiva, J.S.; de Souza, R.I.; da Silva, C.G.L.; </w:t>
      </w:r>
      <w:proofErr w:type="spellStart"/>
      <w:r w:rsidRPr="00C80CAC">
        <w:t>Neto</w:t>
      </w:r>
      <w:proofErr w:type="spellEnd"/>
      <w:r w:rsidRPr="00C80CAC">
        <w:t xml:space="preserve">, M.L.R. The emotional impact of Coronavirus 2019-nCoV (new Coronavirus disease). </w:t>
      </w:r>
      <w:r w:rsidRPr="00C80CAC">
        <w:rPr>
          <w:i/>
        </w:rPr>
        <w:t>Psychiatry Res.</w:t>
      </w:r>
      <w:r w:rsidRPr="00C80CAC">
        <w:t xml:space="preserve"> </w:t>
      </w:r>
      <w:r w:rsidRPr="00C80CAC">
        <w:rPr>
          <w:b/>
        </w:rPr>
        <w:t>2020</w:t>
      </w:r>
      <w:r w:rsidRPr="00C80CAC">
        <w:t xml:space="preserve">, </w:t>
      </w:r>
      <w:r w:rsidRPr="00C80CAC">
        <w:rPr>
          <w:i/>
        </w:rPr>
        <w:t>287</w:t>
      </w:r>
      <w:r w:rsidRPr="00C80CAC">
        <w:t xml:space="preserve">, 112915, </w:t>
      </w:r>
      <w:proofErr w:type="spellStart"/>
      <w:r w:rsidRPr="00C80CAC">
        <w:t>doi</w:t>
      </w:r>
      <w:proofErr w:type="spellEnd"/>
      <w:r w:rsidRPr="00C80CAC">
        <w:t>: 10.1016/j.psychres.2020.112915.</w:t>
      </w:r>
    </w:p>
    <w:p w14:paraId="017B690A" w14:textId="77777777" w:rsidR="00195752" w:rsidRPr="00C80CAC" w:rsidRDefault="00195752" w:rsidP="00195752">
      <w:pPr>
        <w:pStyle w:val="MDPI71References"/>
      </w:pPr>
      <w:r w:rsidRPr="00C80CAC">
        <w:t xml:space="preserve">López-Bueno, R.; Calatayud, J.; </w:t>
      </w:r>
      <w:proofErr w:type="spellStart"/>
      <w:r w:rsidRPr="00C80CAC">
        <w:t>Casaña</w:t>
      </w:r>
      <w:proofErr w:type="spellEnd"/>
      <w:r w:rsidRPr="00C80CAC">
        <w:t xml:space="preserve">, J.; </w:t>
      </w:r>
      <w:proofErr w:type="spellStart"/>
      <w:r w:rsidRPr="00C80CAC">
        <w:t>Casajús</w:t>
      </w:r>
      <w:proofErr w:type="spellEnd"/>
      <w:r w:rsidRPr="00C80CAC">
        <w:t>, J.A.; Smith, L.; Tully, M.A.; Andersen, L.L.; López-Sánchez, G.F. COVID-19 Confinement and Health Risk Behaviors in Spain.</w:t>
      </w:r>
      <w:r w:rsidRPr="00C80CAC">
        <w:rPr>
          <w:i/>
        </w:rPr>
        <w:t xml:space="preserve"> Front. Psychol</w:t>
      </w:r>
      <w:r w:rsidRPr="00C80CAC">
        <w:t xml:space="preserve">. </w:t>
      </w:r>
      <w:r w:rsidRPr="00C80CAC">
        <w:rPr>
          <w:b/>
        </w:rPr>
        <w:t>2020</w:t>
      </w:r>
      <w:r w:rsidRPr="00C80CAC">
        <w:t xml:space="preserve">, </w:t>
      </w:r>
      <w:r w:rsidRPr="00C80CAC">
        <w:rPr>
          <w:i/>
        </w:rPr>
        <w:t>11</w:t>
      </w:r>
      <w:r w:rsidRPr="00C80CAC">
        <w:t>, 1–10, doi:10.3389/fpsyg.2020.01426.</w:t>
      </w:r>
    </w:p>
    <w:tbl>
      <w:tblPr>
        <w:tblpPr w:leftFromText="141" w:rightFromText="141" w:vertAnchor="text" w:horzAnchor="margin" w:tblpY="785"/>
        <w:tblW w:w="0" w:type="auto"/>
        <w:tblLook w:val="04A0" w:firstRow="1" w:lastRow="0" w:firstColumn="1" w:lastColumn="0" w:noHBand="0" w:noVBand="1"/>
      </w:tblPr>
      <w:tblGrid>
        <w:gridCol w:w="1703"/>
        <w:gridCol w:w="7141"/>
      </w:tblGrid>
      <w:tr w:rsidR="00195752" w:rsidRPr="00C80CAC" w14:paraId="14EF9C55" w14:textId="77777777" w:rsidTr="000F531F">
        <w:tc>
          <w:tcPr>
            <w:tcW w:w="0" w:type="auto"/>
            <w:shd w:val="clear" w:color="auto" w:fill="auto"/>
            <w:vAlign w:val="center"/>
          </w:tcPr>
          <w:p w14:paraId="76794BD1" w14:textId="77777777" w:rsidR="00195752" w:rsidRPr="00C80CAC" w:rsidRDefault="00195752" w:rsidP="000F531F">
            <w:pPr>
              <w:pStyle w:val="MDPI71References"/>
              <w:numPr>
                <w:ilvl w:val="0"/>
                <w:numId w:val="0"/>
              </w:numPr>
              <w:ind w:left="-85"/>
              <w:rPr>
                <w:rFonts w:eastAsia="SimSun"/>
                <w:bCs/>
              </w:rPr>
            </w:pPr>
            <w:r w:rsidRPr="00C80CAC">
              <w:rPr>
                <w:rFonts w:eastAsia="SimSun"/>
                <w:noProof/>
              </w:rPr>
              <w:drawing>
                <wp:inline distT="0" distB="0" distL="0" distR="0" wp14:anchorId="74AA3C33" wp14:editId="41D4797F">
                  <wp:extent cx="998220" cy="358140"/>
                  <wp:effectExtent l="0" t="0" r="0" b="0"/>
                  <wp:docPr id="7" name="Picture 5" descr="copy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pyRigh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98220" cy="358140"/>
                          </a:xfrm>
                          <a:prstGeom prst="rect">
                            <a:avLst/>
                          </a:prstGeom>
                          <a:noFill/>
                          <a:ln>
                            <a:noFill/>
                          </a:ln>
                        </pic:spPr>
                      </pic:pic>
                    </a:graphicData>
                  </a:graphic>
                </wp:inline>
              </w:drawing>
            </w:r>
          </w:p>
        </w:tc>
        <w:tc>
          <w:tcPr>
            <w:tcW w:w="7149" w:type="dxa"/>
            <w:shd w:val="clear" w:color="auto" w:fill="auto"/>
            <w:vAlign w:val="center"/>
          </w:tcPr>
          <w:p w14:paraId="265E910E" w14:textId="77777777" w:rsidR="00195752" w:rsidRPr="00C80CAC" w:rsidRDefault="00195752" w:rsidP="000F531F">
            <w:pPr>
              <w:pStyle w:val="MDPI71References"/>
              <w:numPr>
                <w:ilvl w:val="0"/>
                <w:numId w:val="0"/>
              </w:numPr>
              <w:ind w:left="-85"/>
              <w:rPr>
                <w:rFonts w:eastAsia="SimSun"/>
                <w:bCs/>
              </w:rPr>
            </w:pPr>
            <w:r w:rsidRPr="00C80CAC">
              <w:rPr>
                <w:rFonts w:eastAsia="SimSun"/>
                <w:bCs/>
              </w:rPr>
              <w:t>© 2020 by the authors. Submitted for possible open access publication under the terms and conditions of the Creative Commons Attribution (CC BY) license (http://creativecommons.org/licenses/by/4.0/</w:t>
            </w:r>
            <w:proofErr w:type="gramStart"/>
            <w:r w:rsidRPr="00C80CAC">
              <w:rPr>
                <w:rFonts w:eastAsia="SimSun"/>
                <w:bCs/>
              </w:rPr>
              <w:t>)..</w:t>
            </w:r>
            <w:proofErr w:type="gramEnd"/>
          </w:p>
        </w:tc>
      </w:tr>
    </w:tbl>
    <w:p w14:paraId="474D1EFA" w14:textId="77777777" w:rsidR="00195752" w:rsidRPr="00C80CAC" w:rsidRDefault="00195752" w:rsidP="00195752">
      <w:pPr>
        <w:pStyle w:val="MDPI71References"/>
        <w:numPr>
          <w:ilvl w:val="0"/>
          <w:numId w:val="0"/>
        </w:numPr>
        <w:spacing w:after="240"/>
        <w:rPr>
          <w:rFonts w:eastAsia="SimSun"/>
        </w:rPr>
      </w:pPr>
    </w:p>
    <w:p w14:paraId="046E143C" w14:textId="77777777" w:rsidR="00195752" w:rsidRPr="00C61949" w:rsidRDefault="00195752" w:rsidP="003B24F1">
      <w:pPr>
        <w:pStyle w:val="MDPI64CoI"/>
      </w:pPr>
    </w:p>
    <w:sectPr w:rsidR="00195752" w:rsidRPr="00C61949" w:rsidSect="00C61949">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6FEDD" w14:textId="77777777" w:rsidR="00403ED6" w:rsidRDefault="00403ED6">
      <w:pPr>
        <w:spacing w:line="240" w:lineRule="auto"/>
      </w:pPr>
      <w:r>
        <w:separator/>
      </w:r>
    </w:p>
    <w:p w14:paraId="190C5B80" w14:textId="77777777" w:rsidR="00403ED6" w:rsidRDefault="00403ED6"/>
    <w:p w14:paraId="0A1EF09B" w14:textId="77777777" w:rsidR="00403ED6" w:rsidRDefault="00403ED6"/>
  </w:endnote>
  <w:endnote w:type="continuationSeparator" w:id="0">
    <w:p w14:paraId="252E41B6" w14:textId="77777777" w:rsidR="00403ED6" w:rsidRDefault="00403ED6">
      <w:pPr>
        <w:spacing w:line="240" w:lineRule="auto"/>
      </w:pPr>
      <w:r>
        <w:continuationSeparator/>
      </w:r>
    </w:p>
    <w:p w14:paraId="7A9BAF77" w14:textId="77777777" w:rsidR="00403ED6" w:rsidRDefault="00403ED6"/>
    <w:p w14:paraId="41A76BF4" w14:textId="77777777" w:rsidR="00403ED6" w:rsidRDefault="00403ED6"/>
  </w:endnote>
  <w:endnote w:type="continuationNotice" w:id="1">
    <w:p w14:paraId="4F23AFA1" w14:textId="77777777" w:rsidR="00403ED6" w:rsidRDefault="00403ED6">
      <w:pPr>
        <w:spacing w:line="240" w:lineRule="auto"/>
      </w:pPr>
    </w:p>
    <w:p w14:paraId="27158B15" w14:textId="77777777" w:rsidR="00403ED6" w:rsidRDefault="00403ED6"/>
    <w:p w14:paraId="00856512" w14:textId="77777777" w:rsidR="00403ED6" w:rsidRDefault="00403E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B1D85" w14:textId="77777777" w:rsidR="00293FDF" w:rsidRPr="008B308E" w:rsidRDefault="00293FDF" w:rsidP="007E5740">
    <w:pPr>
      <w:pStyle w:val="MDPIfooterfirstpage"/>
      <w:spacing w:line="240" w:lineRule="auto"/>
      <w:jc w:val="both"/>
      <w:rPr>
        <w:lang w:val="fr-CH"/>
      </w:rPr>
    </w:pPr>
    <w:r w:rsidRPr="00C30F79">
      <w:rPr>
        <w:i/>
        <w:iCs/>
        <w:szCs w:val="16"/>
      </w:rPr>
      <w:t>Sustainability</w:t>
    </w:r>
    <w:r w:rsidRPr="00C30F79">
      <w:rPr>
        <w:szCs w:val="16"/>
      </w:rPr>
      <w:t xml:space="preserve"> </w:t>
    </w:r>
    <w:r w:rsidRPr="00632077">
      <w:rPr>
        <w:b/>
        <w:bCs/>
        <w:iCs/>
        <w:szCs w:val="16"/>
      </w:rPr>
      <w:t>20</w:t>
    </w:r>
    <w:r>
      <w:rPr>
        <w:b/>
        <w:bCs/>
        <w:iCs/>
        <w:szCs w:val="16"/>
      </w:rPr>
      <w:t>20</w:t>
    </w:r>
    <w:r w:rsidRPr="00632077">
      <w:rPr>
        <w:bCs/>
        <w:iCs/>
        <w:szCs w:val="16"/>
      </w:rPr>
      <w:t xml:space="preserve">, </w:t>
    </w:r>
    <w:r w:rsidRPr="00632077">
      <w:rPr>
        <w:bCs/>
        <w:i/>
        <w:iCs/>
        <w:szCs w:val="16"/>
      </w:rPr>
      <w:t>1</w:t>
    </w:r>
    <w:r>
      <w:rPr>
        <w:bCs/>
        <w:i/>
        <w:iCs/>
        <w:szCs w:val="16"/>
      </w:rPr>
      <w:t>2</w:t>
    </w:r>
    <w:r w:rsidRPr="00632077">
      <w:rPr>
        <w:bCs/>
        <w:iCs/>
        <w:szCs w:val="16"/>
      </w:rPr>
      <w:t xml:space="preserve">, </w:t>
    </w:r>
    <w:r>
      <w:rPr>
        <w:bCs/>
        <w:iCs/>
        <w:szCs w:val="16"/>
      </w:rPr>
      <w:t xml:space="preserve">x; </w:t>
    </w:r>
    <w:proofErr w:type="spellStart"/>
    <w:r>
      <w:rPr>
        <w:bCs/>
        <w:iCs/>
        <w:szCs w:val="16"/>
      </w:rPr>
      <w:t>doi</w:t>
    </w:r>
    <w:proofErr w:type="spellEnd"/>
    <w:r>
      <w:rPr>
        <w:bCs/>
        <w:iCs/>
        <w:szCs w:val="16"/>
      </w:rPr>
      <w:t>: FOR PEER REVIEW</w:t>
    </w:r>
    <w:r w:rsidRPr="008B308E">
      <w:rPr>
        <w:lang w:val="fr-CH"/>
      </w:rPr>
      <w:tab/>
      <w:t>www.mdpi.com/journal/</w:t>
    </w:r>
    <w:r w:rsidRPr="003915ED">
      <w:t>sustainability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EC1BD5" w14:textId="77777777" w:rsidR="00403ED6" w:rsidRDefault="00403ED6">
      <w:pPr>
        <w:spacing w:line="240" w:lineRule="auto"/>
      </w:pPr>
      <w:r>
        <w:separator/>
      </w:r>
    </w:p>
    <w:p w14:paraId="47F48442" w14:textId="77777777" w:rsidR="00403ED6" w:rsidRDefault="00403ED6"/>
    <w:p w14:paraId="0A82B591" w14:textId="77777777" w:rsidR="00403ED6" w:rsidRDefault="00403ED6"/>
  </w:footnote>
  <w:footnote w:type="continuationSeparator" w:id="0">
    <w:p w14:paraId="5D692581" w14:textId="77777777" w:rsidR="00403ED6" w:rsidRDefault="00403ED6">
      <w:pPr>
        <w:spacing w:line="240" w:lineRule="auto"/>
      </w:pPr>
      <w:r>
        <w:continuationSeparator/>
      </w:r>
    </w:p>
    <w:p w14:paraId="25D0A6D3" w14:textId="77777777" w:rsidR="00403ED6" w:rsidRDefault="00403ED6"/>
    <w:p w14:paraId="509CA1C7" w14:textId="77777777" w:rsidR="00403ED6" w:rsidRDefault="00403ED6"/>
  </w:footnote>
  <w:footnote w:type="continuationNotice" w:id="1">
    <w:p w14:paraId="5AB2BD61" w14:textId="77777777" w:rsidR="00403ED6" w:rsidRDefault="00403ED6">
      <w:pPr>
        <w:spacing w:line="240" w:lineRule="auto"/>
      </w:pPr>
    </w:p>
    <w:p w14:paraId="161808B5" w14:textId="77777777" w:rsidR="00403ED6" w:rsidRDefault="00403ED6"/>
    <w:p w14:paraId="3312D2C2" w14:textId="77777777" w:rsidR="00403ED6" w:rsidRDefault="00403E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3CB39" w14:textId="77777777" w:rsidR="00293FDF" w:rsidRDefault="00293FDF" w:rsidP="00C45F1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1F064" w14:textId="31CFEA6B" w:rsidR="00293FDF" w:rsidRPr="0050778E" w:rsidRDefault="00293FDF" w:rsidP="007E5740">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Sustainability </w:t>
    </w:r>
    <w:r w:rsidRPr="00632077">
      <w:rPr>
        <w:rFonts w:ascii="Palatino Linotype" w:hAnsi="Palatino Linotype"/>
        <w:b/>
        <w:sz w:val="16"/>
      </w:rPr>
      <w:t>20</w:t>
    </w:r>
    <w:r>
      <w:rPr>
        <w:rFonts w:ascii="Palatino Linotype" w:hAnsi="Palatino Linotype"/>
        <w:b/>
        <w:sz w:val="16"/>
      </w:rPr>
      <w:t>20</w:t>
    </w:r>
    <w:r w:rsidRPr="00632077">
      <w:rPr>
        <w:rFonts w:ascii="Palatino Linotype" w:hAnsi="Palatino Linotype"/>
        <w:sz w:val="16"/>
      </w:rPr>
      <w:t xml:space="preserve">, </w:t>
    </w:r>
    <w:r w:rsidRPr="00632077">
      <w:rPr>
        <w:rFonts w:ascii="Palatino Linotype" w:hAnsi="Palatino Linotype"/>
        <w:i/>
        <w:sz w:val="16"/>
      </w:rPr>
      <w:t>1</w:t>
    </w:r>
    <w:r>
      <w:rPr>
        <w:rFonts w:ascii="Palatino Linotype" w:hAnsi="Palatino Linotype"/>
        <w:i/>
        <w:sz w:val="16"/>
      </w:rPr>
      <w:t>2</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Pr>
        <w:rFonts w:ascii="Palatino Linotype" w:hAnsi="Palatino Linotype"/>
        <w:noProof/>
        <w:sz w:val="16"/>
      </w:rPr>
      <w:t>7</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Pr>
        <w:rFonts w:ascii="Palatino Linotype" w:hAnsi="Palatino Linotype"/>
        <w:noProof/>
        <w:sz w:val="16"/>
      </w:rPr>
      <w:t>14</w:t>
    </w:r>
    <w:r>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C80A9" w14:textId="44241758" w:rsidR="00293FDF" w:rsidRDefault="00293FDF" w:rsidP="00C45F1E">
    <w:pPr>
      <w:pStyle w:val="MDPIheaderjournallogo"/>
    </w:pPr>
    <w:r w:rsidRPr="0007468B">
      <w:rPr>
        <w:i w:val="0"/>
        <w:noProof/>
        <w:lang w:val="es-ES"/>
      </w:rPr>
      <mc:AlternateContent>
        <mc:Choice Requires="wps">
          <w:drawing>
            <wp:anchor distT="45720" distB="45720" distL="114300" distR="114300" simplePos="0" relativeHeight="251657728" behindDoc="1" locked="0" layoutInCell="1" allowOverlap="1" wp14:anchorId="78971F50" wp14:editId="58993540">
              <wp:simplePos x="0" y="0"/>
              <wp:positionH relativeFrom="page">
                <wp:posOffset>6029960</wp:posOffset>
              </wp:positionH>
              <wp:positionV relativeFrom="page">
                <wp:posOffset>647700</wp:posOffset>
              </wp:positionV>
              <wp:extent cx="540385" cy="70929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4DF0D895" w14:textId="77777777" w:rsidR="00293FDF" w:rsidRDefault="00293FDF" w:rsidP="00C45F1E">
                          <w:pPr>
                            <w:pStyle w:val="MDPIheaderjournallogo"/>
                            <w:jc w:val="center"/>
                            <w:textboxTightWrap w:val="allLines"/>
                            <w:rPr>
                              <w:i w:val="0"/>
                              <w:szCs w:val="16"/>
                            </w:rPr>
                          </w:pPr>
                          <w:r w:rsidRPr="0007468B">
                            <w:rPr>
                              <w:i w:val="0"/>
                              <w:noProof/>
                              <w:lang w:val="es-ES"/>
                            </w:rPr>
                            <w:drawing>
                              <wp:inline distT="0" distB="0" distL="0" distR="0" wp14:anchorId="6877D6FA" wp14:editId="587F2476">
                                <wp:extent cx="541020" cy="358140"/>
                                <wp:effectExtent l="0" t="0" r="0" b="0"/>
                                <wp:docPr id="13" name="Picture 3" descr="logo-m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m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358140"/>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971F50" id="_x0000_t202" coordsize="21600,21600" o:spt="202" path="m,l,21600r21600,l21600,xe">
              <v:stroke joinstyle="miter"/>
              <v:path gradientshapeok="t" o:connecttype="rect"/>
            </v:shapetype>
            <v:shape id="Text Box 2" o:spid="_x0000_s1026" type="#_x0000_t202" style="position:absolute;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" stroked="f">
              <v:textbox inset="0,0,0,0">
                <w:txbxContent>
                  <w:p w14:paraId="4DF0D895" w14:textId="77777777" w:rsidR="00293FDF" w:rsidRDefault="00293FDF" w:rsidP="00C45F1E">
                    <w:pPr>
                      <w:pStyle w:val="MDPIheaderjournallogo"/>
                      <w:jc w:val="center"/>
                      <w:textboxTightWrap w:val="allLines"/>
                      <w:rPr>
                        <w:i w:val="0"/>
                        <w:szCs w:val="16"/>
                      </w:rPr>
                    </w:pPr>
                    <w:r w:rsidRPr="0007468B">
                      <w:rPr>
                        <w:i w:val="0"/>
                        <w:noProof/>
                        <w:lang w:val="es-ES"/>
                      </w:rPr>
                      <w:drawing>
                        <wp:inline distT="0" distB="0" distL="0" distR="0" wp14:anchorId="6877D6FA" wp14:editId="587F2476">
                          <wp:extent cx="541020" cy="358140"/>
                          <wp:effectExtent l="0" t="0" r="0" b="0"/>
                          <wp:docPr id="13" name="Picture 3" descr="logo-m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m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358140"/>
                                  </a:xfrm>
                                  <a:prstGeom prst="rect">
                                    <a:avLst/>
                                  </a:prstGeom>
                                  <a:noFill/>
                                  <a:ln>
                                    <a:noFill/>
                                  </a:ln>
                                </pic:spPr>
                              </pic:pic>
                            </a:graphicData>
                          </a:graphic>
                        </wp:inline>
                      </w:drawing>
                    </w:r>
                  </w:p>
                </w:txbxContent>
              </v:textbox>
              <w10:wrap anchorx="page" anchory="page"/>
            </v:shape>
          </w:pict>
        </mc:Fallback>
      </mc:AlternateContent>
    </w:r>
    <w:r w:rsidRPr="0007468B">
      <w:rPr>
        <w:noProof/>
        <w:lang w:val="es-ES"/>
      </w:rPr>
      <w:drawing>
        <wp:inline distT="0" distB="0" distL="0" distR="0" wp14:anchorId="089CB564" wp14:editId="7EE76855">
          <wp:extent cx="1684020" cy="426720"/>
          <wp:effectExtent l="0" t="0" r="0" b="0"/>
          <wp:docPr id="12" name="Picture 5" descr="sustainability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stainability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4020" cy="4267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91FE6"/>
    <w:multiLevelType w:val="hybridMultilevel"/>
    <w:tmpl w:val="6FC209A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2"/>
  </w:num>
  <w:num w:numId="2">
    <w:abstractNumId w:val="3"/>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clean"/>
  <w:documentProtection w:edit="readOnly" w:enforcement="0"/>
  <w:defaultTabStop w:val="420"/>
  <w:hyphenationZone w:val="425"/>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OwNDc3MDcwBNLGZko6SsGpxcWZ+XkgBca1AIhfE7wsAAAA"/>
  </w:docVars>
  <w:rsids>
    <w:rsidRoot w:val="008E7997"/>
    <w:rsid w:val="00000A72"/>
    <w:rsid w:val="000142CA"/>
    <w:rsid w:val="00017328"/>
    <w:rsid w:val="00051876"/>
    <w:rsid w:val="00064772"/>
    <w:rsid w:val="00071218"/>
    <w:rsid w:val="0007468B"/>
    <w:rsid w:val="000925CA"/>
    <w:rsid w:val="00093E7F"/>
    <w:rsid w:val="000C56FB"/>
    <w:rsid w:val="00141670"/>
    <w:rsid w:val="00152215"/>
    <w:rsid w:val="00195752"/>
    <w:rsid w:val="001A1BB3"/>
    <w:rsid w:val="001B38D4"/>
    <w:rsid w:val="001E2AEB"/>
    <w:rsid w:val="00224C0B"/>
    <w:rsid w:val="0022638C"/>
    <w:rsid w:val="002266AA"/>
    <w:rsid w:val="00226A3D"/>
    <w:rsid w:val="002303CF"/>
    <w:rsid w:val="00233D06"/>
    <w:rsid w:val="00236705"/>
    <w:rsid w:val="00275D32"/>
    <w:rsid w:val="00283E52"/>
    <w:rsid w:val="00293FDF"/>
    <w:rsid w:val="002A3137"/>
    <w:rsid w:val="002E57DB"/>
    <w:rsid w:val="002E5B86"/>
    <w:rsid w:val="002F1BFE"/>
    <w:rsid w:val="00316C89"/>
    <w:rsid w:val="00326141"/>
    <w:rsid w:val="00352727"/>
    <w:rsid w:val="00354A5A"/>
    <w:rsid w:val="003B24F1"/>
    <w:rsid w:val="003B4D0E"/>
    <w:rsid w:val="003C7087"/>
    <w:rsid w:val="003D1926"/>
    <w:rsid w:val="003D258C"/>
    <w:rsid w:val="003E7640"/>
    <w:rsid w:val="003E7FA5"/>
    <w:rsid w:val="00401D30"/>
    <w:rsid w:val="00403ED6"/>
    <w:rsid w:val="00426436"/>
    <w:rsid w:val="00426ACB"/>
    <w:rsid w:val="0044362C"/>
    <w:rsid w:val="004530E6"/>
    <w:rsid w:val="004716E0"/>
    <w:rsid w:val="00497EC1"/>
    <w:rsid w:val="004C46B1"/>
    <w:rsid w:val="004E0F98"/>
    <w:rsid w:val="004E21A1"/>
    <w:rsid w:val="004F7D51"/>
    <w:rsid w:val="0052042C"/>
    <w:rsid w:val="00520B9A"/>
    <w:rsid w:val="005259BB"/>
    <w:rsid w:val="005327C9"/>
    <w:rsid w:val="00533DD8"/>
    <w:rsid w:val="00592E63"/>
    <w:rsid w:val="00595013"/>
    <w:rsid w:val="005D76B2"/>
    <w:rsid w:val="005E14E8"/>
    <w:rsid w:val="00604EDE"/>
    <w:rsid w:val="00607F24"/>
    <w:rsid w:val="006308BD"/>
    <w:rsid w:val="00632077"/>
    <w:rsid w:val="006429BB"/>
    <w:rsid w:val="006505AD"/>
    <w:rsid w:val="0065139C"/>
    <w:rsid w:val="0066481E"/>
    <w:rsid w:val="00666A08"/>
    <w:rsid w:val="006729BD"/>
    <w:rsid w:val="00692393"/>
    <w:rsid w:val="00696FDC"/>
    <w:rsid w:val="006D2367"/>
    <w:rsid w:val="00722562"/>
    <w:rsid w:val="00722BA5"/>
    <w:rsid w:val="00723D2D"/>
    <w:rsid w:val="0075794E"/>
    <w:rsid w:val="007628E6"/>
    <w:rsid w:val="0076686D"/>
    <w:rsid w:val="00770948"/>
    <w:rsid w:val="0077402B"/>
    <w:rsid w:val="007857B7"/>
    <w:rsid w:val="007A283C"/>
    <w:rsid w:val="007C1F72"/>
    <w:rsid w:val="007D2775"/>
    <w:rsid w:val="007E5740"/>
    <w:rsid w:val="00813AC8"/>
    <w:rsid w:val="0082036F"/>
    <w:rsid w:val="00822B3D"/>
    <w:rsid w:val="00832857"/>
    <w:rsid w:val="00834F0B"/>
    <w:rsid w:val="00841933"/>
    <w:rsid w:val="008523BB"/>
    <w:rsid w:val="0087259E"/>
    <w:rsid w:val="008838CF"/>
    <w:rsid w:val="008B226E"/>
    <w:rsid w:val="008C2C95"/>
    <w:rsid w:val="008E7997"/>
    <w:rsid w:val="008F3B7B"/>
    <w:rsid w:val="008F446B"/>
    <w:rsid w:val="00900930"/>
    <w:rsid w:val="00933E2C"/>
    <w:rsid w:val="00956613"/>
    <w:rsid w:val="00976988"/>
    <w:rsid w:val="00984AA5"/>
    <w:rsid w:val="00993719"/>
    <w:rsid w:val="009A31AE"/>
    <w:rsid w:val="009A7B08"/>
    <w:rsid w:val="009B37B9"/>
    <w:rsid w:val="009D5560"/>
    <w:rsid w:val="009D793A"/>
    <w:rsid w:val="009E0E40"/>
    <w:rsid w:val="009F70E6"/>
    <w:rsid w:val="00A04FD6"/>
    <w:rsid w:val="00A0751C"/>
    <w:rsid w:val="00A13350"/>
    <w:rsid w:val="00A158B5"/>
    <w:rsid w:val="00A16220"/>
    <w:rsid w:val="00A23D1C"/>
    <w:rsid w:val="00A36565"/>
    <w:rsid w:val="00A85775"/>
    <w:rsid w:val="00AB7EB1"/>
    <w:rsid w:val="00AD1E67"/>
    <w:rsid w:val="00AD59D7"/>
    <w:rsid w:val="00AF5A91"/>
    <w:rsid w:val="00B00AFB"/>
    <w:rsid w:val="00B037B3"/>
    <w:rsid w:val="00B112DD"/>
    <w:rsid w:val="00B7154A"/>
    <w:rsid w:val="00B84F5A"/>
    <w:rsid w:val="00B96410"/>
    <w:rsid w:val="00BC2ADA"/>
    <w:rsid w:val="00BD2405"/>
    <w:rsid w:val="00BD5735"/>
    <w:rsid w:val="00BE7DA5"/>
    <w:rsid w:val="00C02A07"/>
    <w:rsid w:val="00C036E8"/>
    <w:rsid w:val="00C14DBA"/>
    <w:rsid w:val="00C343E4"/>
    <w:rsid w:val="00C45F1E"/>
    <w:rsid w:val="00C618FC"/>
    <w:rsid w:val="00C61949"/>
    <w:rsid w:val="00C70B25"/>
    <w:rsid w:val="00C8316E"/>
    <w:rsid w:val="00C90EAB"/>
    <w:rsid w:val="00C90F92"/>
    <w:rsid w:val="00CB3A3E"/>
    <w:rsid w:val="00CD3203"/>
    <w:rsid w:val="00D07230"/>
    <w:rsid w:val="00D223A8"/>
    <w:rsid w:val="00D2684C"/>
    <w:rsid w:val="00D32E9B"/>
    <w:rsid w:val="00D42FAA"/>
    <w:rsid w:val="00D60F9D"/>
    <w:rsid w:val="00D61381"/>
    <w:rsid w:val="00D6491C"/>
    <w:rsid w:val="00DB04E8"/>
    <w:rsid w:val="00DB3943"/>
    <w:rsid w:val="00DB70DF"/>
    <w:rsid w:val="00DC5535"/>
    <w:rsid w:val="00DF0CE3"/>
    <w:rsid w:val="00E029E5"/>
    <w:rsid w:val="00E13E60"/>
    <w:rsid w:val="00E30E54"/>
    <w:rsid w:val="00E70428"/>
    <w:rsid w:val="00EA6316"/>
    <w:rsid w:val="00EA77BB"/>
    <w:rsid w:val="00EB67DD"/>
    <w:rsid w:val="00EC1FC4"/>
    <w:rsid w:val="00ED5939"/>
    <w:rsid w:val="00EF7C2A"/>
    <w:rsid w:val="00F03C59"/>
    <w:rsid w:val="00F11640"/>
    <w:rsid w:val="00F34089"/>
    <w:rsid w:val="00F430B9"/>
    <w:rsid w:val="00F44CB6"/>
    <w:rsid w:val="00F57906"/>
    <w:rsid w:val="00F70592"/>
    <w:rsid w:val="00FB3371"/>
    <w:rsid w:val="00FB34B1"/>
    <w:rsid w:val="00FB5841"/>
    <w:rsid w:val="00FD4BEB"/>
    <w:rsid w:val="00FE6213"/>
    <w:rsid w:val="00FF00B3"/>
    <w:rsid w:val="00FF4026"/>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8B32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s-ES" w:eastAsia="es-E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B70DF"/>
    <w:pPr>
      <w:spacing w:line="340" w:lineRule="atLeast"/>
      <w:jc w:val="both"/>
    </w:pPr>
    <w:rPr>
      <w:rFonts w:ascii="Times New Roman" w:eastAsia="Times New Roman" w:hAnsi="Times New Roman"/>
      <w:color w:val="000000"/>
      <w:sz w:val="24"/>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CD3203"/>
    <w:pPr>
      <w:spacing w:before="240" w:line="240" w:lineRule="auto"/>
      <w:ind w:firstLine="0"/>
      <w:jc w:val="left"/>
    </w:pPr>
    <w:rPr>
      <w:i/>
    </w:rPr>
  </w:style>
  <w:style w:type="paragraph" w:customStyle="1" w:styleId="MDPI12title">
    <w:name w:val="MDPI_1.2_title"/>
    <w:next w:val="MDPI13authornames"/>
    <w:qFormat/>
    <w:rsid w:val="00CD3203"/>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CD3203"/>
    <w:pPr>
      <w:spacing w:after="120"/>
      <w:ind w:firstLine="0"/>
      <w:jc w:val="left"/>
    </w:pPr>
    <w:rPr>
      <w:b/>
      <w:snapToGrid/>
    </w:rPr>
  </w:style>
  <w:style w:type="paragraph" w:customStyle="1" w:styleId="MDPI14history">
    <w:name w:val="MDPI_1.4_history"/>
    <w:basedOn w:val="MDPI62Acknowledgments"/>
    <w:next w:val="Normal"/>
    <w:qFormat/>
    <w:rsid w:val="00CD3203"/>
    <w:pPr>
      <w:ind w:left="113"/>
      <w:jc w:val="left"/>
    </w:pPr>
    <w:rPr>
      <w:snapToGrid/>
    </w:rPr>
  </w:style>
  <w:style w:type="paragraph" w:customStyle="1" w:styleId="MDPI16affiliation">
    <w:name w:val="MDPI_1.6_affiliation"/>
    <w:basedOn w:val="MDPI62Acknowledgments"/>
    <w:qFormat/>
    <w:rsid w:val="00CD3203"/>
    <w:pPr>
      <w:spacing w:before="0"/>
      <w:ind w:left="311" w:hanging="198"/>
      <w:jc w:val="left"/>
    </w:pPr>
    <w:rPr>
      <w:snapToGrid/>
      <w:szCs w:val="18"/>
    </w:rPr>
  </w:style>
  <w:style w:type="paragraph" w:customStyle="1" w:styleId="MDPI17abstract">
    <w:name w:val="MDPI_1.7_abstract"/>
    <w:basedOn w:val="MDPI31text"/>
    <w:next w:val="MDPI18keywords"/>
    <w:qFormat/>
    <w:rsid w:val="00CD3203"/>
    <w:pPr>
      <w:spacing w:before="240"/>
      <w:ind w:left="113" w:firstLine="0"/>
    </w:pPr>
    <w:rPr>
      <w:snapToGrid/>
    </w:rPr>
  </w:style>
  <w:style w:type="paragraph" w:customStyle="1" w:styleId="MDPI18keywords">
    <w:name w:val="MDPI_1.8_keywords"/>
    <w:basedOn w:val="MDPI31text"/>
    <w:next w:val="Normal"/>
    <w:qFormat/>
    <w:rsid w:val="00CD3203"/>
    <w:pPr>
      <w:spacing w:before="240"/>
      <w:ind w:left="113" w:firstLine="0"/>
    </w:pPr>
  </w:style>
  <w:style w:type="paragraph" w:customStyle="1" w:styleId="MDPI19line">
    <w:name w:val="MDPI_1.9_line"/>
    <w:basedOn w:val="MDPI31text"/>
    <w:qFormat/>
    <w:rsid w:val="00CD3203"/>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CD3203"/>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CD320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D320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CD3203"/>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CD3203"/>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CD3203"/>
    <w:pPr>
      <w:ind w:firstLine="0"/>
    </w:pPr>
  </w:style>
  <w:style w:type="paragraph" w:customStyle="1" w:styleId="MDPI33textspaceafter">
    <w:name w:val="MDPI_3.3_text_space_after"/>
    <w:basedOn w:val="MDPI31text"/>
    <w:qFormat/>
    <w:rsid w:val="00CD3203"/>
    <w:pPr>
      <w:spacing w:after="240"/>
    </w:pPr>
  </w:style>
  <w:style w:type="paragraph" w:customStyle="1" w:styleId="MDPI35textbeforelist">
    <w:name w:val="MDPI_3.5_text_before_list"/>
    <w:basedOn w:val="MDPI31text"/>
    <w:qFormat/>
    <w:rsid w:val="00CD3203"/>
    <w:pPr>
      <w:spacing w:after="120"/>
    </w:pPr>
  </w:style>
  <w:style w:type="paragraph" w:customStyle="1" w:styleId="MDPI36textafterlist">
    <w:name w:val="MDPI_3.6_text_after_list"/>
    <w:basedOn w:val="MDPI31text"/>
    <w:qFormat/>
    <w:rsid w:val="00CD3203"/>
    <w:pPr>
      <w:spacing w:before="120"/>
    </w:pPr>
  </w:style>
  <w:style w:type="paragraph" w:customStyle="1" w:styleId="MDPI37itemize">
    <w:name w:val="MDPI_3.7_itemize"/>
    <w:basedOn w:val="MDPI31text"/>
    <w:qFormat/>
    <w:rsid w:val="00CD3203"/>
    <w:pPr>
      <w:numPr>
        <w:numId w:val="1"/>
      </w:numPr>
      <w:ind w:left="425" w:hanging="425"/>
    </w:pPr>
  </w:style>
  <w:style w:type="paragraph" w:customStyle="1" w:styleId="MDPI38bullet">
    <w:name w:val="MDPI_3.8_bullet"/>
    <w:basedOn w:val="MDPI31text"/>
    <w:qFormat/>
    <w:rsid w:val="00CD3203"/>
    <w:pPr>
      <w:numPr>
        <w:numId w:val="2"/>
      </w:numPr>
      <w:ind w:left="425" w:hanging="425"/>
    </w:pPr>
  </w:style>
  <w:style w:type="paragraph" w:customStyle="1" w:styleId="MDPI39equation">
    <w:name w:val="MDPI_3.9_equation"/>
    <w:basedOn w:val="MDPI31text"/>
    <w:qFormat/>
    <w:rsid w:val="00CD3203"/>
    <w:pPr>
      <w:spacing w:before="120" w:after="120"/>
      <w:ind w:left="709" w:firstLine="0"/>
      <w:jc w:val="center"/>
    </w:pPr>
  </w:style>
  <w:style w:type="paragraph" w:customStyle="1" w:styleId="MDPI3aequationnumber">
    <w:name w:val="MDPI_3.a_equation_number"/>
    <w:basedOn w:val="MDPI31text"/>
    <w:qFormat/>
    <w:rsid w:val="00CD3203"/>
    <w:pPr>
      <w:spacing w:before="120" w:after="120" w:line="240" w:lineRule="auto"/>
      <w:ind w:firstLine="0"/>
      <w:jc w:val="right"/>
    </w:pPr>
  </w:style>
  <w:style w:type="paragraph" w:customStyle="1" w:styleId="MDPI62Acknowledgments">
    <w:name w:val="MDPI_6.2_Acknowledgments"/>
    <w:qFormat/>
    <w:rsid w:val="00CD3203"/>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CD3203"/>
    <w:pPr>
      <w:spacing w:before="240" w:after="120" w:line="260" w:lineRule="atLeast"/>
      <w:ind w:left="425" w:right="425"/>
    </w:pPr>
    <w:rPr>
      <w:snapToGrid/>
      <w:szCs w:val="22"/>
    </w:rPr>
  </w:style>
  <w:style w:type="paragraph" w:customStyle="1" w:styleId="MDPI42tablebody">
    <w:name w:val="MDPI_4.2_table_body"/>
    <w:qFormat/>
    <w:rsid w:val="005E14E8"/>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CD3203"/>
    <w:pPr>
      <w:spacing w:before="0"/>
      <w:ind w:left="0" w:right="0"/>
    </w:pPr>
  </w:style>
  <w:style w:type="paragraph" w:customStyle="1" w:styleId="MDPI51figurecaption">
    <w:name w:val="MDPI_5.1_figure_caption"/>
    <w:basedOn w:val="MDPI62Acknowledgments"/>
    <w:qFormat/>
    <w:rsid w:val="00CD3203"/>
    <w:pPr>
      <w:spacing w:after="240" w:line="260" w:lineRule="atLeast"/>
      <w:ind w:left="425" w:right="425"/>
    </w:pPr>
    <w:rPr>
      <w:snapToGrid/>
    </w:rPr>
  </w:style>
  <w:style w:type="paragraph" w:customStyle="1" w:styleId="MDPI52figure">
    <w:name w:val="MDPI_5.2_figure"/>
    <w:qFormat/>
    <w:rsid w:val="00CD3203"/>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CD3203"/>
    <w:pPr>
      <w:spacing w:before="240"/>
    </w:pPr>
    <w:rPr>
      <w:lang w:eastAsia="en-US"/>
    </w:rPr>
  </w:style>
  <w:style w:type="paragraph" w:customStyle="1" w:styleId="MDPI63AuthorContributions">
    <w:name w:val="MDPI_6.3_AuthorContributions"/>
    <w:basedOn w:val="MDPI62Acknowledgments"/>
    <w:qFormat/>
    <w:rsid w:val="00CD3203"/>
    <w:rPr>
      <w:rFonts w:eastAsia="SimSun"/>
      <w:color w:val="auto"/>
      <w:lang w:eastAsia="en-US"/>
    </w:rPr>
  </w:style>
  <w:style w:type="paragraph" w:customStyle="1" w:styleId="MDPI64CoI">
    <w:name w:val="MDPI_6.4_CoI"/>
    <w:basedOn w:val="MDPI62Acknowledgments"/>
    <w:qFormat/>
    <w:rsid w:val="00CD3203"/>
  </w:style>
  <w:style w:type="paragraph" w:customStyle="1" w:styleId="MDPIfooterfirstpage">
    <w:name w:val="MDPI_footer_firstpage"/>
    <w:basedOn w:val="Normal"/>
    <w:qFormat/>
    <w:rsid w:val="00CD3203"/>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qFormat/>
    <w:rsid w:val="00CD3203"/>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CD3203"/>
    <w:pPr>
      <w:spacing w:before="240" w:after="120"/>
      <w:ind w:firstLine="0"/>
      <w:jc w:val="left"/>
      <w:outlineLvl w:val="2"/>
    </w:pPr>
  </w:style>
  <w:style w:type="paragraph" w:customStyle="1" w:styleId="MDPI21heading1">
    <w:name w:val="MDPI_2.1_heading1"/>
    <w:basedOn w:val="MDPI23heading3"/>
    <w:qFormat/>
    <w:rsid w:val="00CD3203"/>
    <w:pPr>
      <w:outlineLvl w:val="0"/>
    </w:pPr>
    <w:rPr>
      <w:b/>
    </w:rPr>
  </w:style>
  <w:style w:type="paragraph" w:customStyle="1" w:styleId="MDPI22heading2">
    <w:name w:val="MDPI_2.2_heading2"/>
    <w:basedOn w:val="Normal"/>
    <w:qFormat/>
    <w:rsid w:val="00CD3203"/>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CD3203"/>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CD3203"/>
    <w:pPr>
      <w:spacing w:line="240" w:lineRule="auto"/>
    </w:pPr>
    <w:rPr>
      <w:sz w:val="18"/>
      <w:szCs w:val="18"/>
    </w:rPr>
  </w:style>
  <w:style w:type="character" w:customStyle="1" w:styleId="BalloonTextChar">
    <w:name w:val="Balloon Text Char"/>
    <w:link w:val="BalloonText"/>
    <w:uiPriority w:val="99"/>
    <w:semiHidden/>
    <w:rsid w:val="00CD3203"/>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CD3203"/>
  </w:style>
  <w:style w:type="table" w:customStyle="1" w:styleId="MDPI41threelinetable">
    <w:name w:val="MDPI_4.1_three_line_table"/>
    <w:basedOn w:val="TableNormal"/>
    <w:uiPriority w:val="99"/>
    <w:rsid w:val="005E14E8"/>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Segoe UI" w:hAnsi="Segoe UI"/>
        <w:b/>
        <w:i w:val="0"/>
        <w:sz w:val="20"/>
      </w:rPr>
      <w:tblPr/>
      <w:tcPr>
        <w:tcBorders>
          <w:bottom w:val="single" w:sz="4" w:space="0" w:color="auto"/>
        </w:tcBorders>
      </w:tcPr>
    </w:tblStylePr>
  </w:style>
  <w:style w:type="character" w:styleId="Hyperlink">
    <w:name w:val="Hyperlink"/>
    <w:uiPriority w:val="99"/>
    <w:unhideWhenUsed/>
    <w:rsid w:val="00C02A07"/>
    <w:rPr>
      <w:color w:val="0563C1"/>
      <w:u w:val="single"/>
    </w:rPr>
  </w:style>
  <w:style w:type="character" w:customStyle="1" w:styleId="UnresolvedMention1">
    <w:name w:val="Unresolved Mention1"/>
    <w:uiPriority w:val="99"/>
    <w:semiHidden/>
    <w:unhideWhenUsed/>
    <w:rsid w:val="004C46B1"/>
    <w:rPr>
      <w:color w:val="605E5C"/>
      <w:shd w:val="clear" w:color="auto" w:fill="E1DFDD"/>
    </w:rPr>
  </w:style>
  <w:style w:type="paragraph" w:styleId="Footer">
    <w:name w:val="footer"/>
    <w:basedOn w:val="Normal"/>
    <w:link w:val="FooterChar"/>
    <w:uiPriority w:val="99"/>
    <w:unhideWhenUsed/>
    <w:rsid w:val="00632077"/>
    <w:pPr>
      <w:tabs>
        <w:tab w:val="center" w:pos="4153"/>
        <w:tab w:val="right" w:pos="8306"/>
      </w:tabs>
    </w:pPr>
  </w:style>
  <w:style w:type="character" w:customStyle="1" w:styleId="FooterChar">
    <w:name w:val="Footer Char"/>
    <w:link w:val="Footer"/>
    <w:uiPriority w:val="99"/>
    <w:rsid w:val="00632077"/>
    <w:rPr>
      <w:rFonts w:ascii="Times New Roman" w:eastAsia="Times New Roman" w:hAnsi="Times New Roman"/>
      <w:color w:val="000000"/>
      <w:sz w:val="24"/>
      <w:lang w:eastAsia="de-DE"/>
    </w:rPr>
  </w:style>
  <w:style w:type="table" w:styleId="PlainTable4">
    <w:name w:val="Plain Table 4"/>
    <w:basedOn w:val="TableNormal"/>
    <w:uiPriority w:val="44"/>
    <w:rsid w:val="0063207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concuadrcula1">
    <w:name w:val="Tabla con cuadrícula1"/>
    <w:basedOn w:val="TableNormal"/>
    <w:next w:val="TableGrid"/>
    <w:uiPriority w:val="39"/>
    <w:rsid w:val="0097698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7468B"/>
    <w:rPr>
      <w:sz w:val="16"/>
      <w:szCs w:val="16"/>
    </w:rPr>
  </w:style>
  <w:style w:type="paragraph" w:styleId="CommentText">
    <w:name w:val="annotation text"/>
    <w:basedOn w:val="Normal"/>
    <w:link w:val="CommentTextChar"/>
    <w:uiPriority w:val="99"/>
    <w:semiHidden/>
    <w:unhideWhenUsed/>
    <w:rsid w:val="0007468B"/>
    <w:pPr>
      <w:spacing w:line="240" w:lineRule="auto"/>
    </w:pPr>
    <w:rPr>
      <w:sz w:val="20"/>
    </w:rPr>
  </w:style>
  <w:style w:type="character" w:customStyle="1" w:styleId="CommentTextChar">
    <w:name w:val="Comment Text Char"/>
    <w:basedOn w:val="DefaultParagraphFont"/>
    <w:link w:val="CommentText"/>
    <w:uiPriority w:val="99"/>
    <w:semiHidden/>
    <w:rsid w:val="0007468B"/>
    <w:rPr>
      <w:rFonts w:ascii="Times New Roman" w:eastAsia="Times New Roman" w:hAnsi="Times New Roman"/>
      <w:color w:val="000000"/>
      <w:lang w:val="en-US" w:eastAsia="de-DE"/>
    </w:rPr>
  </w:style>
  <w:style w:type="paragraph" w:styleId="CommentSubject">
    <w:name w:val="annotation subject"/>
    <w:basedOn w:val="CommentText"/>
    <w:next w:val="CommentText"/>
    <w:link w:val="CommentSubjectChar"/>
    <w:uiPriority w:val="99"/>
    <w:semiHidden/>
    <w:unhideWhenUsed/>
    <w:rsid w:val="0007468B"/>
    <w:rPr>
      <w:b/>
      <w:bCs/>
    </w:rPr>
  </w:style>
  <w:style w:type="character" w:customStyle="1" w:styleId="CommentSubjectChar">
    <w:name w:val="Comment Subject Char"/>
    <w:basedOn w:val="CommentTextChar"/>
    <w:link w:val="CommentSubject"/>
    <w:uiPriority w:val="99"/>
    <w:semiHidden/>
    <w:rsid w:val="0007468B"/>
    <w:rPr>
      <w:rFonts w:ascii="Times New Roman" w:eastAsia="Times New Roman" w:hAnsi="Times New Roman"/>
      <w:b/>
      <w:bCs/>
      <w:color w:val="000000"/>
      <w:lang w:val="en-US" w:eastAsia="de-DE"/>
    </w:rPr>
  </w:style>
  <w:style w:type="paragraph" w:styleId="Revision">
    <w:name w:val="Revision"/>
    <w:hidden/>
    <w:uiPriority w:val="99"/>
    <w:semiHidden/>
    <w:rsid w:val="00293FDF"/>
    <w:rPr>
      <w:rFonts w:ascii="Times New Roman" w:eastAsia="Times New Roman" w:hAnsi="Times New Roman"/>
      <w:color w:val="000000"/>
      <w:sz w:val="24"/>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2A24E-61E4-4ABD-92CD-5FF174DAB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5470</Words>
  <Characters>31183</Characters>
  <Application>Microsoft Office Word</Application>
  <DocSecurity>0</DocSecurity>
  <Lines>259</Lines>
  <Paragraphs>73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36580</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2020-07-13T12:24:00Z</dcterms:created>
  <dcterms:modified xsi:type="dcterms:W3CDTF">2020-07-13T12:24:00Z</dcterms:modified>
</cp:coreProperties>
</file>