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3929" w:rsidRDefault="00AD3929" w:rsidP="00996419">
      <w:pPr>
        <w:pStyle w:val="MDPI11articletype"/>
        <w:rPr>
          <w:rFonts w:eastAsiaTheme="minorEastAsia"/>
          <w:lang w:eastAsia="ko-KR"/>
        </w:rPr>
      </w:pPr>
      <w:bookmarkStart w:id="0" w:name="_GoBack"/>
      <w:bookmarkEnd w:id="0"/>
    </w:p>
    <w:p w:rsidR="00E43802" w:rsidRPr="00E43802" w:rsidRDefault="00E43802" w:rsidP="00996419">
      <w:pPr>
        <w:pStyle w:val="MDPI11articletype"/>
        <w:rPr>
          <w:rFonts w:eastAsiaTheme="minorEastAsia"/>
          <w:lang w:eastAsia="ko-KR"/>
        </w:rPr>
      </w:pPr>
      <w:r w:rsidRPr="00A04686">
        <w:rPr>
          <w:noProof/>
          <w:lang w:eastAsia="ko-KR" w:bidi="ar-SA"/>
        </w:rPr>
        <w:drawing>
          <wp:inline distT="0" distB="0" distL="0" distR="0" wp14:anchorId="63FEF3C1" wp14:editId="46DA1292">
            <wp:extent cx="1676400" cy="428625"/>
            <wp:effectExtent l="0" t="0" r="0" b="9525"/>
            <wp:docPr id="164" name="Picture 5" descr="C:\Users\home\Desktop\logos\png\jcm-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png\jcm-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6400" cy="428625"/>
                    </a:xfrm>
                    <a:prstGeom prst="rect">
                      <a:avLst/>
                    </a:prstGeom>
                    <a:noFill/>
                    <a:ln>
                      <a:noFill/>
                    </a:ln>
                  </pic:spPr>
                </pic:pic>
              </a:graphicData>
            </a:graphic>
          </wp:inline>
        </w:drawing>
      </w:r>
      <w:r>
        <w:rPr>
          <w:rFonts w:eastAsiaTheme="minorEastAsia" w:hint="eastAsia"/>
          <w:lang w:eastAsia="ko-KR"/>
        </w:rPr>
        <w:t xml:space="preserve">                                         </w:t>
      </w:r>
      <w:r>
        <w:rPr>
          <w:rFonts w:eastAsiaTheme="minorEastAsia"/>
          <w:lang w:eastAsia="ko-KR"/>
        </w:rPr>
        <w:t xml:space="preserve">         </w:t>
      </w:r>
      <w:r>
        <w:rPr>
          <w:rFonts w:eastAsiaTheme="minorEastAsia" w:hint="eastAsia"/>
          <w:lang w:eastAsia="ko-KR"/>
        </w:rPr>
        <w:t xml:space="preserve">  </w:t>
      </w:r>
      <w:r w:rsidRPr="00996419">
        <w:rPr>
          <w:i w:val="0"/>
          <w:noProof/>
          <w:szCs w:val="16"/>
          <w:lang w:eastAsia="ko-KR" w:bidi="ar-SA"/>
        </w:rPr>
        <w:drawing>
          <wp:inline distT="0" distB="0" distL="0" distR="0" wp14:anchorId="27059B93" wp14:editId="1D2E2694">
            <wp:extent cx="542925" cy="352425"/>
            <wp:effectExtent l="0" t="0" r="9525" b="9525"/>
            <wp:docPr id="165"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352425"/>
                    </a:xfrm>
                    <a:prstGeom prst="rect">
                      <a:avLst/>
                    </a:prstGeom>
                    <a:noFill/>
                    <a:ln>
                      <a:noFill/>
                    </a:ln>
                  </pic:spPr>
                </pic:pic>
              </a:graphicData>
            </a:graphic>
          </wp:inline>
        </w:drawing>
      </w:r>
    </w:p>
    <w:p w:rsidR="00996419" w:rsidRPr="00A27720" w:rsidRDefault="002227B2" w:rsidP="00996419">
      <w:pPr>
        <w:pStyle w:val="MDPI11articletype"/>
      </w:pPr>
      <w:r>
        <w:t xml:space="preserve">Original </w:t>
      </w:r>
      <w:r w:rsidR="00996419" w:rsidRPr="00A27720">
        <w:t xml:space="preserve">Article </w:t>
      </w:r>
    </w:p>
    <w:p w:rsidR="00996419" w:rsidRPr="00A27720" w:rsidRDefault="00A96C20" w:rsidP="00996419">
      <w:pPr>
        <w:pStyle w:val="MDPI12title"/>
        <w:spacing w:line="240" w:lineRule="atLeast"/>
      </w:pPr>
      <w:r w:rsidRPr="00A96C20">
        <w:t>Efficacy of corticosteroids in patients with SARS, MERS and COVID-19: A systematic review and meta-analysis</w:t>
      </w:r>
    </w:p>
    <w:p w:rsidR="00A96C20" w:rsidRPr="00A96C20" w:rsidRDefault="00A96C20" w:rsidP="00A96C20">
      <w:pPr>
        <w:pStyle w:val="MDPI13authornames"/>
        <w:rPr>
          <w:vertAlign w:val="superscript"/>
        </w:rPr>
      </w:pPr>
      <w:proofErr w:type="spellStart"/>
      <w:r w:rsidRPr="00A96C20">
        <w:rPr>
          <w:rFonts w:hint="eastAsia"/>
        </w:rPr>
        <w:t>Keum</w:t>
      </w:r>
      <w:proofErr w:type="spellEnd"/>
      <w:r w:rsidRPr="00A96C20">
        <w:rPr>
          <w:rFonts w:hint="eastAsia"/>
        </w:rPr>
        <w:t xml:space="preserve"> Hwa Lee</w:t>
      </w:r>
      <w:r w:rsidRPr="00A96C20">
        <w:rPr>
          <w:rFonts w:hint="eastAsia"/>
          <w:vertAlign w:val="superscript"/>
        </w:rPr>
        <w:t>1</w:t>
      </w:r>
      <w:r w:rsidRPr="00A96C20">
        <w:rPr>
          <w:rFonts w:hint="eastAsia"/>
        </w:rPr>
        <w:t xml:space="preserve">, </w:t>
      </w:r>
      <w:proofErr w:type="spellStart"/>
      <w:r w:rsidRPr="00A96C20">
        <w:t>Sojung</w:t>
      </w:r>
      <w:proofErr w:type="spellEnd"/>
      <w:r w:rsidRPr="00A96C20">
        <w:t xml:space="preserve"> Yoon</w:t>
      </w:r>
      <w:r w:rsidRPr="00A96C20">
        <w:rPr>
          <w:vertAlign w:val="superscript"/>
        </w:rPr>
        <w:t>2</w:t>
      </w:r>
      <w:r w:rsidRPr="00A96C20">
        <w:t xml:space="preserve">, </w:t>
      </w:r>
      <w:proofErr w:type="spellStart"/>
      <w:r w:rsidRPr="00A96C20">
        <w:t>Gwang</w:t>
      </w:r>
      <w:proofErr w:type="spellEnd"/>
      <w:r w:rsidRPr="00A96C20">
        <w:t xml:space="preserve"> Hun Jeong</w:t>
      </w:r>
      <w:r w:rsidRPr="00A96C20">
        <w:rPr>
          <w:vertAlign w:val="superscript"/>
        </w:rPr>
        <w:t>3</w:t>
      </w:r>
      <w:r w:rsidRPr="00A96C20">
        <w:t xml:space="preserve">, Jong </w:t>
      </w:r>
      <w:proofErr w:type="spellStart"/>
      <w:r w:rsidRPr="00A96C20">
        <w:t>Yeob</w:t>
      </w:r>
      <w:proofErr w:type="spellEnd"/>
      <w:r w:rsidRPr="00A96C20">
        <w:t xml:space="preserve"> Kim</w:t>
      </w:r>
      <w:r w:rsidRPr="00A96C20">
        <w:rPr>
          <w:vertAlign w:val="superscript"/>
        </w:rPr>
        <w:t>2</w:t>
      </w:r>
      <w:r w:rsidRPr="00A96C20">
        <w:t xml:space="preserve">, Young </w:t>
      </w:r>
      <w:proofErr w:type="spellStart"/>
      <w:r w:rsidRPr="00A96C20">
        <w:t>Joo</w:t>
      </w:r>
      <w:proofErr w:type="spellEnd"/>
      <w:r w:rsidRPr="00A96C20">
        <w:t xml:space="preserve"> Han</w:t>
      </w:r>
      <w:r w:rsidRPr="00A96C20">
        <w:rPr>
          <w:vertAlign w:val="superscript"/>
        </w:rPr>
        <w:t>4</w:t>
      </w:r>
      <w:r w:rsidRPr="00A96C20">
        <w:t xml:space="preserve">, Sung </w:t>
      </w:r>
      <w:proofErr w:type="spellStart"/>
      <w:r w:rsidRPr="00A96C20">
        <w:t>Hwi</w:t>
      </w:r>
      <w:proofErr w:type="spellEnd"/>
      <w:r w:rsidRPr="00A96C20">
        <w:t xml:space="preserve"> Hong</w:t>
      </w:r>
      <w:r w:rsidRPr="00A96C20">
        <w:rPr>
          <w:vertAlign w:val="superscript"/>
        </w:rPr>
        <w:t>5</w:t>
      </w:r>
      <w:r w:rsidRPr="00A96C20">
        <w:t xml:space="preserve">, </w:t>
      </w:r>
      <w:proofErr w:type="spellStart"/>
      <w:r w:rsidRPr="00A96C20">
        <w:t>Seohyun</w:t>
      </w:r>
      <w:proofErr w:type="spellEnd"/>
      <w:r w:rsidRPr="00A96C20">
        <w:t xml:space="preserve"> Ryu</w:t>
      </w:r>
      <w:r w:rsidRPr="00A96C20">
        <w:rPr>
          <w:vertAlign w:val="superscript"/>
        </w:rPr>
        <w:t>2</w:t>
      </w:r>
      <w:r w:rsidRPr="00A96C20">
        <w:t>, Jae Seok Kim</w:t>
      </w:r>
      <w:r w:rsidRPr="00A96C20">
        <w:rPr>
          <w:vertAlign w:val="superscript"/>
        </w:rPr>
        <w:t>6</w:t>
      </w:r>
      <w:r w:rsidRPr="00A96C20">
        <w:t>, Jun Young Lee</w:t>
      </w:r>
      <w:r w:rsidRPr="00A96C20">
        <w:rPr>
          <w:vertAlign w:val="superscript"/>
        </w:rPr>
        <w:t>6</w:t>
      </w:r>
      <w:r w:rsidRPr="00A96C20">
        <w:t>, Jae Won Yang</w:t>
      </w:r>
      <w:r w:rsidRPr="00A96C20">
        <w:rPr>
          <w:vertAlign w:val="superscript"/>
        </w:rPr>
        <w:t>6</w:t>
      </w:r>
      <w:r w:rsidRPr="00A96C20">
        <w:t xml:space="preserve">, </w:t>
      </w:r>
      <w:proofErr w:type="spellStart"/>
      <w:r w:rsidRPr="00A96C20">
        <w:t>Jin</w:t>
      </w:r>
      <w:proofErr w:type="spellEnd"/>
      <w:r w:rsidRPr="00A96C20">
        <w:t xml:space="preserve"> </w:t>
      </w:r>
      <w:proofErr w:type="spellStart"/>
      <w:r w:rsidRPr="00A96C20">
        <w:t>Hee</w:t>
      </w:r>
      <w:proofErr w:type="spellEnd"/>
      <w:r w:rsidRPr="00A96C20">
        <w:t xml:space="preserve"> Lee</w:t>
      </w:r>
      <w:r w:rsidRPr="00A96C20">
        <w:rPr>
          <w:vertAlign w:val="superscript"/>
        </w:rPr>
        <w:t>7</w:t>
      </w:r>
      <w:r w:rsidRPr="00A96C20">
        <w:t>, Marco Solmi</w:t>
      </w:r>
      <w:r w:rsidRPr="00A96C20">
        <w:rPr>
          <w:vertAlign w:val="superscript"/>
        </w:rPr>
        <w:t>8</w:t>
      </w:r>
      <w:r w:rsidRPr="00A96C20">
        <w:t>, Ai Koyanagi</w:t>
      </w:r>
      <w:r w:rsidRPr="00A96C20">
        <w:rPr>
          <w:vertAlign w:val="superscript"/>
        </w:rPr>
        <w:t>9, 10</w:t>
      </w:r>
      <w:r w:rsidRPr="00A96C20">
        <w:t>, Elena Dragioti</w:t>
      </w:r>
      <w:r w:rsidRPr="00A96C20">
        <w:rPr>
          <w:vertAlign w:val="superscript"/>
        </w:rPr>
        <w:t>11</w:t>
      </w:r>
      <w:r w:rsidRPr="00A96C20">
        <w:t>, Louis Jacob</w:t>
      </w:r>
      <w:r w:rsidRPr="00A96C20">
        <w:rPr>
          <w:vertAlign w:val="superscript"/>
        </w:rPr>
        <w:t>9, 12</w:t>
      </w:r>
      <w:r w:rsidRPr="00A96C20">
        <w:t>, Joaquim Radua</w:t>
      </w:r>
      <w:r w:rsidRPr="00A96C20">
        <w:rPr>
          <w:vertAlign w:val="superscript"/>
        </w:rPr>
        <w:t>13,14,15,16</w:t>
      </w:r>
      <w:r w:rsidRPr="00A96C20">
        <w:t>, Lee Smith</w:t>
      </w:r>
      <w:r w:rsidRPr="00A96C20">
        <w:rPr>
          <w:vertAlign w:val="superscript"/>
        </w:rPr>
        <w:t>17</w:t>
      </w:r>
      <w:r w:rsidRPr="00A96C20">
        <w:t>, Hans Oh</w:t>
      </w:r>
      <w:r w:rsidRPr="00A96C20">
        <w:rPr>
          <w:vertAlign w:val="superscript"/>
        </w:rPr>
        <w:t>18</w:t>
      </w:r>
      <w:r w:rsidRPr="00A96C20">
        <w:t xml:space="preserve">, </w:t>
      </w:r>
      <w:proofErr w:type="spellStart"/>
      <w:r w:rsidRPr="00A96C20">
        <w:t>Kalthoum</w:t>
      </w:r>
      <w:proofErr w:type="spellEnd"/>
      <w:r w:rsidRPr="00A96C20">
        <w:t xml:space="preserve"> Tizaoui</w:t>
      </w:r>
      <w:r w:rsidRPr="00A96C20">
        <w:rPr>
          <w:vertAlign w:val="superscript"/>
        </w:rPr>
        <w:t>19</w:t>
      </w:r>
      <w:r w:rsidRPr="00A96C20">
        <w:t>, Sarah Cargnin</w:t>
      </w:r>
      <w:r w:rsidRPr="00A96C20">
        <w:rPr>
          <w:vertAlign w:val="superscript"/>
        </w:rPr>
        <w:t>20</w:t>
      </w:r>
      <w:r w:rsidRPr="00A96C20">
        <w:t>, Salvatore Terrazzino</w:t>
      </w:r>
      <w:r w:rsidRPr="00A96C20">
        <w:rPr>
          <w:vertAlign w:val="superscript"/>
        </w:rPr>
        <w:t>20</w:t>
      </w:r>
      <w:r w:rsidRPr="00A96C20">
        <w:t xml:space="preserve">, </w:t>
      </w:r>
      <w:proofErr w:type="spellStart"/>
      <w:r w:rsidRPr="00A96C20">
        <w:t>Ramy</w:t>
      </w:r>
      <w:proofErr w:type="spellEnd"/>
      <w:r w:rsidRPr="00A96C20">
        <w:t xml:space="preserve"> </w:t>
      </w:r>
      <w:proofErr w:type="spellStart"/>
      <w:r w:rsidRPr="00A96C20">
        <w:t>Abou</w:t>
      </w:r>
      <w:proofErr w:type="spellEnd"/>
      <w:r w:rsidRPr="00A96C20">
        <w:t xml:space="preserve"> Ghayda</w:t>
      </w:r>
      <w:r w:rsidRPr="00A96C20">
        <w:rPr>
          <w:vertAlign w:val="superscript"/>
        </w:rPr>
        <w:t>5, 21</w:t>
      </w:r>
      <w:r w:rsidRPr="00A96C20">
        <w:t xml:space="preserve">, </w:t>
      </w:r>
      <w:r w:rsidRPr="00A96C20">
        <w:rPr>
          <w:rFonts w:hint="eastAsia"/>
        </w:rPr>
        <w:t>A</w:t>
      </w:r>
      <w:r w:rsidRPr="00A96C20">
        <w:t>ndreas Kronbichler</w:t>
      </w:r>
      <w:r w:rsidRPr="00A96C20">
        <w:rPr>
          <w:vertAlign w:val="superscript"/>
        </w:rPr>
        <w:t>22</w:t>
      </w:r>
      <w:r w:rsidRPr="00A96C20">
        <w:t xml:space="preserve">, </w:t>
      </w:r>
      <w:r w:rsidRPr="00A96C20">
        <w:rPr>
          <w:rFonts w:hint="eastAsia"/>
        </w:rPr>
        <w:t>Jae Il Shin</w:t>
      </w:r>
      <w:r w:rsidRPr="00A96C20">
        <w:rPr>
          <w:vertAlign w:val="superscript"/>
        </w:rPr>
        <w:t>1</w:t>
      </w:r>
    </w:p>
    <w:p w:rsidR="00996419" w:rsidRPr="00A96C20" w:rsidRDefault="00996419" w:rsidP="00996419">
      <w:pPr>
        <w:pStyle w:val="MDPI13authornames"/>
      </w:pPr>
    </w:p>
    <w:p w:rsidR="00A96C20" w:rsidRDefault="00A96C20" w:rsidP="00A96C20">
      <w:pPr>
        <w:pStyle w:val="MDPI16affiliation"/>
      </w:pPr>
      <w:r>
        <w:t>1. Department of Pediatrics, Yonsei University College of Medicine, Seoul, Republic of Korea</w:t>
      </w:r>
      <w:r w:rsidR="004C0B85">
        <w:t xml:space="preserve"> </w:t>
      </w:r>
      <w:r w:rsidR="004C0B85" w:rsidRPr="004C0B85">
        <w:t>AZSAGM@yuhs.ac</w:t>
      </w:r>
      <w:r w:rsidR="004C0B85">
        <w:t xml:space="preserve"> (K.H.L.)</w:t>
      </w:r>
    </w:p>
    <w:p w:rsidR="00A96C20" w:rsidRDefault="00A96C20" w:rsidP="00A96C20">
      <w:pPr>
        <w:pStyle w:val="MDPI16affiliation"/>
      </w:pPr>
      <w:r>
        <w:t>2. Yonsei University College of Medicine, Seoul, Republic of Korea</w:t>
      </w:r>
      <w:r w:rsidR="004C0B85">
        <w:t xml:space="preserve">; </w:t>
      </w:r>
      <w:r w:rsidR="004C0B85" w:rsidRPr="004C0B85">
        <w:t>sj4068@naver.com</w:t>
      </w:r>
      <w:r w:rsidR="004C0B85">
        <w:t xml:space="preserve"> (S.Y.); </w:t>
      </w:r>
      <w:r w:rsidR="004C0B85" w:rsidRPr="004C0B85">
        <w:t>crossing96@yonsei.ac.kr</w:t>
      </w:r>
      <w:r w:rsidR="004C0B85">
        <w:t xml:space="preserve"> (J.Y.K.)</w:t>
      </w:r>
      <w:r w:rsidR="00C749A6">
        <w:t xml:space="preserve">; </w:t>
      </w:r>
      <w:r w:rsidR="00C749A6" w:rsidRPr="00C749A6">
        <w:t>nzsarah61@gmail.com</w:t>
      </w:r>
      <w:r w:rsidR="00C749A6">
        <w:t xml:space="preserve"> (S.Y.R.) </w:t>
      </w:r>
    </w:p>
    <w:p w:rsidR="00A96C20" w:rsidRDefault="00A96C20" w:rsidP="00A96C20">
      <w:pPr>
        <w:pStyle w:val="MDPI16affiliation"/>
      </w:pPr>
      <w:r>
        <w:t xml:space="preserve">3. College of Medicine, </w:t>
      </w:r>
      <w:proofErr w:type="spellStart"/>
      <w:r>
        <w:t>Gyeongsang</w:t>
      </w:r>
      <w:proofErr w:type="spellEnd"/>
      <w:r>
        <w:t xml:space="preserve"> National University, Jinju, Republic of Korea</w:t>
      </w:r>
      <w:r w:rsidR="004C0B85">
        <w:t xml:space="preserve">; </w:t>
      </w:r>
      <w:r w:rsidR="004C0B85" w:rsidRPr="004C0B85">
        <w:t>gwangh.jeong@gmail.com</w:t>
      </w:r>
      <w:r w:rsidR="004C0B85">
        <w:t xml:space="preserve"> (G.Y.J.)</w:t>
      </w:r>
    </w:p>
    <w:p w:rsidR="00A96C20" w:rsidRDefault="00A96C20" w:rsidP="00A96C20">
      <w:pPr>
        <w:pStyle w:val="MDPI16affiliation"/>
      </w:pPr>
      <w:r>
        <w:t>4. Department of Pediatrics, Samsung Changwon Hospital, Sungkyunkwan University School of Medicine, Changwon, Republic of Korea</w:t>
      </w:r>
      <w:r w:rsidR="004C0B85">
        <w:t xml:space="preserve">; </w:t>
      </w:r>
      <w:r w:rsidR="004C0B85" w:rsidRPr="004C0B85">
        <w:t>82agnes@hanmail.net</w:t>
      </w:r>
      <w:r w:rsidR="004C0B85">
        <w:t xml:space="preserve"> (Y.J.H.) </w:t>
      </w:r>
    </w:p>
    <w:p w:rsidR="00A96C20" w:rsidRDefault="00A96C20" w:rsidP="00A96C20">
      <w:pPr>
        <w:pStyle w:val="MDPI16affiliation"/>
      </w:pPr>
      <w:r>
        <w:t>5. Department of Global Health and Population, Harvard T.H. Chan School of Public Health, 677 Huntington Avenue, Boston, MA 02115, USA</w:t>
      </w:r>
      <w:r w:rsidR="004C0B85">
        <w:t xml:space="preserve">; </w:t>
      </w:r>
      <w:r w:rsidR="004C0B85" w:rsidRPr="004C0B85">
        <w:t>sunghwihong@gmail.com</w:t>
      </w:r>
      <w:r w:rsidR="004C0B85">
        <w:t xml:space="preserve"> (S.H.H.) </w:t>
      </w:r>
    </w:p>
    <w:p w:rsidR="00A96C20" w:rsidRDefault="00A96C20" w:rsidP="00A96C20">
      <w:pPr>
        <w:pStyle w:val="MDPI16affiliation"/>
      </w:pPr>
      <w:r>
        <w:t xml:space="preserve">6. Department of Nephrology, Yonsei University </w:t>
      </w:r>
      <w:proofErr w:type="spellStart"/>
      <w:r>
        <w:t>Wonju</w:t>
      </w:r>
      <w:proofErr w:type="spellEnd"/>
      <w:r>
        <w:t xml:space="preserve"> College of Medicine, </w:t>
      </w:r>
      <w:proofErr w:type="spellStart"/>
      <w:r>
        <w:t>Wonju</w:t>
      </w:r>
      <w:proofErr w:type="spellEnd"/>
      <w:r>
        <w:t>, Republic of Korea</w:t>
      </w:r>
      <w:r w:rsidR="004C0B85">
        <w:t xml:space="preserve">; </w:t>
      </w:r>
      <w:r w:rsidR="00C749A6" w:rsidRPr="00C749A6">
        <w:t>ripplesong@yonsei.ac.kr</w:t>
      </w:r>
      <w:r w:rsidR="00C749A6">
        <w:t xml:space="preserve"> (J.S.K.); </w:t>
      </w:r>
      <w:r w:rsidR="00C749A6" w:rsidRPr="00C749A6">
        <w:t>junyoung07@yonsei.ac.kr</w:t>
      </w:r>
      <w:r w:rsidR="00C749A6">
        <w:t xml:space="preserve"> (J.Y.L.); </w:t>
      </w:r>
      <w:r w:rsidR="00C749A6" w:rsidRPr="00C749A6">
        <w:t>kidney74@yonsei.ac.kr</w:t>
      </w:r>
      <w:r w:rsidR="00C749A6">
        <w:t xml:space="preserve"> (J.W.Y.) </w:t>
      </w:r>
    </w:p>
    <w:p w:rsidR="00A96C20" w:rsidRDefault="00A96C20" w:rsidP="00A96C20">
      <w:pPr>
        <w:pStyle w:val="MDPI16affiliation"/>
      </w:pPr>
      <w:r>
        <w:t xml:space="preserve">7. Department of Psychiatry, Yonsei University </w:t>
      </w:r>
      <w:proofErr w:type="spellStart"/>
      <w:r>
        <w:t>Wonju</w:t>
      </w:r>
      <w:proofErr w:type="spellEnd"/>
      <w:r>
        <w:t xml:space="preserve"> College of Medicine, </w:t>
      </w:r>
      <w:proofErr w:type="spellStart"/>
      <w:r>
        <w:t>Wonju</w:t>
      </w:r>
      <w:proofErr w:type="spellEnd"/>
      <w:r>
        <w:t>, Republic of Korea</w:t>
      </w:r>
      <w:r w:rsidR="00C749A6">
        <w:t xml:space="preserve">; </w:t>
      </w:r>
      <w:r w:rsidR="00C749A6" w:rsidRPr="00C749A6">
        <w:t>jinh.lee95@yonsei.ac.kr</w:t>
      </w:r>
      <w:r w:rsidR="00C749A6">
        <w:t xml:space="preserve"> (J.H.L.) </w:t>
      </w:r>
    </w:p>
    <w:p w:rsidR="00A96C20" w:rsidRDefault="00A96C20" w:rsidP="00A96C20">
      <w:pPr>
        <w:pStyle w:val="MDPI16affiliation"/>
      </w:pPr>
      <w:r>
        <w:t>8. Department of Neuroscience, University of Padova, 35121 Padova, Italy</w:t>
      </w:r>
      <w:r w:rsidR="00C749A6">
        <w:t xml:space="preserve">; </w:t>
      </w:r>
      <w:r w:rsidR="00C749A6" w:rsidRPr="00C749A6">
        <w:t>marco.solmi83@gmail.com</w:t>
      </w:r>
      <w:r w:rsidR="00C749A6">
        <w:t xml:space="preserve"> (M.S.)</w:t>
      </w:r>
    </w:p>
    <w:p w:rsidR="00A96C20" w:rsidRDefault="00A96C20" w:rsidP="00A96C20">
      <w:pPr>
        <w:pStyle w:val="MDPI16affiliation"/>
      </w:pPr>
      <w:r>
        <w:t xml:space="preserve">9. Research and development unit, Parc </w:t>
      </w:r>
      <w:proofErr w:type="spellStart"/>
      <w:r>
        <w:t>Sanitari</w:t>
      </w:r>
      <w:proofErr w:type="spellEnd"/>
      <w:r>
        <w:t xml:space="preserve"> Sant Joan de </w:t>
      </w:r>
      <w:proofErr w:type="spellStart"/>
      <w:r>
        <w:t>Déu</w:t>
      </w:r>
      <w:proofErr w:type="spellEnd"/>
      <w:r>
        <w:t xml:space="preserve">, CIBERSAM, Dr. Antoni Pujadas, 42, Sant </w:t>
      </w:r>
      <w:proofErr w:type="spellStart"/>
      <w:r>
        <w:t>Boi</w:t>
      </w:r>
      <w:proofErr w:type="spellEnd"/>
      <w:r>
        <w:t xml:space="preserve"> de </w:t>
      </w:r>
      <w:proofErr w:type="spellStart"/>
      <w:r>
        <w:t>Llobregat</w:t>
      </w:r>
      <w:proofErr w:type="spellEnd"/>
      <w:r>
        <w:t>, Barcelona 08830, Spain</w:t>
      </w:r>
      <w:r w:rsidR="00C749A6">
        <w:t xml:space="preserve">; </w:t>
      </w:r>
      <w:r w:rsidR="00C749A6" w:rsidRPr="00C749A6">
        <w:t>a.koyanagi@pssjd.org</w:t>
      </w:r>
      <w:r w:rsidR="00C749A6">
        <w:t xml:space="preserve"> (A.K.); </w:t>
      </w:r>
      <w:r w:rsidR="00C749A6" w:rsidRPr="00C749A6">
        <w:t>louis.jacob.contacts@gmail.com</w:t>
      </w:r>
      <w:r w:rsidR="00C749A6">
        <w:t xml:space="preserve"> (L.J.)</w:t>
      </w:r>
    </w:p>
    <w:p w:rsidR="00A96C20" w:rsidRDefault="00A96C20" w:rsidP="00A96C20">
      <w:pPr>
        <w:pStyle w:val="MDPI16affiliation"/>
      </w:pPr>
      <w:r>
        <w:t xml:space="preserve">10. ICREA, Pg. </w:t>
      </w:r>
      <w:proofErr w:type="spellStart"/>
      <w:r>
        <w:t>Lluis</w:t>
      </w:r>
      <w:proofErr w:type="spellEnd"/>
      <w:r>
        <w:t xml:space="preserve"> </w:t>
      </w:r>
      <w:proofErr w:type="spellStart"/>
      <w:r>
        <w:t>Companys</w:t>
      </w:r>
      <w:proofErr w:type="spellEnd"/>
      <w:r>
        <w:t xml:space="preserve"> 23, 08010, Barcelona, Spain </w:t>
      </w:r>
    </w:p>
    <w:p w:rsidR="00A96C20" w:rsidRDefault="00A96C20" w:rsidP="00A96C20">
      <w:pPr>
        <w:pStyle w:val="MDPI16affiliation"/>
      </w:pPr>
      <w:r>
        <w:t>11. Pain and Rehabilitation Centre, and Department of Health, Medicine and Caring Sciences, Linkoping University, SE-581 85 Linkoping, Sweden</w:t>
      </w:r>
      <w:r w:rsidR="00C749A6">
        <w:t xml:space="preserve">; </w:t>
      </w:r>
      <w:r w:rsidR="00C749A6" w:rsidRPr="00C749A6">
        <w:t>elena.dragioti@liu.se</w:t>
      </w:r>
      <w:r w:rsidR="00C749A6">
        <w:t xml:space="preserve"> (E.D.) </w:t>
      </w:r>
    </w:p>
    <w:p w:rsidR="00A96C20" w:rsidRDefault="00A96C20" w:rsidP="00A96C20">
      <w:pPr>
        <w:pStyle w:val="MDPI16affiliation"/>
      </w:pPr>
      <w:r>
        <w:t>12. Faculty of Medicine, University of Versailles Saint-Quentin-</w:t>
      </w:r>
      <w:proofErr w:type="spellStart"/>
      <w:r>
        <w:t>en</w:t>
      </w:r>
      <w:proofErr w:type="spellEnd"/>
      <w:r>
        <w:t xml:space="preserve">-Yvelines, </w:t>
      </w:r>
      <w:proofErr w:type="spellStart"/>
      <w:r>
        <w:t>Montigny</w:t>
      </w:r>
      <w:proofErr w:type="spellEnd"/>
      <w:r>
        <w:t>-le-Bretonneux 78180, France</w:t>
      </w:r>
    </w:p>
    <w:p w:rsidR="00A96C20" w:rsidRDefault="00A96C20" w:rsidP="00A96C20">
      <w:pPr>
        <w:pStyle w:val="MDPI16affiliation"/>
      </w:pPr>
      <w:r>
        <w:t xml:space="preserve">13. </w:t>
      </w:r>
      <w:proofErr w:type="spellStart"/>
      <w:r>
        <w:t>Institut</w:t>
      </w:r>
      <w:proofErr w:type="spellEnd"/>
      <w:r>
        <w:t xml:space="preserve"> </w:t>
      </w:r>
      <w:proofErr w:type="spellStart"/>
      <w:r>
        <w:t>d’Investigacions</w:t>
      </w:r>
      <w:proofErr w:type="spellEnd"/>
      <w:r>
        <w:t xml:space="preserve"> </w:t>
      </w:r>
      <w:proofErr w:type="spellStart"/>
      <w:r>
        <w:t>Biomèdiques</w:t>
      </w:r>
      <w:proofErr w:type="spellEnd"/>
      <w:r>
        <w:t xml:space="preserve"> August Pi </w:t>
      </w:r>
      <w:proofErr w:type="spellStart"/>
      <w:r>
        <w:t>i</w:t>
      </w:r>
      <w:proofErr w:type="spellEnd"/>
      <w:r>
        <w:t xml:space="preserve"> </w:t>
      </w:r>
      <w:proofErr w:type="spellStart"/>
      <w:r>
        <w:t>Sunyer</w:t>
      </w:r>
      <w:proofErr w:type="spellEnd"/>
      <w:r>
        <w:t xml:space="preserve"> (IDIBAPS), 08036 Barcelona, Spain</w:t>
      </w:r>
      <w:r w:rsidR="00C749A6">
        <w:t xml:space="preserve">; </w:t>
      </w:r>
      <w:r w:rsidR="00C749A6" w:rsidRPr="00C749A6">
        <w:t>radua@clinic.cat</w:t>
      </w:r>
      <w:r w:rsidR="00C749A6">
        <w:t xml:space="preserve"> (J.R.)</w:t>
      </w:r>
    </w:p>
    <w:p w:rsidR="00A96C20" w:rsidRDefault="00A96C20" w:rsidP="00A96C20">
      <w:pPr>
        <w:pStyle w:val="MDPI16affiliation"/>
      </w:pPr>
      <w:r>
        <w:t>14. Mental Health Research Networking Center (CIBERSAM), 08036 Barcelona, Spain</w:t>
      </w:r>
    </w:p>
    <w:p w:rsidR="00A96C20" w:rsidRDefault="00A96C20" w:rsidP="00A96C20">
      <w:pPr>
        <w:pStyle w:val="MDPI16affiliation"/>
      </w:pPr>
      <w:r>
        <w:t>15. Department of Psychosis Studies, Institute of Psychiatry, Psychology and Neuroscience, King’s College London, London SE5 8AF, UK</w:t>
      </w:r>
    </w:p>
    <w:p w:rsidR="00A96C20" w:rsidRDefault="00A96C20" w:rsidP="00A96C20">
      <w:pPr>
        <w:pStyle w:val="MDPI16affiliation"/>
      </w:pPr>
      <w:r>
        <w:t xml:space="preserve">16. Centre for Psychiatric Research, Department of Clinical Neuroscience, Karolinska </w:t>
      </w:r>
      <w:proofErr w:type="spellStart"/>
      <w:r>
        <w:t>Institutet</w:t>
      </w:r>
      <w:proofErr w:type="spellEnd"/>
      <w:r>
        <w:t>, 113 30 Stockholm, Sweden</w:t>
      </w:r>
    </w:p>
    <w:p w:rsidR="00A96C20" w:rsidRDefault="00A96C20" w:rsidP="00A96C20">
      <w:pPr>
        <w:pStyle w:val="MDPI16affiliation"/>
      </w:pPr>
      <w:r>
        <w:t>17. The Cambridge Centre for Sport and Exercise Sciences, Anglia Ruskin University, Cambridge CB1 1PT, UK</w:t>
      </w:r>
      <w:r w:rsidR="00C749A6">
        <w:t xml:space="preserve">; </w:t>
      </w:r>
      <w:r w:rsidR="00C749A6" w:rsidRPr="00C749A6">
        <w:t>lee.smith@anglia.ac.uk</w:t>
      </w:r>
      <w:r w:rsidR="00C749A6">
        <w:t xml:space="preserve"> (L.S.) </w:t>
      </w:r>
    </w:p>
    <w:p w:rsidR="00A96C20" w:rsidRDefault="00A96C20" w:rsidP="00A96C20">
      <w:pPr>
        <w:pStyle w:val="MDPI16affiliation"/>
      </w:pPr>
      <w:r>
        <w:t>18. School of Social Work, University of Southern California, CA 90015, USA</w:t>
      </w:r>
      <w:r w:rsidR="00C749A6">
        <w:t xml:space="preserve">; </w:t>
      </w:r>
      <w:r w:rsidR="00C749A6" w:rsidRPr="00C749A6">
        <w:t>hansoh@usc.edu</w:t>
      </w:r>
      <w:r w:rsidR="00C749A6">
        <w:t xml:space="preserve"> (H.O.) </w:t>
      </w:r>
    </w:p>
    <w:p w:rsidR="00A96C20" w:rsidRDefault="00A96C20" w:rsidP="00A96C20">
      <w:pPr>
        <w:pStyle w:val="MDPI16affiliation"/>
      </w:pPr>
      <w:r>
        <w:t xml:space="preserve">19. Department of Basic Sciences, Division of Histology and Immunology, Faculty of Medicine Tunis, Tunis El </w:t>
      </w:r>
      <w:proofErr w:type="spellStart"/>
      <w:r>
        <w:t>Manar</w:t>
      </w:r>
      <w:proofErr w:type="spellEnd"/>
      <w:r>
        <w:t xml:space="preserve"> University, Tunis 1068, Tunisia</w:t>
      </w:r>
      <w:r w:rsidR="00C749A6">
        <w:t xml:space="preserve">; </w:t>
      </w:r>
      <w:r w:rsidR="00C749A6" w:rsidRPr="00C749A6">
        <w:t>kalttizaoui@gmail.com</w:t>
      </w:r>
      <w:r w:rsidR="00C749A6">
        <w:t xml:space="preserve"> (K.T.) </w:t>
      </w:r>
    </w:p>
    <w:p w:rsidR="00A96C20" w:rsidRDefault="00A96C20" w:rsidP="00A96C20">
      <w:pPr>
        <w:pStyle w:val="MDPI16affiliation"/>
      </w:pPr>
      <w:r>
        <w:lastRenderedPageBreak/>
        <w:t>20. Department of Pharmaceutical Sciences and Interdepartmental Research Center of Pharmacogenetics and Pharmacogenomics (CRIFF), University of Piemonte Orientale, 28100 Novara, Italy</w:t>
      </w:r>
      <w:r w:rsidR="00C749A6">
        <w:t xml:space="preserve">; </w:t>
      </w:r>
      <w:r w:rsidR="00C749A6" w:rsidRPr="00C749A6">
        <w:t>sarah.cargnin@uniupo.it</w:t>
      </w:r>
      <w:r w:rsidR="00C749A6">
        <w:t xml:space="preserve"> (S.C.); </w:t>
      </w:r>
      <w:r w:rsidR="00C749A6" w:rsidRPr="00C749A6">
        <w:t>salvatore.terrazzino@uniupo.it</w:t>
      </w:r>
      <w:r w:rsidR="00C749A6">
        <w:t xml:space="preserve"> (S.T) </w:t>
      </w:r>
    </w:p>
    <w:p w:rsidR="00A96C20" w:rsidRDefault="00A96C20" w:rsidP="00A96C20">
      <w:pPr>
        <w:pStyle w:val="MDPI16affiliation"/>
      </w:pPr>
      <w:r>
        <w:t>21. Division of Urology, Brigham and Women’s Hospital and Harvard Medical School, Boston, MA, USA</w:t>
      </w:r>
      <w:r w:rsidR="00C749A6">
        <w:t xml:space="preserve">; </w:t>
      </w:r>
      <w:r w:rsidR="00C749A6" w:rsidRPr="00C749A6">
        <w:t>ramy.aboughayda@gmail.com</w:t>
      </w:r>
      <w:r w:rsidR="00C749A6">
        <w:t xml:space="preserve"> (R.A.G.) </w:t>
      </w:r>
    </w:p>
    <w:p w:rsidR="00A96C20" w:rsidRDefault="00A96C20" w:rsidP="00A96C20">
      <w:pPr>
        <w:pStyle w:val="MDPI16affiliation"/>
      </w:pPr>
      <w:r>
        <w:t>22. Department of Internal Medicine IV (Nephrology and Hypertension), Medical University Innsbruck, Innsbruck 6020, Austria</w:t>
      </w:r>
      <w:r w:rsidR="00C749A6">
        <w:t xml:space="preserve">; </w:t>
      </w:r>
      <w:r w:rsidR="00C749A6" w:rsidRPr="00C749A6">
        <w:t>Andreas.Kronbichler@i-med.ac.at</w:t>
      </w:r>
      <w:r w:rsidR="00C749A6">
        <w:t xml:space="preserve"> (A.K.) </w:t>
      </w:r>
    </w:p>
    <w:p w:rsidR="00A96C20" w:rsidRDefault="00A96C20" w:rsidP="00996419">
      <w:pPr>
        <w:pStyle w:val="MDPI16affiliation"/>
      </w:pPr>
    </w:p>
    <w:p w:rsidR="00996419" w:rsidRPr="00A27720" w:rsidRDefault="00996419" w:rsidP="00996419">
      <w:pPr>
        <w:pStyle w:val="MDPI14history"/>
        <w:spacing w:before="0"/>
        <w:ind w:left="311" w:hanging="198"/>
      </w:pPr>
      <w:r w:rsidRPr="00A27720">
        <w:rPr>
          <w:b/>
        </w:rPr>
        <w:t>*</w:t>
      </w:r>
      <w:r w:rsidRPr="00A27720">
        <w:tab/>
      </w:r>
      <w:r w:rsidR="00F41DB6">
        <w:t>*</w:t>
      </w:r>
      <w:r w:rsidR="00F41DB6">
        <w:tab/>
        <w:t xml:space="preserve">Correspondence: </w:t>
      </w:r>
      <w:r w:rsidR="00F41DB6" w:rsidRPr="00F41DB6">
        <w:t>shinji@yuhs.ac (J.I.S.); Tel.: +82-2-2228-2050</w:t>
      </w:r>
    </w:p>
    <w:p w:rsidR="00996419" w:rsidRPr="00A27720" w:rsidRDefault="00996419" w:rsidP="00ED3BC5">
      <w:pPr>
        <w:pStyle w:val="MDPI17abstract"/>
        <w:rPr>
          <w:color w:val="auto"/>
        </w:rPr>
      </w:pPr>
      <w:r w:rsidRPr="00A27720">
        <w:rPr>
          <w:b/>
        </w:rPr>
        <w:t xml:space="preserve">Abstract: </w:t>
      </w:r>
      <w:r w:rsidR="00ED3BC5">
        <w:t xml:space="preserve">(1) Background: The use of corticosteroids in critical coronavirus infections including severe acute respiratory syndrome (SARS), Middle East Respiratory Syndrome (MERS), or Coronavirus disease 2019 (COVID-19) has been controversial. However, a meta-analysis on the efficacy of steroids in treating these coronavirus infections is lacking. (2) Purpose: </w:t>
      </w:r>
      <w:r w:rsidR="00E73165" w:rsidRPr="00E73165">
        <w:t xml:space="preserve">We assessed a methodological criticism on the quality of previous published meta-analyses and the risk of misleading conclusions with important therapeutic consequences. We also </w:t>
      </w:r>
      <w:r w:rsidR="00ED3BC5">
        <w:t xml:space="preserve">examined the evidence of the efficacy of corticosteroids in reducing mortality in SARS, MERS and COVID-19. (3) Methods: PubMed, MEDLINE, </w:t>
      </w:r>
      <w:proofErr w:type="spellStart"/>
      <w:r w:rsidR="00ED3BC5">
        <w:t>Embase</w:t>
      </w:r>
      <w:proofErr w:type="spellEnd"/>
      <w:r w:rsidR="00ED3BC5">
        <w:t xml:space="preserve">, and Web of Science were used to identify studies published until April 25, 2020 that reported associations between steroid use and mortality in treating SARS/MERS/COVID-19. Two investigators screened and extracted data independently. Searches were restricted to studies on humans, and articles that did not report the exact number of patients in each group or data on mortality were excluded. We calculated odds ratios (ORs) or Hazard ratios (HRs) under the fixed- and random-effect model. (4) Results: Nine studies (4051 patients) were eligible for inclusion. Among these selected studies, 3416 patients were diagnosed with SARS, 360 patients with MERS, and 275 with COVID-19; 60.3% patients were administered steroids. The meta-analyses including all studies showed no differences overall in terms of mortality (OR 1.152 [95% CI 0.631-2.101] in </w:t>
      </w:r>
      <w:r w:rsidR="00EF1787">
        <w:t xml:space="preserve">the </w:t>
      </w:r>
      <w:r w:rsidR="00ED3BC5">
        <w:t xml:space="preserve">random effects model, P=0.645). However, this conclusion might be biased, because in some studies, the patients in the steroid group had more severe symptoms than those in the control group. In contrast, when the meta-analysis was performed restricting only to studies that used appropriate adjustment (e.g., time, disease severity), there was a significant difference between the two groups (HR 0.378 [95% CI 0.221-0.646] in </w:t>
      </w:r>
      <w:r w:rsidR="00EF1787">
        <w:t xml:space="preserve">the </w:t>
      </w:r>
      <w:r w:rsidR="00ED3BC5">
        <w:t>random effects model, P&lt;0.0001). Although there was no difference in mortality when steroids were used in severe cases, there was a difference among the group with more underlying diseases (OR 3.133 [95% CI [1.670-5.877] P&lt;0.001). (5) Conclusions: To our knowledge, this study is the first comprehensive systematic review and meta-analysis providing the most accurate evidence on the effect of steroids in coronavirus infections. If not contraindicated, and in the absence of side effects, the use of steroids should be considered in coronavirus infection including COVID-19.</w:t>
      </w:r>
    </w:p>
    <w:p w:rsidR="00996419" w:rsidRPr="00A27720" w:rsidRDefault="00996419" w:rsidP="00996419">
      <w:pPr>
        <w:pStyle w:val="MDPI18keywords"/>
      </w:pPr>
      <w:r w:rsidRPr="00A27720">
        <w:rPr>
          <w:b/>
        </w:rPr>
        <w:t xml:space="preserve">Keywords: </w:t>
      </w:r>
      <w:r w:rsidR="00CB26F1" w:rsidRPr="00CB26F1">
        <w:t>corticosteroids; coronavirus; severe acute respiratory syndrome (SARS); Middle East respiratory syndrome (MERS); coronavirus disease 2019 (COVID-19)</w:t>
      </w:r>
    </w:p>
    <w:p w:rsidR="00996419" w:rsidRPr="00A27720" w:rsidRDefault="00996419" w:rsidP="00996419">
      <w:pPr>
        <w:pStyle w:val="MDPI19line"/>
      </w:pPr>
    </w:p>
    <w:p w:rsidR="00996419" w:rsidRPr="00A27720" w:rsidRDefault="00996419" w:rsidP="00996419">
      <w:pPr>
        <w:pStyle w:val="MDPI21heading1"/>
      </w:pPr>
      <w:r w:rsidRPr="00A27720">
        <w:rPr>
          <w:lang w:eastAsia="zh-CN"/>
        </w:rPr>
        <w:t xml:space="preserve">1. </w:t>
      </w:r>
      <w:r w:rsidRPr="00A27720">
        <w:t>Introduction</w:t>
      </w:r>
    </w:p>
    <w:p w:rsidR="005832C3" w:rsidRDefault="005832C3" w:rsidP="009E6B0E">
      <w:pPr>
        <w:pStyle w:val="MDPI21heading1"/>
        <w:snapToGrid/>
        <w:spacing w:before="0" w:after="0"/>
        <w:ind w:firstLineChars="213" w:firstLine="426"/>
        <w:contextualSpacing/>
        <w:jc w:val="both"/>
        <w:rPr>
          <w:b w:val="0"/>
        </w:rPr>
      </w:pPr>
      <w:r w:rsidRPr="005832C3">
        <w:rPr>
          <w:b w:val="0"/>
        </w:rPr>
        <w:t xml:space="preserve">Coronavirus disease 2019 (COVID-19), also known as the causative novel virus named severe acute respiratory syndrome coronavirus 2 (SARS-CoV-2), originated in Wuhan, China at the end of the year 2019 [1-3], and subsequently spread across the globe as a pandemic, affecting 213 countries to date [1]. As of May </w:t>
      </w:r>
      <w:r w:rsidR="009E6B0E">
        <w:rPr>
          <w:b w:val="0"/>
        </w:rPr>
        <w:t>16</w:t>
      </w:r>
      <w:r w:rsidRPr="005832C3">
        <w:rPr>
          <w:b w:val="0"/>
        </w:rPr>
        <w:t xml:space="preserve">, 2020, </w:t>
      </w:r>
      <w:r w:rsidR="009E6B0E">
        <w:rPr>
          <w:b w:val="0"/>
        </w:rPr>
        <w:t>4,425,485</w:t>
      </w:r>
      <w:r w:rsidRPr="005832C3">
        <w:rPr>
          <w:b w:val="0"/>
        </w:rPr>
        <w:t xml:space="preserve"> confirmed cases have been report</w:t>
      </w:r>
      <w:r w:rsidR="009E6B0E">
        <w:rPr>
          <w:b w:val="0"/>
        </w:rPr>
        <w:t>ed, with a mortality rate of 6.8</w:t>
      </w:r>
      <w:r w:rsidRPr="005832C3">
        <w:rPr>
          <w:b w:val="0"/>
        </w:rPr>
        <w:t>% (</w:t>
      </w:r>
      <w:r w:rsidR="009E6B0E">
        <w:rPr>
          <w:b w:val="0"/>
        </w:rPr>
        <w:t>302,059</w:t>
      </w:r>
      <w:r w:rsidRPr="005832C3">
        <w:rPr>
          <w:b w:val="0"/>
        </w:rPr>
        <w:t xml:space="preserve"> deaths) [1]. COVID-19 is highly contagious [4-6], and there is currently neither a therapeutic agent which showed convincing efficacy, in part due to the inappropriate trial design of most studies [7], </w:t>
      </w:r>
      <w:r w:rsidR="00EF1787" w:rsidRPr="00EF1787">
        <w:rPr>
          <w:b w:val="0"/>
        </w:rPr>
        <w:t xml:space="preserve">nor a vaccine readily available at present time [8-9]. </w:t>
      </w:r>
      <w:proofErr w:type="gramStart"/>
      <w:r w:rsidR="00EF1787" w:rsidRPr="00EF1787">
        <w:rPr>
          <w:b w:val="0"/>
        </w:rPr>
        <w:t>Thus</w:t>
      </w:r>
      <w:proofErr w:type="gramEnd"/>
      <w:r w:rsidR="00EF1787" w:rsidRPr="00EF1787">
        <w:rPr>
          <w:b w:val="0"/>
        </w:rPr>
        <w:t xml:space="preserve"> public health measures have been limited to a focus on curbing the rate of transmis</w:t>
      </w:r>
      <w:r w:rsidR="00EF1787">
        <w:rPr>
          <w:b w:val="0"/>
        </w:rPr>
        <w:t>sion through social distancing.</w:t>
      </w:r>
    </w:p>
    <w:p w:rsidR="009E6B0E" w:rsidRDefault="005832C3" w:rsidP="009E6B0E">
      <w:pPr>
        <w:pStyle w:val="MDPI21heading1"/>
        <w:snapToGrid/>
        <w:ind w:firstLineChars="213" w:firstLine="426"/>
        <w:contextualSpacing/>
        <w:jc w:val="both"/>
        <w:rPr>
          <w:b w:val="0"/>
        </w:rPr>
      </w:pPr>
      <w:r w:rsidRPr="005832C3">
        <w:rPr>
          <w:b w:val="0"/>
        </w:rPr>
        <w:lastRenderedPageBreak/>
        <w:t>In the past two decades, the world has already been affected by two severe global human coronavirus (</w:t>
      </w:r>
      <w:proofErr w:type="spellStart"/>
      <w:r w:rsidRPr="005832C3">
        <w:rPr>
          <w:b w:val="0"/>
        </w:rPr>
        <w:t>hCoVs</w:t>
      </w:r>
      <w:proofErr w:type="spellEnd"/>
      <w:r w:rsidRPr="005832C3">
        <w:rPr>
          <w:b w:val="0"/>
        </w:rPr>
        <w:t>) outbreaks: severe acute respiratory syndrome-coronavirus (SARS) [10, 11] and Middle East respiratory syndrome-coronavirus (MERS) [12, 13], both exhibiting high mortality rates. These two lethal diseases were caused by SARS-</w:t>
      </w:r>
      <w:proofErr w:type="spellStart"/>
      <w:r w:rsidRPr="005832C3">
        <w:rPr>
          <w:b w:val="0"/>
        </w:rPr>
        <w:t>CoV</w:t>
      </w:r>
      <w:proofErr w:type="spellEnd"/>
      <w:r w:rsidRPr="005832C3">
        <w:rPr>
          <w:b w:val="0"/>
        </w:rPr>
        <w:t xml:space="preserve"> in November 2002 [10, 14], and MERS-</w:t>
      </w:r>
      <w:proofErr w:type="spellStart"/>
      <w:r w:rsidRPr="005832C3">
        <w:rPr>
          <w:b w:val="0"/>
        </w:rPr>
        <w:t>CoV</w:t>
      </w:r>
      <w:proofErr w:type="spellEnd"/>
      <w:r w:rsidRPr="005832C3">
        <w:rPr>
          <w:b w:val="0"/>
        </w:rPr>
        <w:t xml:space="preserve"> in September 2012 [12, 15], respectively. It was only after these outbreaks and studying and treating thousands of confirmed cases that we are now </w:t>
      </w:r>
      <w:proofErr w:type="gramStart"/>
      <w:r w:rsidRPr="005832C3">
        <w:rPr>
          <w:b w:val="0"/>
        </w:rPr>
        <w:t>in a position</w:t>
      </w:r>
      <w:proofErr w:type="gramEnd"/>
      <w:r w:rsidRPr="005832C3">
        <w:rPr>
          <w:b w:val="0"/>
        </w:rPr>
        <w:t xml:space="preserve"> to begin to understand the coronavirus [10, 12]. Rapid deterioration or death from the novel coronavirus is attributable to the “cytokine storm” caused by the </w:t>
      </w:r>
      <w:proofErr w:type="spellStart"/>
      <w:r w:rsidRPr="005832C3">
        <w:rPr>
          <w:b w:val="0"/>
        </w:rPr>
        <w:t>hCoVs</w:t>
      </w:r>
      <w:proofErr w:type="spellEnd"/>
      <w:r w:rsidRPr="005832C3">
        <w:rPr>
          <w:b w:val="0"/>
        </w:rPr>
        <w:t xml:space="preserve"> [16-18], which is the overproduction of immune cells and cytokines (proteins secreted by the immune cells) that surge into the lungs damaging tissue and organs [19-21]. Therefore, treatments have involved drugs that regulate this phenomenon, including corticosteroids, for their known properties of immune regulation and their proven efficacy in treating SARS or MERS [16-17].</w:t>
      </w:r>
      <w:r w:rsidR="009E6B0E">
        <w:rPr>
          <w:b w:val="0"/>
        </w:rPr>
        <w:t xml:space="preserve"> </w:t>
      </w:r>
    </w:p>
    <w:p w:rsidR="005832C3" w:rsidRPr="005832C3" w:rsidRDefault="005832C3" w:rsidP="009E6B0E">
      <w:pPr>
        <w:pStyle w:val="MDPI21heading1"/>
        <w:snapToGrid/>
        <w:ind w:firstLineChars="213" w:firstLine="426"/>
        <w:contextualSpacing/>
        <w:jc w:val="both"/>
        <w:rPr>
          <w:b w:val="0"/>
        </w:rPr>
      </w:pPr>
      <w:r w:rsidRPr="005832C3">
        <w:rPr>
          <w:b w:val="0"/>
        </w:rPr>
        <w:t xml:space="preserve">However, Russell and colleagues worried about the use of corticosteroids in COVID-19 in a recent published paper [22]. The authors stated that steroids may be harmful and therefore should not be used. Further, since there has been no randomized control trials (RCTs), or COVID-19 patient data regarding steroid use, the World Health Organization (WHO) and Center for Disease Control (CDC) do not unreservedly recommend the routine use of corticosteroids [23, 24], which obfuscates clinical practices. </w:t>
      </w:r>
    </w:p>
    <w:p w:rsidR="005832C3" w:rsidRDefault="005832C3" w:rsidP="009E6B0E">
      <w:pPr>
        <w:pStyle w:val="MDPI21heading1"/>
        <w:snapToGrid/>
        <w:ind w:firstLineChars="213" w:firstLine="426"/>
        <w:contextualSpacing/>
        <w:jc w:val="both"/>
        <w:rPr>
          <w:b w:val="0"/>
        </w:rPr>
      </w:pPr>
      <w:r w:rsidRPr="005832C3">
        <w:rPr>
          <w:b w:val="0"/>
        </w:rPr>
        <w:t>Previous systematic reviews in patients with SARS, MERS or COVID-19 have shown conflicting results. Thus, in this systematic review with meta-analysis of observational studies, we aim to assess the efficacy of corticosteroids for adult patients admitted to hospital with coronavirus disease.</w:t>
      </w:r>
    </w:p>
    <w:p w:rsidR="003A082C" w:rsidRDefault="003A082C" w:rsidP="009E6B0E">
      <w:pPr>
        <w:pStyle w:val="MDPI21heading1"/>
        <w:snapToGrid/>
        <w:ind w:firstLineChars="213" w:firstLine="426"/>
        <w:contextualSpacing/>
        <w:jc w:val="both"/>
        <w:rPr>
          <w:b w:val="0"/>
        </w:rPr>
      </w:pPr>
    </w:p>
    <w:p w:rsidR="00996419" w:rsidRPr="00A27720" w:rsidRDefault="00996419" w:rsidP="005832C3">
      <w:pPr>
        <w:pStyle w:val="MDPI21heading1"/>
      </w:pPr>
      <w:r w:rsidRPr="00A27720">
        <w:rPr>
          <w:lang w:eastAsia="zh-CN"/>
        </w:rPr>
        <w:t xml:space="preserve">2. </w:t>
      </w:r>
      <w:r w:rsidR="00CB26F1">
        <w:rPr>
          <w:lang w:eastAsia="en-US"/>
        </w:rPr>
        <w:t>Methods</w:t>
      </w:r>
    </w:p>
    <w:p w:rsidR="00CB26F1" w:rsidRPr="00CB26F1" w:rsidRDefault="00CB26F1" w:rsidP="00CB26F1">
      <w:pPr>
        <w:pStyle w:val="MDPI21heading1"/>
        <w:rPr>
          <w:i/>
        </w:rPr>
      </w:pPr>
      <w:r w:rsidRPr="00CB26F1">
        <w:rPr>
          <w:i/>
        </w:rPr>
        <w:t>Literature search strategy and selection criteria</w:t>
      </w:r>
    </w:p>
    <w:p w:rsidR="00CB26F1" w:rsidRPr="00CB26F1" w:rsidRDefault="00CB26F1" w:rsidP="00631A75">
      <w:pPr>
        <w:pStyle w:val="MDPI21heading1"/>
        <w:spacing w:before="0" w:after="0"/>
        <w:ind w:firstLineChars="283" w:firstLine="566"/>
        <w:jc w:val="both"/>
        <w:rPr>
          <w:b w:val="0"/>
        </w:rPr>
      </w:pPr>
      <w:r w:rsidRPr="00CB26F1">
        <w:rPr>
          <w:b w:val="0"/>
        </w:rPr>
        <w:t>For this systematic review and meta-analysis, we followed Preferred Reporting Items for Systematic Reviews and Meta-analyses (PRISMA) guidelines</w:t>
      </w:r>
      <w:r w:rsidR="005832C3">
        <w:rPr>
          <w:b w:val="0"/>
        </w:rPr>
        <w:t xml:space="preserve"> [25]</w:t>
      </w:r>
      <w:r w:rsidRPr="00CB26F1">
        <w:rPr>
          <w:b w:val="0"/>
          <w:vertAlign w:val="superscript"/>
        </w:rPr>
        <w:t xml:space="preserve"> </w:t>
      </w:r>
      <w:r w:rsidRPr="00CB26F1">
        <w:rPr>
          <w:b w:val="0"/>
        </w:rPr>
        <w:t>(</w:t>
      </w:r>
      <w:r w:rsidR="00030A33">
        <w:t>Table S</w:t>
      </w:r>
      <w:r w:rsidRPr="005832C3">
        <w:t>1</w:t>
      </w:r>
      <w:r w:rsidRPr="00CB26F1">
        <w:rPr>
          <w:b w:val="0"/>
        </w:rPr>
        <w:t>).</w:t>
      </w:r>
      <w:r w:rsidRPr="00CB26F1">
        <w:rPr>
          <w:b w:val="0"/>
          <w:vertAlign w:val="superscript"/>
        </w:rPr>
        <w:t xml:space="preserve"> </w:t>
      </w:r>
      <w:r w:rsidRPr="00CB26F1">
        <w:rPr>
          <w:b w:val="0"/>
        </w:rPr>
        <w:t xml:space="preserve">We searched PubMed, MEDLINE, </w:t>
      </w:r>
      <w:proofErr w:type="spellStart"/>
      <w:r w:rsidRPr="00CB26F1">
        <w:rPr>
          <w:b w:val="0"/>
        </w:rPr>
        <w:t>Embase</w:t>
      </w:r>
      <w:proofErr w:type="spellEnd"/>
      <w:r w:rsidRPr="00CB26F1">
        <w:rPr>
          <w:b w:val="0"/>
        </w:rPr>
        <w:t>, Web of Science and limited the search to human findings and included reports published in any language. The search terms used were as follows: "MERS”, “middle east respiratory syndrome”, "SARS", "severe acute respiratory syndrome", “Coronavirus 19”, “COVID-19”, “SARS-CoV-2”, “2019-nCoV”, “coronavirus", “steroid”, “corticosteroid”, "glucocorticoid", "cortisone", “hydrocortisone", "prednisone", "prednisolone", "dexamethasone", "triamcinolone" (</w:t>
      </w:r>
      <w:r w:rsidR="00030A33">
        <w:t>Table S</w:t>
      </w:r>
      <w:r w:rsidRPr="005832C3">
        <w:t>2</w:t>
      </w:r>
      <w:r w:rsidRPr="00CB26F1">
        <w:rPr>
          <w:b w:val="0"/>
        </w:rPr>
        <w:t xml:space="preserve">). We also extended the references cited in the publications by performing a forward search. </w:t>
      </w:r>
    </w:p>
    <w:p w:rsidR="00CB26F1" w:rsidRPr="00CB26F1" w:rsidRDefault="00CB26F1" w:rsidP="00631A75">
      <w:pPr>
        <w:pStyle w:val="MDPI21heading1"/>
        <w:spacing w:before="0" w:after="0"/>
        <w:ind w:firstLineChars="283" w:firstLine="566"/>
        <w:jc w:val="both"/>
        <w:rPr>
          <w:b w:val="0"/>
        </w:rPr>
      </w:pPr>
      <w:r w:rsidRPr="00CB26F1">
        <w:rPr>
          <w:b w:val="0"/>
        </w:rPr>
        <w:t>We reviewed papers describing steroids during the extraction process, and as a result, all-cause mortality was decided as a primary outcome due to data availability. In addition, we also collected data on characteristics of the patients such as sex or mean age, location and number of hospitals, type of steroids, duration of steroid use, mean duration between onset of illness and initiation of steroid, number of patients with intensive care unit (ICU) care, mechanical ventilator and acute lung injury (ALI) or acute respiratory distress syndrome (ARDS).</w:t>
      </w:r>
    </w:p>
    <w:p w:rsidR="00CB26F1" w:rsidRPr="00CB26F1" w:rsidRDefault="00CB26F1" w:rsidP="00631A75">
      <w:pPr>
        <w:pStyle w:val="MDPI21heading1"/>
        <w:spacing w:before="0" w:after="0"/>
        <w:ind w:firstLineChars="354" w:firstLine="708"/>
        <w:jc w:val="both"/>
        <w:rPr>
          <w:b w:val="0"/>
        </w:rPr>
      </w:pPr>
      <w:r w:rsidRPr="00CB26F1">
        <w:rPr>
          <w:b w:val="0"/>
        </w:rPr>
        <w:t xml:space="preserve">Based on our defined primary outcome of mortality between steroid users and a control group, studies either not reporting the number of patients receiving steroids, or mortality rate were excluded even if the use of steroids was described. During the search process, we extended the type of studies not only to RCTs but also prospective cohort, population-based, case-control studies on the association of corticosteroid use and </w:t>
      </w:r>
      <w:proofErr w:type="spellStart"/>
      <w:r w:rsidRPr="00CB26F1">
        <w:rPr>
          <w:b w:val="0"/>
        </w:rPr>
        <w:t>hCoVs</w:t>
      </w:r>
      <w:proofErr w:type="spellEnd"/>
      <w:r w:rsidRPr="00CB26F1">
        <w:rPr>
          <w:b w:val="0"/>
        </w:rPr>
        <w:t xml:space="preserve">. However, case reports, case series and studies without </w:t>
      </w:r>
      <w:proofErr w:type="gramStart"/>
      <w:r w:rsidRPr="00CB26F1">
        <w:rPr>
          <w:b w:val="0"/>
        </w:rPr>
        <w:t>sufficient</w:t>
      </w:r>
      <w:proofErr w:type="gramEnd"/>
      <w:r w:rsidRPr="00CB26F1">
        <w:rPr>
          <w:b w:val="0"/>
        </w:rPr>
        <w:t xml:space="preserve"> data were excluded. In this process, we also excluded in vitro or in vivo studies, genetic studies and conference abstracts. The search was restricted to studies in humans.</w:t>
      </w:r>
    </w:p>
    <w:p w:rsidR="00CB26F1" w:rsidRDefault="00CB26F1" w:rsidP="00631A75">
      <w:pPr>
        <w:pStyle w:val="MDPI21heading1"/>
        <w:spacing w:before="0" w:after="0"/>
        <w:ind w:firstLineChars="283" w:firstLine="566"/>
        <w:jc w:val="both"/>
        <w:rPr>
          <w:b w:val="0"/>
        </w:rPr>
      </w:pPr>
      <w:r w:rsidRPr="00CB26F1">
        <w:rPr>
          <w:b w:val="0"/>
        </w:rPr>
        <w:t xml:space="preserve">Two investigators (KHL and JIS) did the search and manually screened the data. KHL and JIS extracted independently and double-checked to determine whether the eligible articles met the inclusion criteria. The last search was done on April 25, 2020 and we excluded 857 overlapping or duplicated data sets. We first excluded duplicate articles and then labelled all the articles by examining titles, abstracts and full texts in order. From 2140 articles, a total of 8 articles (with 9 studies) </w:t>
      </w:r>
      <w:r w:rsidRPr="00CB26F1">
        <w:rPr>
          <w:b w:val="0"/>
        </w:rPr>
        <w:lastRenderedPageBreak/>
        <w:t xml:space="preserve">were included for the primary outcome. A detailed flow-chart of screening and choosing eligible articles is presented in in </w:t>
      </w:r>
      <w:r w:rsidRPr="005832C3">
        <w:t>Fig</w:t>
      </w:r>
      <w:r w:rsidR="005832C3" w:rsidRPr="005832C3">
        <w:t>ure</w:t>
      </w:r>
      <w:r w:rsidRPr="005832C3">
        <w:t xml:space="preserve"> 1</w:t>
      </w:r>
      <w:r w:rsidRPr="00CB26F1">
        <w:rPr>
          <w:b w:val="0"/>
        </w:rPr>
        <w:t xml:space="preserve"> and </w:t>
      </w:r>
      <w:r w:rsidR="00030A33">
        <w:t>Table S</w:t>
      </w:r>
      <w:r w:rsidRPr="005832C3">
        <w:t>3</w:t>
      </w:r>
      <w:r w:rsidRPr="00CB26F1">
        <w:rPr>
          <w:b w:val="0"/>
        </w:rPr>
        <w:t>.</w:t>
      </w:r>
    </w:p>
    <w:p w:rsidR="00F21504" w:rsidRDefault="00F21504" w:rsidP="00631A75">
      <w:pPr>
        <w:pStyle w:val="MDPI21heading1"/>
        <w:spacing w:before="0" w:after="0"/>
        <w:ind w:firstLineChars="283" w:firstLine="566"/>
        <w:jc w:val="both"/>
        <w:rPr>
          <w:b w:val="0"/>
        </w:rPr>
      </w:pPr>
    </w:p>
    <w:p w:rsidR="00F21504" w:rsidRDefault="00F21504" w:rsidP="00F21504">
      <w:pPr>
        <w:pStyle w:val="MDPI21heading1"/>
        <w:spacing w:after="0"/>
        <w:rPr>
          <w:i/>
        </w:rPr>
      </w:pPr>
      <w:r w:rsidRPr="00F21504">
        <w:rPr>
          <w:i/>
        </w:rPr>
        <w:t>Quality assessment</w:t>
      </w:r>
      <w:r w:rsidRPr="00F21504">
        <w:rPr>
          <w:i/>
        </w:rPr>
        <w:tab/>
      </w:r>
    </w:p>
    <w:p w:rsidR="00F21504" w:rsidRDefault="00F21504" w:rsidP="00F21504">
      <w:pPr>
        <w:pStyle w:val="MDPI21heading1"/>
        <w:spacing w:before="0" w:after="0"/>
        <w:ind w:firstLineChars="283" w:firstLine="566"/>
        <w:jc w:val="both"/>
        <w:rPr>
          <w:b w:val="0"/>
        </w:rPr>
      </w:pPr>
    </w:p>
    <w:p w:rsidR="00F21504" w:rsidRDefault="00F21504" w:rsidP="00F21504">
      <w:pPr>
        <w:pStyle w:val="MDPI21heading1"/>
        <w:spacing w:before="0" w:after="0"/>
        <w:ind w:firstLineChars="283" w:firstLine="566"/>
        <w:jc w:val="both"/>
        <w:rPr>
          <w:b w:val="0"/>
        </w:rPr>
      </w:pPr>
      <w:proofErr w:type="gramStart"/>
      <w:r w:rsidRPr="00F21504">
        <w:rPr>
          <w:b w:val="0"/>
        </w:rPr>
        <w:t>First of all</w:t>
      </w:r>
      <w:proofErr w:type="gramEnd"/>
      <w:r w:rsidRPr="00F21504">
        <w:rPr>
          <w:b w:val="0"/>
        </w:rPr>
        <w:t>, we performed the initial quality assessment using A Measurement Tool to Assess Systematic Review 2 (AMSTAR 2)</w:t>
      </w:r>
      <w:r w:rsidR="005832C3">
        <w:rPr>
          <w:b w:val="0"/>
        </w:rPr>
        <w:t xml:space="preserve"> [26]</w:t>
      </w:r>
      <w:r w:rsidRPr="00F21504">
        <w:rPr>
          <w:b w:val="0"/>
        </w:rPr>
        <w:t xml:space="preserve"> for the systematic review conducted by Russell et al.</w:t>
      </w:r>
      <w:r w:rsidR="005832C3">
        <w:rPr>
          <w:b w:val="0"/>
        </w:rPr>
        <w:t>[22]</w:t>
      </w:r>
      <w:r w:rsidRPr="00F21504">
        <w:rPr>
          <w:b w:val="0"/>
        </w:rPr>
        <w:t>,</w:t>
      </w:r>
      <w:r w:rsidRPr="00F21504">
        <w:rPr>
          <w:b w:val="0"/>
          <w:vertAlign w:val="superscript"/>
        </w:rPr>
        <w:t xml:space="preserve"> </w:t>
      </w:r>
      <w:r w:rsidRPr="00F21504">
        <w:rPr>
          <w:b w:val="0"/>
        </w:rPr>
        <w:t>which is an appraisal tool for systematic reviews (</w:t>
      </w:r>
      <w:r w:rsidR="00030A33">
        <w:t>Table S</w:t>
      </w:r>
      <w:r w:rsidRPr="005832C3">
        <w:t>4</w:t>
      </w:r>
      <w:r w:rsidRPr="00F21504">
        <w:rPr>
          <w:b w:val="0"/>
        </w:rPr>
        <w:t>). For this study, we scored one point for each of the fifteen criteria which the study fully met. If the study did not meet these criteria, or if they did not report the data, we assigned 0 point. Scores of 11-16 were considered high, a moderate score ranged from 6 to 10, and scores between 0–5 were graded low quality.</w:t>
      </w:r>
    </w:p>
    <w:p w:rsidR="00F21504" w:rsidRPr="00F21504" w:rsidRDefault="00F21504" w:rsidP="00F21504">
      <w:pPr>
        <w:pStyle w:val="MDPI21heading1"/>
        <w:spacing w:before="0" w:after="0"/>
        <w:ind w:firstLineChars="283" w:firstLine="566"/>
        <w:jc w:val="both"/>
        <w:rPr>
          <w:b w:val="0"/>
        </w:rPr>
      </w:pPr>
      <w:r w:rsidRPr="00F21504">
        <w:rPr>
          <w:b w:val="0"/>
        </w:rPr>
        <w:t>After the literature search process, we re-assessed the methodological quality of included studies by means of a checklist based on an adapted version of the Newcastle-Ottawa scale</w:t>
      </w:r>
      <w:r w:rsidR="005832C3">
        <w:rPr>
          <w:b w:val="0"/>
        </w:rPr>
        <w:t xml:space="preserve"> [27]</w:t>
      </w:r>
      <w:r w:rsidRPr="00F21504">
        <w:rPr>
          <w:b w:val="0"/>
        </w:rPr>
        <w:t>. Two reviewers (KHL and JIS) independently performed the quality assessment for included studies. Each study was scored based on an 8-point scale using three criteria: selection of participants (3 points), comparability of studies (1 point), and ascertainment of outcome of interest (4 points). We ranked the studies according to the summed scores: 7 or higher as high quality, moderate quality from 4 to 6 points, and low quality 3 points or less. Two reviewers resolved any discrepancies by re-evaluating the included studies for consensus (</w:t>
      </w:r>
      <w:r w:rsidR="00030A33">
        <w:t>Table S</w:t>
      </w:r>
      <w:r w:rsidRPr="005832C3">
        <w:t>6-7</w:t>
      </w:r>
      <w:r w:rsidRPr="00F21504">
        <w:rPr>
          <w:b w:val="0"/>
        </w:rPr>
        <w:t>).</w:t>
      </w:r>
      <w:r w:rsidRPr="00F21504" w:rsidDel="0046645C">
        <w:rPr>
          <w:b w:val="0"/>
        </w:rPr>
        <w:t xml:space="preserve"> </w:t>
      </w:r>
    </w:p>
    <w:p w:rsidR="00F21504" w:rsidRPr="00F21504" w:rsidRDefault="00F21504" w:rsidP="00631A75">
      <w:pPr>
        <w:pStyle w:val="MDPI21heading1"/>
        <w:spacing w:before="0" w:after="0"/>
        <w:ind w:firstLineChars="283" w:firstLine="566"/>
        <w:jc w:val="both"/>
        <w:rPr>
          <w:b w:val="0"/>
        </w:rPr>
      </w:pPr>
    </w:p>
    <w:p w:rsidR="00F21504" w:rsidRPr="00713C2F" w:rsidRDefault="00F21504" w:rsidP="00631A75">
      <w:pPr>
        <w:pStyle w:val="MDPI21heading1"/>
        <w:spacing w:before="0" w:after="0"/>
        <w:ind w:firstLineChars="283" w:firstLine="509"/>
        <w:jc w:val="both"/>
        <w:rPr>
          <w:b w:val="0"/>
          <w:sz w:val="18"/>
        </w:rPr>
      </w:pPr>
      <w:r w:rsidRPr="00713C2F">
        <w:rPr>
          <w:b w:val="0"/>
          <w:sz w:val="18"/>
        </w:rPr>
        <w:t>Figure 1. Flow chart of literature search</w:t>
      </w:r>
    </w:p>
    <w:p w:rsidR="00F21504" w:rsidRDefault="0038104A" w:rsidP="00631A75">
      <w:pPr>
        <w:pStyle w:val="MDPI21heading1"/>
        <w:spacing w:before="0" w:after="0"/>
        <w:ind w:firstLineChars="283" w:firstLine="568"/>
        <w:jc w:val="both"/>
        <w:rPr>
          <w:b w:val="0"/>
        </w:rPr>
      </w:pPr>
      <w:r>
        <w:rPr>
          <w:noProof/>
          <w:lang w:eastAsia="ko-KR" w:bidi="ar-SA"/>
        </w:rPr>
        <w:lastRenderedPageBreak/>
        <w:drawing>
          <wp:inline distT="0" distB="0" distL="0" distR="0" wp14:anchorId="299D558F" wp14:editId="13E805FD">
            <wp:extent cx="4106386" cy="6375512"/>
            <wp:effectExtent l="0" t="0" r="8890" b="635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06386" cy="6375512"/>
                    </a:xfrm>
                    <a:prstGeom prst="rect">
                      <a:avLst/>
                    </a:prstGeom>
                  </pic:spPr>
                </pic:pic>
              </a:graphicData>
            </a:graphic>
          </wp:inline>
        </w:drawing>
      </w:r>
    </w:p>
    <w:p w:rsidR="00F21504" w:rsidRPr="00F21504" w:rsidRDefault="00F21504" w:rsidP="00F21504">
      <w:pPr>
        <w:pStyle w:val="MDPI21heading1"/>
        <w:spacing w:after="0"/>
        <w:rPr>
          <w:i/>
        </w:rPr>
      </w:pPr>
      <w:r w:rsidRPr="00F21504">
        <w:rPr>
          <w:i/>
        </w:rPr>
        <w:t>Analysis of Studies</w:t>
      </w:r>
    </w:p>
    <w:p w:rsidR="00F21504" w:rsidRPr="00F21504" w:rsidRDefault="00F21504" w:rsidP="00884C95">
      <w:pPr>
        <w:pStyle w:val="MDPI21heading1"/>
        <w:spacing w:after="0"/>
        <w:ind w:firstLineChars="283" w:firstLine="566"/>
        <w:jc w:val="both"/>
        <w:rPr>
          <w:b w:val="0"/>
        </w:rPr>
      </w:pPr>
      <w:r w:rsidRPr="00F21504">
        <w:rPr>
          <w:b w:val="0"/>
        </w:rPr>
        <w:t>In this paper, any kind of steroids mentioned in the included studies was accessed. We classified included studies into two categories: 1) intervention and 2) risk factor (</w:t>
      </w:r>
      <w:r w:rsidRPr="005832C3">
        <w:t>Table 1</w:t>
      </w:r>
      <w:r w:rsidRPr="00F21504">
        <w:rPr>
          <w:b w:val="0"/>
        </w:rPr>
        <w:t xml:space="preserve">). If the study performed an analysis comparing the steroid group with the non-steroid group as control, we classified it as “intervention”. These studies were further divided into those which were and were not adjusted for time. The first group contained both steroid </w:t>
      </w:r>
      <w:proofErr w:type="gramStart"/>
      <w:r w:rsidRPr="00F21504">
        <w:rPr>
          <w:b w:val="0"/>
        </w:rPr>
        <w:t>use</w:t>
      </w:r>
      <w:proofErr w:type="gramEnd"/>
      <w:r w:rsidRPr="00F21504">
        <w:rPr>
          <w:b w:val="0"/>
        </w:rPr>
        <w:t xml:space="preserve"> alone and steroid as an add-on therapy to ribavirin. </w:t>
      </w:r>
      <w:r w:rsidR="007D33B2" w:rsidRPr="007D33B2">
        <w:rPr>
          <w:b w:val="0"/>
        </w:rPr>
        <w:t xml:space="preserve">Whereas for the studies including only patients with description of steroid not belonging to the divided group according to steroid use, it was difficult to match the relationship between corticosteroid itself and mortality because other variables were not corrected. In this case, it was classified separately into the "risk factor" category, meaning that steroids may act as variables. </w:t>
      </w:r>
      <w:r w:rsidRPr="00F21504">
        <w:rPr>
          <w:b w:val="0"/>
        </w:rPr>
        <w:t xml:space="preserve"> “ALI/ARDS” was described only in cases where the terms were clearly mentioned according to each </w:t>
      </w:r>
      <w:r w:rsidRPr="00F21504">
        <w:rPr>
          <w:b w:val="0"/>
        </w:rPr>
        <w:lastRenderedPageBreak/>
        <w:t>definition of the studies. Studies that only described saturation and chest X-ray findings without a diagnosis were not included.</w:t>
      </w:r>
    </w:p>
    <w:p w:rsidR="00F21504" w:rsidRPr="00F21504" w:rsidRDefault="00F21504" w:rsidP="00F21504">
      <w:pPr>
        <w:pStyle w:val="MDPI21heading1"/>
        <w:spacing w:after="0"/>
        <w:rPr>
          <w:i/>
        </w:rPr>
      </w:pPr>
      <w:r w:rsidRPr="00F21504">
        <w:rPr>
          <w:i/>
        </w:rPr>
        <w:t>Statistical Analysis</w:t>
      </w:r>
    </w:p>
    <w:p w:rsidR="005832C3" w:rsidRDefault="005832C3" w:rsidP="005832C3">
      <w:pPr>
        <w:pStyle w:val="MDPI21heading1"/>
        <w:ind w:firstLineChars="300" w:firstLine="600"/>
        <w:rPr>
          <w:b w:val="0"/>
        </w:rPr>
      </w:pPr>
      <w:r w:rsidRPr="005832C3">
        <w:rPr>
          <w:b w:val="0"/>
        </w:rPr>
        <w:t xml:space="preserve">To perform the meta-analysis, </w:t>
      </w:r>
      <w:proofErr w:type="spellStart"/>
      <w:r w:rsidRPr="005832C3">
        <w:rPr>
          <w:b w:val="0"/>
        </w:rPr>
        <w:t>MedCalc</w:t>
      </w:r>
      <w:proofErr w:type="spellEnd"/>
      <w:r w:rsidRPr="005832C3">
        <w:rPr>
          <w:b w:val="0"/>
        </w:rPr>
        <w:t xml:space="preserve"> version 19.2.1 software (</w:t>
      </w:r>
      <w:proofErr w:type="spellStart"/>
      <w:r w:rsidRPr="005832C3">
        <w:rPr>
          <w:b w:val="0"/>
        </w:rPr>
        <w:t>MedCalc</w:t>
      </w:r>
      <w:proofErr w:type="spellEnd"/>
      <w:r w:rsidRPr="005832C3">
        <w:rPr>
          <w:b w:val="0"/>
        </w:rPr>
        <w:t xml:space="preserve"> Software, Ostend, trial version, Belgium) and the statistical software R (version 3.5.1) were used. Summary effects with 95% confidence interval and the between-study heterogeneity were estimated. In addition, we performed meta-analyses to calculate the pooled odds ratios (ORs) or hazard ratio (HR) and p-value of eligible studies under the fixed and random-effect model to estimate the effect size (ES). P-value &lt; 0.05 was considered statistically significant. We also assessed the risk of publication bias with visual inspection of funnel plots and Egger’s asymmetry test [28]. Moreover, p-values were defined below thresholds 10-3 or 10-6 [29, 30] and Cochran’s Q test and I2 statistic were also calculated for the evaluation of heterogeneity between studies (I2 above 50% was considered as serious heterogeneity) [31]. Chi-square test was also performed to analyze the variables which were not </w:t>
      </w:r>
      <w:proofErr w:type="gramStart"/>
      <w:r w:rsidRPr="005832C3">
        <w:rPr>
          <w:b w:val="0"/>
        </w:rPr>
        <w:t>sufficient</w:t>
      </w:r>
      <w:proofErr w:type="gramEnd"/>
      <w:r w:rsidRPr="005832C3">
        <w:rPr>
          <w:b w:val="0"/>
        </w:rPr>
        <w:t xml:space="preserve"> for meta-analysis. In that case, </w:t>
      </w:r>
      <w:proofErr w:type="spellStart"/>
      <w:r w:rsidRPr="005832C3">
        <w:rPr>
          <w:b w:val="0"/>
        </w:rPr>
        <w:t>MedCalc</w:t>
      </w:r>
      <w:proofErr w:type="spellEnd"/>
      <w:r w:rsidRPr="005832C3">
        <w:rPr>
          <w:b w:val="0"/>
        </w:rPr>
        <w:t xml:space="preserve"> version 19.2.1 software was used </w:t>
      </w:r>
      <w:proofErr w:type="gramStart"/>
      <w:r w:rsidRPr="005832C3">
        <w:rPr>
          <w:b w:val="0"/>
        </w:rPr>
        <w:t>again</w:t>
      </w:r>
      <w:proofErr w:type="gramEnd"/>
      <w:r w:rsidRPr="005832C3">
        <w:rPr>
          <w:b w:val="0"/>
        </w:rPr>
        <w:t xml:space="preserve"> and differences were considered significant at p &lt; 0.05.</w:t>
      </w:r>
    </w:p>
    <w:p w:rsidR="00996419" w:rsidRPr="00A27720" w:rsidRDefault="00996419" w:rsidP="00996419">
      <w:pPr>
        <w:pStyle w:val="MDPI21heading1"/>
      </w:pPr>
      <w:r w:rsidRPr="00A27720">
        <w:t>3. Results</w:t>
      </w:r>
    </w:p>
    <w:p w:rsidR="003E4374" w:rsidRPr="003E4374" w:rsidRDefault="003E4374" w:rsidP="00216D24">
      <w:pPr>
        <w:pStyle w:val="MDPI33textspaceafter"/>
        <w:ind w:firstLine="0"/>
        <w:rPr>
          <w:b/>
          <w:bCs/>
          <w:i/>
        </w:rPr>
      </w:pPr>
      <w:r w:rsidRPr="003E4374">
        <w:rPr>
          <w:b/>
          <w:bCs/>
          <w:i/>
        </w:rPr>
        <w:t xml:space="preserve">Included studies and baseline characteristics  </w:t>
      </w:r>
    </w:p>
    <w:p w:rsidR="003E4374" w:rsidRPr="003E4374" w:rsidRDefault="005832C3" w:rsidP="003E4374">
      <w:pPr>
        <w:pStyle w:val="MDPI33textspaceafter"/>
        <w:spacing w:after="0"/>
      </w:pPr>
      <w:r w:rsidRPr="005832C3">
        <w:t xml:space="preserve">We identified 8 potentially relevant researches reporting deaths and complications of SARS, MERS and COVID-19 among steroid group and controls [32-39]. Because one of them [34] </w:t>
      </w:r>
      <w:r w:rsidR="003E4374" w:rsidRPr="003E4374">
        <w:t xml:space="preserve">was conducted in both Hong Kong and Toronto, the number of total studies </w:t>
      </w:r>
      <w:proofErr w:type="gramStart"/>
      <w:r w:rsidR="003E4374" w:rsidRPr="003E4374">
        <w:t>actually used</w:t>
      </w:r>
      <w:proofErr w:type="gramEnd"/>
      <w:r w:rsidR="003E4374" w:rsidRPr="003E4374">
        <w:t xml:space="preserve"> in the analysis resulted in 9 studies. The characteristics and summary of each of the studies are described </w:t>
      </w:r>
      <w:r w:rsidR="003E4374" w:rsidRPr="003E4374">
        <w:rPr>
          <w:b/>
        </w:rPr>
        <w:t>Tables 1, 2 and 3</w:t>
      </w:r>
      <w:r w:rsidR="003E4374" w:rsidRPr="003E4374">
        <w:t xml:space="preserve">. Detailed description of the included studies are summarized in </w:t>
      </w:r>
      <w:r w:rsidR="00030A33">
        <w:rPr>
          <w:b/>
        </w:rPr>
        <w:t>Table S</w:t>
      </w:r>
      <w:r w:rsidR="003E4374" w:rsidRPr="003E4374">
        <w:rPr>
          <w:b/>
        </w:rPr>
        <w:t>8-9</w:t>
      </w:r>
      <w:r w:rsidR="003E4374" w:rsidRPr="003E4374">
        <w:t xml:space="preserve">. </w:t>
      </w:r>
    </w:p>
    <w:p w:rsidR="003E4374" w:rsidRDefault="003E4374" w:rsidP="003E4374">
      <w:pPr>
        <w:pStyle w:val="MDPI33textspaceafter"/>
        <w:spacing w:after="0"/>
      </w:pPr>
      <w:r w:rsidRPr="003E4374">
        <w:t xml:space="preserve"> There were 7 “intervention” studies: 5 were not time-adjusted studies (calculated based on ORs without taking into consideration the timing of the event) and two studies were well controlled time-adjusted studies (used Cox regression based on HRs). Steroids were used in more severe cases in three of five non time-adjusted studies. The last two studies were about steroid as a “risk factor” meaning that steroid users had more severe underlying diseases (</w:t>
      </w:r>
      <w:r w:rsidRPr="003E4374">
        <w:rPr>
          <w:b/>
        </w:rPr>
        <w:t>Table 1</w:t>
      </w:r>
      <w:r w:rsidRPr="003E4374">
        <w:t xml:space="preserve">). </w:t>
      </w:r>
    </w:p>
    <w:p w:rsidR="003E4374" w:rsidRPr="003E4374" w:rsidRDefault="003E4374" w:rsidP="003E4374">
      <w:pPr>
        <w:pStyle w:val="MDPI33textspaceafter"/>
        <w:spacing w:after="0"/>
      </w:pPr>
      <w:r w:rsidRPr="003E4374">
        <w:t>The nine studies included 5 studies investigating outcome in SARS, 2 in MERS and 2 in COVID-19. Four of the SARS studies were conducted in China and the other was performed in Canada. In the case of MERS, both studies were conducted in Saudi Arabia. The two COVID-19 studies were both from China. All studies ranged from a single hospital to 14 hospitals combined, and there were also studies that collected patients from all hospitals in the region. The number of patients in each study ranged from 43 to 1743 (</w:t>
      </w:r>
      <w:r w:rsidRPr="003E4374">
        <w:rPr>
          <w:b/>
        </w:rPr>
        <w:t>Table 1</w:t>
      </w:r>
      <w:r w:rsidRPr="003E4374">
        <w:t>).</w:t>
      </w:r>
    </w:p>
    <w:p w:rsidR="008E2418" w:rsidRDefault="003E4374" w:rsidP="003E4374">
      <w:pPr>
        <w:pStyle w:val="MDPI33textspaceafter"/>
        <w:spacing w:after="0"/>
        <w:sectPr w:rsidR="008E2418" w:rsidSect="001B4D5C">
          <w:footerReference w:type="default" r:id="rId11"/>
          <w:footerReference w:type="first" r:id="rId12"/>
          <w:pgSz w:w="11906" w:h="16838"/>
          <w:pgMar w:top="1701" w:right="1558" w:bottom="1134" w:left="1440" w:header="851" w:footer="193" w:gutter="0"/>
          <w:pgNumType w:start="1"/>
          <w:cols w:space="425"/>
          <w:docGrid w:linePitch="360"/>
        </w:sectPr>
      </w:pPr>
      <w:r w:rsidRPr="003E4374">
        <w:t>The total number of patients (4051 patients) diagnosed as SARS, MERS, and COVID 19 were 3416, 360, and 275, respectively. Of these, 63.8% of SARS, 43.3% of MERS and 38.9% of COVID-19 patients used steroids. The overall average age of the patients ranged from 40.2 to 58.5 years. In terms of gender distribution, there were more women than men in SARS and MERS/COVID-19 had more men than women (</w:t>
      </w:r>
      <w:r w:rsidRPr="003E4374">
        <w:rPr>
          <w:b/>
        </w:rPr>
        <w:t>Table 3</w:t>
      </w:r>
      <w:r w:rsidRPr="003E4374">
        <w:t>).</w:t>
      </w:r>
    </w:p>
    <w:p w:rsidR="002227B2" w:rsidRPr="002227B2" w:rsidRDefault="002227B2" w:rsidP="002227B2">
      <w:pPr>
        <w:widowControl w:val="0"/>
        <w:wordWrap w:val="0"/>
        <w:autoSpaceDE w:val="0"/>
        <w:autoSpaceDN w:val="0"/>
        <w:spacing w:line="276" w:lineRule="auto"/>
        <w:jc w:val="left"/>
        <w:rPr>
          <w:rFonts w:ascii="Palatino Linotype" w:eastAsia="Malgun Gothic" w:hAnsi="Palatino Linotype" w:cs="Calibri"/>
          <w:b/>
          <w:color w:val="auto"/>
          <w:kern w:val="2"/>
          <w:sz w:val="18"/>
          <w:szCs w:val="16"/>
          <w:lang w:eastAsia="ko-KR"/>
        </w:rPr>
      </w:pPr>
      <w:r w:rsidRPr="002227B2">
        <w:rPr>
          <w:rFonts w:ascii="Palatino Linotype" w:eastAsia="Malgun Gothic" w:hAnsi="Palatino Linotype" w:cs="Calibri"/>
          <w:b/>
          <w:color w:val="auto"/>
          <w:kern w:val="2"/>
          <w:sz w:val="18"/>
          <w:szCs w:val="16"/>
          <w:lang w:eastAsia="ko-KR"/>
        </w:rPr>
        <w:lastRenderedPageBreak/>
        <w:t>Table 1: Main characteristics and findings of the studies included in the meta-analysis</w:t>
      </w:r>
    </w:p>
    <w:p w:rsidR="002227B2" w:rsidRPr="002227B2" w:rsidRDefault="002227B2" w:rsidP="002227B2">
      <w:pPr>
        <w:widowControl w:val="0"/>
        <w:wordWrap w:val="0"/>
        <w:autoSpaceDE w:val="0"/>
        <w:autoSpaceDN w:val="0"/>
        <w:spacing w:line="276" w:lineRule="auto"/>
        <w:jc w:val="left"/>
        <w:rPr>
          <w:rFonts w:ascii="Palatino Linotype" w:eastAsia="Malgun Gothic" w:hAnsi="Palatino Linotype" w:cs="Calibri"/>
          <w:color w:val="auto"/>
          <w:kern w:val="2"/>
          <w:sz w:val="18"/>
          <w:szCs w:val="16"/>
          <w:lang w:eastAsia="ko-KR"/>
        </w:rPr>
      </w:pPr>
    </w:p>
    <w:tbl>
      <w:tblPr>
        <w:tblStyle w:val="21"/>
        <w:tblW w:w="16301" w:type="dxa"/>
        <w:tblBorders>
          <w:top w:val="single" w:sz="12" w:space="0" w:color="auto"/>
          <w:bottom w:val="single" w:sz="12" w:space="0" w:color="auto"/>
          <w:insideH w:val="single" w:sz="4" w:space="0" w:color="7F7F7F"/>
        </w:tblBorders>
        <w:tblLayout w:type="fixed"/>
        <w:tblLook w:val="04A0" w:firstRow="1" w:lastRow="0" w:firstColumn="1" w:lastColumn="0" w:noHBand="0" w:noVBand="1"/>
      </w:tblPr>
      <w:tblGrid>
        <w:gridCol w:w="2127"/>
        <w:gridCol w:w="918"/>
        <w:gridCol w:w="1208"/>
        <w:gridCol w:w="850"/>
        <w:gridCol w:w="730"/>
        <w:gridCol w:w="842"/>
        <w:gridCol w:w="786"/>
        <w:gridCol w:w="902"/>
        <w:gridCol w:w="954"/>
        <w:gridCol w:w="3582"/>
        <w:gridCol w:w="3402"/>
      </w:tblGrid>
      <w:tr w:rsidR="002227B2" w:rsidRPr="002227B2" w:rsidTr="00B847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rPr>
                <w:rFonts w:ascii="Calibri" w:eastAsia="Malgun Gothic" w:hAnsi="Calibri"/>
                <w:color w:val="auto"/>
                <w:sz w:val="16"/>
                <w:szCs w:val="16"/>
                <w:lang w:eastAsia="ko-KR"/>
              </w:rPr>
            </w:pPr>
            <w:r w:rsidRPr="002227B2">
              <w:rPr>
                <w:rFonts w:ascii="Malgun Gothic" w:eastAsia="Malgun Gothic" w:hAnsi="Malgun Gothic"/>
                <w:color w:val="auto"/>
                <w:sz w:val="16"/>
                <w:szCs w:val="16"/>
                <w:lang w:eastAsia="ko-KR"/>
              </w:rPr>
              <w:br w:type="page"/>
            </w:r>
            <w:r w:rsidRPr="002227B2">
              <w:rPr>
                <w:rFonts w:ascii="Calibri" w:eastAsia="Malgun Gothic" w:hAnsi="Calibri"/>
                <w:color w:val="auto"/>
                <w:sz w:val="16"/>
                <w:szCs w:val="16"/>
                <w:lang w:eastAsia="ko-KR"/>
              </w:rPr>
              <w:t>Authors</w:t>
            </w:r>
          </w:p>
        </w:tc>
        <w:tc>
          <w:tcPr>
            <w:tcW w:w="918" w:type="dxa"/>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Disease</w:t>
            </w:r>
          </w:p>
        </w:tc>
        <w:tc>
          <w:tcPr>
            <w:tcW w:w="1208" w:type="dxa"/>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Location/</w:t>
            </w:r>
          </w:p>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Country</w:t>
            </w:r>
          </w:p>
        </w:tc>
        <w:tc>
          <w:tcPr>
            <w:tcW w:w="850" w:type="dxa"/>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proofErr w:type="spellStart"/>
            <w:r w:rsidRPr="002227B2">
              <w:rPr>
                <w:rFonts w:ascii="Calibri" w:eastAsia="Malgun Gothic" w:hAnsi="Calibri" w:cs="Calibri" w:hint="eastAsia"/>
                <w:color w:val="auto"/>
                <w:sz w:val="16"/>
                <w:szCs w:val="16"/>
                <w:lang w:eastAsia="ko-KR"/>
              </w:rPr>
              <w:t>Hospital</w:t>
            </w:r>
            <w:r w:rsidRPr="002227B2">
              <w:rPr>
                <w:rFonts w:ascii="Calibri" w:eastAsia="Malgun Gothic" w:hAnsi="Calibri" w:cs="Calibri"/>
                <w:color w:val="auto"/>
                <w:sz w:val="16"/>
                <w:szCs w:val="16"/>
                <w:lang w:eastAsia="ko-KR"/>
              </w:rPr>
              <w:t>s,n</w:t>
            </w:r>
            <w:proofErr w:type="spellEnd"/>
          </w:p>
        </w:tc>
        <w:tc>
          <w:tcPr>
            <w:tcW w:w="730" w:type="dxa"/>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Sample size</w:t>
            </w:r>
            <w:r w:rsidRPr="002227B2">
              <w:rPr>
                <w:rFonts w:ascii="Calibri" w:eastAsia="Malgun Gothic" w:hAnsi="Calibri" w:cs="Calibri"/>
                <w:color w:val="auto"/>
                <w:sz w:val="16"/>
                <w:szCs w:val="16"/>
                <w:lang w:eastAsia="ko-KR"/>
              </w:rPr>
              <w:t>, n</w:t>
            </w:r>
            <w:r w:rsidRPr="002227B2">
              <w:rPr>
                <w:rFonts w:ascii="Calibri" w:eastAsia="Malgun Gothic" w:hAnsi="Calibri" w:cs="Calibri" w:hint="eastAsia"/>
                <w:color w:val="auto"/>
                <w:sz w:val="16"/>
                <w:szCs w:val="16"/>
                <w:lang w:eastAsia="ko-KR"/>
              </w:rPr>
              <w:t xml:space="preserve"> </w:t>
            </w:r>
          </w:p>
        </w:tc>
        <w:tc>
          <w:tcPr>
            <w:tcW w:w="842" w:type="dxa"/>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Patients used steroids, n</w:t>
            </w:r>
          </w:p>
        </w:tc>
        <w:tc>
          <w:tcPr>
            <w:tcW w:w="786" w:type="dxa"/>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Control</w:t>
            </w:r>
            <w:r w:rsidRPr="002227B2">
              <w:rPr>
                <w:rFonts w:ascii="Calibri" w:eastAsia="Malgun Gothic" w:hAnsi="Calibri" w:cs="Calibri"/>
                <w:color w:val="auto"/>
                <w:sz w:val="16"/>
                <w:szCs w:val="16"/>
                <w:lang w:eastAsia="ko-KR"/>
              </w:rPr>
              <w:t>, n</w:t>
            </w:r>
          </w:p>
        </w:tc>
        <w:tc>
          <w:tcPr>
            <w:tcW w:w="902" w:type="dxa"/>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Deaths in steroid </w:t>
            </w:r>
            <w:proofErr w:type="spellStart"/>
            <w:r w:rsidRPr="002227B2">
              <w:rPr>
                <w:rFonts w:ascii="Calibri" w:eastAsia="Malgun Gothic" w:hAnsi="Calibri" w:cs="Calibri"/>
                <w:color w:val="auto"/>
                <w:sz w:val="16"/>
                <w:szCs w:val="16"/>
                <w:lang w:eastAsia="ko-KR"/>
              </w:rPr>
              <w:t>group,n</w:t>
            </w:r>
            <w:proofErr w:type="spellEnd"/>
            <w:r w:rsidRPr="002227B2">
              <w:rPr>
                <w:rFonts w:ascii="Calibri" w:eastAsia="Malgun Gothic" w:hAnsi="Calibri" w:cs="Calibri"/>
                <w:color w:val="auto"/>
                <w:sz w:val="16"/>
                <w:szCs w:val="16"/>
                <w:lang w:eastAsia="ko-KR"/>
              </w:rPr>
              <w:t xml:space="preserve"> (%)</w:t>
            </w:r>
          </w:p>
        </w:tc>
        <w:tc>
          <w:tcPr>
            <w:tcW w:w="954" w:type="dxa"/>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Deaths in </w:t>
            </w:r>
            <w:proofErr w:type="spellStart"/>
            <w:r w:rsidRPr="002227B2">
              <w:rPr>
                <w:rFonts w:ascii="Calibri" w:eastAsia="Malgun Gothic" w:hAnsi="Calibri" w:cs="Calibri"/>
                <w:color w:val="auto"/>
                <w:sz w:val="16"/>
                <w:szCs w:val="16"/>
                <w:lang w:eastAsia="ko-KR"/>
              </w:rPr>
              <w:t>control,n</w:t>
            </w:r>
            <w:proofErr w:type="spellEnd"/>
            <w:r w:rsidRPr="002227B2">
              <w:rPr>
                <w:rFonts w:ascii="Calibri" w:eastAsia="Malgun Gothic" w:hAnsi="Calibri" w:cs="Calibri"/>
                <w:color w:val="auto"/>
                <w:sz w:val="16"/>
                <w:szCs w:val="16"/>
                <w:lang w:eastAsia="ko-KR"/>
              </w:rPr>
              <w:t xml:space="preserve"> (%)</w:t>
            </w:r>
          </w:p>
        </w:tc>
        <w:tc>
          <w:tcPr>
            <w:tcW w:w="3582" w:type="dxa"/>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Description </w:t>
            </w:r>
          </w:p>
        </w:tc>
        <w:tc>
          <w:tcPr>
            <w:tcW w:w="3402" w:type="dxa"/>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Comment</w:t>
            </w:r>
          </w:p>
        </w:tc>
      </w:tr>
      <w:tr w:rsidR="002227B2" w:rsidRPr="002227B2" w:rsidTr="00B84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01" w:type="dxa"/>
            <w:gridSpan w:val="11"/>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Intervention</w:t>
            </w:r>
            <w:r w:rsidRPr="002227B2">
              <w:rPr>
                <w:rFonts w:ascii="Calibri" w:eastAsia="Malgun Gothic" w:hAnsi="Calibri" w:cs="Calibri"/>
                <w:color w:val="auto"/>
                <w:sz w:val="16"/>
                <w:szCs w:val="16"/>
                <w:lang w:eastAsia="ko-KR"/>
              </w:rPr>
              <w:t xml:space="preserve"> (OR, </w:t>
            </w:r>
            <w:r w:rsidRPr="002227B2">
              <w:rPr>
                <w:rFonts w:ascii="Calibri" w:eastAsia="Malgun Gothic" w:hAnsi="Calibri" w:cs="Calibri" w:hint="eastAsia"/>
                <w:color w:val="auto"/>
                <w:sz w:val="16"/>
                <w:szCs w:val="16"/>
                <w:lang w:eastAsia="ko-KR"/>
              </w:rPr>
              <w:t>not-adjusted</w:t>
            </w:r>
            <w:r w:rsidRPr="002227B2">
              <w:rPr>
                <w:rFonts w:ascii="Calibri" w:eastAsia="Malgun Gothic" w:hAnsi="Calibri" w:cs="Calibri"/>
                <w:color w:val="auto"/>
                <w:sz w:val="16"/>
                <w:szCs w:val="16"/>
                <w:lang w:eastAsia="ko-KR"/>
              </w:rPr>
              <w:t xml:space="preserve"> </w:t>
            </w:r>
            <w:r w:rsidRPr="002227B2">
              <w:rPr>
                <w:rFonts w:ascii="Calibri" w:eastAsia="Malgun Gothic" w:hAnsi="Calibri" w:cs="Calibri" w:hint="eastAsia"/>
                <w:color w:val="auto"/>
                <w:sz w:val="16"/>
                <w:szCs w:val="16"/>
                <w:lang w:eastAsia="ko-KR"/>
              </w:rPr>
              <w:t xml:space="preserve">time): steroids </w:t>
            </w:r>
            <w:r w:rsidRPr="002227B2">
              <w:rPr>
                <w:rFonts w:ascii="Calibri" w:eastAsia="Malgun Gothic" w:hAnsi="Calibri" w:cs="Calibri"/>
                <w:color w:val="auto"/>
                <w:sz w:val="16"/>
                <w:szCs w:val="16"/>
                <w:lang w:eastAsia="ko-KR"/>
              </w:rPr>
              <w:t xml:space="preserve">were used in more severe cases in </w:t>
            </w:r>
            <w:r w:rsidRPr="002227B2">
              <w:rPr>
                <w:rFonts w:ascii="Calibri" w:eastAsia="Malgun Gothic" w:hAnsi="Calibri" w:cs="Calibri" w:hint="eastAsia"/>
                <w:color w:val="auto"/>
                <w:sz w:val="16"/>
                <w:szCs w:val="16"/>
                <w:lang w:eastAsia="ko-KR"/>
              </w:rPr>
              <w:t xml:space="preserve">3/5 </w:t>
            </w:r>
            <w:r w:rsidRPr="002227B2">
              <w:rPr>
                <w:rFonts w:ascii="Calibri" w:eastAsia="Malgun Gothic" w:hAnsi="Calibri" w:cs="Calibri"/>
                <w:color w:val="auto"/>
                <w:sz w:val="16"/>
                <w:szCs w:val="16"/>
                <w:lang w:eastAsia="ko-KR"/>
              </w:rPr>
              <w:t xml:space="preserve">included </w:t>
            </w:r>
            <w:r w:rsidRPr="002227B2">
              <w:rPr>
                <w:rFonts w:ascii="Calibri" w:eastAsia="Malgun Gothic" w:hAnsi="Calibri" w:cs="Calibri" w:hint="eastAsia"/>
                <w:color w:val="auto"/>
                <w:sz w:val="16"/>
                <w:szCs w:val="16"/>
                <w:lang w:eastAsia="ko-KR"/>
              </w:rPr>
              <w:t>studies</w:t>
            </w:r>
          </w:p>
        </w:tc>
      </w:tr>
      <w:tr w:rsidR="002227B2" w:rsidRPr="002227B2" w:rsidTr="00B847E9">
        <w:tc>
          <w:tcPr>
            <w:cnfStyle w:val="001000000000" w:firstRow="0" w:lastRow="0" w:firstColumn="1" w:lastColumn="0" w:oddVBand="0" w:evenVBand="0" w:oddHBand="0" w:evenHBand="0" w:firstRowFirstColumn="0" w:firstRowLastColumn="0" w:lastRowFirstColumn="0" w:lastRowLastColumn="0"/>
            <w:tcW w:w="2127" w:type="dxa"/>
            <w:tcBorders>
              <w:top w:val="single" w:sz="12" w:space="0" w:color="auto"/>
            </w:tcBorders>
          </w:tcPr>
          <w:p w:rsidR="002227B2" w:rsidRPr="002227B2" w:rsidRDefault="002227B2" w:rsidP="00B847E9">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Li et al. (2003)</w:t>
            </w:r>
            <w:r w:rsidR="00B847E9">
              <w:rPr>
                <w:rFonts w:ascii="Calibri" w:eastAsia="Malgun Gothic" w:hAnsi="Calibri" w:cs="Calibri"/>
                <w:color w:val="auto"/>
                <w:sz w:val="16"/>
                <w:szCs w:val="16"/>
                <w:lang w:eastAsia="ko-KR"/>
              </w:rPr>
              <w:t>[32]</w:t>
            </w:r>
          </w:p>
        </w:tc>
        <w:tc>
          <w:tcPr>
            <w:tcW w:w="918" w:type="dxa"/>
            <w:tcBorders>
              <w:top w:val="single" w:sz="12" w:space="0" w:color="auto"/>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Malgun Gothic" w:eastAsia="Malgun Gothic" w:hAnsi="Malgun Gothic"/>
                <w:color w:val="auto"/>
                <w:sz w:val="16"/>
                <w:szCs w:val="16"/>
                <w:lang w:eastAsia="ko-KR"/>
              </w:rPr>
            </w:pPr>
            <w:r w:rsidRPr="002227B2">
              <w:rPr>
                <w:rFonts w:ascii="Calibri" w:eastAsia="Malgun Gothic" w:hAnsi="Calibri" w:cs="Calibri"/>
                <w:color w:val="auto"/>
                <w:sz w:val="16"/>
                <w:szCs w:val="16"/>
                <w:lang w:eastAsia="ko-KR"/>
              </w:rPr>
              <w:t>SARS</w:t>
            </w:r>
          </w:p>
        </w:tc>
        <w:tc>
          <w:tcPr>
            <w:tcW w:w="1208" w:type="dxa"/>
            <w:tcBorders>
              <w:top w:val="single" w:sz="12" w:space="0" w:color="auto"/>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Beijing</w:t>
            </w:r>
          </w:p>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/China</w:t>
            </w:r>
          </w:p>
        </w:tc>
        <w:tc>
          <w:tcPr>
            <w:tcW w:w="850" w:type="dxa"/>
            <w:tcBorders>
              <w:top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w:t>
            </w:r>
          </w:p>
        </w:tc>
        <w:tc>
          <w:tcPr>
            <w:tcW w:w="730" w:type="dxa"/>
            <w:tcBorders>
              <w:top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43</w:t>
            </w:r>
          </w:p>
        </w:tc>
        <w:tc>
          <w:tcPr>
            <w:tcW w:w="842" w:type="dxa"/>
            <w:tcBorders>
              <w:top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39</w:t>
            </w:r>
          </w:p>
        </w:tc>
        <w:tc>
          <w:tcPr>
            <w:tcW w:w="786" w:type="dxa"/>
            <w:tcBorders>
              <w:top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4</w:t>
            </w:r>
          </w:p>
        </w:tc>
        <w:tc>
          <w:tcPr>
            <w:tcW w:w="902" w:type="dxa"/>
            <w:tcBorders>
              <w:top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w:t>
            </w:r>
            <w:r w:rsidRPr="002227B2">
              <w:rPr>
                <w:rFonts w:ascii="Calibri" w:eastAsia="Malgun Gothic" w:hAnsi="Calibri" w:cs="Calibri"/>
                <w:color w:val="auto"/>
                <w:sz w:val="16"/>
                <w:szCs w:val="16"/>
                <w:lang w:eastAsia="ko-KR"/>
              </w:rPr>
              <w:t xml:space="preserve"> (2.6)</w:t>
            </w:r>
          </w:p>
        </w:tc>
        <w:tc>
          <w:tcPr>
            <w:tcW w:w="954" w:type="dxa"/>
            <w:tcBorders>
              <w:top w:val="single" w:sz="12" w:space="0" w:color="auto"/>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Malgun Gothic" w:eastAsia="Malgun Gothic" w:hAnsi="Malgun Gothic"/>
                <w:color w:val="auto"/>
                <w:sz w:val="16"/>
                <w:szCs w:val="16"/>
                <w:lang w:eastAsia="ko-KR"/>
              </w:rPr>
            </w:pPr>
            <w:r w:rsidRPr="002227B2">
              <w:rPr>
                <w:rFonts w:ascii="Calibri" w:eastAsia="Malgun Gothic" w:hAnsi="Calibri" w:cs="Calibri" w:hint="eastAsia"/>
                <w:color w:val="auto"/>
                <w:sz w:val="16"/>
                <w:szCs w:val="16"/>
                <w:lang w:eastAsia="ko-KR"/>
              </w:rPr>
              <w:t>0</w:t>
            </w:r>
            <w:r w:rsidRPr="002227B2">
              <w:rPr>
                <w:rFonts w:ascii="Calibri" w:eastAsia="Malgun Gothic" w:hAnsi="Calibri" w:cs="Calibri"/>
                <w:color w:val="auto"/>
                <w:sz w:val="16"/>
                <w:szCs w:val="16"/>
                <w:lang w:eastAsia="ko-KR"/>
              </w:rPr>
              <w:t xml:space="preserve"> (0.0)</w:t>
            </w:r>
          </w:p>
        </w:tc>
        <w:tc>
          <w:tcPr>
            <w:tcW w:w="3582" w:type="dxa"/>
            <w:tcBorders>
              <w:top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Steroid [N=39(91%)]; Non-steroid [N=4(9%)]</w:t>
            </w:r>
          </w:p>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p>
        </w:tc>
        <w:tc>
          <w:tcPr>
            <w:tcW w:w="3402" w:type="dxa"/>
            <w:tcBorders>
              <w:top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MP was effective for SARS patients.</w:t>
            </w:r>
          </w:p>
        </w:tc>
      </w:tr>
      <w:tr w:rsidR="002227B2" w:rsidRPr="002227B2" w:rsidTr="00B84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bottom w:val="single" w:sz="4" w:space="0" w:color="auto"/>
            </w:tcBorders>
          </w:tcPr>
          <w:p w:rsidR="002227B2" w:rsidRPr="002227B2" w:rsidRDefault="002227B2" w:rsidP="00B847E9">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Yam et al. (2007)</w:t>
            </w:r>
            <w:r w:rsidR="00B847E9">
              <w:rPr>
                <w:rFonts w:ascii="Calibri" w:eastAsia="Malgun Gothic" w:hAnsi="Calibri" w:cs="Calibri"/>
                <w:color w:val="auto"/>
                <w:sz w:val="16"/>
                <w:szCs w:val="16"/>
                <w:lang w:eastAsia="ko-KR"/>
              </w:rPr>
              <w:t xml:space="preserve"> [33]</w:t>
            </w:r>
          </w:p>
        </w:tc>
        <w:tc>
          <w:tcPr>
            <w:tcW w:w="918"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Malgun Gothic" w:eastAsia="Malgun Gothic" w:hAnsi="Malgun Gothic"/>
                <w:color w:val="auto"/>
                <w:sz w:val="16"/>
                <w:szCs w:val="16"/>
                <w:lang w:eastAsia="ko-KR"/>
              </w:rPr>
            </w:pPr>
            <w:r w:rsidRPr="002227B2">
              <w:rPr>
                <w:rFonts w:ascii="Calibri" w:eastAsia="Malgun Gothic" w:hAnsi="Calibri" w:cs="Calibri"/>
                <w:color w:val="auto"/>
                <w:sz w:val="16"/>
                <w:szCs w:val="16"/>
                <w:lang w:eastAsia="ko-KR"/>
              </w:rPr>
              <w:t>SARS</w:t>
            </w:r>
          </w:p>
        </w:tc>
        <w:tc>
          <w:tcPr>
            <w:tcW w:w="1208"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Hong Kong</w:t>
            </w:r>
          </w:p>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/China</w:t>
            </w:r>
          </w:p>
        </w:tc>
        <w:tc>
          <w:tcPr>
            <w:tcW w:w="850"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14</w:t>
            </w:r>
          </w:p>
        </w:tc>
        <w:tc>
          <w:tcPr>
            <w:tcW w:w="730"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1287</w:t>
            </w:r>
          </w:p>
        </w:tc>
        <w:tc>
          <w:tcPr>
            <w:tcW w:w="842"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1188</w:t>
            </w:r>
          </w:p>
        </w:tc>
        <w:tc>
          <w:tcPr>
            <w:tcW w:w="786"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99</w:t>
            </w:r>
          </w:p>
        </w:tc>
        <w:tc>
          <w:tcPr>
            <w:tcW w:w="902"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202</w:t>
            </w:r>
            <w:r w:rsidRPr="002227B2">
              <w:rPr>
                <w:rFonts w:ascii="Calibri" w:eastAsia="Malgun Gothic" w:hAnsi="Calibri" w:cs="Calibri"/>
                <w:color w:val="auto"/>
                <w:sz w:val="16"/>
                <w:szCs w:val="16"/>
                <w:lang w:eastAsia="ko-KR"/>
              </w:rPr>
              <w:t xml:space="preserve"> (17.0)</w:t>
            </w:r>
          </w:p>
        </w:tc>
        <w:tc>
          <w:tcPr>
            <w:tcW w:w="954"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2</w:t>
            </w:r>
            <w:r w:rsidRPr="002227B2">
              <w:rPr>
                <w:rFonts w:ascii="Calibri" w:eastAsia="Malgun Gothic" w:hAnsi="Calibri" w:cs="Calibri"/>
                <w:color w:val="auto"/>
                <w:sz w:val="16"/>
                <w:szCs w:val="16"/>
                <w:lang w:eastAsia="ko-KR"/>
              </w:rPr>
              <w:t>8 (28.3</w:t>
            </w:r>
            <w:r w:rsidRPr="002227B2">
              <w:rPr>
                <w:rFonts w:ascii="Calibri" w:eastAsia="Malgun Gothic" w:hAnsi="Calibri" w:cs="Calibri" w:hint="eastAsia"/>
                <w:color w:val="auto"/>
                <w:sz w:val="16"/>
                <w:szCs w:val="16"/>
                <w:lang w:eastAsia="ko-KR"/>
              </w:rPr>
              <w:t>)</w:t>
            </w:r>
          </w:p>
        </w:tc>
        <w:tc>
          <w:tcPr>
            <w:tcW w:w="3582"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Ribavirin+ Steroid [N=1188 (92%)]; Ribavirin [N= 99(8%)]</w:t>
            </w:r>
          </w:p>
        </w:tc>
        <w:tc>
          <w:tcPr>
            <w:tcW w:w="3402"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Ribavirin+ Steroid group received more ICU care than control </w:t>
            </w:r>
          </w:p>
        </w:tc>
      </w:tr>
      <w:tr w:rsidR="002227B2" w:rsidRPr="002227B2" w:rsidTr="00B847E9">
        <w:trPr>
          <w:trHeight w:val="254"/>
        </w:trPr>
        <w:tc>
          <w:tcPr>
            <w:cnfStyle w:val="001000000000" w:firstRow="0" w:lastRow="0" w:firstColumn="1" w:lastColumn="0" w:oddVBand="0" w:evenVBand="0" w:oddHBand="0" w:evenHBand="0" w:firstRowFirstColumn="0" w:firstRowLastColumn="0" w:lastRowFirstColumn="0" w:lastRowLastColumn="0"/>
            <w:tcW w:w="2127" w:type="dxa"/>
            <w:vMerge w:val="restart"/>
            <w:tcBorders>
              <w:top w:val="single" w:sz="4" w:space="0" w:color="auto"/>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p>
          <w:p w:rsidR="002227B2" w:rsidRPr="002227B2" w:rsidRDefault="002227B2" w:rsidP="00B847E9">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Lau et al. (2009)_H</w:t>
            </w:r>
            <w:r w:rsidRPr="002227B2">
              <w:rPr>
                <w:rFonts w:ascii="Calibri" w:eastAsia="BatangChe" w:hAnsi="Calibri" w:cs="Calibri" w:hint="eastAsia"/>
                <w:color w:val="auto"/>
                <w:sz w:val="16"/>
                <w:szCs w:val="16"/>
                <w:vertAlign w:val="superscript"/>
                <w:lang w:eastAsia="ko-KR"/>
              </w:rPr>
              <w:t>†</w:t>
            </w:r>
            <w:r w:rsidR="00B847E9">
              <w:rPr>
                <w:rFonts w:ascii="Calibri" w:eastAsia="BatangChe" w:hAnsi="Calibri" w:cs="Calibri" w:hint="eastAsia"/>
                <w:color w:val="auto"/>
                <w:sz w:val="16"/>
                <w:szCs w:val="16"/>
                <w:lang w:eastAsia="ko-KR"/>
              </w:rPr>
              <w:t>[34]</w:t>
            </w:r>
          </w:p>
        </w:tc>
        <w:tc>
          <w:tcPr>
            <w:tcW w:w="918" w:type="dxa"/>
            <w:vMerge w:val="restart"/>
            <w:tcBorders>
              <w:top w:val="single" w:sz="4" w:space="0" w:color="auto"/>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p>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Malgun Gothic" w:eastAsia="Malgun Gothic" w:hAnsi="Malgun Gothic"/>
                <w:color w:val="auto"/>
                <w:sz w:val="16"/>
                <w:szCs w:val="16"/>
                <w:lang w:eastAsia="ko-KR"/>
              </w:rPr>
            </w:pPr>
            <w:r w:rsidRPr="002227B2">
              <w:rPr>
                <w:rFonts w:ascii="Calibri" w:eastAsia="Malgun Gothic" w:hAnsi="Calibri" w:cs="Calibri"/>
                <w:color w:val="auto"/>
                <w:sz w:val="16"/>
                <w:szCs w:val="16"/>
                <w:lang w:eastAsia="ko-KR"/>
              </w:rPr>
              <w:t>SARS</w:t>
            </w:r>
          </w:p>
        </w:tc>
        <w:tc>
          <w:tcPr>
            <w:tcW w:w="1208" w:type="dxa"/>
            <w:vMerge w:val="restart"/>
            <w:tcBorders>
              <w:top w:val="single" w:sz="4"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Hong Kong</w:t>
            </w:r>
          </w:p>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/China</w:t>
            </w:r>
          </w:p>
        </w:tc>
        <w:tc>
          <w:tcPr>
            <w:tcW w:w="850" w:type="dxa"/>
            <w:vMerge w:val="restart"/>
            <w:tcBorders>
              <w:top w:val="single" w:sz="4"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p>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730" w:type="dxa"/>
            <w:vMerge w:val="restart"/>
            <w:tcBorders>
              <w:top w:val="single" w:sz="4"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p>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1743</w:t>
            </w:r>
          </w:p>
        </w:tc>
        <w:tc>
          <w:tcPr>
            <w:tcW w:w="842"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51</w:t>
            </w:r>
          </w:p>
        </w:tc>
        <w:tc>
          <w:tcPr>
            <w:tcW w:w="786"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751</w:t>
            </w:r>
          </w:p>
        </w:tc>
        <w:tc>
          <w:tcPr>
            <w:tcW w:w="902"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15</w:t>
            </w:r>
            <w:r w:rsidRPr="002227B2">
              <w:rPr>
                <w:rFonts w:ascii="Calibri" w:eastAsia="Malgun Gothic" w:hAnsi="Calibri" w:cs="Calibri"/>
                <w:color w:val="auto"/>
                <w:sz w:val="16"/>
                <w:szCs w:val="16"/>
                <w:lang w:eastAsia="ko-KR"/>
              </w:rPr>
              <w:t xml:space="preserve"> (1.9)</w:t>
            </w:r>
          </w:p>
        </w:tc>
        <w:tc>
          <w:tcPr>
            <w:tcW w:w="954"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175 (18.4)</w:t>
            </w:r>
          </w:p>
        </w:tc>
        <w:tc>
          <w:tcPr>
            <w:tcW w:w="3582"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Steroid [N=51 (3%)];</w:t>
            </w:r>
            <w:r w:rsidRPr="002227B2">
              <w:rPr>
                <w:rFonts w:ascii="Calibri" w:eastAsia="Malgun Gothic" w:hAnsi="Calibri" w:cs="Calibri" w:hint="eastAsia"/>
                <w:color w:val="auto"/>
                <w:sz w:val="16"/>
                <w:szCs w:val="16"/>
                <w:lang w:eastAsia="ko-KR"/>
              </w:rPr>
              <w:t xml:space="preserve"> No therapy</w:t>
            </w:r>
            <w:r w:rsidRPr="002227B2">
              <w:rPr>
                <w:rFonts w:ascii="Calibri" w:eastAsia="Malgun Gothic" w:hAnsi="Calibri" w:cs="Calibri"/>
                <w:color w:val="auto"/>
                <w:sz w:val="16"/>
                <w:szCs w:val="16"/>
                <w:lang w:eastAsia="ko-KR"/>
              </w:rPr>
              <w:t xml:space="preserve"> [N=751 (43%)]</w:t>
            </w:r>
          </w:p>
        </w:tc>
        <w:tc>
          <w:tcPr>
            <w:tcW w:w="3402" w:type="dxa"/>
            <w:vMerge w:val="restart"/>
            <w:tcBorders>
              <w:top w:val="single" w:sz="4"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Steroid group was older and had more comorbidities than control </w:t>
            </w:r>
          </w:p>
        </w:tc>
      </w:tr>
      <w:tr w:rsidR="002227B2" w:rsidRPr="002227B2" w:rsidTr="00B847E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7" w:type="dxa"/>
            <w:vMerge/>
            <w:tcBorders>
              <w:bottom w:val="single" w:sz="4" w:space="0" w:color="auto"/>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p>
        </w:tc>
        <w:tc>
          <w:tcPr>
            <w:tcW w:w="918" w:type="dxa"/>
            <w:vMerge/>
            <w:tcBorders>
              <w:bottom w:val="single" w:sz="4" w:space="0" w:color="auto"/>
            </w:tcBorders>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Malgun Gothic" w:eastAsia="Malgun Gothic" w:hAnsi="Malgun Gothic"/>
                <w:color w:val="auto"/>
                <w:sz w:val="16"/>
                <w:szCs w:val="16"/>
                <w:lang w:eastAsia="ko-KR"/>
              </w:rPr>
            </w:pPr>
          </w:p>
        </w:tc>
        <w:tc>
          <w:tcPr>
            <w:tcW w:w="1208" w:type="dxa"/>
            <w:vMerge/>
            <w:tcBorders>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p>
        </w:tc>
        <w:tc>
          <w:tcPr>
            <w:tcW w:w="850" w:type="dxa"/>
            <w:vMerge/>
            <w:tcBorders>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p>
        </w:tc>
        <w:tc>
          <w:tcPr>
            <w:tcW w:w="730" w:type="dxa"/>
            <w:vMerge/>
            <w:tcBorders>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p>
        </w:tc>
        <w:tc>
          <w:tcPr>
            <w:tcW w:w="842"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7</w:t>
            </w:r>
            <w:r w:rsidRPr="002227B2">
              <w:rPr>
                <w:rFonts w:ascii="Calibri" w:eastAsia="Malgun Gothic" w:hAnsi="Calibri" w:cs="Calibri" w:hint="eastAsia"/>
                <w:color w:val="auto"/>
                <w:sz w:val="16"/>
                <w:szCs w:val="16"/>
                <w:lang w:eastAsia="ko-KR"/>
              </w:rPr>
              <w:t>39</w:t>
            </w:r>
          </w:p>
        </w:tc>
        <w:tc>
          <w:tcPr>
            <w:tcW w:w="786"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202</w:t>
            </w:r>
          </w:p>
        </w:tc>
        <w:tc>
          <w:tcPr>
            <w:tcW w:w="902"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93</w:t>
            </w:r>
            <w:r w:rsidRPr="002227B2">
              <w:rPr>
                <w:rFonts w:ascii="Calibri" w:eastAsia="Malgun Gothic" w:hAnsi="Calibri" w:cs="Calibri"/>
                <w:color w:val="auto"/>
                <w:sz w:val="16"/>
                <w:szCs w:val="16"/>
                <w:lang w:eastAsia="ko-KR"/>
              </w:rPr>
              <w:t xml:space="preserve"> (11.8) </w:t>
            </w:r>
          </w:p>
        </w:tc>
        <w:tc>
          <w:tcPr>
            <w:tcW w:w="954"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18 (1.9)</w:t>
            </w:r>
          </w:p>
        </w:tc>
        <w:tc>
          <w:tcPr>
            <w:tcW w:w="3582"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Ribavirin+ Steroid [N=739 (42%)]; Ribavirin [N=202 (12%)]</w:t>
            </w:r>
          </w:p>
        </w:tc>
        <w:tc>
          <w:tcPr>
            <w:tcW w:w="3402" w:type="dxa"/>
            <w:vMerge/>
            <w:tcBorders>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p>
        </w:tc>
      </w:tr>
      <w:tr w:rsidR="002227B2" w:rsidRPr="002227B2" w:rsidTr="00B847E9">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bottom w:val="single" w:sz="4" w:space="0" w:color="auto"/>
            </w:tcBorders>
          </w:tcPr>
          <w:p w:rsidR="002227B2" w:rsidRPr="002227B2" w:rsidRDefault="002227B2" w:rsidP="00B847E9">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Lau et al. (2009)_T</w:t>
            </w:r>
            <w:r w:rsidRPr="002227B2">
              <w:rPr>
                <w:rFonts w:ascii="Calibri" w:eastAsia="BatangChe" w:hAnsi="Calibri" w:cs="Calibri" w:hint="eastAsia"/>
                <w:color w:val="auto"/>
                <w:sz w:val="16"/>
                <w:szCs w:val="16"/>
                <w:vertAlign w:val="superscript"/>
                <w:lang w:eastAsia="ko-KR"/>
              </w:rPr>
              <w:t>†</w:t>
            </w:r>
            <w:r w:rsidR="00B847E9">
              <w:rPr>
                <w:rFonts w:ascii="Calibri" w:eastAsia="BatangChe" w:hAnsi="Calibri" w:cs="Calibri" w:hint="eastAsia"/>
                <w:color w:val="auto"/>
                <w:sz w:val="16"/>
                <w:szCs w:val="16"/>
                <w:lang w:eastAsia="ko-KR"/>
              </w:rPr>
              <w:t>[34]</w:t>
            </w:r>
          </w:p>
        </w:tc>
        <w:tc>
          <w:tcPr>
            <w:tcW w:w="918"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Malgun Gothic" w:eastAsia="Malgun Gothic" w:hAnsi="Malgun Gothic"/>
                <w:color w:val="auto"/>
                <w:sz w:val="16"/>
                <w:szCs w:val="16"/>
                <w:lang w:eastAsia="ko-KR"/>
              </w:rPr>
            </w:pPr>
            <w:r w:rsidRPr="002227B2">
              <w:rPr>
                <w:rFonts w:ascii="Calibri" w:eastAsia="Malgun Gothic" w:hAnsi="Calibri" w:cs="Calibri"/>
                <w:color w:val="auto"/>
                <w:sz w:val="16"/>
                <w:szCs w:val="16"/>
                <w:lang w:eastAsia="ko-KR"/>
              </w:rPr>
              <w:t>SARS</w:t>
            </w:r>
          </w:p>
        </w:tc>
        <w:tc>
          <w:tcPr>
            <w:tcW w:w="1208"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Toronto</w:t>
            </w:r>
          </w:p>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/Canada</w:t>
            </w:r>
          </w:p>
        </w:tc>
        <w:tc>
          <w:tcPr>
            <w:tcW w:w="850"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730"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191</w:t>
            </w:r>
          </w:p>
        </w:tc>
        <w:tc>
          <w:tcPr>
            <w:tcW w:w="842"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42</w:t>
            </w:r>
            <w:r w:rsidRPr="002227B2">
              <w:rPr>
                <w:rFonts w:ascii="BatangChe" w:eastAsia="BatangChe" w:hAnsi="BatangChe" w:cs="Calibri" w:hint="eastAsia"/>
                <w:color w:val="auto"/>
                <w:sz w:val="14"/>
                <w:szCs w:val="16"/>
                <w:vertAlign w:val="superscript"/>
                <w:lang w:eastAsia="ko-KR"/>
              </w:rPr>
              <w:t>‡</w:t>
            </w:r>
          </w:p>
        </w:tc>
        <w:tc>
          <w:tcPr>
            <w:tcW w:w="786"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149</w:t>
            </w:r>
            <w:r w:rsidRPr="002227B2">
              <w:rPr>
                <w:rFonts w:ascii="BatangChe" w:eastAsia="BatangChe" w:hAnsi="BatangChe" w:cs="Calibri" w:hint="eastAsia"/>
                <w:color w:val="auto"/>
                <w:sz w:val="14"/>
                <w:szCs w:val="16"/>
                <w:vertAlign w:val="superscript"/>
                <w:lang w:eastAsia="ko-KR"/>
              </w:rPr>
              <w:t>‡</w:t>
            </w:r>
          </w:p>
        </w:tc>
        <w:tc>
          <w:tcPr>
            <w:tcW w:w="902"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6</w:t>
            </w:r>
            <w:r w:rsidRPr="002227B2">
              <w:rPr>
                <w:rFonts w:ascii="Calibri" w:eastAsia="Malgun Gothic" w:hAnsi="Calibri" w:cs="Calibri"/>
                <w:color w:val="auto"/>
                <w:sz w:val="16"/>
                <w:szCs w:val="16"/>
                <w:lang w:eastAsia="ko-KR"/>
              </w:rPr>
              <w:t xml:space="preserve"> (14.3)</w:t>
            </w:r>
          </w:p>
        </w:tc>
        <w:tc>
          <w:tcPr>
            <w:tcW w:w="954"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w:t>
            </w:r>
            <w:r w:rsidRPr="002227B2">
              <w:rPr>
                <w:rFonts w:ascii="Calibri" w:eastAsia="Malgun Gothic" w:hAnsi="Calibri" w:cs="Calibri"/>
                <w:color w:val="auto"/>
                <w:sz w:val="16"/>
                <w:szCs w:val="16"/>
                <w:lang w:eastAsia="ko-KR"/>
              </w:rPr>
              <w:t>9 (12.8)</w:t>
            </w:r>
          </w:p>
        </w:tc>
        <w:tc>
          <w:tcPr>
            <w:tcW w:w="3582"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Ribavirin+ Steroid [N=39 (42%)]; Ribavirin [N=107(56%)]</w:t>
            </w:r>
          </w:p>
        </w:tc>
        <w:tc>
          <w:tcPr>
            <w:tcW w:w="3402" w:type="dxa"/>
            <w:tcBorders>
              <w:top w:val="single" w:sz="4"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Longer delay between symptom onset and</w:t>
            </w:r>
          </w:p>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admission, hazy chest radiograph </w:t>
            </w:r>
            <w:proofErr w:type="gramStart"/>
            <w:r w:rsidRPr="002227B2">
              <w:rPr>
                <w:rFonts w:ascii="Calibri" w:eastAsia="Malgun Gothic" w:hAnsi="Calibri" w:cs="Calibri"/>
                <w:color w:val="auto"/>
                <w:sz w:val="16"/>
                <w:szCs w:val="16"/>
                <w:lang w:eastAsia="ko-KR"/>
              </w:rPr>
              <w:t>were</w:t>
            </w:r>
            <w:proofErr w:type="gramEnd"/>
            <w:r w:rsidRPr="002227B2">
              <w:rPr>
                <w:rFonts w:ascii="Calibri" w:eastAsia="Malgun Gothic" w:hAnsi="Calibri" w:cs="Calibri"/>
                <w:color w:val="auto"/>
                <w:sz w:val="16"/>
                <w:szCs w:val="16"/>
                <w:lang w:eastAsia="ko-KR"/>
              </w:rPr>
              <w:t xml:space="preserve"> more likely to be treated with combination therapy </w:t>
            </w:r>
            <w:r w:rsidRPr="002227B2">
              <w:rPr>
                <w:rFonts w:ascii="Calibri" w:eastAsia="Malgun Gothic" w:hAnsi="Calibri" w:cs="Calibri" w:hint="eastAsia"/>
                <w:color w:val="auto"/>
                <w:sz w:val="16"/>
                <w:szCs w:val="16"/>
                <w:lang w:eastAsia="ko-KR"/>
              </w:rPr>
              <w:t xml:space="preserve"> </w:t>
            </w:r>
          </w:p>
        </w:tc>
      </w:tr>
      <w:tr w:rsidR="002227B2" w:rsidRPr="002227B2" w:rsidTr="00B84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bottom w:val="single" w:sz="12" w:space="0" w:color="auto"/>
            </w:tcBorders>
          </w:tcPr>
          <w:p w:rsidR="002227B2" w:rsidRPr="002227B2" w:rsidRDefault="002227B2" w:rsidP="00B847E9">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Arabi et al. (2018)*</w:t>
            </w:r>
            <w:r w:rsidR="00B847E9">
              <w:rPr>
                <w:rFonts w:ascii="Calibri" w:eastAsia="Malgun Gothic" w:hAnsi="Calibri" w:cs="Calibri"/>
                <w:color w:val="auto"/>
                <w:sz w:val="16"/>
                <w:szCs w:val="16"/>
                <w:lang w:eastAsia="ko-KR"/>
              </w:rPr>
              <w:t>[35]</w:t>
            </w:r>
          </w:p>
        </w:tc>
        <w:tc>
          <w:tcPr>
            <w:tcW w:w="918" w:type="dxa"/>
            <w:tcBorders>
              <w:top w:val="single" w:sz="4"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MERS</w:t>
            </w:r>
          </w:p>
        </w:tc>
        <w:tc>
          <w:tcPr>
            <w:tcW w:w="1208" w:type="dxa"/>
            <w:tcBorders>
              <w:top w:val="single" w:sz="4"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All/Saudi</w:t>
            </w:r>
          </w:p>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Arabia</w:t>
            </w:r>
          </w:p>
        </w:tc>
        <w:tc>
          <w:tcPr>
            <w:tcW w:w="850" w:type="dxa"/>
            <w:tcBorders>
              <w:top w:val="single" w:sz="4"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14</w:t>
            </w:r>
          </w:p>
        </w:tc>
        <w:tc>
          <w:tcPr>
            <w:tcW w:w="730" w:type="dxa"/>
            <w:tcBorders>
              <w:top w:val="single" w:sz="4"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309</w:t>
            </w:r>
          </w:p>
        </w:tc>
        <w:tc>
          <w:tcPr>
            <w:tcW w:w="842" w:type="dxa"/>
            <w:tcBorders>
              <w:top w:val="single" w:sz="4"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151</w:t>
            </w:r>
          </w:p>
        </w:tc>
        <w:tc>
          <w:tcPr>
            <w:tcW w:w="786" w:type="dxa"/>
            <w:tcBorders>
              <w:top w:val="single" w:sz="4"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158</w:t>
            </w:r>
          </w:p>
        </w:tc>
        <w:tc>
          <w:tcPr>
            <w:tcW w:w="902" w:type="dxa"/>
            <w:tcBorders>
              <w:top w:val="single" w:sz="4"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117</w:t>
            </w:r>
            <w:r w:rsidRPr="002227B2">
              <w:rPr>
                <w:rFonts w:ascii="Calibri" w:eastAsia="Malgun Gothic" w:hAnsi="Calibri" w:cs="Calibri"/>
                <w:color w:val="auto"/>
                <w:sz w:val="16"/>
                <w:szCs w:val="16"/>
                <w:lang w:eastAsia="ko-KR"/>
              </w:rPr>
              <w:t xml:space="preserve"> (77.5)</w:t>
            </w:r>
          </w:p>
        </w:tc>
        <w:tc>
          <w:tcPr>
            <w:tcW w:w="954" w:type="dxa"/>
            <w:tcBorders>
              <w:top w:val="single" w:sz="4"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9</w:t>
            </w:r>
            <w:r w:rsidRPr="002227B2">
              <w:rPr>
                <w:rFonts w:ascii="Calibri" w:eastAsia="Malgun Gothic" w:hAnsi="Calibri" w:cs="Calibri"/>
                <w:color w:val="auto"/>
                <w:sz w:val="16"/>
                <w:szCs w:val="16"/>
                <w:lang w:eastAsia="ko-KR"/>
              </w:rPr>
              <w:t>1 (57.6)</w:t>
            </w:r>
          </w:p>
        </w:tc>
        <w:tc>
          <w:tcPr>
            <w:tcW w:w="3582" w:type="dxa"/>
            <w:tcBorders>
              <w:top w:val="single" w:sz="4"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Steroid [N=151(49%)]; Non-steroid [N=158(51%)]</w:t>
            </w:r>
          </w:p>
        </w:tc>
        <w:tc>
          <w:tcPr>
            <w:tcW w:w="3402" w:type="dxa"/>
            <w:tcBorders>
              <w:top w:val="single" w:sz="4"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Steroid was not associated 90-day mortality; Steroid group is more severe than control group </w:t>
            </w:r>
          </w:p>
        </w:tc>
      </w:tr>
      <w:tr w:rsidR="002227B2" w:rsidRPr="002227B2" w:rsidTr="00B847E9">
        <w:tc>
          <w:tcPr>
            <w:cnfStyle w:val="001000000000" w:firstRow="0" w:lastRow="0" w:firstColumn="1" w:lastColumn="0" w:oddVBand="0" w:evenVBand="0" w:oddHBand="0" w:evenHBand="0" w:firstRowFirstColumn="0" w:firstRowLastColumn="0" w:lastRowFirstColumn="0" w:lastRowLastColumn="0"/>
            <w:tcW w:w="16301" w:type="dxa"/>
            <w:gridSpan w:val="11"/>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Intervention</w:t>
            </w:r>
            <w:r w:rsidRPr="002227B2">
              <w:rPr>
                <w:rFonts w:ascii="Calibri" w:eastAsia="Malgun Gothic" w:hAnsi="Calibri" w:cs="Calibri"/>
                <w:color w:val="auto"/>
                <w:sz w:val="16"/>
                <w:szCs w:val="16"/>
                <w:lang w:eastAsia="ko-KR"/>
              </w:rPr>
              <w:t xml:space="preserve"> (HR, adjusted time) : adjusted for comorbidities or time-dependent conducted studies</w:t>
            </w:r>
          </w:p>
        </w:tc>
      </w:tr>
      <w:tr w:rsidR="002227B2" w:rsidRPr="002227B2" w:rsidTr="00B84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Borders>
              <w:top w:val="single" w:sz="12" w:space="0" w:color="auto"/>
              <w:bottom w:val="single" w:sz="4" w:space="0" w:color="auto"/>
            </w:tcBorders>
          </w:tcPr>
          <w:p w:rsidR="002227B2" w:rsidRPr="002227B2" w:rsidRDefault="002227B2" w:rsidP="00B847E9">
            <w:pPr>
              <w:widowControl w:val="0"/>
              <w:wordWrap w:val="0"/>
              <w:autoSpaceDE w:val="0"/>
              <w:autoSpaceDN w:val="0"/>
              <w:spacing w:line="240" w:lineRule="auto"/>
              <w:jc w:val="left"/>
              <w:rPr>
                <w:rFonts w:ascii="Calibri" w:eastAsia="Malgun Gothic" w:hAnsi="Calibri" w:cs="Calibri"/>
                <w:color w:val="auto"/>
                <w:sz w:val="16"/>
                <w:szCs w:val="16"/>
                <w:vertAlign w:val="superscript"/>
                <w:lang w:eastAsia="ko-KR"/>
              </w:rPr>
            </w:pPr>
            <w:r w:rsidRPr="002227B2">
              <w:rPr>
                <w:rFonts w:ascii="Calibri" w:eastAsia="Malgun Gothic" w:hAnsi="Calibri" w:cs="Calibri"/>
                <w:color w:val="auto"/>
                <w:sz w:val="16"/>
                <w:szCs w:val="16"/>
                <w:lang w:eastAsia="ko-KR"/>
              </w:rPr>
              <w:t>Chen et al. (2006)</w:t>
            </w:r>
            <w:r w:rsidR="00B847E9">
              <w:rPr>
                <w:rFonts w:ascii="Calibri" w:eastAsia="Malgun Gothic" w:hAnsi="Calibri" w:cs="Calibri"/>
                <w:color w:val="auto"/>
                <w:sz w:val="16"/>
                <w:szCs w:val="16"/>
                <w:lang w:eastAsia="ko-KR"/>
              </w:rPr>
              <w:t xml:space="preserve"> [36]</w:t>
            </w:r>
          </w:p>
        </w:tc>
        <w:tc>
          <w:tcPr>
            <w:tcW w:w="918" w:type="dxa"/>
            <w:tcBorders>
              <w:top w:val="single" w:sz="12" w:space="0" w:color="auto"/>
              <w:bottom w:val="single" w:sz="4" w:space="0" w:color="auto"/>
            </w:tcBorders>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Malgun Gothic" w:eastAsia="Malgun Gothic" w:hAnsi="Malgun Gothic"/>
                <w:color w:val="auto"/>
                <w:sz w:val="16"/>
                <w:szCs w:val="16"/>
                <w:lang w:eastAsia="ko-KR"/>
              </w:rPr>
            </w:pPr>
            <w:r w:rsidRPr="002227B2">
              <w:rPr>
                <w:rFonts w:ascii="Calibri" w:eastAsia="Malgun Gothic" w:hAnsi="Calibri" w:cs="Calibri"/>
                <w:color w:val="auto"/>
                <w:sz w:val="16"/>
                <w:szCs w:val="16"/>
                <w:lang w:eastAsia="ko-KR"/>
              </w:rPr>
              <w:t>SARS</w:t>
            </w:r>
          </w:p>
        </w:tc>
        <w:tc>
          <w:tcPr>
            <w:tcW w:w="1208" w:type="dxa"/>
            <w:tcBorders>
              <w:top w:val="single" w:sz="12"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Guangzhou</w:t>
            </w:r>
          </w:p>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/China</w:t>
            </w:r>
          </w:p>
        </w:tc>
        <w:tc>
          <w:tcPr>
            <w:tcW w:w="850" w:type="dxa"/>
            <w:tcBorders>
              <w:top w:val="single" w:sz="12"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730" w:type="dxa"/>
            <w:tcBorders>
              <w:top w:val="single" w:sz="12"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152</w:t>
            </w:r>
          </w:p>
        </w:tc>
        <w:tc>
          <w:tcPr>
            <w:tcW w:w="842" w:type="dxa"/>
            <w:tcBorders>
              <w:top w:val="single" w:sz="12"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121</w:t>
            </w:r>
          </w:p>
        </w:tc>
        <w:tc>
          <w:tcPr>
            <w:tcW w:w="786" w:type="dxa"/>
            <w:tcBorders>
              <w:top w:val="single" w:sz="12"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31</w:t>
            </w:r>
          </w:p>
        </w:tc>
        <w:tc>
          <w:tcPr>
            <w:tcW w:w="902" w:type="dxa"/>
            <w:tcBorders>
              <w:top w:val="single" w:sz="12"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18 (14.9)</w:t>
            </w:r>
          </w:p>
        </w:tc>
        <w:tc>
          <w:tcPr>
            <w:tcW w:w="954" w:type="dxa"/>
            <w:tcBorders>
              <w:top w:val="single" w:sz="12"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7 (22.6)</w:t>
            </w:r>
          </w:p>
        </w:tc>
        <w:tc>
          <w:tcPr>
            <w:tcW w:w="3582" w:type="dxa"/>
            <w:tcBorders>
              <w:top w:val="single" w:sz="12"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Steroid [N=121(80%)]; Non-steroid [N=31(20%)] </w:t>
            </w:r>
          </w:p>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HR 0.372 [95% CI 0.139–0.998]</w:t>
            </w:r>
          </w:p>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among critical patients in ICU (N=152)</w:t>
            </w:r>
          </w:p>
        </w:tc>
        <w:tc>
          <w:tcPr>
            <w:tcW w:w="3402" w:type="dxa"/>
            <w:tcBorders>
              <w:top w:val="single" w:sz="12" w:space="0" w:color="auto"/>
              <w:bottom w:val="single" w:sz="4" w:space="0" w:color="auto"/>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 xml:space="preserve">Steroid significantly reduced the case fatality among </w:t>
            </w:r>
            <w:r w:rsidRPr="002227B2">
              <w:rPr>
                <w:rFonts w:ascii="Calibri" w:eastAsia="Malgun Gothic" w:hAnsi="Calibri" w:cs="Calibri"/>
                <w:color w:val="auto"/>
                <w:sz w:val="16"/>
                <w:szCs w:val="16"/>
                <w:lang w:eastAsia="ko-KR"/>
              </w:rPr>
              <w:t>critical</w:t>
            </w:r>
            <w:r w:rsidRPr="002227B2">
              <w:rPr>
                <w:rFonts w:ascii="Calibri" w:eastAsia="Malgun Gothic" w:hAnsi="Calibri" w:cs="Calibri" w:hint="eastAsia"/>
                <w:color w:val="auto"/>
                <w:sz w:val="16"/>
                <w:szCs w:val="16"/>
                <w:lang w:eastAsia="ko-KR"/>
              </w:rPr>
              <w:t xml:space="preserve"> </w:t>
            </w:r>
            <w:r w:rsidRPr="002227B2">
              <w:rPr>
                <w:rFonts w:ascii="Calibri" w:eastAsia="Malgun Gothic" w:hAnsi="Calibri" w:cs="Calibri"/>
                <w:color w:val="auto"/>
                <w:sz w:val="16"/>
                <w:szCs w:val="16"/>
                <w:lang w:eastAsia="ko-KR"/>
              </w:rPr>
              <w:t xml:space="preserve">SARS after death-related variables were adjusted </w:t>
            </w:r>
          </w:p>
        </w:tc>
      </w:tr>
      <w:tr w:rsidR="002227B2" w:rsidRPr="002227B2" w:rsidTr="00B847E9">
        <w:tc>
          <w:tcPr>
            <w:cnfStyle w:val="001000000000" w:firstRow="0" w:lastRow="0" w:firstColumn="1" w:lastColumn="0" w:oddVBand="0" w:evenVBand="0" w:oddHBand="0" w:evenHBand="0" w:firstRowFirstColumn="0" w:firstRowLastColumn="0" w:lastRowFirstColumn="0" w:lastRowLastColumn="0"/>
            <w:tcW w:w="2127" w:type="dxa"/>
            <w:tcBorders>
              <w:top w:val="single" w:sz="4" w:space="0" w:color="auto"/>
              <w:bottom w:val="single" w:sz="12" w:space="0" w:color="000000"/>
            </w:tcBorders>
          </w:tcPr>
          <w:p w:rsidR="002227B2" w:rsidRPr="002227B2" w:rsidRDefault="002227B2" w:rsidP="00B847E9">
            <w:pPr>
              <w:widowControl w:val="0"/>
              <w:wordWrap w:val="0"/>
              <w:autoSpaceDE w:val="0"/>
              <w:autoSpaceDN w:val="0"/>
              <w:spacing w:line="240" w:lineRule="auto"/>
              <w:jc w:val="left"/>
              <w:rPr>
                <w:rFonts w:ascii="Calibri" w:eastAsia="Malgun Gothic" w:hAnsi="Calibri" w:cs="Calibri"/>
                <w:color w:val="auto"/>
                <w:sz w:val="16"/>
                <w:szCs w:val="16"/>
                <w:vertAlign w:val="superscript"/>
                <w:lang w:eastAsia="ko-KR"/>
              </w:rPr>
            </w:pPr>
            <w:r w:rsidRPr="002227B2">
              <w:rPr>
                <w:rFonts w:ascii="Calibri" w:eastAsia="Malgun Gothic" w:hAnsi="Calibri" w:cs="Calibri"/>
                <w:color w:val="auto"/>
                <w:sz w:val="16"/>
                <w:szCs w:val="16"/>
                <w:lang w:eastAsia="ko-KR"/>
              </w:rPr>
              <w:t>Wu et al. (2020)</w:t>
            </w:r>
            <w:r w:rsidR="00B847E9">
              <w:rPr>
                <w:rFonts w:ascii="Calibri" w:eastAsia="Malgun Gothic" w:hAnsi="Calibri" w:cs="Calibri"/>
                <w:color w:val="auto"/>
                <w:sz w:val="16"/>
                <w:szCs w:val="16"/>
                <w:lang w:eastAsia="ko-KR"/>
              </w:rPr>
              <w:t xml:space="preserve"> [37]</w:t>
            </w:r>
          </w:p>
        </w:tc>
        <w:tc>
          <w:tcPr>
            <w:tcW w:w="918" w:type="dxa"/>
            <w:tcBorders>
              <w:top w:val="single" w:sz="4" w:space="0" w:color="auto"/>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COVID-19</w:t>
            </w:r>
          </w:p>
        </w:tc>
        <w:tc>
          <w:tcPr>
            <w:tcW w:w="1208" w:type="dxa"/>
            <w:tcBorders>
              <w:top w:val="single" w:sz="4" w:space="0" w:color="auto"/>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Wuhan</w:t>
            </w:r>
          </w:p>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/China</w:t>
            </w:r>
          </w:p>
        </w:tc>
        <w:tc>
          <w:tcPr>
            <w:tcW w:w="850" w:type="dxa"/>
            <w:tcBorders>
              <w:top w:val="single" w:sz="4" w:space="0" w:color="auto"/>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w:t>
            </w:r>
          </w:p>
        </w:tc>
        <w:tc>
          <w:tcPr>
            <w:tcW w:w="730" w:type="dxa"/>
            <w:tcBorders>
              <w:top w:val="single" w:sz="4" w:space="0" w:color="auto"/>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84</w:t>
            </w:r>
            <w:r w:rsidRPr="002227B2">
              <w:rPr>
                <w:rFonts w:ascii="BatangChe" w:eastAsia="BatangChe" w:hAnsi="BatangChe" w:cs="Calibri" w:hint="eastAsia"/>
                <w:color w:val="auto"/>
                <w:sz w:val="14"/>
                <w:szCs w:val="16"/>
                <w:vertAlign w:val="superscript"/>
                <w:lang w:eastAsia="ko-KR"/>
              </w:rPr>
              <w:t>※</w:t>
            </w:r>
          </w:p>
        </w:tc>
        <w:tc>
          <w:tcPr>
            <w:tcW w:w="842" w:type="dxa"/>
            <w:tcBorders>
              <w:top w:val="single" w:sz="4" w:space="0" w:color="auto"/>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50</w:t>
            </w:r>
            <w:r w:rsidRPr="002227B2">
              <w:rPr>
                <w:rFonts w:ascii="BatangChe" w:eastAsia="BatangChe" w:hAnsi="BatangChe" w:cs="Calibri" w:hint="eastAsia"/>
                <w:color w:val="auto"/>
                <w:sz w:val="14"/>
                <w:szCs w:val="16"/>
                <w:vertAlign w:val="superscript"/>
                <w:lang w:eastAsia="ko-KR"/>
              </w:rPr>
              <w:t>※</w:t>
            </w:r>
          </w:p>
        </w:tc>
        <w:tc>
          <w:tcPr>
            <w:tcW w:w="786" w:type="dxa"/>
            <w:tcBorders>
              <w:top w:val="single" w:sz="4" w:space="0" w:color="auto"/>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34</w:t>
            </w:r>
            <w:r w:rsidRPr="002227B2">
              <w:rPr>
                <w:rFonts w:ascii="BatangChe" w:eastAsia="BatangChe" w:hAnsi="BatangChe" w:cs="Calibri" w:hint="eastAsia"/>
                <w:color w:val="auto"/>
                <w:sz w:val="14"/>
                <w:szCs w:val="16"/>
                <w:vertAlign w:val="superscript"/>
                <w:lang w:eastAsia="ko-KR"/>
              </w:rPr>
              <w:t>※</w:t>
            </w:r>
          </w:p>
        </w:tc>
        <w:tc>
          <w:tcPr>
            <w:tcW w:w="902" w:type="dxa"/>
            <w:tcBorders>
              <w:top w:val="single" w:sz="4" w:space="0" w:color="auto"/>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23</w:t>
            </w:r>
            <w:r w:rsidRPr="002227B2">
              <w:rPr>
                <w:rFonts w:ascii="Calibri" w:eastAsia="Malgun Gothic" w:hAnsi="Calibri" w:cs="Calibri"/>
                <w:color w:val="auto"/>
                <w:sz w:val="16"/>
                <w:szCs w:val="16"/>
                <w:lang w:eastAsia="ko-KR"/>
              </w:rPr>
              <w:t xml:space="preserve"> (46.0)</w:t>
            </w:r>
            <w:r w:rsidRPr="002227B2">
              <w:rPr>
                <w:rFonts w:ascii="BatangChe" w:eastAsia="BatangChe" w:hAnsi="BatangChe" w:cs="Calibri" w:hint="eastAsia"/>
                <w:color w:val="auto"/>
                <w:sz w:val="14"/>
                <w:szCs w:val="16"/>
                <w:vertAlign w:val="superscript"/>
                <w:lang w:eastAsia="ko-KR"/>
              </w:rPr>
              <w:t>※</w:t>
            </w:r>
          </w:p>
        </w:tc>
        <w:tc>
          <w:tcPr>
            <w:tcW w:w="954" w:type="dxa"/>
            <w:tcBorders>
              <w:top w:val="single" w:sz="4" w:space="0" w:color="auto"/>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21</w:t>
            </w:r>
            <w:r w:rsidRPr="002227B2">
              <w:rPr>
                <w:rFonts w:ascii="Calibri" w:eastAsia="Malgun Gothic" w:hAnsi="Calibri" w:cs="Calibri"/>
                <w:color w:val="auto"/>
                <w:sz w:val="16"/>
                <w:szCs w:val="16"/>
                <w:lang w:eastAsia="ko-KR"/>
              </w:rPr>
              <w:t xml:space="preserve"> (61.8)</w:t>
            </w:r>
            <w:r w:rsidRPr="002227B2">
              <w:rPr>
                <w:rFonts w:ascii="BatangChe" w:eastAsia="BatangChe" w:hAnsi="BatangChe" w:cs="Calibri" w:hint="eastAsia"/>
                <w:color w:val="auto"/>
                <w:sz w:val="14"/>
                <w:szCs w:val="16"/>
                <w:vertAlign w:val="superscript"/>
                <w:lang w:eastAsia="ko-KR"/>
              </w:rPr>
              <w:t>※</w:t>
            </w:r>
          </w:p>
        </w:tc>
        <w:tc>
          <w:tcPr>
            <w:tcW w:w="3582" w:type="dxa"/>
            <w:tcBorders>
              <w:top w:val="single" w:sz="4" w:space="0" w:color="auto"/>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Steroid [N=62(31%)]:Non-steroid [N=139(69%)]</w:t>
            </w:r>
          </w:p>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HR 0.38 [95% CI 0.20–0.72]</w:t>
            </w:r>
          </w:p>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among patients with ARDS (N=201)</w:t>
            </w:r>
          </w:p>
        </w:tc>
        <w:tc>
          <w:tcPr>
            <w:tcW w:w="3402" w:type="dxa"/>
            <w:tcBorders>
              <w:top w:val="single" w:sz="4" w:space="0" w:color="auto"/>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MP decreased the risk of death among patients with ARDS </w:t>
            </w:r>
          </w:p>
        </w:tc>
      </w:tr>
      <w:tr w:rsidR="002227B2" w:rsidRPr="002227B2" w:rsidTr="00B84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01" w:type="dxa"/>
            <w:gridSpan w:val="11"/>
            <w:tcBorders>
              <w:top w:val="single" w:sz="4" w:space="0" w:color="auto"/>
              <w:bottom w:val="single" w:sz="12" w:space="0" w:color="000000"/>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p>
        </w:tc>
      </w:tr>
      <w:tr w:rsidR="002227B2" w:rsidRPr="002227B2" w:rsidTr="00B847E9">
        <w:tc>
          <w:tcPr>
            <w:cnfStyle w:val="001000000000" w:firstRow="0" w:lastRow="0" w:firstColumn="1" w:lastColumn="0" w:oddVBand="0" w:evenVBand="0" w:oddHBand="0" w:evenHBand="0" w:firstRowFirstColumn="0" w:firstRowLastColumn="0" w:lastRowFirstColumn="0" w:lastRowLastColumn="0"/>
            <w:tcW w:w="16301" w:type="dxa"/>
            <w:gridSpan w:val="11"/>
            <w:tcBorders>
              <w:top w:val="single" w:sz="12" w:space="0" w:color="000000"/>
              <w:bottom w:val="single" w:sz="12" w:space="0" w:color="000000"/>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 xml:space="preserve">Risk factor </w:t>
            </w:r>
            <w:r w:rsidRPr="002227B2">
              <w:rPr>
                <w:rFonts w:ascii="Calibri" w:eastAsia="Malgun Gothic" w:hAnsi="Calibri" w:cs="Calibri"/>
                <w:color w:val="auto"/>
                <w:sz w:val="16"/>
                <w:szCs w:val="16"/>
                <w:lang w:eastAsia="ko-KR"/>
              </w:rPr>
              <w:t xml:space="preserve">(not-adjusted time) : steroid users had more severe underlying diseases </w:t>
            </w:r>
          </w:p>
        </w:tc>
      </w:tr>
      <w:tr w:rsidR="002227B2" w:rsidRPr="002227B2" w:rsidTr="00B84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rsidR="002227B2" w:rsidRPr="002227B2" w:rsidRDefault="002227B2" w:rsidP="00B847E9">
            <w:pPr>
              <w:widowControl w:val="0"/>
              <w:wordWrap w:val="0"/>
              <w:autoSpaceDE w:val="0"/>
              <w:autoSpaceDN w:val="0"/>
              <w:spacing w:line="240" w:lineRule="auto"/>
              <w:jc w:val="left"/>
              <w:rPr>
                <w:rFonts w:ascii="Calibri" w:eastAsia="Malgun Gothic" w:hAnsi="Calibri" w:cs="Calibri"/>
                <w:color w:val="auto"/>
                <w:sz w:val="16"/>
                <w:szCs w:val="16"/>
                <w:vertAlign w:val="superscript"/>
                <w:lang w:eastAsia="ko-KR"/>
              </w:rPr>
            </w:pPr>
            <w:r w:rsidRPr="002227B2">
              <w:rPr>
                <w:rFonts w:ascii="Calibri" w:eastAsia="Malgun Gothic" w:hAnsi="Calibri" w:cs="Calibri"/>
                <w:color w:val="auto"/>
                <w:sz w:val="16"/>
                <w:szCs w:val="16"/>
                <w:lang w:eastAsia="ko-KR"/>
              </w:rPr>
              <w:t xml:space="preserve">Al </w:t>
            </w:r>
            <w:proofErr w:type="spellStart"/>
            <w:r w:rsidRPr="002227B2">
              <w:rPr>
                <w:rFonts w:ascii="Calibri" w:eastAsia="Malgun Gothic" w:hAnsi="Calibri" w:cs="Calibri"/>
                <w:color w:val="auto"/>
                <w:sz w:val="16"/>
                <w:szCs w:val="16"/>
                <w:lang w:eastAsia="ko-KR"/>
              </w:rPr>
              <w:t>Ghamdi</w:t>
            </w:r>
            <w:proofErr w:type="spellEnd"/>
            <w:r w:rsidRPr="002227B2">
              <w:rPr>
                <w:rFonts w:ascii="Calibri" w:eastAsia="Malgun Gothic" w:hAnsi="Calibri" w:cs="Calibri"/>
                <w:color w:val="auto"/>
                <w:sz w:val="16"/>
                <w:szCs w:val="16"/>
                <w:lang w:eastAsia="ko-KR"/>
              </w:rPr>
              <w:t xml:space="preserve"> et al. (2016)</w:t>
            </w:r>
            <w:r w:rsidR="00B847E9">
              <w:rPr>
                <w:rFonts w:ascii="Calibri" w:eastAsia="Malgun Gothic" w:hAnsi="Calibri" w:cs="Calibri"/>
                <w:color w:val="auto"/>
                <w:sz w:val="16"/>
                <w:szCs w:val="16"/>
                <w:lang w:eastAsia="ko-KR"/>
              </w:rPr>
              <w:t xml:space="preserve"> [38]</w:t>
            </w:r>
          </w:p>
        </w:tc>
        <w:tc>
          <w:tcPr>
            <w:tcW w:w="918" w:type="dxa"/>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MERS</w:t>
            </w:r>
          </w:p>
        </w:tc>
        <w:tc>
          <w:tcPr>
            <w:tcW w:w="1208" w:type="dxa"/>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Jeddah</w:t>
            </w:r>
          </w:p>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/Saudi Arabia</w:t>
            </w:r>
          </w:p>
        </w:tc>
        <w:tc>
          <w:tcPr>
            <w:tcW w:w="850" w:type="dxa"/>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w:t>
            </w:r>
          </w:p>
        </w:tc>
        <w:tc>
          <w:tcPr>
            <w:tcW w:w="730" w:type="dxa"/>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51</w:t>
            </w:r>
          </w:p>
        </w:tc>
        <w:tc>
          <w:tcPr>
            <w:tcW w:w="842" w:type="dxa"/>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5</w:t>
            </w:r>
          </w:p>
        </w:tc>
        <w:tc>
          <w:tcPr>
            <w:tcW w:w="786" w:type="dxa"/>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46</w:t>
            </w:r>
          </w:p>
        </w:tc>
        <w:tc>
          <w:tcPr>
            <w:tcW w:w="902" w:type="dxa"/>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3</w:t>
            </w:r>
            <w:r w:rsidRPr="002227B2">
              <w:rPr>
                <w:rFonts w:ascii="Calibri" w:eastAsia="Malgun Gothic" w:hAnsi="Calibri" w:cs="Calibri"/>
                <w:color w:val="auto"/>
                <w:sz w:val="16"/>
                <w:szCs w:val="16"/>
                <w:lang w:eastAsia="ko-KR"/>
              </w:rPr>
              <w:t xml:space="preserve"> (60.0)</w:t>
            </w:r>
          </w:p>
        </w:tc>
        <w:tc>
          <w:tcPr>
            <w:tcW w:w="954" w:type="dxa"/>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w:t>
            </w:r>
            <w:r w:rsidRPr="002227B2">
              <w:rPr>
                <w:rFonts w:ascii="Calibri" w:eastAsia="Malgun Gothic" w:hAnsi="Calibri" w:cs="Calibri"/>
                <w:color w:val="auto"/>
                <w:sz w:val="16"/>
                <w:szCs w:val="16"/>
                <w:lang w:eastAsia="ko-KR"/>
              </w:rPr>
              <w:t>6 (34.8)</w:t>
            </w:r>
          </w:p>
        </w:tc>
        <w:tc>
          <w:tcPr>
            <w:tcW w:w="3582" w:type="dxa"/>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Survival [N=2/32 (6%)]; Death [N=3/19 (16%)] </w:t>
            </w:r>
          </w:p>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:steroid-used patients/each </w:t>
            </w:r>
            <w:proofErr w:type="gramStart"/>
            <w:r w:rsidRPr="002227B2">
              <w:rPr>
                <w:rFonts w:ascii="Calibri" w:eastAsia="Malgun Gothic" w:hAnsi="Calibri" w:cs="Calibri"/>
                <w:color w:val="auto"/>
                <w:sz w:val="16"/>
                <w:szCs w:val="16"/>
                <w:lang w:eastAsia="ko-KR"/>
              </w:rPr>
              <w:t>groups</w:t>
            </w:r>
            <w:proofErr w:type="gramEnd"/>
            <w:r w:rsidRPr="002227B2">
              <w:rPr>
                <w:rFonts w:ascii="Calibri" w:eastAsia="Malgun Gothic" w:hAnsi="Calibri" w:cs="Calibri"/>
                <w:color w:val="auto"/>
                <w:sz w:val="16"/>
                <w:szCs w:val="16"/>
                <w:lang w:eastAsia="ko-KR"/>
              </w:rPr>
              <w:t xml:space="preserve"> (p=0.348)</w:t>
            </w:r>
          </w:p>
        </w:tc>
        <w:tc>
          <w:tcPr>
            <w:tcW w:w="3402" w:type="dxa"/>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 xml:space="preserve">All deaths were </w:t>
            </w:r>
            <w:r w:rsidRPr="002227B2">
              <w:rPr>
                <w:rFonts w:ascii="Calibri" w:eastAsia="Malgun Gothic" w:hAnsi="Calibri" w:cs="Calibri"/>
                <w:color w:val="auto"/>
                <w:sz w:val="16"/>
                <w:szCs w:val="16"/>
                <w:lang w:eastAsia="ko-KR"/>
              </w:rPr>
              <w:t xml:space="preserve">received ICU care and all survivors were </w:t>
            </w:r>
            <w:proofErr w:type="gramStart"/>
            <w:r w:rsidRPr="002227B2">
              <w:rPr>
                <w:rFonts w:ascii="Calibri" w:eastAsia="Malgun Gothic" w:hAnsi="Calibri" w:cs="Calibri"/>
                <w:color w:val="auto"/>
                <w:sz w:val="16"/>
                <w:szCs w:val="16"/>
                <w:lang w:eastAsia="ko-KR"/>
              </w:rPr>
              <w:t>non ICU</w:t>
            </w:r>
            <w:proofErr w:type="gramEnd"/>
            <w:r w:rsidRPr="002227B2">
              <w:rPr>
                <w:rFonts w:ascii="Calibri" w:eastAsia="Malgun Gothic" w:hAnsi="Calibri" w:cs="Calibri"/>
                <w:color w:val="auto"/>
                <w:sz w:val="16"/>
                <w:szCs w:val="16"/>
                <w:lang w:eastAsia="ko-KR"/>
              </w:rPr>
              <w:t xml:space="preserve"> patients; non-survivors were more severe</w:t>
            </w:r>
          </w:p>
        </w:tc>
      </w:tr>
      <w:tr w:rsidR="002227B2" w:rsidRPr="002227B2" w:rsidTr="00B847E9">
        <w:tc>
          <w:tcPr>
            <w:cnfStyle w:val="001000000000" w:firstRow="0" w:lastRow="0" w:firstColumn="1" w:lastColumn="0" w:oddVBand="0" w:evenVBand="0" w:oddHBand="0" w:evenHBand="0" w:firstRowFirstColumn="0" w:firstRowLastColumn="0" w:lastRowFirstColumn="0" w:lastRowLastColumn="0"/>
            <w:tcW w:w="2127" w:type="dxa"/>
            <w:tcBorders>
              <w:bottom w:val="single" w:sz="12" w:space="0" w:color="auto"/>
            </w:tcBorders>
          </w:tcPr>
          <w:p w:rsidR="002227B2" w:rsidRPr="002227B2" w:rsidRDefault="002227B2" w:rsidP="00B847E9">
            <w:pPr>
              <w:widowControl w:val="0"/>
              <w:wordWrap w:val="0"/>
              <w:autoSpaceDE w:val="0"/>
              <w:autoSpaceDN w:val="0"/>
              <w:spacing w:line="240" w:lineRule="auto"/>
              <w:jc w:val="left"/>
              <w:rPr>
                <w:rFonts w:ascii="Calibri" w:eastAsia="Malgun Gothic" w:hAnsi="Calibri" w:cs="Calibri"/>
                <w:color w:val="auto"/>
                <w:sz w:val="16"/>
                <w:szCs w:val="16"/>
                <w:vertAlign w:val="superscript"/>
                <w:lang w:eastAsia="ko-KR"/>
              </w:rPr>
            </w:pPr>
            <w:r w:rsidRPr="002227B2">
              <w:rPr>
                <w:rFonts w:ascii="Calibri" w:eastAsia="Malgun Gothic" w:hAnsi="Calibri" w:cs="Calibri"/>
                <w:color w:val="auto"/>
                <w:sz w:val="16"/>
                <w:szCs w:val="16"/>
                <w:lang w:eastAsia="ko-KR"/>
              </w:rPr>
              <w:t>Zhou et al. (2020)</w:t>
            </w:r>
            <w:r w:rsidR="00B847E9">
              <w:rPr>
                <w:rFonts w:ascii="Calibri" w:eastAsia="Malgun Gothic" w:hAnsi="Calibri" w:cs="Calibri"/>
                <w:color w:val="auto"/>
                <w:sz w:val="16"/>
                <w:szCs w:val="16"/>
                <w:lang w:eastAsia="ko-KR"/>
              </w:rPr>
              <w:t xml:space="preserve"> [39]</w:t>
            </w:r>
          </w:p>
        </w:tc>
        <w:tc>
          <w:tcPr>
            <w:tcW w:w="918" w:type="dxa"/>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COVID-19</w:t>
            </w:r>
          </w:p>
        </w:tc>
        <w:tc>
          <w:tcPr>
            <w:tcW w:w="1208" w:type="dxa"/>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Wuhan</w:t>
            </w:r>
          </w:p>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/China</w:t>
            </w:r>
          </w:p>
        </w:tc>
        <w:tc>
          <w:tcPr>
            <w:tcW w:w="850" w:type="dxa"/>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2</w:t>
            </w:r>
          </w:p>
        </w:tc>
        <w:tc>
          <w:tcPr>
            <w:tcW w:w="730" w:type="dxa"/>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191</w:t>
            </w:r>
          </w:p>
        </w:tc>
        <w:tc>
          <w:tcPr>
            <w:tcW w:w="842" w:type="dxa"/>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57</w:t>
            </w:r>
          </w:p>
        </w:tc>
        <w:tc>
          <w:tcPr>
            <w:tcW w:w="786" w:type="dxa"/>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134</w:t>
            </w:r>
          </w:p>
        </w:tc>
        <w:tc>
          <w:tcPr>
            <w:tcW w:w="902" w:type="dxa"/>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26 (45.6)</w:t>
            </w:r>
          </w:p>
        </w:tc>
        <w:tc>
          <w:tcPr>
            <w:tcW w:w="954" w:type="dxa"/>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28</w:t>
            </w:r>
            <w:r w:rsidRPr="002227B2">
              <w:rPr>
                <w:rFonts w:ascii="Calibri" w:eastAsia="Malgun Gothic" w:hAnsi="Calibri" w:cs="Calibri"/>
                <w:color w:val="auto"/>
                <w:sz w:val="16"/>
                <w:szCs w:val="16"/>
                <w:lang w:eastAsia="ko-KR"/>
              </w:rPr>
              <w:t xml:space="preserve"> (20.9)</w:t>
            </w:r>
          </w:p>
        </w:tc>
        <w:tc>
          <w:tcPr>
            <w:tcW w:w="3582" w:type="dxa"/>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Survival [N=31/137 (23%)]; Death [N=26/54 (48%)] :steroid-used patients/each </w:t>
            </w:r>
            <w:proofErr w:type="gramStart"/>
            <w:r w:rsidRPr="002227B2">
              <w:rPr>
                <w:rFonts w:ascii="Calibri" w:eastAsia="Malgun Gothic" w:hAnsi="Calibri" w:cs="Calibri"/>
                <w:color w:val="auto"/>
                <w:sz w:val="16"/>
                <w:szCs w:val="16"/>
                <w:lang w:eastAsia="ko-KR"/>
              </w:rPr>
              <w:t>groups</w:t>
            </w:r>
            <w:proofErr w:type="gramEnd"/>
            <w:r w:rsidRPr="002227B2">
              <w:rPr>
                <w:rFonts w:ascii="Calibri" w:eastAsia="Malgun Gothic" w:hAnsi="Calibri" w:cs="Calibri"/>
                <w:color w:val="auto"/>
                <w:sz w:val="16"/>
                <w:szCs w:val="16"/>
                <w:lang w:eastAsia="ko-KR"/>
              </w:rPr>
              <w:t xml:space="preserve"> (p=0.0005)</w:t>
            </w:r>
          </w:p>
        </w:tc>
        <w:tc>
          <w:tcPr>
            <w:tcW w:w="3402" w:type="dxa"/>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Steroid was used in both groups after ARDS; Non-survivor was older and had more comorbidities than survivors </w:t>
            </w:r>
          </w:p>
        </w:tc>
      </w:tr>
    </w:tbl>
    <w:p w:rsidR="002227B2" w:rsidRPr="002227B2" w:rsidRDefault="002227B2" w:rsidP="002227B2">
      <w:pPr>
        <w:widowControl w:val="0"/>
        <w:wordWrap w:val="0"/>
        <w:autoSpaceDE w:val="0"/>
        <w:autoSpaceDN w:val="0"/>
        <w:spacing w:line="276" w:lineRule="auto"/>
        <w:jc w:val="left"/>
        <w:rPr>
          <w:rFonts w:ascii="Calibri" w:eastAsia="Malgun Gothic" w:hAnsi="Calibri" w:cs="Calibri"/>
          <w:color w:val="auto"/>
          <w:kern w:val="2"/>
          <w:sz w:val="14"/>
          <w:szCs w:val="16"/>
          <w:lang w:eastAsia="ko-KR"/>
        </w:rPr>
      </w:pPr>
      <w:r w:rsidRPr="002227B2">
        <w:rPr>
          <w:rFonts w:ascii="Calibri" w:eastAsia="Malgun Gothic" w:hAnsi="Calibri" w:cs="Calibri"/>
          <w:color w:val="auto"/>
          <w:kern w:val="2"/>
          <w:sz w:val="14"/>
          <w:szCs w:val="16"/>
          <w:lang w:eastAsia="ko-KR"/>
        </w:rPr>
        <w:t xml:space="preserve">No: Number, SARS: Severe acute respiratory syndrome, MERS: Middle East respiratory syndrome, </w:t>
      </w:r>
      <w:r w:rsidRPr="002227B2">
        <w:rPr>
          <w:rFonts w:ascii="Calibri" w:eastAsia="Malgun Gothic" w:hAnsi="Calibri" w:cs="Calibri" w:hint="eastAsia"/>
          <w:color w:val="auto"/>
          <w:kern w:val="2"/>
          <w:sz w:val="14"/>
          <w:szCs w:val="16"/>
          <w:lang w:eastAsia="ko-KR"/>
        </w:rPr>
        <w:t>COVID-19: Coronavirus disease 19</w:t>
      </w:r>
      <w:r w:rsidRPr="002227B2">
        <w:rPr>
          <w:rFonts w:ascii="Calibri" w:eastAsia="Malgun Gothic" w:hAnsi="Calibri" w:cs="Calibri"/>
          <w:color w:val="auto"/>
          <w:kern w:val="2"/>
          <w:sz w:val="14"/>
          <w:szCs w:val="16"/>
          <w:lang w:eastAsia="ko-KR"/>
        </w:rPr>
        <w:t>, MP: Methylprednisolone, Pulse: High dose intravenous, methylprednisolone therapy, OR: odds ratio, HR: Hazard ratio, CI: confidence interval, ICU: intensive care unit, ARDS: acute respiratory distress syndrome, (-): no information.</w:t>
      </w:r>
    </w:p>
    <w:p w:rsidR="002227B2" w:rsidRPr="002227B2" w:rsidRDefault="002227B2" w:rsidP="002227B2">
      <w:pPr>
        <w:widowControl w:val="0"/>
        <w:wordWrap w:val="0"/>
        <w:autoSpaceDE w:val="0"/>
        <w:autoSpaceDN w:val="0"/>
        <w:spacing w:line="276" w:lineRule="auto"/>
        <w:jc w:val="left"/>
        <w:rPr>
          <w:rFonts w:ascii="Calibri" w:eastAsia="Malgun Gothic" w:hAnsi="Calibri" w:cs="Calibri"/>
          <w:color w:val="auto"/>
          <w:kern w:val="2"/>
          <w:sz w:val="14"/>
          <w:szCs w:val="16"/>
          <w:lang w:eastAsia="ko-KR"/>
        </w:rPr>
      </w:pPr>
      <w:r w:rsidRPr="002227B2">
        <w:rPr>
          <w:rFonts w:ascii="Calibri" w:eastAsia="Malgun Gothic" w:hAnsi="Calibri" w:cs="Calibri"/>
          <w:color w:val="auto"/>
          <w:kern w:val="2"/>
          <w:sz w:val="14"/>
          <w:szCs w:val="16"/>
          <w:lang w:eastAsia="ko-KR"/>
        </w:rPr>
        <w:t>*This paper is also described in Russell (2020)</w:t>
      </w:r>
      <w:r w:rsidR="00B847E9">
        <w:rPr>
          <w:rFonts w:ascii="Calibri" w:eastAsia="Malgun Gothic" w:hAnsi="Calibri" w:cs="Calibri"/>
          <w:color w:val="auto"/>
          <w:kern w:val="2"/>
          <w:sz w:val="14"/>
          <w:szCs w:val="16"/>
          <w:lang w:eastAsia="ko-KR"/>
        </w:rPr>
        <w:t xml:space="preserve"> [22]</w:t>
      </w:r>
      <w:r w:rsidRPr="002227B2">
        <w:rPr>
          <w:rFonts w:ascii="Calibri" w:eastAsia="Malgun Gothic" w:hAnsi="Calibri" w:cs="Calibri"/>
          <w:color w:val="auto"/>
          <w:kern w:val="2"/>
          <w:sz w:val="14"/>
          <w:szCs w:val="16"/>
          <w:lang w:eastAsia="ko-KR"/>
        </w:rPr>
        <w:t xml:space="preserve"> as references. </w:t>
      </w:r>
    </w:p>
    <w:p w:rsidR="002227B2" w:rsidRPr="002227B2" w:rsidRDefault="002227B2" w:rsidP="002227B2">
      <w:pPr>
        <w:widowControl w:val="0"/>
        <w:wordWrap w:val="0"/>
        <w:autoSpaceDE w:val="0"/>
        <w:autoSpaceDN w:val="0"/>
        <w:spacing w:line="276" w:lineRule="auto"/>
        <w:jc w:val="left"/>
        <w:rPr>
          <w:rFonts w:ascii="Calibri" w:eastAsia="BatangChe" w:hAnsi="Calibri" w:cs="Calibri"/>
          <w:color w:val="auto"/>
          <w:kern w:val="2"/>
          <w:sz w:val="14"/>
          <w:szCs w:val="16"/>
          <w:lang w:eastAsia="ko-KR"/>
        </w:rPr>
      </w:pPr>
      <w:r w:rsidRPr="002227B2">
        <w:rPr>
          <w:rFonts w:ascii="BatangChe" w:eastAsia="BatangChe" w:hAnsi="BatangChe" w:cs="Calibri" w:hint="eastAsia"/>
          <w:color w:val="auto"/>
          <w:kern w:val="2"/>
          <w:sz w:val="14"/>
          <w:szCs w:val="16"/>
          <w:vertAlign w:val="superscript"/>
          <w:lang w:eastAsia="ko-KR"/>
        </w:rPr>
        <w:t>†</w:t>
      </w:r>
      <w:r w:rsidRPr="002227B2">
        <w:rPr>
          <w:rFonts w:ascii="Calibri" w:eastAsia="BatangChe" w:hAnsi="Calibri" w:cs="Calibri"/>
          <w:color w:val="auto"/>
          <w:kern w:val="2"/>
          <w:sz w:val="14"/>
          <w:szCs w:val="16"/>
          <w:lang w:eastAsia="ko-KR"/>
        </w:rPr>
        <w:t>These are the same paper (Lau (2009)</w:t>
      </w:r>
      <w:r w:rsidR="00B847E9">
        <w:rPr>
          <w:rFonts w:ascii="Calibri" w:eastAsia="BatangChe" w:hAnsi="Calibri" w:cs="Calibri"/>
          <w:color w:val="auto"/>
          <w:kern w:val="2"/>
          <w:sz w:val="14"/>
          <w:szCs w:val="16"/>
          <w:lang w:eastAsia="ko-KR"/>
        </w:rPr>
        <w:t xml:space="preserve"> [34]</w:t>
      </w:r>
      <w:r w:rsidRPr="002227B2">
        <w:rPr>
          <w:rFonts w:ascii="Calibri" w:eastAsia="BatangChe" w:hAnsi="Calibri" w:cs="Calibri"/>
          <w:color w:val="auto"/>
          <w:kern w:val="2"/>
          <w:sz w:val="14"/>
          <w:szCs w:val="16"/>
          <w:lang w:eastAsia="ko-KR"/>
        </w:rPr>
        <w:t xml:space="preserve">) which has the two subgroups: one study in Hong-Kong(H) and the other study in Toronto (T). </w:t>
      </w:r>
    </w:p>
    <w:p w:rsidR="002227B2" w:rsidRPr="002227B2" w:rsidRDefault="002227B2" w:rsidP="002227B2">
      <w:pPr>
        <w:widowControl w:val="0"/>
        <w:wordWrap w:val="0"/>
        <w:autoSpaceDE w:val="0"/>
        <w:autoSpaceDN w:val="0"/>
        <w:spacing w:line="276" w:lineRule="auto"/>
        <w:jc w:val="left"/>
        <w:rPr>
          <w:rFonts w:ascii="Calibri" w:eastAsia="BatangChe" w:hAnsi="Calibri" w:cs="Calibri"/>
          <w:color w:val="auto"/>
          <w:kern w:val="2"/>
          <w:sz w:val="14"/>
          <w:szCs w:val="16"/>
          <w:lang w:eastAsia="ko-KR"/>
        </w:rPr>
      </w:pPr>
      <w:r w:rsidRPr="002227B2">
        <w:rPr>
          <w:rFonts w:ascii="BatangChe" w:eastAsia="BatangChe" w:hAnsi="BatangChe" w:cs="Calibri" w:hint="eastAsia"/>
          <w:color w:val="auto"/>
          <w:kern w:val="2"/>
          <w:sz w:val="14"/>
          <w:szCs w:val="16"/>
          <w:vertAlign w:val="superscript"/>
          <w:lang w:eastAsia="ko-KR"/>
        </w:rPr>
        <w:t>‡</w:t>
      </w:r>
      <w:r w:rsidRPr="002227B2">
        <w:rPr>
          <w:rFonts w:ascii="Calibri" w:eastAsia="BatangChe" w:hAnsi="Calibri" w:cs="Calibri"/>
          <w:color w:val="auto"/>
          <w:kern w:val="2"/>
          <w:sz w:val="14"/>
          <w:szCs w:val="16"/>
          <w:lang w:eastAsia="ko-KR"/>
        </w:rPr>
        <w:t>These numbers also contains patients with neither treatment or steroids alone</w:t>
      </w:r>
    </w:p>
    <w:p w:rsidR="002227B2" w:rsidRPr="002227B2" w:rsidRDefault="002227B2" w:rsidP="002227B2">
      <w:pPr>
        <w:widowControl w:val="0"/>
        <w:wordWrap w:val="0"/>
        <w:autoSpaceDE w:val="0"/>
        <w:autoSpaceDN w:val="0"/>
        <w:spacing w:line="276" w:lineRule="auto"/>
        <w:jc w:val="left"/>
        <w:rPr>
          <w:rFonts w:ascii="Calibri" w:eastAsia="Malgun Gothic" w:hAnsi="Calibri" w:cs="Calibri"/>
          <w:color w:val="auto"/>
          <w:kern w:val="2"/>
          <w:sz w:val="14"/>
          <w:szCs w:val="16"/>
          <w:lang w:eastAsia="ko-KR"/>
        </w:rPr>
      </w:pPr>
      <w:r w:rsidRPr="002227B2">
        <w:rPr>
          <w:rFonts w:ascii="BatangChe" w:eastAsia="BatangChe" w:hAnsi="BatangChe" w:cs="Calibri" w:hint="eastAsia"/>
          <w:color w:val="auto"/>
          <w:kern w:val="2"/>
          <w:sz w:val="14"/>
          <w:szCs w:val="16"/>
          <w:vertAlign w:val="superscript"/>
          <w:lang w:eastAsia="ko-KR"/>
        </w:rPr>
        <w:t>※</w:t>
      </w:r>
      <w:r w:rsidRPr="002227B2">
        <w:rPr>
          <w:rFonts w:ascii="Calibri" w:eastAsia="Malgun Gothic" w:hAnsi="Calibri" w:cs="Calibri"/>
          <w:color w:val="auto"/>
          <w:kern w:val="2"/>
          <w:sz w:val="14"/>
          <w:szCs w:val="16"/>
          <w:lang w:eastAsia="ko-KR"/>
        </w:rPr>
        <w:t xml:space="preserve">All enrolled patients here were diagnosed ARDS. </w:t>
      </w:r>
    </w:p>
    <w:p w:rsidR="002227B2" w:rsidRPr="002227B2" w:rsidRDefault="002227B2" w:rsidP="002227B2">
      <w:pPr>
        <w:widowControl w:val="0"/>
        <w:wordWrap w:val="0"/>
        <w:autoSpaceDE w:val="0"/>
        <w:autoSpaceDN w:val="0"/>
        <w:spacing w:line="276" w:lineRule="auto"/>
        <w:jc w:val="left"/>
        <w:rPr>
          <w:rFonts w:ascii="Calibri" w:eastAsia="Malgun Gothic" w:hAnsi="Calibri" w:cs="Calibri"/>
          <w:color w:val="auto"/>
          <w:kern w:val="2"/>
          <w:sz w:val="14"/>
          <w:szCs w:val="16"/>
          <w:lang w:eastAsia="ko-KR"/>
        </w:rPr>
      </w:pPr>
    </w:p>
    <w:p w:rsidR="002227B2" w:rsidRPr="002227B2" w:rsidRDefault="002227B2" w:rsidP="002227B2">
      <w:pPr>
        <w:widowControl w:val="0"/>
        <w:wordWrap w:val="0"/>
        <w:autoSpaceDE w:val="0"/>
        <w:autoSpaceDN w:val="0"/>
        <w:spacing w:after="200" w:line="480" w:lineRule="auto"/>
        <w:contextualSpacing/>
        <w:rPr>
          <w:rFonts w:eastAsia="Arial Unicode MS"/>
          <w:color w:val="auto"/>
          <w:kern w:val="2"/>
          <w:szCs w:val="24"/>
          <w:lang w:eastAsia="ko-KR"/>
        </w:rPr>
        <w:sectPr w:rsidR="002227B2" w:rsidRPr="002227B2" w:rsidSect="002227B2">
          <w:footerReference w:type="first" r:id="rId13"/>
          <w:pgSz w:w="16838" w:h="11906" w:orient="landscape"/>
          <w:pgMar w:top="1440" w:right="1701" w:bottom="1558" w:left="426" w:header="851" w:footer="193" w:gutter="0"/>
          <w:cols w:space="425"/>
          <w:titlePg/>
          <w:docGrid w:linePitch="360"/>
        </w:sectPr>
      </w:pPr>
    </w:p>
    <w:p w:rsidR="008E2418" w:rsidRPr="002227B2" w:rsidRDefault="008E2418" w:rsidP="003E4374">
      <w:pPr>
        <w:pStyle w:val="MDPI33textspaceafter"/>
        <w:spacing w:after="0"/>
      </w:pPr>
    </w:p>
    <w:p w:rsidR="002227B2" w:rsidRPr="002227B2" w:rsidRDefault="002227B2" w:rsidP="002227B2">
      <w:pPr>
        <w:widowControl w:val="0"/>
        <w:wordWrap w:val="0"/>
        <w:autoSpaceDE w:val="0"/>
        <w:autoSpaceDN w:val="0"/>
        <w:spacing w:line="276" w:lineRule="auto"/>
        <w:jc w:val="left"/>
        <w:rPr>
          <w:rFonts w:ascii="Palatino Linotype" w:eastAsia="Malgun Gothic" w:hAnsi="Palatino Linotype" w:cs="Calibri"/>
          <w:b/>
          <w:color w:val="auto"/>
          <w:kern w:val="2"/>
          <w:sz w:val="18"/>
          <w:szCs w:val="16"/>
          <w:lang w:eastAsia="ko-KR"/>
        </w:rPr>
      </w:pPr>
      <w:r w:rsidRPr="002227B2">
        <w:rPr>
          <w:rFonts w:ascii="Palatino Linotype" w:eastAsia="Malgun Gothic" w:hAnsi="Palatino Linotype" w:cs="Calibri"/>
          <w:b/>
          <w:color w:val="auto"/>
          <w:kern w:val="2"/>
          <w:sz w:val="18"/>
          <w:szCs w:val="16"/>
          <w:lang w:eastAsia="ko-KR"/>
        </w:rPr>
        <w:t>Table 2: Detailed distribution of patient of the studies included in the meta-analysis</w:t>
      </w:r>
    </w:p>
    <w:p w:rsidR="002227B2" w:rsidRPr="002227B2" w:rsidRDefault="002227B2" w:rsidP="002227B2">
      <w:pPr>
        <w:widowControl w:val="0"/>
        <w:wordWrap w:val="0"/>
        <w:autoSpaceDE w:val="0"/>
        <w:autoSpaceDN w:val="0"/>
        <w:spacing w:line="276" w:lineRule="auto"/>
        <w:jc w:val="left"/>
        <w:rPr>
          <w:rFonts w:ascii="Palatino Linotype" w:eastAsia="Malgun Gothic" w:hAnsi="Palatino Linotype" w:cs="Calibri"/>
          <w:color w:val="auto"/>
          <w:kern w:val="2"/>
          <w:sz w:val="18"/>
          <w:szCs w:val="16"/>
          <w:lang w:eastAsia="ko-KR"/>
        </w:rPr>
      </w:pPr>
    </w:p>
    <w:tbl>
      <w:tblPr>
        <w:tblStyle w:val="211"/>
        <w:tblW w:w="5099" w:type="pct"/>
        <w:tblBorders>
          <w:top w:val="single" w:sz="12" w:space="0" w:color="auto"/>
          <w:bottom w:val="single" w:sz="12" w:space="0" w:color="auto"/>
          <w:insideH w:val="single" w:sz="4" w:space="0" w:color="7F7F7F"/>
        </w:tblBorders>
        <w:tblLook w:val="04A0" w:firstRow="1" w:lastRow="0" w:firstColumn="1" w:lastColumn="0" w:noHBand="0" w:noVBand="1"/>
      </w:tblPr>
      <w:tblGrid>
        <w:gridCol w:w="2128"/>
        <w:gridCol w:w="1002"/>
        <w:gridCol w:w="962"/>
        <w:gridCol w:w="774"/>
        <w:gridCol w:w="1351"/>
        <w:gridCol w:w="925"/>
        <w:gridCol w:w="1237"/>
        <w:gridCol w:w="874"/>
        <w:gridCol w:w="794"/>
        <w:gridCol w:w="817"/>
        <w:gridCol w:w="817"/>
        <w:gridCol w:w="774"/>
        <w:gridCol w:w="791"/>
        <w:gridCol w:w="1034"/>
      </w:tblGrid>
      <w:tr w:rsidR="002227B2" w:rsidRPr="002227B2" w:rsidTr="00B847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5" w:type="pct"/>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rPr>
                <w:rFonts w:ascii="Calibri" w:eastAsia="Malgun Gothic" w:hAnsi="Calibri"/>
                <w:color w:val="auto"/>
                <w:sz w:val="14"/>
                <w:szCs w:val="16"/>
                <w:lang w:eastAsia="ko-KR"/>
              </w:rPr>
            </w:pPr>
            <w:r w:rsidRPr="002227B2">
              <w:rPr>
                <w:rFonts w:ascii="Malgun Gothic" w:eastAsia="Malgun Gothic" w:hAnsi="Malgun Gothic"/>
                <w:color w:val="auto"/>
                <w:sz w:val="14"/>
                <w:szCs w:val="16"/>
                <w:lang w:eastAsia="ko-KR"/>
              </w:rPr>
              <w:br w:type="page"/>
            </w:r>
            <w:r w:rsidRPr="002227B2">
              <w:rPr>
                <w:rFonts w:ascii="Calibri" w:eastAsia="Malgun Gothic" w:hAnsi="Calibri"/>
                <w:color w:val="auto"/>
                <w:sz w:val="14"/>
                <w:szCs w:val="16"/>
                <w:lang w:eastAsia="ko-KR"/>
              </w:rPr>
              <w:t>Authors</w:t>
            </w:r>
          </w:p>
        </w:tc>
        <w:tc>
          <w:tcPr>
            <w:tcW w:w="351" w:type="pct"/>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4"/>
                <w:szCs w:val="16"/>
                <w:lang w:eastAsia="ko-KR"/>
              </w:rPr>
            </w:pPr>
            <w:r w:rsidRPr="002227B2">
              <w:rPr>
                <w:rFonts w:ascii="Calibri" w:eastAsia="Malgun Gothic" w:hAnsi="Calibri" w:cs="Calibri"/>
                <w:color w:val="auto"/>
                <w:sz w:val="14"/>
                <w:szCs w:val="16"/>
                <w:lang w:eastAsia="ko-KR"/>
              </w:rPr>
              <w:t>Patient group</w:t>
            </w:r>
          </w:p>
        </w:tc>
        <w:tc>
          <w:tcPr>
            <w:tcW w:w="337" w:type="pct"/>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4"/>
                <w:szCs w:val="16"/>
                <w:lang w:eastAsia="ko-KR"/>
              </w:rPr>
            </w:pPr>
            <w:r w:rsidRPr="002227B2">
              <w:rPr>
                <w:rFonts w:ascii="Calibri" w:eastAsia="Malgun Gothic" w:hAnsi="Calibri" w:cs="Calibri"/>
                <w:color w:val="auto"/>
                <w:sz w:val="14"/>
                <w:szCs w:val="16"/>
                <w:lang w:eastAsia="ko-KR"/>
              </w:rPr>
              <w:t>Mean age (SD), years</w:t>
            </w:r>
          </w:p>
        </w:tc>
        <w:tc>
          <w:tcPr>
            <w:tcW w:w="271" w:type="pct"/>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4"/>
                <w:szCs w:val="16"/>
                <w:lang w:eastAsia="ko-KR"/>
              </w:rPr>
            </w:pPr>
            <w:r w:rsidRPr="002227B2">
              <w:rPr>
                <w:rFonts w:ascii="Calibri" w:eastAsia="Malgun Gothic" w:hAnsi="Calibri" w:cs="Calibri"/>
                <w:color w:val="auto"/>
                <w:sz w:val="14"/>
                <w:szCs w:val="16"/>
                <w:lang w:eastAsia="ko-KR"/>
              </w:rPr>
              <w:t>Male: Female</w:t>
            </w:r>
          </w:p>
        </w:tc>
        <w:tc>
          <w:tcPr>
            <w:tcW w:w="473" w:type="pct"/>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4"/>
                <w:szCs w:val="16"/>
                <w:lang w:eastAsia="ko-KR"/>
              </w:rPr>
            </w:pPr>
            <w:r w:rsidRPr="002227B2">
              <w:rPr>
                <w:rFonts w:ascii="Calibri" w:eastAsia="Malgun Gothic" w:hAnsi="Calibri" w:cs="Calibri"/>
                <w:color w:val="auto"/>
                <w:sz w:val="14"/>
                <w:szCs w:val="16"/>
                <w:lang w:eastAsia="ko-KR"/>
              </w:rPr>
              <w:t>Type of steroids</w:t>
            </w:r>
          </w:p>
        </w:tc>
        <w:tc>
          <w:tcPr>
            <w:tcW w:w="324" w:type="pct"/>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4"/>
                <w:szCs w:val="16"/>
                <w:lang w:eastAsia="ko-KR"/>
              </w:rPr>
            </w:pPr>
            <w:r w:rsidRPr="002227B2">
              <w:rPr>
                <w:rFonts w:ascii="Calibri" w:eastAsia="Malgun Gothic" w:hAnsi="Calibri" w:cs="Calibri"/>
                <w:color w:val="auto"/>
                <w:sz w:val="14"/>
                <w:szCs w:val="16"/>
                <w:lang w:eastAsia="ko-KR"/>
              </w:rPr>
              <w:t>Duration of steroids, day</w:t>
            </w:r>
          </w:p>
        </w:tc>
        <w:tc>
          <w:tcPr>
            <w:tcW w:w="433" w:type="pct"/>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4"/>
                <w:szCs w:val="16"/>
                <w:lang w:eastAsia="ko-KR"/>
              </w:rPr>
            </w:pPr>
            <w:r w:rsidRPr="002227B2">
              <w:rPr>
                <w:rFonts w:ascii="Calibri" w:eastAsia="Malgun Gothic" w:hAnsi="Calibri" w:cs="Calibri"/>
                <w:color w:val="auto"/>
                <w:sz w:val="14"/>
                <w:szCs w:val="16"/>
                <w:lang w:eastAsia="ko-KR"/>
              </w:rPr>
              <w:t>Mean duration between onset of illness and steroid initiation, day (SD)</w:t>
            </w:r>
          </w:p>
        </w:tc>
        <w:tc>
          <w:tcPr>
            <w:tcW w:w="306" w:type="pct"/>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4"/>
                <w:szCs w:val="16"/>
                <w:lang w:eastAsia="ko-KR"/>
              </w:rPr>
            </w:pPr>
            <w:r w:rsidRPr="002227B2">
              <w:rPr>
                <w:rFonts w:ascii="Calibri" w:eastAsia="Malgun Gothic" w:hAnsi="Calibri" w:cs="Calibri" w:hint="eastAsia"/>
                <w:color w:val="auto"/>
                <w:sz w:val="14"/>
                <w:szCs w:val="16"/>
                <w:lang w:eastAsia="ko-KR"/>
              </w:rPr>
              <w:t xml:space="preserve">ICU care </w:t>
            </w:r>
          </w:p>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4"/>
                <w:szCs w:val="16"/>
                <w:lang w:eastAsia="ko-KR"/>
              </w:rPr>
            </w:pPr>
            <w:r w:rsidRPr="002227B2">
              <w:rPr>
                <w:rFonts w:ascii="Calibri" w:eastAsia="Malgun Gothic" w:hAnsi="Calibri" w:cs="Calibri"/>
                <w:color w:val="auto"/>
                <w:sz w:val="14"/>
                <w:szCs w:val="16"/>
                <w:lang w:eastAsia="ko-KR"/>
              </w:rPr>
              <w:t>In steroids</w:t>
            </w:r>
          </w:p>
        </w:tc>
        <w:tc>
          <w:tcPr>
            <w:tcW w:w="278" w:type="pct"/>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4"/>
                <w:szCs w:val="16"/>
                <w:lang w:eastAsia="ko-KR"/>
              </w:rPr>
            </w:pPr>
            <w:r w:rsidRPr="002227B2">
              <w:rPr>
                <w:rFonts w:ascii="Calibri" w:eastAsia="Malgun Gothic" w:hAnsi="Calibri" w:cs="Calibri" w:hint="eastAsia"/>
                <w:color w:val="auto"/>
                <w:sz w:val="14"/>
                <w:szCs w:val="16"/>
                <w:lang w:eastAsia="ko-KR"/>
              </w:rPr>
              <w:t xml:space="preserve">ICU care </w:t>
            </w:r>
          </w:p>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4"/>
                <w:szCs w:val="16"/>
                <w:lang w:eastAsia="ko-KR"/>
              </w:rPr>
            </w:pPr>
            <w:r w:rsidRPr="002227B2">
              <w:rPr>
                <w:rFonts w:ascii="Calibri" w:eastAsia="Malgun Gothic" w:hAnsi="Calibri" w:cs="Calibri"/>
                <w:color w:val="auto"/>
                <w:sz w:val="14"/>
                <w:szCs w:val="16"/>
                <w:lang w:eastAsia="ko-KR"/>
              </w:rPr>
              <w:t>In control</w:t>
            </w:r>
          </w:p>
        </w:tc>
        <w:tc>
          <w:tcPr>
            <w:tcW w:w="286" w:type="pct"/>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4"/>
                <w:szCs w:val="16"/>
                <w:lang w:eastAsia="ko-KR"/>
              </w:rPr>
            </w:pPr>
            <w:r w:rsidRPr="002227B2">
              <w:rPr>
                <w:rFonts w:ascii="Calibri" w:eastAsia="Malgun Gothic" w:hAnsi="Calibri" w:cs="Calibri"/>
                <w:color w:val="auto"/>
                <w:sz w:val="14"/>
                <w:szCs w:val="16"/>
                <w:lang w:eastAsia="ko-KR"/>
              </w:rPr>
              <w:t>Ventilator in steroids</w:t>
            </w:r>
          </w:p>
        </w:tc>
        <w:tc>
          <w:tcPr>
            <w:tcW w:w="286" w:type="pct"/>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4"/>
                <w:szCs w:val="16"/>
                <w:lang w:eastAsia="ko-KR"/>
              </w:rPr>
            </w:pPr>
            <w:r w:rsidRPr="002227B2">
              <w:rPr>
                <w:rFonts w:ascii="Calibri" w:eastAsia="Malgun Gothic" w:hAnsi="Calibri" w:cs="Calibri"/>
                <w:color w:val="auto"/>
                <w:sz w:val="14"/>
                <w:szCs w:val="16"/>
                <w:lang w:eastAsia="ko-KR"/>
              </w:rPr>
              <w:t>Ventilator in control</w:t>
            </w:r>
          </w:p>
        </w:tc>
        <w:tc>
          <w:tcPr>
            <w:tcW w:w="271" w:type="pct"/>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4"/>
                <w:szCs w:val="16"/>
                <w:lang w:eastAsia="ko-KR"/>
              </w:rPr>
            </w:pPr>
            <w:r w:rsidRPr="002227B2">
              <w:rPr>
                <w:rFonts w:ascii="Calibri" w:eastAsia="Malgun Gothic" w:hAnsi="Calibri" w:cs="Calibri"/>
                <w:color w:val="auto"/>
                <w:sz w:val="14"/>
                <w:szCs w:val="16"/>
                <w:lang w:eastAsia="ko-KR"/>
              </w:rPr>
              <w:t xml:space="preserve">ALI/ </w:t>
            </w:r>
            <w:r w:rsidRPr="002227B2">
              <w:rPr>
                <w:rFonts w:ascii="Calibri" w:eastAsia="Malgun Gothic" w:hAnsi="Calibri" w:cs="Calibri" w:hint="eastAsia"/>
                <w:color w:val="auto"/>
                <w:sz w:val="14"/>
                <w:szCs w:val="16"/>
                <w:lang w:eastAsia="ko-KR"/>
              </w:rPr>
              <w:t xml:space="preserve">ARDS in </w:t>
            </w:r>
            <w:r w:rsidRPr="002227B2">
              <w:rPr>
                <w:rFonts w:ascii="Calibri" w:eastAsia="Malgun Gothic" w:hAnsi="Calibri" w:cs="Calibri"/>
                <w:color w:val="auto"/>
                <w:sz w:val="14"/>
                <w:szCs w:val="16"/>
                <w:lang w:eastAsia="ko-KR"/>
              </w:rPr>
              <w:t>s</w:t>
            </w:r>
            <w:r w:rsidRPr="002227B2">
              <w:rPr>
                <w:rFonts w:ascii="Calibri" w:eastAsia="Malgun Gothic" w:hAnsi="Calibri" w:cs="Calibri" w:hint="eastAsia"/>
                <w:color w:val="auto"/>
                <w:sz w:val="14"/>
                <w:szCs w:val="16"/>
                <w:lang w:eastAsia="ko-KR"/>
              </w:rPr>
              <w:t>teroids</w:t>
            </w:r>
          </w:p>
        </w:tc>
        <w:tc>
          <w:tcPr>
            <w:tcW w:w="277" w:type="pct"/>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4"/>
                <w:szCs w:val="16"/>
                <w:lang w:eastAsia="ko-KR"/>
              </w:rPr>
            </w:pPr>
            <w:r w:rsidRPr="002227B2">
              <w:rPr>
                <w:rFonts w:ascii="Calibri" w:eastAsia="Malgun Gothic" w:hAnsi="Calibri" w:cs="Calibri"/>
                <w:color w:val="auto"/>
                <w:sz w:val="14"/>
                <w:szCs w:val="16"/>
                <w:lang w:eastAsia="ko-KR"/>
              </w:rPr>
              <w:t>ALI/</w:t>
            </w:r>
            <w:r w:rsidRPr="002227B2">
              <w:rPr>
                <w:rFonts w:ascii="Calibri" w:eastAsia="Malgun Gothic" w:hAnsi="Calibri" w:cs="Calibri" w:hint="eastAsia"/>
                <w:color w:val="auto"/>
                <w:sz w:val="14"/>
                <w:szCs w:val="16"/>
                <w:lang w:eastAsia="ko-KR"/>
              </w:rPr>
              <w:t>ARDS in control</w:t>
            </w:r>
          </w:p>
        </w:tc>
        <w:tc>
          <w:tcPr>
            <w:tcW w:w="362" w:type="pct"/>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4"/>
                <w:szCs w:val="16"/>
                <w:lang w:eastAsia="ko-KR"/>
              </w:rPr>
            </w:pPr>
            <w:r w:rsidRPr="002227B2">
              <w:rPr>
                <w:rFonts w:ascii="Calibri" w:eastAsia="Malgun Gothic" w:hAnsi="Calibri" w:cs="Calibri"/>
                <w:color w:val="auto"/>
                <w:sz w:val="14"/>
                <w:szCs w:val="16"/>
                <w:lang w:eastAsia="ko-KR"/>
              </w:rPr>
              <w:t>Quality assessment</w:t>
            </w:r>
            <w:r w:rsidRPr="002227B2">
              <w:rPr>
                <w:rFonts w:ascii="BatangChe" w:eastAsia="BatangChe" w:hAnsi="BatangChe" w:cs="Calibri" w:hint="eastAsia"/>
                <w:color w:val="auto"/>
                <w:sz w:val="14"/>
                <w:szCs w:val="16"/>
                <w:vertAlign w:val="superscript"/>
                <w:lang w:eastAsia="ko-KR"/>
              </w:rPr>
              <w:t>‡</w:t>
            </w:r>
          </w:p>
        </w:tc>
      </w:tr>
      <w:tr w:rsidR="002227B2" w:rsidRPr="002227B2" w:rsidTr="00B84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14"/>
            <w:tcBorders>
              <w:top w:val="single" w:sz="12" w:space="0" w:color="auto"/>
              <w:bottom w:val="single" w:sz="12" w:space="0" w:color="000000"/>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Intervention</w:t>
            </w:r>
            <w:r w:rsidRPr="002227B2">
              <w:rPr>
                <w:rFonts w:ascii="Calibri" w:eastAsia="Malgun Gothic" w:hAnsi="Calibri" w:cs="Calibri"/>
                <w:color w:val="auto"/>
                <w:sz w:val="16"/>
                <w:szCs w:val="16"/>
                <w:lang w:eastAsia="ko-KR"/>
              </w:rPr>
              <w:t xml:space="preserve"> (OR, </w:t>
            </w:r>
            <w:r w:rsidRPr="002227B2">
              <w:rPr>
                <w:rFonts w:ascii="Calibri" w:eastAsia="Malgun Gothic" w:hAnsi="Calibri" w:cs="Calibri" w:hint="eastAsia"/>
                <w:color w:val="auto"/>
                <w:sz w:val="16"/>
                <w:szCs w:val="16"/>
                <w:lang w:eastAsia="ko-KR"/>
              </w:rPr>
              <w:t>not adjusted</w:t>
            </w:r>
            <w:r w:rsidRPr="002227B2">
              <w:rPr>
                <w:rFonts w:ascii="Calibri" w:eastAsia="Malgun Gothic" w:hAnsi="Calibri" w:cs="Calibri"/>
                <w:color w:val="auto"/>
                <w:sz w:val="16"/>
                <w:szCs w:val="16"/>
                <w:lang w:eastAsia="ko-KR"/>
              </w:rPr>
              <w:t xml:space="preserve"> </w:t>
            </w:r>
            <w:r w:rsidRPr="002227B2">
              <w:rPr>
                <w:rFonts w:ascii="Calibri" w:eastAsia="Malgun Gothic" w:hAnsi="Calibri" w:cs="Calibri" w:hint="eastAsia"/>
                <w:color w:val="auto"/>
                <w:sz w:val="16"/>
                <w:szCs w:val="16"/>
                <w:lang w:eastAsia="ko-KR"/>
              </w:rPr>
              <w:t>time)</w:t>
            </w:r>
          </w:p>
        </w:tc>
      </w:tr>
      <w:tr w:rsidR="002227B2" w:rsidRPr="002227B2" w:rsidTr="00B847E9">
        <w:tc>
          <w:tcPr>
            <w:cnfStyle w:val="001000000000" w:firstRow="0" w:lastRow="0" w:firstColumn="1" w:lastColumn="0" w:oddVBand="0" w:evenVBand="0" w:oddHBand="0" w:evenHBand="0" w:firstRowFirstColumn="0" w:firstRowLastColumn="0" w:lastRowFirstColumn="0" w:lastRowLastColumn="0"/>
            <w:tcW w:w="745" w:type="pct"/>
            <w:tcBorders>
              <w:top w:val="single" w:sz="12" w:space="0" w:color="000000"/>
            </w:tcBorders>
          </w:tcPr>
          <w:p w:rsidR="002227B2" w:rsidRPr="002227B2" w:rsidRDefault="002227B2" w:rsidP="00B847E9">
            <w:pPr>
              <w:widowControl w:val="0"/>
              <w:wordWrap w:val="0"/>
              <w:autoSpaceDE w:val="0"/>
              <w:autoSpaceDN w:val="0"/>
              <w:spacing w:line="240" w:lineRule="auto"/>
              <w:jc w:val="left"/>
              <w:rPr>
                <w:rFonts w:ascii="Calibri" w:eastAsia="Malgun Gothic" w:hAnsi="Calibri" w:cs="Calibri"/>
                <w:color w:val="auto"/>
                <w:sz w:val="16"/>
                <w:szCs w:val="16"/>
                <w:vertAlign w:val="superscript"/>
                <w:lang w:eastAsia="ko-KR"/>
              </w:rPr>
            </w:pPr>
            <w:r w:rsidRPr="002227B2">
              <w:rPr>
                <w:rFonts w:ascii="Calibri" w:eastAsia="Malgun Gothic" w:hAnsi="Calibri" w:cs="Calibri"/>
                <w:color w:val="auto"/>
                <w:sz w:val="16"/>
                <w:szCs w:val="16"/>
                <w:lang w:eastAsia="ko-KR"/>
              </w:rPr>
              <w:t>Li et al. (2003)</w:t>
            </w:r>
            <w:r w:rsidR="00B847E9">
              <w:rPr>
                <w:rFonts w:ascii="Calibri" w:eastAsia="Malgun Gothic" w:hAnsi="Calibri" w:cs="Calibri"/>
                <w:color w:val="auto"/>
                <w:sz w:val="16"/>
                <w:szCs w:val="16"/>
                <w:lang w:eastAsia="ko-KR"/>
              </w:rPr>
              <w:t xml:space="preserve"> [32]</w:t>
            </w:r>
          </w:p>
        </w:tc>
        <w:tc>
          <w:tcPr>
            <w:tcW w:w="351" w:type="pct"/>
            <w:tcBorders>
              <w:top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Non-ICU</w:t>
            </w:r>
          </w:p>
        </w:tc>
        <w:tc>
          <w:tcPr>
            <w:tcW w:w="337" w:type="pct"/>
            <w:tcBorders>
              <w:top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1" w:type="pct"/>
            <w:tcBorders>
              <w:top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473" w:type="pct"/>
            <w:tcBorders>
              <w:top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MP, pulse</w:t>
            </w:r>
          </w:p>
        </w:tc>
        <w:tc>
          <w:tcPr>
            <w:tcW w:w="324" w:type="pct"/>
            <w:tcBorders>
              <w:top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433" w:type="pct"/>
            <w:tcBorders>
              <w:top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306" w:type="pct"/>
            <w:tcBorders>
              <w:top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0</w:t>
            </w:r>
          </w:p>
        </w:tc>
        <w:tc>
          <w:tcPr>
            <w:tcW w:w="278" w:type="pct"/>
            <w:tcBorders>
              <w:top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0</w:t>
            </w:r>
          </w:p>
        </w:tc>
        <w:tc>
          <w:tcPr>
            <w:tcW w:w="286" w:type="pct"/>
            <w:tcBorders>
              <w:top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0</w:t>
            </w:r>
          </w:p>
        </w:tc>
        <w:tc>
          <w:tcPr>
            <w:tcW w:w="286" w:type="pct"/>
            <w:tcBorders>
              <w:top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0</w:t>
            </w:r>
          </w:p>
        </w:tc>
        <w:tc>
          <w:tcPr>
            <w:tcW w:w="271" w:type="pct"/>
            <w:tcBorders>
              <w:top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7" w:type="pct"/>
            <w:tcBorders>
              <w:top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362" w:type="pct"/>
            <w:tcBorders>
              <w:top w:val="single" w:sz="12"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Low</w:t>
            </w:r>
          </w:p>
        </w:tc>
      </w:tr>
      <w:tr w:rsidR="002227B2" w:rsidRPr="002227B2" w:rsidTr="00B84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5" w:type="pct"/>
          </w:tcPr>
          <w:p w:rsidR="002227B2" w:rsidRPr="002227B2" w:rsidRDefault="002227B2" w:rsidP="00B847E9">
            <w:pPr>
              <w:widowControl w:val="0"/>
              <w:wordWrap w:val="0"/>
              <w:autoSpaceDE w:val="0"/>
              <w:autoSpaceDN w:val="0"/>
              <w:spacing w:line="240" w:lineRule="auto"/>
              <w:jc w:val="left"/>
              <w:rPr>
                <w:rFonts w:ascii="Calibri" w:eastAsia="Malgun Gothic" w:hAnsi="Calibri" w:cs="Calibri"/>
                <w:color w:val="auto"/>
                <w:sz w:val="16"/>
                <w:szCs w:val="16"/>
                <w:vertAlign w:val="superscript"/>
                <w:lang w:eastAsia="ko-KR"/>
              </w:rPr>
            </w:pPr>
            <w:r w:rsidRPr="002227B2">
              <w:rPr>
                <w:rFonts w:ascii="Calibri" w:eastAsia="Malgun Gothic" w:hAnsi="Calibri" w:cs="Calibri"/>
                <w:color w:val="auto"/>
                <w:sz w:val="16"/>
                <w:szCs w:val="16"/>
                <w:lang w:eastAsia="ko-KR"/>
              </w:rPr>
              <w:t>Yam et al. (2007)</w:t>
            </w:r>
            <w:r w:rsidR="00B847E9">
              <w:rPr>
                <w:rFonts w:ascii="Calibri" w:eastAsia="Malgun Gothic" w:hAnsi="Calibri" w:cs="Calibri"/>
                <w:color w:val="auto"/>
                <w:sz w:val="16"/>
                <w:szCs w:val="16"/>
                <w:lang w:eastAsia="ko-KR"/>
              </w:rPr>
              <w:t xml:space="preserve"> [33]</w:t>
            </w:r>
          </w:p>
        </w:tc>
        <w:tc>
          <w:tcPr>
            <w:tcW w:w="351" w:type="pct"/>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Malgun Gothic" w:eastAsia="Malgun Gothic" w:hAnsi="Malgun Gothic"/>
                <w:color w:val="auto"/>
                <w:sz w:val="16"/>
                <w:szCs w:val="16"/>
                <w:lang w:eastAsia="ko-KR"/>
              </w:rPr>
            </w:pPr>
            <w:r w:rsidRPr="002227B2">
              <w:rPr>
                <w:rFonts w:ascii="Calibri" w:eastAsia="Malgun Gothic" w:hAnsi="Calibri" w:cs="Calibri"/>
                <w:color w:val="auto"/>
                <w:sz w:val="16"/>
                <w:szCs w:val="16"/>
                <w:lang w:eastAsia="ko-KR"/>
              </w:rPr>
              <w:t>ICU/Non-ICU</w:t>
            </w:r>
          </w:p>
        </w:tc>
        <w:tc>
          <w:tcPr>
            <w:tcW w:w="337"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1"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553:734</w:t>
            </w:r>
          </w:p>
        </w:tc>
        <w:tc>
          <w:tcPr>
            <w:tcW w:w="473"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HC, </w:t>
            </w:r>
            <w:r w:rsidRPr="002227B2">
              <w:rPr>
                <w:rFonts w:ascii="Calibri" w:eastAsia="Malgun Gothic" w:hAnsi="Calibri" w:cs="Calibri" w:hint="eastAsia"/>
                <w:color w:val="auto"/>
                <w:sz w:val="16"/>
                <w:szCs w:val="16"/>
                <w:lang w:eastAsia="ko-KR"/>
              </w:rPr>
              <w:t>MP,</w:t>
            </w:r>
            <w:r w:rsidRPr="002227B2">
              <w:rPr>
                <w:rFonts w:ascii="Calibri" w:eastAsia="Malgun Gothic" w:hAnsi="Calibri" w:cs="Calibri"/>
                <w:color w:val="auto"/>
                <w:sz w:val="16"/>
                <w:szCs w:val="16"/>
                <w:lang w:eastAsia="ko-KR"/>
              </w:rPr>
              <w:t xml:space="preserve"> </w:t>
            </w:r>
            <w:r w:rsidRPr="002227B2">
              <w:rPr>
                <w:rFonts w:ascii="Calibri" w:eastAsia="Malgun Gothic" w:hAnsi="Calibri" w:cs="Calibri" w:hint="eastAsia"/>
                <w:color w:val="auto"/>
                <w:sz w:val="16"/>
                <w:szCs w:val="16"/>
                <w:lang w:eastAsia="ko-KR"/>
              </w:rPr>
              <w:t>PL,</w:t>
            </w:r>
            <w:r w:rsidRPr="002227B2">
              <w:rPr>
                <w:rFonts w:ascii="Calibri" w:eastAsia="Malgun Gothic" w:hAnsi="Calibri" w:cs="Calibri"/>
                <w:color w:val="auto"/>
                <w:sz w:val="16"/>
                <w:szCs w:val="16"/>
                <w:lang w:eastAsia="ko-KR"/>
              </w:rPr>
              <w:t xml:space="preserve"> </w:t>
            </w:r>
            <w:r w:rsidRPr="002227B2">
              <w:rPr>
                <w:rFonts w:ascii="Calibri" w:eastAsia="Malgun Gothic" w:hAnsi="Calibri" w:cs="Calibri" w:hint="eastAsia"/>
                <w:color w:val="auto"/>
                <w:sz w:val="16"/>
                <w:szCs w:val="16"/>
                <w:lang w:eastAsia="ko-KR"/>
              </w:rPr>
              <w:t>pulse</w:t>
            </w:r>
          </w:p>
        </w:tc>
        <w:tc>
          <w:tcPr>
            <w:tcW w:w="324"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15-21</w:t>
            </w:r>
          </w:p>
        </w:tc>
        <w:tc>
          <w:tcPr>
            <w:tcW w:w="433"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5</w:t>
            </w:r>
            <w:r w:rsidRPr="002227B2">
              <w:rPr>
                <w:rFonts w:ascii="Calibri" w:eastAsia="Malgun Gothic" w:hAnsi="Calibri" w:cs="Calibri"/>
                <w:color w:val="auto"/>
                <w:sz w:val="16"/>
                <w:szCs w:val="16"/>
                <w:lang w:eastAsia="ko-KR"/>
              </w:rPr>
              <w:t xml:space="preserve"> </w:t>
            </w:r>
            <w:r w:rsidRPr="002227B2">
              <w:rPr>
                <w:rFonts w:ascii="Calibri" w:eastAsia="Malgun Gothic" w:hAnsi="Calibri" w:cs="Calibri" w:hint="eastAsia"/>
                <w:color w:val="auto"/>
                <w:sz w:val="16"/>
                <w:szCs w:val="16"/>
                <w:lang w:eastAsia="ko-KR"/>
              </w:rPr>
              <w:t>(1)</w:t>
            </w:r>
          </w:p>
        </w:tc>
        <w:tc>
          <w:tcPr>
            <w:tcW w:w="306"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243</w:t>
            </w:r>
          </w:p>
        </w:tc>
        <w:tc>
          <w:tcPr>
            <w:tcW w:w="278"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4</w:t>
            </w:r>
          </w:p>
        </w:tc>
        <w:tc>
          <w:tcPr>
            <w:tcW w:w="286"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161</w:t>
            </w:r>
          </w:p>
        </w:tc>
        <w:tc>
          <w:tcPr>
            <w:tcW w:w="286"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4</w:t>
            </w:r>
          </w:p>
        </w:tc>
        <w:tc>
          <w:tcPr>
            <w:tcW w:w="271"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7</w:t>
            </w:r>
          </w:p>
        </w:tc>
        <w:tc>
          <w:tcPr>
            <w:tcW w:w="277"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49</w:t>
            </w:r>
          </w:p>
        </w:tc>
        <w:tc>
          <w:tcPr>
            <w:tcW w:w="362" w:type="pct"/>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Malgun Gothic" w:eastAsia="Malgun Gothic" w:hAnsi="Malgun Gothic"/>
                <w:color w:val="auto"/>
                <w:sz w:val="20"/>
                <w:lang w:eastAsia="ko-KR"/>
              </w:rPr>
            </w:pPr>
            <w:r w:rsidRPr="002227B2">
              <w:rPr>
                <w:rFonts w:ascii="Calibri" w:eastAsia="Malgun Gothic" w:hAnsi="Calibri" w:cs="Calibri"/>
                <w:color w:val="auto"/>
                <w:sz w:val="16"/>
                <w:szCs w:val="16"/>
                <w:lang w:eastAsia="ko-KR"/>
              </w:rPr>
              <w:t>Low</w:t>
            </w:r>
          </w:p>
        </w:tc>
      </w:tr>
      <w:tr w:rsidR="002227B2" w:rsidRPr="002227B2" w:rsidTr="00B847E9">
        <w:tc>
          <w:tcPr>
            <w:cnfStyle w:val="001000000000" w:firstRow="0" w:lastRow="0" w:firstColumn="1" w:lastColumn="0" w:oddVBand="0" w:evenVBand="0" w:oddHBand="0" w:evenHBand="0" w:firstRowFirstColumn="0" w:firstRowLastColumn="0" w:lastRowFirstColumn="0" w:lastRowLastColumn="0"/>
            <w:tcW w:w="745" w:type="pct"/>
          </w:tcPr>
          <w:p w:rsidR="002227B2" w:rsidRPr="002227B2" w:rsidRDefault="00B847E9"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Lau et al. (2009)_H</w:t>
            </w:r>
            <w:r w:rsidRPr="002227B2">
              <w:rPr>
                <w:rFonts w:ascii="Calibri" w:eastAsia="BatangChe" w:hAnsi="Calibri" w:cs="Calibri" w:hint="eastAsia"/>
                <w:color w:val="auto"/>
                <w:sz w:val="16"/>
                <w:szCs w:val="16"/>
                <w:vertAlign w:val="superscript"/>
                <w:lang w:eastAsia="ko-KR"/>
              </w:rPr>
              <w:t>†</w:t>
            </w:r>
            <w:r>
              <w:rPr>
                <w:rFonts w:ascii="Calibri" w:eastAsia="BatangChe" w:hAnsi="Calibri" w:cs="Calibri" w:hint="eastAsia"/>
                <w:color w:val="auto"/>
                <w:sz w:val="16"/>
                <w:szCs w:val="16"/>
                <w:lang w:eastAsia="ko-KR"/>
              </w:rPr>
              <w:t>[34]</w:t>
            </w:r>
          </w:p>
        </w:tc>
        <w:tc>
          <w:tcPr>
            <w:tcW w:w="351"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ICU/Non-ICU</w:t>
            </w:r>
          </w:p>
        </w:tc>
        <w:tc>
          <w:tcPr>
            <w:tcW w:w="337"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1"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773:970</w:t>
            </w:r>
          </w:p>
        </w:tc>
        <w:tc>
          <w:tcPr>
            <w:tcW w:w="473"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CS</w:t>
            </w:r>
          </w:p>
        </w:tc>
        <w:tc>
          <w:tcPr>
            <w:tcW w:w="324"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433"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306"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8"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86"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86"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1"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7"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362" w:type="pct"/>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Malgun Gothic" w:eastAsia="Malgun Gothic" w:hAnsi="Malgun Gothic"/>
                <w:color w:val="auto"/>
                <w:sz w:val="20"/>
                <w:lang w:eastAsia="ko-KR"/>
              </w:rPr>
            </w:pPr>
            <w:r w:rsidRPr="002227B2">
              <w:rPr>
                <w:rFonts w:ascii="Calibri" w:eastAsia="Malgun Gothic" w:hAnsi="Calibri" w:cs="Calibri"/>
                <w:color w:val="auto"/>
                <w:sz w:val="16"/>
                <w:szCs w:val="16"/>
                <w:lang w:eastAsia="ko-KR"/>
              </w:rPr>
              <w:t>Low</w:t>
            </w:r>
          </w:p>
        </w:tc>
      </w:tr>
      <w:tr w:rsidR="002227B2" w:rsidRPr="002227B2" w:rsidTr="00B84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5" w:type="pct"/>
          </w:tcPr>
          <w:p w:rsidR="002227B2" w:rsidRPr="002227B2" w:rsidRDefault="00B847E9"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Lau et al. (2009)_T</w:t>
            </w:r>
            <w:r w:rsidRPr="002227B2">
              <w:rPr>
                <w:rFonts w:ascii="Calibri" w:eastAsia="BatangChe" w:hAnsi="Calibri" w:cs="Calibri" w:hint="eastAsia"/>
                <w:color w:val="auto"/>
                <w:sz w:val="16"/>
                <w:szCs w:val="16"/>
                <w:vertAlign w:val="superscript"/>
                <w:lang w:eastAsia="ko-KR"/>
              </w:rPr>
              <w:t>†</w:t>
            </w:r>
            <w:r>
              <w:rPr>
                <w:rFonts w:ascii="Calibri" w:eastAsia="BatangChe" w:hAnsi="Calibri" w:cs="Calibri" w:hint="eastAsia"/>
                <w:color w:val="auto"/>
                <w:sz w:val="16"/>
                <w:szCs w:val="16"/>
                <w:lang w:eastAsia="ko-KR"/>
              </w:rPr>
              <w:t>[34]</w:t>
            </w:r>
          </w:p>
        </w:tc>
        <w:tc>
          <w:tcPr>
            <w:tcW w:w="351" w:type="pct"/>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Malgun Gothic" w:eastAsia="Malgun Gothic" w:hAnsi="Malgun Gothic"/>
                <w:color w:val="auto"/>
                <w:sz w:val="16"/>
                <w:szCs w:val="16"/>
                <w:lang w:eastAsia="ko-KR"/>
              </w:rPr>
            </w:pPr>
            <w:r w:rsidRPr="002227B2">
              <w:rPr>
                <w:rFonts w:ascii="Calibri" w:eastAsia="Malgun Gothic" w:hAnsi="Calibri" w:cs="Calibri"/>
                <w:color w:val="auto"/>
                <w:sz w:val="16"/>
                <w:szCs w:val="16"/>
                <w:lang w:eastAsia="ko-KR"/>
              </w:rPr>
              <w:t>ICU/Non-ICU</w:t>
            </w:r>
          </w:p>
        </w:tc>
        <w:tc>
          <w:tcPr>
            <w:tcW w:w="337"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1"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74:117</w:t>
            </w:r>
          </w:p>
        </w:tc>
        <w:tc>
          <w:tcPr>
            <w:tcW w:w="473"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CS</w:t>
            </w:r>
          </w:p>
        </w:tc>
        <w:tc>
          <w:tcPr>
            <w:tcW w:w="324"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433"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306"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8"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86"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86"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1"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7" w:type="pct"/>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362" w:type="pct"/>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Malgun Gothic" w:eastAsia="Malgun Gothic" w:hAnsi="Malgun Gothic"/>
                <w:color w:val="auto"/>
                <w:sz w:val="20"/>
                <w:lang w:eastAsia="ko-KR"/>
              </w:rPr>
            </w:pPr>
            <w:r w:rsidRPr="002227B2">
              <w:rPr>
                <w:rFonts w:ascii="Calibri" w:eastAsia="Malgun Gothic" w:hAnsi="Calibri" w:cs="Calibri"/>
                <w:color w:val="auto"/>
                <w:sz w:val="16"/>
                <w:szCs w:val="16"/>
                <w:lang w:eastAsia="ko-KR"/>
              </w:rPr>
              <w:t>Low</w:t>
            </w:r>
          </w:p>
        </w:tc>
      </w:tr>
      <w:tr w:rsidR="002227B2" w:rsidRPr="002227B2" w:rsidTr="00B847E9">
        <w:tc>
          <w:tcPr>
            <w:cnfStyle w:val="001000000000" w:firstRow="0" w:lastRow="0" w:firstColumn="1" w:lastColumn="0" w:oddVBand="0" w:evenVBand="0" w:oddHBand="0" w:evenHBand="0" w:firstRowFirstColumn="0" w:firstRowLastColumn="0" w:lastRowFirstColumn="0" w:lastRowLastColumn="0"/>
            <w:tcW w:w="745" w:type="pct"/>
            <w:tcBorders>
              <w:bottom w:val="single" w:sz="12" w:space="0" w:color="auto"/>
            </w:tcBorders>
          </w:tcPr>
          <w:p w:rsidR="002227B2" w:rsidRPr="002227B2" w:rsidRDefault="00B847E9" w:rsidP="002227B2">
            <w:pPr>
              <w:widowControl w:val="0"/>
              <w:wordWrap w:val="0"/>
              <w:autoSpaceDE w:val="0"/>
              <w:autoSpaceDN w:val="0"/>
              <w:spacing w:line="240" w:lineRule="auto"/>
              <w:jc w:val="left"/>
              <w:rPr>
                <w:rFonts w:ascii="Calibri" w:eastAsia="Malgun Gothic" w:hAnsi="Calibri" w:cs="Calibri"/>
                <w:color w:val="auto"/>
                <w:sz w:val="16"/>
                <w:szCs w:val="16"/>
                <w:vertAlign w:val="superscript"/>
                <w:lang w:eastAsia="ko-KR"/>
              </w:rPr>
            </w:pPr>
            <w:r w:rsidRPr="002227B2">
              <w:rPr>
                <w:rFonts w:ascii="Calibri" w:eastAsia="Malgun Gothic" w:hAnsi="Calibri" w:cs="Calibri"/>
                <w:color w:val="auto"/>
                <w:sz w:val="16"/>
                <w:szCs w:val="16"/>
                <w:lang w:eastAsia="ko-KR"/>
              </w:rPr>
              <w:t>Arabi et al. (2018)*</w:t>
            </w:r>
            <w:r>
              <w:rPr>
                <w:rFonts w:ascii="Calibri" w:eastAsia="Malgun Gothic" w:hAnsi="Calibri" w:cs="Calibri"/>
                <w:color w:val="auto"/>
                <w:sz w:val="16"/>
                <w:szCs w:val="16"/>
                <w:lang w:eastAsia="ko-KR"/>
              </w:rPr>
              <w:t>[35]</w:t>
            </w:r>
          </w:p>
        </w:tc>
        <w:tc>
          <w:tcPr>
            <w:tcW w:w="351" w:type="pct"/>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ICU</w:t>
            </w:r>
          </w:p>
        </w:tc>
        <w:tc>
          <w:tcPr>
            <w:tcW w:w="337" w:type="pct"/>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1" w:type="pct"/>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213:96</w:t>
            </w:r>
          </w:p>
        </w:tc>
        <w:tc>
          <w:tcPr>
            <w:tcW w:w="473" w:type="pct"/>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HC,DX,MP,PL</w:t>
            </w:r>
          </w:p>
        </w:tc>
        <w:tc>
          <w:tcPr>
            <w:tcW w:w="324" w:type="pct"/>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3-21</w:t>
            </w:r>
          </w:p>
        </w:tc>
        <w:tc>
          <w:tcPr>
            <w:tcW w:w="433" w:type="pct"/>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10</w:t>
            </w:r>
            <w:r w:rsidRPr="002227B2">
              <w:rPr>
                <w:rFonts w:ascii="Calibri" w:eastAsia="Malgun Gothic" w:hAnsi="Calibri" w:cs="Calibri"/>
                <w:color w:val="auto"/>
                <w:sz w:val="16"/>
                <w:szCs w:val="16"/>
                <w:lang w:eastAsia="ko-KR"/>
              </w:rPr>
              <w:t xml:space="preserve"> </w:t>
            </w:r>
            <w:r w:rsidRPr="002227B2">
              <w:rPr>
                <w:rFonts w:ascii="Calibri" w:eastAsia="Malgun Gothic" w:hAnsi="Calibri" w:cs="Calibri" w:hint="eastAsia"/>
                <w:color w:val="auto"/>
                <w:sz w:val="16"/>
                <w:szCs w:val="16"/>
                <w:lang w:eastAsia="ko-KR"/>
              </w:rPr>
              <w:t>(3)</w:t>
            </w:r>
          </w:p>
        </w:tc>
        <w:tc>
          <w:tcPr>
            <w:tcW w:w="306" w:type="pct"/>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151</w:t>
            </w:r>
          </w:p>
        </w:tc>
        <w:tc>
          <w:tcPr>
            <w:tcW w:w="278" w:type="pct"/>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158</w:t>
            </w:r>
          </w:p>
        </w:tc>
        <w:tc>
          <w:tcPr>
            <w:tcW w:w="286" w:type="pct"/>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141</w:t>
            </w:r>
          </w:p>
        </w:tc>
        <w:tc>
          <w:tcPr>
            <w:tcW w:w="286" w:type="pct"/>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121</w:t>
            </w:r>
          </w:p>
        </w:tc>
        <w:tc>
          <w:tcPr>
            <w:tcW w:w="271" w:type="pct"/>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7" w:type="pct"/>
            <w:tcBorders>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362" w:type="pct"/>
            <w:tcBorders>
              <w:bottom w:val="single" w:sz="12" w:space="0" w:color="auto"/>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Malgun Gothic" w:eastAsia="Malgun Gothic" w:hAnsi="Malgun Gothic"/>
                <w:color w:val="auto"/>
                <w:sz w:val="20"/>
                <w:lang w:eastAsia="ko-KR"/>
              </w:rPr>
            </w:pPr>
            <w:r w:rsidRPr="002227B2">
              <w:rPr>
                <w:rFonts w:ascii="Calibri" w:eastAsia="Malgun Gothic" w:hAnsi="Calibri" w:cs="Calibri"/>
                <w:color w:val="auto"/>
                <w:sz w:val="16"/>
                <w:szCs w:val="16"/>
                <w:lang w:eastAsia="ko-KR"/>
              </w:rPr>
              <w:t>Low</w:t>
            </w:r>
          </w:p>
        </w:tc>
      </w:tr>
      <w:tr w:rsidR="002227B2" w:rsidRPr="002227B2" w:rsidTr="00B84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14"/>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Intervention</w:t>
            </w:r>
            <w:r w:rsidRPr="002227B2">
              <w:rPr>
                <w:rFonts w:ascii="Calibri" w:eastAsia="Malgun Gothic" w:hAnsi="Calibri" w:cs="Calibri"/>
                <w:color w:val="auto"/>
                <w:sz w:val="16"/>
                <w:szCs w:val="16"/>
                <w:lang w:eastAsia="ko-KR"/>
              </w:rPr>
              <w:t xml:space="preserve"> (HR, adjusted time)</w:t>
            </w:r>
          </w:p>
        </w:tc>
      </w:tr>
      <w:tr w:rsidR="002227B2" w:rsidRPr="002227B2" w:rsidTr="00B847E9">
        <w:tc>
          <w:tcPr>
            <w:cnfStyle w:val="001000000000" w:firstRow="0" w:lastRow="0" w:firstColumn="1" w:lastColumn="0" w:oddVBand="0" w:evenVBand="0" w:oddHBand="0" w:evenHBand="0" w:firstRowFirstColumn="0" w:firstRowLastColumn="0" w:lastRowFirstColumn="0" w:lastRowLastColumn="0"/>
            <w:tcW w:w="745" w:type="pct"/>
            <w:tcBorders>
              <w:top w:val="single" w:sz="12" w:space="0" w:color="auto"/>
              <w:bottom w:val="single" w:sz="6" w:space="0" w:color="000000"/>
            </w:tcBorders>
          </w:tcPr>
          <w:p w:rsidR="002227B2" w:rsidRPr="002227B2" w:rsidRDefault="00B847E9" w:rsidP="002227B2">
            <w:pPr>
              <w:widowControl w:val="0"/>
              <w:wordWrap w:val="0"/>
              <w:autoSpaceDE w:val="0"/>
              <w:autoSpaceDN w:val="0"/>
              <w:spacing w:line="240" w:lineRule="auto"/>
              <w:jc w:val="left"/>
              <w:rPr>
                <w:rFonts w:ascii="Calibri" w:eastAsia="Malgun Gothic" w:hAnsi="Calibri" w:cs="Calibri"/>
                <w:color w:val="auto"/>
                <w:sz w:val="16"/>
                <w:szCs w:val="16"/>
                <w:vertAlign w:val="superscript"/>
                <w:lang w:eastAsia="ko-KR"/>
              </w:rPr>
            </w:pPr>
            <w:r w:rsidRPr="002227B2">
              <w:rPr>
                <w:rFonts w:ascii="Calibri" w:eastAsia="Malgun Gothic" w:hAnsi="Calibri" w:cs="Calibri"/>
                <w:color w:val="auto"/>
                <w:sz w:val="16"/>
                <w:szCs w:val="16"/>
                <w:lang w:eastAsia="ko-KR"/>
              </w:rPr>
              <w:t>Chen et al. (2006)</w:t>
            </w:r>
            <w:r>
              <w:rPr>
                <w:rFonts w:ascii="Calibri" w:eastAsia="Malgun Gothic" w:hAnsi="Calibri" w:cs="Calibri"/>
                <w:color w:val="auto"/>
                <w:sz w:val="16"/>
                <w:szCs w:val="16"/>
                <w:lang w:eastAsia="ko-KR"/>
              </w:rPr>
              <w:t xml:space="preserve"> [36]</w:t>
            </w:r>
          </w:p>
        </w:tc>
        <w:tc>
          <w:tcPr>
            <w:tcW w:w="351" w:type="pct"/>
            <w:tcBorders>
              <w:top w:val="single" w:sz="12" w:space="0" w:color="auto"/>
              <w:bottom w:val="single" w:sz="6" w:space="0" w:color="000000"/>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Malgun Gothic" w:eastAsia="Malgun Gothic" w:hAnsi="Malgun Gothic"/>
                <w:color w:val="auto"/>
                <w:sz w:val="16"/>
                <w:szCs w:val="16"/>
                <w:lang w:eastAsia="ko-KR"/>
              </w:rPr>
            </w:pPr>
            <w:r w:rsidRPr="002227B2">
              <w:rPr>
                <w:rFonts w:ascii="Calibri" w:eastAsia="Malgun Gothic" w:hAnsi="Calibri" w:cs="Calibri"/>
                <w:color w:val="auto"/>
                <w:sz w:val="16"/>
                <w:szCs w:val="16"/>
                <w:lang w:eastAsia="ko-KR"/>
              </w:rPr>
              <w:t>ICU</w:t>
            </w:r>
          </w:p>
        </w:tc>
        <w:tc>
          <w:tcPr>
            <w:tcW w:w="337" w:type="pct"/>
            <w:tcBorders>
              <w:top w:val="single" w:sz="12" w:space="0" w:color="auto"/>
              <w:bottom w:val="single" w:sz="6"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40.2(14.6)</w:t>
            </w:r>
          </w:p>
        </w:tc>
        <w:tc>
          <w:tcPr>
            <w:tcW w:w="271" w:type="pct"/>
            <w:tcBorders>
              <w:top w:val="single" w:sz="12" w:space="0" w:color="auto"/>
              <w:bottom w:val="single" w:sz="6"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68</w:t>
            </w:r>
            <w:r w:rsidRPr="002227B2">
              <w:rPr>
                <w:rFonts w:ascii="Calibri" w:eastAsia="Malgun Gothic" w:hAnsi="Calibri" w:cs="Calibri" w:hint="eastAsia"/>
                <w:color w:val="auto"/>
                <w:sz w:val="16"/>
                <w:szCs w:val="16"/>
                <w:lang w:eastAsia="ko-KR"/>
              </w:rPr>
              <w:t>:84</w:t>
            </w:r>
          </w:p>
        </w:tc>
        <w:tc>
          <w:tcPr>
            <w:tcW w:w="473" w:type="pct"/>
            <w:tcBorders>
              <w:top w:val="single" w:sz="12" w:space="0" w:color="auto"/>
              <w:bottom w:val="single" w:sz="6"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HC,</w:t>
            </w:r>
            <w:r w:rsidRPr="002227B2">
              <w:rPr>
                <w:rFonts w:ascii="Calibri" w:eastAsia="Malgun Gothic" w:hAnsi="Calibri" w:cs="Calibri"/>
                <w:color w:val="auto"/>
                <w:sz w:val="16"/>
                <w:szCs w:val="16"/>
                <w:lang w:eastAsia="ko-KR"/>
              </w:rPr>
              <w:t xml:space="preserve"> </w:t>
            </w:r>
            <w:r w:rsidRPr="002227B2">
              <w:rPr>
                <w:rFonts w:ascii="Calibri" w:eastAsia="Malgun Gothic" w:hAnsi="Calibri" w:cs="Calibri" w:hint="eastAsia"/>
                <w:color w:val="auto"/>
                <w:sz w:val="16"/>
                <w:szCs w:val="16"/>
                <w:lang w:eastAsia="ko-KR"/>
              </w:rPr>
              <w:t>MP,</w:t>
            </w:r>
            <w:r w:rsidRPr="002227B2">
              <w:rPr>
                <w:rFonts w:ascii="Calibri" w:eastAsia="Malgun Gothic" w:hAnsi="Calibri" w:cs="Calibri"/>
                <w:color w:val="auto"/>
                <w:sz w:val="16"/>
                <w:szCs w:val="16"/>
                <w:lang w:eastAsia="ko-KR"/>
              </w:rPr>
              <w:t xml:space="preserve"> </w:t>
            </w:r>
            <w:r w:rsidRPr="002227B2">
              <w:rPr>
                <w:rFonts w:ascii="Calibri" w:eastAsia="Malgun Gothic" w:hAnsi="Calibri" w:cs="Calibri" w:hint="eastAsia"/>
                <w:color w:val="auto"/>
                <w:sz w:val="16"/>
                <w:szCs w:val="16"/>
                <w:lang w:eastAsia="ko-KR"/>
              </w:rPr>
              <w:t>PL</w:t>
            </w:r>
          </w:p>
        </w:tc>
        <w:tc>
          <w:tcPr>
            <w:tcW w:w="324" w:type="pct"/>
            <w:tcBorders>
              <w:top w:val="single" w:sz="12" w:space="0" w:color="auto"/>
              <w:bottom w:val="single" w:sz="6"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433" w:type="pct"/>
            <w:tcBorders>
              <w:top w:val="single" w:sz="12" w:space="0" w:color="auto"/>
              <w:bottom w:val="single" w:sz="6"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4.9 (3.6)</w:t>
            </w:r>
          </w:p>
        </w:tc>
        <w:tc>
          <w:tcPr>
            <w:tcW w:w="306" w:type="pct"/>
            <w:tcBorders>
              <w:top w:val="single" w:sz="12" w:space="0" w:color="auto"/>
              <w:bottom w:val="single" w:sz="6"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152</w:t>
            </w:r>
          </w:p>
        </w:tc>
        <w:tc>
          <w:tcPr>
            <w:tcW w:w="278" w:type="pct"/>
            <w:tcBorders>
              <w:top w:val="single" w:sz="12" w:space="0" w:color="auto"/>
              <w:bottom w:val="single" w:sz="6"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0</w:t>
            </w:r>
          </w:p>
        </w:tc>
        <w:tc>
          <w:tcPr>
            <w:tcW w:w="286" w:type="pct"/>
            <w:tcBorders>
              <w:top w:val="single" w:sz="12" w:space="0" w:color="auto"/>
              <w:bottom w:val="single" w:sz="6"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86" w:type="pct"/>
            <w:tcBorders>
              <w:top w:val="single" w:sz="12" w:space="0" w:color="auto"/>
              <w:bottom w:val="single" w:sz="6"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1" w:type="pct"/>
            <w:tcBorders>
              <w:top w:val="single" w:sz="12" w:space="0" w:color="auto"/>
              <w:bottom w:val="single" w:sz="6"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7" w:type="pct"/>
            <w:tcBorders>
              <w:top w:val="single" w:sz="12" w:space="0" w:color="auto"/>
              <w:bottom w:val="single" w:sz="6"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362" w:type="pct"/>
            <w:tcBorders>
              <w:top w:val="single" w:sz="12" w:space="0" w:color="auto"/>
              <w:bottom w:val="single" w:sz="6" w:space="0" w:color="000000"/>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High</w:t>
            </w:r>
          </w:p>
        </w:tc>
      </w:tr>
      <w:tr w:rsidR="002227B2" w:rsidRPr="002227B2" w:rsidTr="00B84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5" w:type="pct"/>
            <w:tcBorders>
              <w:top w:val="single" w:sz="6" w:space="0" w:color="000000"/>
              <w:bottom w:val="single" w:sz="12" w:space="0" w:color="000000"/>
            </w:tcBorders>
          </w:tcPr>
          <w:p w:rsidR="002227B2" w:rsidRPr="002227B2" w:rsidRDefault="00B847E9" w:rsidP="002227B2">
            <w:pPr>
              <w:widowControl w:val="0"/>
              <w:wordWrap w:val="0"/>
              <w:autoSpaceDE w:val="0"/>
              <w:autoSpaceDN w:val="0"/>
              <w:spacing w:line="240" w:lineRule="auto"/>
              <w:jc w:val="left"/>
              <w:rPr>
                <w:rFonts w:ascii="Calibri" w:eastAsia="Malgun Gothic" w:hAnsi="Calibri" w:cs="Calibri"/>
                <w:color w:val="auto"/>
                <w:sz w:val="16"/>
                <w:szCs w:val="16"/>
                <w:vertAlign w:val="superscript"/>
                <w:lang w:eastAsia="ko-KR"/>
              </w:rPr>
            </w:pPr>
            <w:r w:rsidRPr="002227B2">
              <w:rPr>
                <w:rFonts w:ascii="Calibri" w:eastAsia="Malgun Gothic" w:hAnsi="Calibri" w:cs="Calibri"/>
                <w:color w:val="auto"/>
                <w:sz w:val="16"/>
                <w:szCs w:val="16"/>
                <w:lang w:eastAsia="ko-KR"/>
              </w:rPr>
              <w:t>Wu et al. (2020)</w:t>
            </w:r>
            <w:r>
              <w:rPr>
                <w:rFonts w:ascii="Calibri" w:eastAsia="Malgun Gothic" w:hAnsi="Calibri" w:cs="Calibri"/>
                <w:color w:val="auto"/>
                <w:sz w:val="16"/>
                <w:szCs w:val="16"/>
                <w:lang w:eastAsia="ko-KR"/>
              </w:rPr>
              <w:t xml:space="preserve"> [37]</w:t>
            </w:r>
          </w:p>
        </w:tc>
        <w:tc>
          <w:tcPr>
            <w:tcW w:w="351" w:type="pct"/>
            <w:tcBorders>
              <w:top w:val="single" w:sz="6" w:space="0" w:color="000000"/>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ICU</w:t>
            </w:r>
          </w:p>
        </w:tc>
        <w:tc>
          <w:tcPr>
            <w:tcW w:w="337" w:type="pct"/>
            <w:tcBorders>
              <w:top w:val="single" w:sz="6" w:space="0" w:color="000000"/>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58.5</w:t>
            </w:r>
          </w:p>
        </w:tc>
        <w:tc>
          <w:tcPr>
            <w:tcW w:w="271" w:type="pct"/>
            <w:tcBorders>
              <w:top w:val="single" w:sz="6" w:space="0" w:color="000000"/>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60:24</w:t>
            </w:r>
          </w:p>
        </w:tc>
        <w:tc>
          <w:tcPr>
            <w:tcW w:w="473" w:type="pct"/>
            <w:tcBorders>
              <w:top w:val="single" w:sz="6" w:space="0" w:color="000000"/>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MP</w:t>
            </w:r>
          </w:p>
        </w:tc>
        <w:tc>
          <w:tcPr>
            <w:tcW w:w="324" w:type="pct"/>
            <w:tcBorders>
              <w:top w:val="single" w:sz="6" w:space="0" w:color="000000"/>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433" w:type="pct"/>
            <w:tcBorders>
              <w:top w:val="single" w:sz="6" w:space="0" w:color="000000"/>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306" w:type="pct"/>
            <w:tcBorders>
              <w:top w:val="single" w:sz="6" w:space="0" w:color="000000"/>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8" w:type="pct"/>
            <w:tcBorders>
              <w:top w:val="single" w:sz="6" w:space="0" w:color="000000"/>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86" w:type="pct"/>
            <w:tcBorders>
              <w:top w:val="single" w:sz="6" w:space="0" w:color="000000"/>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86" w:type="pct"/>
            <w:tcBorders>
              <w:top w:val="single" w:sz="6" w:space="0" w:color="000000"/>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1" w:type="pct"/>
            <w:tcBorders>
              <w:top w:val="single" w:sz="6" w:space="0" w:color="000000"/>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7" w:type="pct"/>
            <w:tcBorders>
              <w:top w:val="single" w:sz="6" w:space="0" w:color="000000"/>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362" w:type="pct"/>
            <w:tcBorders>
              <w:top w:val="single" w:sz="6" w:space="0" w:color="000000"/>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High</w:t>
            </w:r>
          </w:p>
        </w:tc>
      </w:tr>
      <w:tr w:rsidR="002227B2" w:rsidRPr="002227B2" w:rsidTr="00B847E9">
        <w:tc>
          <w:tcPr>
            <w:cnfStyle w:val="001000000000" w:firstRow="0" w:lastRow="0" w:firstColumn="1" w:lastColumn="0" w:oddVBand="0" w:evenVBand="0" w:oddHBand="0" w:evenHBand="0" w:firstRowFirstColumn="0" w:firstRowLastColumn="0" w:lastRowFirstColumn="0" w:lastRowLastColumn="0"/>
            <w:tcW w:w="5000" w:type="pct"/>
            <w:gridSpan w:val="14"/>
            <w:tcBorders>
              <w:top w:val="single" w:sz="6" w:space="0" w:color="000000"/>
              <w:bottom w:val="single" w:sz="12" w:space="0" w:color="000000"/>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p>
        </w:tc>
      </w:tr>
      <w:tr w:rsidR="002227B2" w:rsidRPr="002227B2" w:rsidTr="00B84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14"/>
            <w:tcBorders>
              <w:top w:val="single" w:sz="12" w:space="0" w:color="000000"/>
              <w:bottom w:val="single" w:sz="12" w:space="0" w:color="000000"/>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 xml:space="preserve">Risk factor </w:t>
            </w:r>
            <w:r w:rsidRPr="002227B2">
              <w:rPr>
                <w:rFonts w:ascii="Calibri" w:eastAsia="Malgun Gothic" w:hAnsi="Calibri" w:cs="Calibri"/>
                <w:color w:val="auto"/>
                <w:sz w:val="16"/>
                <w:szCs w:val="16"/>
                <w:lang w:eastAsia="ko-KR"/>
              </w:rPr>
              <w:t xml:space="preserve">(not adjusted time) </w:t>
            </w:r>
          </w:p>
        </w:tc>
      </w:tr>
      <w:tr w:rsidR="002227B2" w:rsidRPr="002227B2" w:rsidTr="00B847E9">
        <w:tc>
          <w:tcPr>
            <w:cnfStyle w:val="001000000000" w:firstRow="0" w:lastRow="0" w:firstColumn="1" w:lastColumn="0" w:oddVBand="0" w:evenVBand="0" w:oddHBand="0" w:evenHBand="0" w:firstRowFirstColumn="0" w:firstRowLastColumn="0" w:lastRowFirstColumn="0" w:lastRowLastColumn="0"/>
            <w:tcW w:w="745" w:type="pct"/>
          </w:tcPr>
          <w:p w:rsidR="002227B2" w:rsidRPr="002227B2" w:rsidRDefault="00B847E9" w:rsidP="002227B2">
            <w:pPr>
              <w:widowControl w:val="0"/>
              <w:wordWrap w:val="0"/>
              <w:autoSpaceDE w:val="0"/>
              <w:autoSpaceDN w:val="0"/>
              <w:spacing w:line="240" w:lineRule="auto"/>
              <w:jc w:val="left"/>
              <w:rPr>
                <w:rFonts w:ascii="Calibri" w:eastAsia="Malgun Gothic" w:hAnsi="Calibri" w:cs="Calibri"/>
                <w:color w:val="auto"/>
                <w:sz w:val="16"/>
                <w:szCs w:val="16"/>
                <w:vertAlign w:val="superscript"/>
                <w:lang w:eastAsia="ko-KR"/>
              </w:rPr>
            </w:pPr>
            <w:r w:rsidRPr="002227B2">
              <w:rPr>
                <w:rFonts w:ascii="Calibri" w:eastAsia="Malgun Gothic" w:hAnsi="Calibri" w:cs="Calibri"/>
                <w:color w:val="auto"/>
                <w:sz w:val="16"/>
                <w:szCs w:val="16"/>
                <w:lang w:eastAsia="ko-KR"/>
              </w:rPr>
              <w:t xml:space="preserve">Al </w:t>
            </w:r>
            <w:proofErr w:type="spellStart"/>
            <w:r w:rsidRPr="002227B2">
              <w:rPr>
                <w:rFonts w:ascii="Calibri" w:eastAsia="Malgun Gothic" w:hAnsi="Calibri" w:cs="Calibri"/>
                <w:color w:val="auto"/>
                <w:sz w:val="16"/>
                <w:szCs w:val="16"/>
                <w:lang w:eastAsia="ko-KR"/>
              </w:rPr>
              <w:t>Ghamdi</w:t>
            </w:r>
            <w:proofErr w:type="spellEnd"/>
            <w:r w:rsidRPr="002227B2">
              <w:rPr>
                <w:rFonts w:ascii="Calibri" w:eastAsia="Malgun Gothic" w:hAnsi="Calibri" w:cs="Calibri"/>
                <w:color w:val="auto"/>
                <w:sz w:val="16"/>
                <w:szCs w:val="16"/>
                <w:lang w:eastAsia="ko-KR"/>
              </w:rPr>
              <w:t xml:space="preserve"> et al. (2016)</w:t>
            </w:r>
            <w:r>
              <w:rPr>
                <w:rFonts w:ascii="Calibri" w:eastAsia="Malgun Gothic" w:hAnsi="Calibri" w:cs="Calibri"/>
                <w:color w:val="auto"/>
                <w:sz w:val="16"/>
                <w:szCs w:val="16"/>
                <w:lang w:eastAsia="ko-KR"/>
              </w:rPr>
              <w:t xml:space="preserve"> [38]</w:t>
            </w:r>
          </w:p>
        </w:tc>
        <w:tc>
          <w:tcPr>
            <w:tcW w:w="351"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ICU/Non-ICU</w:t>
            </w:r>
          </w:p>
        </w:tc>
        <w:tc>
          <w:tcPr>
            <w:tcW w:w="337"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54</w:t>
            </w:r>
          </w:p>
        </w:tc>
        <w:tc>
          <w:tcPr>
            <w:tcW w:w="271"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40:11</w:t>
            </w:r>
          </w:p>
        </w:tc>
        <w:tc>
          <w:tcPr>
            <w:tcW w:w="473"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HC</w:t>
            </w:r>
          </w:p>
        </w:tc>
        <w:tc>
          <w:tcPr>
            <w:tcW w:w="324"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433"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306"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3</w:t>
            </w:r>
          </w:p>
        </w:tc>
        <w:tc>
          <w:tcPr>
            <w:tcW w:w="278"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16</w:t>
            </w:r>
          </w:p>
        </w:tc>
        <w:tc>
          <w:tcPr>
            <w:tcW w:w="286"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86"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1"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7" w:type="pct"/>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362" w:type="pct"/>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Malgun Gothic" w:eastAsia="Malgun Gothic" w:hAnsi="Malgun Gothic"/>
                <w:color w:val="auto"/>
                <w:sz w:val="20"/>
                <w:lang w:eastAsia="ko-KR"/>
              </w:rPr>
            </w:pPr>
            <w:r w:rsidRPr="002227B2">
              <w:rPr>
                <w:rFonts w:ascii="Calibri" w:eastAsia="Malgun Gothic" w:hAnsi="Calibri" w:cs="Calibri"/>
                <w:color w:val="auto"/>
                <w:sz w:val="16"/>
                <w:szCs w:val="16"/>
                <w:lang w:eastAsia="ko-KR"/>
              </w:rPr>
              <w:t>Low</w:t>
            </w:r>
          </w:p>
        </w:tc>
      </w:tr>
      <w:tr w:rsidR="002227B2" w:rsidRPr="002227B2" w:rsidTr="00B847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5" w:type="pct"/>
            <w:tcBorders>
              <w:bottom w:val="single" w:sz="12" w:space="0" w:color="000000"/>
            </w:tcBorders>
          </w:tcPr>
          <w:p w:rsidR="002227B2" w:rsidRDefault="00B847E9"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Zhou et al. (2020)</w:t>
            </w:r>
            <w:r>
              <w:rPr>
                <w:rFonts w:ascii="Calibri" w:eastAsia="Malgun Gothic" w:hAnsi="Calibri" w:cs="Calibri"/>
                <w:color w:val="auto"/>
                <w:sz w:val="16"/>
                <w:szCs w:val="16"/>
                <w:lang w:eastAsia="ko-KR"/>
              </w:rPr>
              <w:t xml:space="preserve"> [39]</w:t>
            </w:r>
          </w:p>
          <w:p w:rsidR="009278A4" w:rsidRPr="002227B2" w:rsidRDefault="009278A4" w:rsidP="002227B2">
            <w:pPr>
              <w:widowControl w:val="0"/>
              <w:wordWrap w:val="0"/>
              <w:autoSpaceDE w:val="0"/>
              <w:autoSpaceDN w:val="0"/>
              <w:spacing w:line="240" w:lineRule="auto"/>
              <w:jc w:val="left"/>
              <w:rPr>
                <w:rFonts w:ascii="Calibri" w:eastAsia="Malgun Gothic" w:hAnsi="Calibri" w:cs="Calibri"/>
                <w:color w:val="auto"/>
                <w:sz w:val="16"/>
                <w:szCs w:val="16"/>
                <w:vertAlign w:val="superscript"/>
                <w:lang w:eastAsia="ko-KR"/>
              </w:rPr>
            </w:pPr>
          </w:p>
        </w:tc>
        <w:tc>
          <w:tcPr>
            <w:tcW w:w="351" w:type="pct"/>
            <w:tcBorders>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ICU/Non-ICU</w:t>
            </w:r>
          </w:p>
        </w:tc>
        <w:tc>
          <w:tcPr>
            <w:tcW w:w="337" w:type="pct"/>
            <w:tcBorders>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56</w:t>
            </w:r>
          </w:p>
        </w:tc>
        <w:tc>
          <w:tcPr>
            <w:tcW w:w="271" w:type="pct"/>
            <w:tcBorders>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119:72</w:t>
            </w:r>
          </w:p>
        </w:tc>
        <w:tc>
          <w:tcPr>
            <w:tcW w:w="473" w:type="pct"/>
            <w:tcBorders>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CS</w:t>
            </w:r>
          </w:p>
        </w:tc>
        <w:tc>
          <w:tcPr>
            <w:tcW w:w="324" w:type="pct"/>
            <w:tcBorders>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433" w:type="pct"/>
            <w:tcBorders>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12</w:t>
            </w:r>
            <w:r w:rsidRPr="002227B2">
              <w:rPr>
                <w:rFonts w:ascii="Calibri" w:eastAsia="Malgun Gothic" w:hAnsi="Calibri" w:cs="Calibri"/>
                <w:color w:val="auto"/>
                <w:sz w:val="16"/>
                <w:szCs w:val="16"/>
                <w:lang w:eastAsia="ko-KR"/>
              </w:rPr>
              <w:t xml:space="preserve"> </w:t>
            </w:r>
            <w:r w:rsidRPr="002227B2">
              <w:rPr>
                <w:rFonts w:ascii="Calibri" w:eastAsia="Malgun Gothic" w:hAnsi="Calibri" w:cs="Calibri" w:hint="eastAsia"/>
                <w:color w:val="auto"/>
                <w:sz w:val="16"/>
                <w:szCs w:val="16"/>
                <w:lang w:eastAsia="ko-KR"/>
              </w:rPr>
              <w:t>(4)</w:t>
            </w:r>
          </w:p>
        </w:tc>
        <w:tc>
          <w:tcPr>
            <w:tcW w:w="306" w:type="pct"/>
            <w:tcBorders>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8" w:type="pct"/>
            <w:tcBorders>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86" w:type="pct"/>
            <w:tcBorders>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86" w:type="pct"/>
            <w:tcBorders>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1" w:type="pct"/>
            <w:tcBorders>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277" w:type="pct"/>
            <w:tcBorders>
              <w:bottom w:val="single" w:sz="12" w:space="0" w:color="000000"/>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362" w:type="pct"/>
            <w:tcBorders>
              <w:bottom w:val="single" w:sz="12" w:space="0" w:color="000000"/>
            </w:tcBorders>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Malgun Gothic" w:eastAsia="Malgun Gothic" w:hAnsi="Malgun Gothic"/>
                <w:color w:val="auto"/>
                <w:sz w:val="20"/>
                <w:lang w:eastAsia="ko-KR"/>
              </w:rPr>
            </w:pPr>
            <w:r w:rsidRPr="002227B2">
              <w:rPr>
                <w:rFonts w:ascii="Calibri" w:eastAsia="Malgun Gothic" w:hAnsi="Calibri" w:cs="Calibri"/>
                <w:color w:val="auto"/>
                <w:sz w:val="16"/>
                <w:szCs w:val="16"/>
                <w:lang w:eastAsia="ko-KR"/>
              </w:rPr>
              <w:t>Low</w:t>
            </w:r>
          </w:p>
        </w:tc>
      </w:tr>
    </w:tbl>
    <w:p w:rsidR="002227B2" w:rsidRPr="002227B2" w:rsidRDefault="002227B2" w:rsidP="002227B2">
      <w:pPr>
        <w:widowControl w:val="0"/>
        <w:wordWrap w:val="0"/>
        <w:autoSpaceDE w:val="0"/>
        <w:autoSpaceDN w:val="0"/>
        <w:spacing w:line="276" w:lineRule="auto"/>
        <w:jc w:val="left"/>
        <w:rPr>
          <w:rFonts w:ascii="Calibri" w:eastAsia="Malgun Gothic" w:hAnsi="Calibri" w:cs="Calibri"/>
          <w:color w:val="auto"/>
          <w:kern w:val="2"/>
          <w:sz w:val="14"/>
          <w:szCs w:val="16"/>
          <w:lang w:eastAsia="ko-KR"/>
        </w:rPr>
      </w:pPr>
      <w:r w:rsidRPr="002227B2">
        <w:rPr>
          <w:rFonts w:ascii="Calibri" w:eastAsia="Malgun Gothic" w:hAnsi="Calibri" w:cs="Calibri"/>
          <w:color w:val="auto"/>
          <w:kern w:val="2"/>
          <w:sz w:val="14"/>
          <w:szCs w:val="16"/>
          <w:lang w:eastAsia="ko-KR"/>
        </w:rPr>
        <w:t xml:space="preserve">SD: Standard deviation, </w:t>
      </w:r>
      <w:proofErr w:type="gramStart"/>
      <w:r w:rsidRPr="002227B2">
        <w:rPr>
          <w:rFonts w:ascii="Calibri" w:eastAsia="Malgun Gothic" w:hAnsi="Calibri" w:cs="Calibri"/>
          <w:color w:val="auto"/>
          <w:kern w:val="2"/>
          <w:sz w:val="14"/>
          <w:szCs w:val="16"/>
          <w:lang w:eastAsia="ko-KR"/>
        </w:rPr>
        <w:t>No</w:t>
      </w:r>
      <w:proofErr w:type="gramEnd"/>
      <w:r w:rsidRPr="002227B2">
        <w:rPr>
          <w:rFonts w:ascii="Calibri" w:eastAsia="Malgun Gothic" w:hAnsi="Calibri" w:cs="Calibri"/>
          <w:color w:val="auto"/>
          <w:kern w:val="2"/>
          <w:sz w:val="14"/>
          <w:szCs w:val="16"/>
          <w:lang w:eastAsia="ko-KR"/>
        </w:rPr>
        <w:t xml:space="preserve">: Number, ICU: Intensive care unit, CS: simply stated as corticosteroid in the manuscript, MP: Methylprednisolone, PL: Prednisolone, Pulse: High dose intravenous methylprednisolone therapy, </w:t>
      </w:r>
    </w:p>
    <w:p w:rsidR="002227B2" w:rsidRPr="002227B2" w:rsidRDefault="002227B2" w:rsidP="002227B2">
      <w:pPr>
        <w:widowControl w:val="0"/>
        <w:wordWrap w:val="0"/>
        <w:autoSpaceDE w:val="0"/>
        <w:autoSpaceDN w:val="0"/>
        <w:spacing w:line="276" w:lineRule="auto"/>
        <w:jc w:val="left"/>
        <w:rPr>
          <w:rFonts w:ascii="Calibri" w:eastAsia="Malgun Gothic" w:hAnsi="Calibri" w:cs="Calibri"/>
          <w:color w:val="auto"/>
          <w:kern w:val="2"/>
          <w:sz w:val="14"/>
          <w:szCs w:val="16"/>
          <w:lang w:eastAsia="ko-KR"/>
        </w:rPr>
      </w:pPr>
      <w:r w:rsidRPr="002227B2">
        <w:rPr>
          <w:rFonts w:ascii="Calibri" w:eastAsia="Malgun Gothic" w:hAnsi="Calibri" w:cs="Calibri"/>
          <w:color w:val="auto"/>
          <w:kern w:val="2"/>
          <w:sz w:val="14"/>
          <w:szCs w:val="16"/>
          <w:lang w:eastAsia="ko-KR"/>
        </w:rPr>
        <w:t>HC: Hydrocortisone, DX: Dexamethasone, ALI: Acute lung injury, ARDS: Acute respiratory distress syndrome, OR: odds ratio, HR: hazard ratio,</w:t>
      </w:r>
      <w:r w:rsidRPr="002227B2">
        <w:rPr>
          <w:rFonts w:ascii="Calibri" w:eastAsia="Malgun Gothic" w:hAnsi="Calibri" w:cs="Calibri" w:hint="eastAsia"/>
          <w:color w:val="auto"/>
          <w:kern w:val="2"/>
          <w:sz w:val="14"/>
          <w:szCs w:val="16"/>
          <w:lang w:eastAsia="ko-KR"/>
        </w:rPr>
        <w:t xml:space="preserve"> </w:t>
      </w:r>
      <w:r w:rsidRPr="002227B2">
        <w:rPr>
          <w:rFonts w:ascii="Calibri" w:eastAsia="Malgun Gothic" w:hAnsi="Calibri" w:cs="Calibri"/>
          <w:color w:val="auto"/>
          <w:kern w:val="2"/>
          <w:sz w:val="14"/>
          <w:szCs w:val="16"/>
          <w:lang w:eastAsia="ko-KR"/>
        </w:rPr>
        <w:t>(-): no information</w:t>
      </w:r>
    </w:p>
    <w:p w:rsidR="002227B2" w:rsidRPr="002227B2" w:rsidRDefault="002227B2" w:rsidP="002227B2">
      <w:pPr>
        <w:widowControl w:val="0"/>
        <w:wordWrap w:val="0"/>
        <w:autoSpaceDE w:val="0"/>
        <w:autoSpaceDN w:val="0"/>
        <w:spacing w:line="276" w:lineRule="auto"/>
        <w:jc w:val="left"/>
        <w:rPr>
          <w:rFonts w:ascii="Calibri" w:eastAsia="Malgun Gothic" w:hAnsi="Calibri" w:cs="Calibri"/>
          <w:color w:val="auto"/>
          <w:kern w:val="2"/>
          <w:sz w:val="14"/>
          <w:szCs w:val="16"/>
          <w:lang w:eastAsia="ko-KR"/>
        </w:rPr>
      </w:pPr>
      <w:r w:rsidRPr="002227B2">
        <w:rPr>
          <w:rFonts w:ascii="Calibri" w:eastAsia="Malgun Gothic" w:hAnsi="Calibri" w:cs="Calibri"/>
          <w:color w:val="auto"/>
          <w:kern w:val="2"/>
          <w:sz w:val="14"/>
          <w:szCs w:val="16"/>
          <w:lang w:eastAsia="ko-KR"/>
        </w:rPr>
        <w:t>*This paper is also described in Russell (2020)</w:t>
      </w:r>
      <w:r w:rsidR="00B847E9">
        <w:rPr>
          <w:rFonts w:ascii="Calibri" w:eastAsia="Malgun Gothic" w:hAnsi="Calibri" w:cs="Calibri"/>
          <w:color w:val="auto"/>
          <w:kern w:val="2"/>
          <w:sz w:val="14"/>
          <w:szCs w:val="16"/>
          <w:lang w:eastAsia="ko-KR"/>
        </w:rPr>
        <w:t xml:space="preserve"> [22]</w:t>
      </w:r>
      <w:r w:rsidRPr="002227B2">
        <w:rPr>
          <w:rFonts w:ascii="Calibri" w:eastAsia="Malgun Gothic" w:hAnsi="Calibri" w:cs="Calibri"/>
          <w:color w:val="auto"/>
          <w:kern w:val="2"/>
          <w:sz w:val="14"/>
          <w:szCs w:val="16"/>
          <w:lang w:eastAsia="ko-KR"/>
        </w:rPr>
        <w:t xml:space="preserve"> as references. </w:t>
      </w:r>
    </w:p>
    <w:p w:rsidR="002227B2" w:rsidRPr="002227B2" w:rsidRDefault="002227B2" w:rsidP="002227B2">
      <w:pPr>
        <w:widowControl w:val="0"/>
        <w:wordWrap w:val="0"/>
        <w:autoSpaceDE w:val="0"/>
        <w:autoSpaceDN w:val="0"/>
        <w:spacing w:line="276" w:lineRule="auto"/>
        <w:jc w:val="left"/>
        <w:rPr>
          <w:rFonts w:ascii="Calibri" w:eastAsia="Malgun Gothic" w:hAnsi="Calibri" w:cs="Calibri"/>
          <w:color w:val="auto"/>
          <w:kern w:val="2"/>
          <w:sz w:val="14"/>
          <w:szCs w:val="16"/>
          <w:lang w:eastAsia="ko-KR"/>
        </w:rPr>
      </w:pPr>
      <w:r w:rsidRPr="002227B2">
        <w:rPr>
          <w:rFonts w:ascii="BatangChe" w:eastAsia="BatangChe" w:hAnsi="BatangChe" w:cs="Calibri" w:hint="eastAsia"/>
          <w:color w:val="auto"/>
          <w:kern w:val="2"/>
          <w:sz w:val="14"/>
          <w:szCs w:val="16"/>
          <w:vertAlign w:val="superscript"/>
          <w:lang w:eastAsia="ko-KR"/>
        </w:rPr>
        <w:t>†</w:t>
      </w:r>
      <w:r w:rsidRPr="002227B2">
        <w:rPr>
          <w:rFonts w:ascii="Calibri" w:eastAsia="BatangChe" w:hAnsi="Calibri" w:cs="Calibri"/>
          <w:color w:val="auto"/>
          <w:kern w:val="2"/>
          <w:sz w:val="14"/>
          <w:szCs w:val="16"/>
          <w:lang w:eastAsia="ko-KR"/>
        </w:rPr>
        <w:t>These are the same paper (Lau (2009)</w:t>
      </w:r>
      <w:r w:rsidR="00B847E9">
        <w:rPr>
          <w:rFonts w:ascii="Calibri" w:eastAsia="BatangChe" w:hAnsi="Calibri" w:cs="Calibri"/>
          <w:color w:val="auto"/>
          <w:kern w:val="2"/>
          <w:sz w:val="14"/>
          <w:szCs w:val="16"/>
          <w:vertAlign w:val="superscript"/>
          <w:lang w:eastAsia="ko-KR"/>
        </w:rPr>
        <w:t xml:space="preserve"> </w:t>
      </w:r>
      <w:r w:rsidR="00B847E9">
        <w:rPr>
          <w:rFonts w:ascii="Calibri" w:eastAsia="BatangChe" w:hAnsi="Calibri" w:cs="Calibri"/>
          <w:color w:val="auto"/>
          <w:kern w:val="2"/>
          <w:sz w:val="14"/>
          <w:szCs w:val="16"/>
          <w:lang w:eastAsia="ko-KR"/>
        </w:rPr>
        <w:t>[34]</w:t>
      </w:r>
      <w:r w:rsidRPr="002227B2">
        <w:rPr>
          <w:rFonts w:ascii="Calibri" w:eastAsia="BatangChe" w:hAnsi="Calibri" w:cs="Calibri"/>
          <w:color w:val="auto"/>
          <w:kern w:val="2"/>
          <w:sz w:val="14"/>
          <w:szCs w:val="16"/>
          <w:lang w:eastAsia="ko-KR"/>
        </w:rPr>
        <w:t xml:space="preserve">) which has the two subgroups: one study in Hong-Kong(H) and the other study in Toronto (T). </w:t>
      </w:r>
    </w:p>
    <w:p w:rsidR="002227B2" w:rsidRPr="002227B2" w:rsidRDefault="002227B2" w:rsidP="002227B2">
      <w:pPr>
        <w:widowControl w:val="0"/>
        <w:wordWrap w:val="0"/>
        <w:autoSpaceDE w:val="0"/>
        <w:autoSpaceDN w:val="0"/>
        <w:spacing w:line="276" w:lineRule="auto"/>
        <w:jc w:val="left"/>
        <w:rPr>
          <w:rFonts w:ascii="Calibri" w:eastAsia="Malgun Gothic" w:hAnsi="Calibri" w:cs="Calibri"/>
          <w:color w:val="auto"/>
          <w:kern w:val="2"/>
          <w:sz w:val="14"/>
          <w:szCs w:val="16"/>
          <w:lang w:eastAsia="ko-KR"/>
        </w:rPr>
      </w:pPr>
      <w:r w:rsidRPr="002227B2">
        <w:rPr>
          <w:rFonts w:ascii="BatangChe" w:eastAsia="BatangChe" w:hAnsi="BatangChe" w:cs="Calibri" w:hint="eastAsia"/>
          <w:color w:val="auto"/>
          <w:kern w:val="2"/>
          <w:sz w:val="14"/>
          <w:szCs w:val="16"/>
          <w:vertAlign w:val="superscript"/>
          <w:lang w:eastAsia="ko-KR"/>
        </w:rPr>
        <w:t>‡</w:t>
      </w:r>
      <w:r w:rsidRPr="002227B2">
        <w:rPr>
          <w:rFonts w:ascii="Calibri" w:eastAsia="Malgun Gothic" w:hAnsi="Calibri" w:cs="Calibri"/>
          <w:color w:val="auto"/>
          <w:kern w:val="2"/>
          <w:sz w:val="14"/>
          <w:szCs w:val="16"/>
          <w:lang w:eastAsia="ko-KR"/>
        </w:rPr>
        <w:t>Quality of included studies was assessed using an adapted version of the Newcastle Ottawa Scale</w:t>
      </w:r>
      <w:r w:rsidR="00B847E9">
        <w:rPr>
          <w:rFonts w:ascii="Calibri" w:eastAsia="Malgun Gothic" w:hAnsi="Calibri" w:cs="Calibri"/>
          <w:color w:val="auto"/>
          <w:kern w:val="2"/>
          <w:sz w:val="14"/>
          <w:szCs w:val="16"/>
          <w:lang w:eastAsia="ko-KR"/>
        </w:rPr>
        <w:t xml:space="preserve"> [27]</w:t>
      </w:r>
      <w:r w:rsidRPr="002227B2">
        <w:rPr>
          <w:rFonts w:ascii="Calibri" w:eastAsia="Malgun Gothic" w:hAnsi="Calibri" w:cs="Calibri"/>
          <w:color w:val="auto"/>
          <w:kern w:val="2"/>
          <w:sz w:val="14"/>
          <w:szCs w:val="16"/>
          <w:lang w:eastAsia="ko-KR"/>
        </w:rPr>
        <w:t>.</w:t>
      </w:r>
      <w:r w:rsidR="00030A33">
        <w:rPr>
          <w:rFonts w:ascii="Calibri" w:eastAsia="Malgun Gothic" w:hAnsi="Calibri" w:cs="Calibri"/>
          <w:color w:val="auto"/>
          <w:kern w:val="2"/>
          <w:sz w:val="14"/>
          <w:szCs w:val="16"/>
          <w:lang w:eastAsia="ko-KR"/>
        </w:rPr>
        <w:t xml:space="preserve"> See appendix Table S</w:t>
      </w:r>
      <w:r w:rsidRPr="002227B2">
        <w:rPr>
          <w:rFonts w:ascii="Calibri" w:eastAsia="Malgun Gothic" w:hAnsi="Calibri" w:cs="Calibri"/>
          <w:color w:val="auto"/>
          <w:kern w:val="2"/>
          <w:sz w:val="14"/>
          <w:szCs w:val="16"/>
          <w:lang w:eastAsia="ko-KR"/>
        </w:rPr>
        <w:t>6-7.</w:t>
      </w:r>
    </w:p>
    <w:p w:rsidR="008E2418" w:rsidRDefault="008E2418" w:rsidP="003E4374">
      <w:pPr>
        <w:pStyle w:val="MDPI33textspaceafter"/>
        <w:spacing w:after="0"/>
      </w:pPr>
    </w:p>
    <w:p w:rsidR="002227B2" w:rsidRDefault="002227B2" w:rsidP="003E4374">
      <w:pPr>
        <w:pStyle w:val="MDPI33textspaceafter"/>
        <w:spacing w:after="0"/>
      </w:pPr>
    </w:p>
    <w:p w:rsidR="002227B2" w:rsidRDefault="002227B2" w:rsidP="003E4374">
      <w:pPr>
        <w:pStyle w:val="MDPI33textspaceafter"/>
        <w:spacing w:after="0"/>
      </w:pPr>
    </w:p>
    <w:p w:rsidR="002227B2" w:rsidRDefault="002227B2" w:rsidP="003E4374">
      <w:pPr>
        <w:pStyle w:val="MDPI33textspaceafter"/>
        <w:spacing w:after="0"/>
      </w:pPr>
    </w:p>
    <w:p w:rsidR="002227B2" w:rsidRDefault="002227B2" w:rsidP="003E4374">
      <w:pPr>
        <w:pStyle w:val="MDPI33textspaceafter"/>
        <w:spacing w:after="0"/>
      </w:pPr>
    </w:p>
    <w:p w:rsidR="002227B2" w:rsidRDefault="002227B2" w:rsidP="003E4374">
      <w:pPr>
        <w:pStyle w:val="MDPI33textspaceafter"/>
        <w:spacing w:after="0"/>
      </w:pPr>
    </w:p>
    <w:p w:rsidR="002227B2" w:rsidRDefault="002227B2" w:rsidP="003E4374">
      <w:pPr>
        <w:pStyle w:val="MDPI33textspaceafter"/>
        <w:spacing w:after="0"/>
      </w:pPr>
    </w:p>
    <w:p w:rsidR="002227B2" w:rsidRDefault="002227B2" w:rsidP="003E4374">
      <w:pPr>
        <w:pStyle w:val="MDPI33textspaceafter"/>
        <w:spacing w:after="0"/>
      </w:pPr>
    </w:p>
    <w:p w:rsidR="002227B2" w:rsidRDefault="002227B2" w:rsidP="002227B2">
      <w:pPr>
        <w:widowControl w:val="0"/>
        <w:wordWrap w:val="0"/>
        <w:autoSpaceDE w:val="0"/>
        <w:autoSpaceDN w:val="0"/>
        <w:spacing w:line="276" w:lineRule="auto"/>
        <w:jc w:val="left"/>
        <w:rPr>
          <w:rFonts w:ascii="Palatino Linotype" w:eastAsia="Malgun Gothic" w:hAnsi="Palatino Linotype" w:cs="Calibri"/>
          <w:b/>
          <w:color w:val="auto"/>
          <w:kern w:val="2"/>
          <w:sz w:val="18"/>
          <w:szCs w:val="16"/>
          <w:lang w:eastAsia="ko-KR"/>
        </w:rPr>
      </w:pPr>
      <w:r w:rsidRPr="002227B2">
        <w:rPr>
          <w:rFonts w:ascii="Palatino Linotype" w:eastAsia="Malgun Gothic" w:hAnsi="Palatino Linotype" w:cs="Calibri"/>
          <w:b/>
          <w:color w:val="auto"/>
          <w:kern w:val="2"/>
          <w:sz w:val="18"/>
          <w:szCs w:val="16"/>
          <w:lang w:eastAsia="ko-KR"/>
        </w:rPr>
        <w:lastRenderedPageBreak/>
        <w:t xml:space="preserve">Table 3: Summary of characteristics of the included studies </w:t>
      </w:r>
    </w:p>
    <w:p w:rsidR="002227B2" w:rsidRPr="002227B2" w:rsidRDefault="002227B2" w:rsidP="002227B2">
      <w:pPr>
        <w:widowControl w:val="0"/>
        <w:wordWrap w:val="0"/>
        <w:autoSpaceDE w:val="0"/>
        <w:autoSpaceDN w:val="0"/>
        <w:spacing w:line="276" w:lineRule="auto"/>
        <w:jc w:val="left"/>
        <w:rPr>
          <w:rFonts w:ascii="Palatino Linotype" w:eastAsia="Malgun Gothic" w:hAnsi="Palatino Linotype" w:cs="Calibri"/>
          <w:b/>
          <w:color w:val="auto"/>
          <w:kern w:val="2"/>
          <w:sz w:val="18"/>
          <w:szCs w:val="16"/>
          <w:lang w:eastAsia="ko-KR"/>
        </w:rPr>
      </w:pPr>
    </w:p>
    <w:tbl>
      <w:tblPr>
        <w:tblStyle w:val="212"/>
        <w:tblW w:w="7291" w:type="dxa"/>
        <w:tblBorders>
          <w:top w:val="single" w:sz="12" w:space="0" w:color="auto"/>
          <w:bottom w:val="single" w:sz="12" w:space="0" w:color="auto"/>
          <w:insideH w:val="single" w:sz="4" w:space="0" w:color="7F7F7F"/>
        </w:tblBorders>
        <w:tblLayout w:type="fixed"/>
        <w:tblLook w:val="04A0" w:firstRow="1" w:lastRow="0" w:firstColumn="1" w:lastColumn="0" w:noHBand="0" w:noVBand="1"/>
      </w:tblPr>
      <w:tblGrid>
        <w:gridCol w:w="2835"/>
        <w:gridCol w:w="1560"/>
        <w:gridCol w:w="1559"/>
        <w:gridCol w:w="1337"/>
      </w:tblGrid>
      <w:tr w:rsidR="002227B2" w:rsidRPr="002227B2" w:rsidTr="002227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rPr>
                <w:rFonts w:ascii="Calibri" w:eastAsia="Malgun Gothic" w:hAnsi="Calibri"/>
                <w:color w:val="auto"/>
                <w:sz w:val="16"/>
                <w:szCs w:val="16"/>
                <w:lang w:eastAsia="ko-KR"/>
              </w:rPr>
            </w:pPr>
            <w:r w:rsidRPr="002227B2">
              <w:rPr>
                <w:rFonts w:ascii="Malgun Gothic" w:eastAsia="Malgun Gothic" w:hAnsi="Malgun Gothic"/>
                <w:color w:val="auto"/>
                <w:sz w:val="16"/>
                <w:szCs w:val="16"/>
                <w:lang w:eastAsia="ko-KR"/>
              </w:rPr>
              <w:br w:type="page"/>
            </w:r>
            <w:r w:rsidRPr="002227B2">
              <w:rPr>
                <w:rFonts w:ascii="Calibri" w:eastAsia="Malgun Gothic" w:hAnsi="Calibri"/>
                <w:color w:val="auto"/>
                <w:sz w:val="16"/>
                <w:szCs w:val="16"/>
                <w:lang w:eastAsia="ko-KR"/>
              </w:rPr>
              <w:t>Variables</w:t>
            </w:r>
          </w:p>
        </w:tc>
        <w:tc>
          <w:tcPr>
            <w:tcW w:w="1560" w:type="dxa"/>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SARS n (%)</w:t>
            </w:r>
          </w:p>
        </w:tc>
        <w:tc>
          <w:tcPr>
            <w:tcW w:w="1559" w:type="dxa"/>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MERS, n (%)</w:t>
            </w:r>
          </w:p>
        </w:tc>
        <w:tc>
          <w:tcPr>
            <w:tcW w:w="1337" w:type="dxa"/>
            <w:tcBorders>
              <w:top w:val="single" w:sz="12" w:space="0" w:color="auto"/>
              <w:bottom w:val="single" w:sz="12" w:space="0" w:color="auto"/>
            </w:tcBorders>
          </w:tcPr>
          <w:p w:rsidR="002227B2" w:rsidRPr="002227B2" w:rsidRDefault="002227B2" w:rsidP="002227B2">
            <w:pPr>
              <w:widowControl w:val="0"/>
              <w:wordWrap w:val="0"/>
              <w:autoSpaceDE w:val="0"/>
              <w:autoSpaceDN w:val="0"/>
              <w:spacing w:line="240" w:lineRule="auto"/>
              <w:jc w:val="left"/>
              <w:cnfStyle w:val="100000000000" w:firstRow="1"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 xml:space="preserve">COVID-19 </w:t>
            </w:r>
            <w:r w:rsidRPr="002227B2">
              <w:rPr>
                <w:rFonts w:ascii="Calibri" w:eastAsia="Malgun Gothic" w:hAnsi="Calibri" w:cs="Calibri"/>
                <w:color w:val="auto"/>
                <w:sz w:val="16"/>
                <w:szCs w:val="16"/>
                <w:lang w:eastAsia="ko-KR"/>
              </w:rPr>
              <w:t>(%)</w:t>
            </w:r>
          </w:p>
        </w:tc>
      </w:tr>
      <w:tr w:rsidR="002227B2" w:rsidRPr="002227B2" w:rsidTr="00222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single" w:sz="12" w:space="0" w:color="auto"/>
              <w:bottom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No. of patients</w:t>
            </w:r>
          </w:p>
        </w:tc>
        <w:tc>
          <w:tcPr>
            <w:tcW w:w="1560" w:type="dxa"/>
            <w:tcBorders>
              <w:top w:val="single" w:sz="12" w:space="0" w:color="auto"/>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3416</w:t>
            </w:r>
          </w:p>
        </w:tc>
        <w:tc>
          <w:tcPr>
            <w:tcW w:w="1559" w:type="dxa"/>
            <w:tcBorders>
              <w:top w:val="single" w:sz="12" w:space="0" w:color="auto"/>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360</w:t>
            </w:r>
          </w:p>
        </w:tc>
        <w:tc>
          <w:tcPr>
            <w:tcW w:w="1337" w:type="dxa"/>
            <w:tcBorders>
              <w:top w:val="single" w:sz="12" w:space="0" w:color="auto"/>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275</w:t>
            </w:r>
          </w:p>
        </w:tc>
      </w:tr>
      <w:tr w:rsidR="002227B2" w:rsidRPr="002227B2" w:rsidTr="002227B2">
        <w:tc>
          <w:tcPr>
            <w:cnfStyle w:val="001000000000" w:firstRow="0" w:lastRow="0" w:firstColumn="1" w:lastColumn="0" w:oddVBand="0" w:evenVBand="0" w:oddHBand="0" w:evenHBand="0" w:firstRowFirstColumn="0" w:firstRowLastColumn="0" w:lastRowFirstColumn="0" w:lastRowLastColumn="0"/>
            <w:tcW w:w="2835" w:type="dxa"/>
            <w:tcBorders>
              <w:top w:val="nil"/>
              <w:bottom w:val="nil"/>
            </w:tcBorders>
          </w:tcPr>
          <w:p w:rsidR="002227B2" w:rsidRPr="002227B2" w:rsidRDefault="002227B2" w:rsidP="002227B2">
            <w:pPr>
              <w:widowControl w:val="0"/>
              <w:wordWrap w:val="0"/>
              <w:autoSpaceDE w:val="0"/>
              <w:autoSpaceDN w:val="0"/>
              <w:spacing w:line="240" w:lineRule="auto"/>
              <w:ind w:firstLineChars="50" w:firstLine="80"/>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Steroid used </w:t>
            </w:r>
          </w:p>
        </w:tc>
        <w:tc>
          <w:tcPr>
            <w:tcW w:w="1560"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2180 (63.8)</w:t>
            </w:r>
          </w:p>
        </w:tc>
        <w:tc>
          <w:tcPr>
            <w:tcW w:w="1559"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156 (43.3)</w:t>
            </w:r>
          </w:p>
        </w:tc>
        <w:tc>
          <w:tcPr>
            <w:tcW w:w="1337"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107</w:t>
            </w:r>
            <w:r w:rsidRPr="002227B2">
              <w:rPr>
                <w:rFonts w:ascii="Calibri" w:eastAsia="Malgun Gothic" w:hAnsi="Calibri" w:cs="Calibri"/>
                <w:color w:val="auto"/>
                <w:sz w:val="16"/>
                <w:szCs w:val="16"/>
                <w:lang w:eastAsia="ko-KR"/>
              </w:rPr>
              <w:t xml:space="preserve"> (38.9)</w:t>
            </w:r>
          </w:p>
        </w:tc>
      </w:tr>
      <w:tr w:rsidR="002227B2" w:rsidRPr="002227B2" w:rsidTr="00222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 control</w:t>
            </w:r>
          </w:p>
        </w:tc>
        <w:tc>
          <w:tcPr>
            <w:tcW w:w="1560" w:type="dxa"/>
            <w:tcBorders>
              <w:top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1236</w:t>
            </w:r>
            <w:r w:rsidRPr="002227B2">
              <w:rPr>
                <w:rFonts w:ascii="Calibri" w:eastAsia="Malgun Gothic" w:hAnsi="Calibri" w:cs="Calibri"/>
                <w:color w:val="auto"/>
                <w:sz w:val="16"/>
                <w:szCs w:val="16"/>
                <w:lang w:eastAsia="ko-KR"/>
              </w:rPr>
              <w:t xml:space="preserve"> (36.2)</w:t>
            </w:r>
          </w:p>
        </w:tc>
        <w:tc>
          <w:tcPr>
            <w:tcW w:w="1559" w:type="dxa"/>
            <w:tcBorders>
              <w:top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204</w:t>
            </w:r>
            <w:r w:rsidRPr="002227B2">
              <w:rPr>
                <w:rFonts w:ascii="Calibri" w:eastAsia="Malgun Gothic" w:hAnsi="Calibri" w:cs="Calibri"/>
                <w:color w:val="auto"/>
                <w:sz w:val="16"/>
                <w:szCs w:val="16"/>
                <w:lang w:eastAsia="ko-KR"/>
              </w:rPr>
              <w:t xml:space="preserve"> (56.7)</w:t>
            </w:r>
          </w:p>
        </w:tc>
        <w:tc>
          <w:tcPr>
            <w:tcW w:w="1337" w:type="dxa"/>
            <w:tcBorders>
              <w:top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168</w:t>
            </w:r>
            <w:r w:rsidRPr="002227B2">
              <w:rPr>
                <w:rFonts w:ascii="Calibri" w:eastAsia="Malgun Gothic" w:hAnsi="Calibri" w:cs="Calibri"/>
                <w:color w:val="auto"/>
                <w:sz w:val="16"/>
                <w:szCs w:val="16"/>
                <w:lang w:eastAsia="ko-KR"/>
              </w:rPr>
              <w:t xml:space="preserve"> (61.1)</w:t>
            </w:r>
          </w:p>
        </w:tc>
      </w:tr>
      <w:tr w:rsidR="002227B2" w:rsidRPr="002227B2" w:rsidTr="002227B2">
        <w:tc>
          <w:tcPr>
            <w:cnfStyle w:val="001000000000" w:firstRow="0" w:lastRow="0" w:firstColumn="1" w:lastColumn="0" w:oddVBand="0" w:evenVBand="0" w:oddHBand="0" w:evenHBand="0" w:firstRowFirstColumn="0" w:firstRowLastColumn="0" w:lastRowFirstColumn="0" w:lastRowLastColumn="0"/>
            <w:tcW w:w="2835" w:type="dxa"/>
            <w:tcBorders>
              <w:top w:val="single" w:sz="4" w:space="0" w:color="7F7F7F"/>
              <w:bottom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Sex*</w:t>
            </w:r>
          </w:p>
        </w:tc>
        <w:tc>
          <w:tcPr>
            <w:tcW w:w="1560" w:type="dxa"/>
            <w:tcBorders>
              <w:top w:val="single" w:sz="4" w:space="0" w:color="7F7F7F"/>
              <w:bottom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p>
        </w:tc>
        <w:tc>
          <w:tcPr>
            <w:tcW w:w="1559" w:type="dxa"/>
            <w:tcBorders>
              <w:top w:val="single" w:sz="4" w:space="0" w:color="7F7F7F"/>
              <w:bottom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p>
        </w:tc>
        <w:tc>
          <w:tcPr>
            <w:tcW w:w="1337" w:type="dxa"/>
            <w:tcBorders>
              <w:top w:val="single" w:sz="4" w:space="0" w:color="7F7F7F"/>
              <w:bottom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p>
        </w:tc>
      </w:tr>
      <w:tr w:rsidR="002227B2" w:rsidRPr="002227B2" w:rsidTr="00222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nil"/>
              <w:bottom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 Male</w:t>
            </w:r>
          </w:p>
        </w:tc>
        <w:tc>
          <w:tcPr>
            <w:tcW w:w="1560"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1468</w:t>
            </w:r>
          </w:p>
        </w:tc>
        <w:tc>
          <w:tcPr>
            <w:tcW w:w="1559"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253</w:t>
            </w:r>
          </w:p>
        </w:tc>
        <w:tc>
          <w:tcPr>
            <w:tcW w:w="1337"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179</w:t>
            </w:r>
          </w:p>
        </w:tc>
      </w:tr>
      <w:tr w:rsidR="002227B2" w:rsidRPr="002227B2" w:rsidTr="002227B2">
        <w:tc>
          <w:tcPr>
            <w:cnfStyle w:val="001000000000" w:firstRow="0" w:lastRow="0" w:firstColumn="1" w:lastColumn="0" w:oddVBand="0" w:evenVBand="0" w:oddHBand="0" w:evenHBand="0" w:firstRowFirstColumn="0" w:firstRowLastColumn="0" w:lastRowFirstColumn="0" w:lastRowLastColumn="0"/>
            <w:tcW w:w="2835" w:type="dxa"/>
            <w:tcBorders>
              <w:top w:val="nil"/>
              <w:bottom w:val="single" w:sz="4" w:space="0" w:color="7F7F7F"/>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 Female</w:t>
            </w:r>
          </w:p>
        </w:tc>
        <w:tc>
          <w:tcPr>
            <w:tcW w:w="1560" w:type="dxa"/>
            <w:tcBorders>
              <w:top w:val="nil"/>
              <w:bottom w:val="single" w:sz="4" w:space="0" w:color="7F7F7F"/>
            </w:tcBorders>
          </w:tcPr>
          <w:p w:rsidR="002227B2" w:rsidRPr="002227B2" w:rsidRDefault="002227B2" w:rsidP="002227B2">
            <w:pPr>
              <w:widowControl w:val="0"/>
              <w:wordWrap w:val="0"/>
              <w:autoSpaceDE w:val="0"/>
              <w:autoSpaceDN w:val="0"/>
              <w:spacing w:line="240" w:lineRule="auto"/>
              <w:ind w:leftChars="-44" w:left="-106" w:firstLineChars="68" w:firstLine="109"/>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1905 </w:t>
            </w:r>
          </w:p>
        </w:tc>
        <w:tc>
          <w:tcPr>
            <w:tcW w:w="1559" w:type="dxa"/>
            <w:tcBorders>
              <w:top w:val="nil"/>
              <w:bottom w:val="single" w:sz="4" w:space="0" w:color="7F7F7F"/>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Malgun Gothic" w:eastAsia="Malgun Gothic" w:hAnsi="Malgun Gothic"/>
                <w:color w:val="auto"/>
                <w:sz w:val="16"/>
                <w:szCs w:val="16"/>
                <w:lang w:eastAsia="ko-KR"/>
              </w:rPr>
            </w:pPr>
            <w:r w:rsidRPr="002227B2">
              <w:rPr>
                <w:rFonts w:ascii="Calibri" w:eastAsia="Malgun Gothic" w:hAnsi="Calibri" w:cs="Calibri"/>
                <w:color w:val="auto"/>
                <w:sz w:val="16"/>
                <w:szCs w:val="16"/>
                <w:lang w:eastAsia="ko-KR"/>
              </w:rPr>
              <w:t>107</w:t>
            </w:r>
          </w:p>
        </w:tc>
        <w:tc>
          <w:tcPr>
            <w:tcW w:w="1337" w:type="dxa"/>
            <w:tcBorders>
              <w:top w:val="nil"/>
              <w:bottom w:val="single" w:sz="4" w:space="0" w:color="7F7F7F"/>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96</w:t>
            </w:r>
          </w:p>
        </w:tc>
      </w:tr>
      <w:tr w:rsidR="002227B2" w:rsidRPr="002227B2" w:rsidTr="00222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bottom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Country</w:t>
            </w:r>
          </w:p>
        </w:tc>
        <w:tc>
          <w:tcPr>
            <w:tcW w:w="1560" w:type="dxa"/>
            <w:tcBorders>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p>
        </w:tc>
        <w:tc>
          <w:tcPr>
            <w:tcW w:w="1559" w:type="dxa"/>
            <w:tcBorders>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p>
        </w:tc>
        <w:tc>
          <w:tcPr>
            <w:tcW w:w="1337" w:type="dxa"/>
            <w:tcBorders>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p>
        </w:tc>
      </w:tr>
      <w:tr w:rsidR="002227B2" w:rsidRPr="002227B2" w:rsidTr="002227B2">
        <w:tc>
          <w:tcPr>
            <w:cnfStyle w:val="001000000000" w:firstRow="0" w:lastRow="0" w:firstColumn="1" w:lastColumn="0" w:oddVBand="0" w:evenVBand="0" w:oddHBand="0" w:evenHBand="0" w:firstRowFirstColumn="0" w:firstRowLastColumn="0" w:lastRowFirstColumn="0" w:lastRowLastColumn="0"/>
            <w:tcW w:w="2835" w:type="dxa"/>
            <w:tcBorders>
              <w:top w:val="nil"/>
              <w:bottom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 China</w:t>
            </w:r>
          </w:p>
        </w:tc>
        <w:tc>
          <w:tcPr>
            <w:tcW w:w="1560" w:type="dxa"/>
            <w:tcBorders>
              <w:top w:val="nil"/>
              <w:bottom w:val="nil"/>
            </w:tcBorders>
          </w:tcPr>
          <w:p w:rsidR="002227B2" w:rsidRPr="002227B2" w:rsidRDefault="002227B2" w:rsidP="002227B2">
            <w:pPr>
              <w:widowControl w:val="0"/>
              <w:wordWrap w:val="0"/>
              <w:autoSpaceDE w:val="0"/>
              <w:autoSpaceDN w:val="0"/>
              <w:spacing w:line="240" w:lineRule="auto"/>
              <w:ind w:leftChars="-44" w:left="-106" w:firstLineChars="68" w:firstLine="109"/>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3225 (94.4)</w:t>
            </w:r>
          </w:p>
        </w:tc>
        <w:tc>
          <w:tcPr>
            <w:tcW w:w="1559" w:type="dxa"/>
            <w:tcBorders>
              <w:top w:val="nil"/>
              <w:bottom w:val="nil"/>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w:t>
            </w:r>
          </w:p>
        </w:tc>
        <w:tc>
          <w:tcPr>
            <w:tcW w:w="1337" w:type="dxa"/>
            <w:tcBorders>
              <w:top w:val="nil"/>
              <w:bottom w:val="nil"/>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275(100)</w:t>
            </w:r>
          </w:p>
        </w:tc>
      </w:tr>
      <w:tr w:rsidR="002227B2" w:rsidRPr="002227B2" w:rsidTr="00222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nil"/>
              <w:bottom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 Canada</w:t>
            </w:r>
          </w:p>
        </w:tc>
        <w:tc>
          <w:tcPr>
            <w:tcW w:w="1560" w:type="dxa"/>
            <w:tcBorders>
              <w:top w:val="nil"/>
              <w:bottom w:val="nil"/>
            </w:tcBorders>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Malgun Gothic" w:eastAsia="Malgun Gothic" w:hAnsi="Malgun Gothic"/>
                <w:color w:val="auto"/>
                <w:sz w:val="16"/>
                <w:szCs w:val="16"/>
                <w:lang w:eastAsia="ko-KR"/>
              </w:rPr>
            </w:pPr>
            <w:r w:rsidRPr="002227B2">
              <w:rPr>
                <w:rFonts w:ascii="Calibri" w:eastAsia="Malgun Gothic" w:hAnsi="Calibri" w:cs="Calibri"/>
                <w:color w:val="auto"/>
                <w:sz w:val="16"/>
                <w:szCs w:val="16"/>
                <w:lang w:eastAsia="ko-KR"/>
              </w:rPr>
              <w:t>191(5.6)</w:t>
            </w:r>
          </w:p>
        </w:tc>
        <w:tc>
          <w:tcPr>
            <w:tcW w:w="1559" w:type="dxa"/>
            <w:tcBorders>
              <w:top w:val="nil"/>
              <w:bottom w:val="nil"/>
            </w:tcBorders>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w:t>
            </w:r>
          </w:p>
        </w:tc>
        <w:tc>
          <w:tcPr>
            <w:tcW w:w="1337" w:type="dxa"/>
            <w:tcBorders>
              <w:top w:val="nil"/>
              <w:bottom w:val="nil"/>
            </w:tcBorders>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r>
      <w:tr w:rsidR="002227B2" w:rsidRPr="002227B2" w:rsidTr="002227B2">
        <w:tc>
          <w:tcPr>
            <w:cnfStyle w:val="001000000000" w:firstRow="0" w:lastRow="0" w:firstColumn="1" w:lastColumn="0" w:oddVBand="0" w:evenVBand="0" w:oddHBand="0" w:evenHBand="0" w:firstRowFirstColumn="0" w:firstRowLastColumn="0" w:lastRowFirstColumn="0" w:lastRowLastColumn="0"/>
            <w:tcW w:w="2835" w:type="dxa"/>
            <w:tcBorders>
              <w:top w:val="nil"/>
              <w:bottom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 xml:space="preserve"> </w:t>
            </w:r>
            <w:r w:rsidRPr="002227B2">
              <w:rPr>
                <w:rFonts w:ascii="Calibri" w:eastAsia="Malgun Gothic" w:hAnsi="Calibri" w:cs="Calibri"/>
                <w:color w:val="auto"/>
                <w:sz w:val="16"/>
                <w:szCs w:val="16"/>
                <w:lang w:eastAsia="ko-KR"/>
              </w:rPr>
              <w:t>Saudi-Arabia</w:t>
            </w:r>
          </w:p>
        </w:tc>
        <w:tc>
          <w:tcPr>
            <w:tcW w:w="1560" w:type="dxa"/>
            <w:tcBorders>
              <w:top w:val="nil"/>
              <w:bottom w:val="nil"/>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w:t>
            </w:r>
          </w:p>
        </w:tc>
        <w:tc>
          <w:tcPr>
            <w:tcW w:w="1559" w:type="dxa"/>
            <w:tcBorders>
              <w:top w:val="nil"/>
              <w:bottom w:val="nil"/>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360</w:t>
            </w:r>
            <w:r w:rsidRPr="002227B2">
              <w:rPr>
                <w:rFonts w:ascii="Calibri" w:eastAsia="Malgun Gothic" w:hAnsi="Calibri" w:cs="Calibri"/>
                <w:color w:val="auto"/>
                <w:sz w:val="16"/>
                <w:szCs w:val="16"/>
                <w:lang w:eastAsia="ko-KR"/>
              </w:rPr>
              <w:t xml:space="preserve"> (100)</w:t>
            </w:r>
          </w:p>
        </w:tc>
        <w:tc>
          <w:tcPr>
            <w:tcW w:w="1337" w:type="dxa"/>
            <w:tcBorders>
              <w:top w:val="nil"/>
              <w:bottom w:val="nil"/>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r>
      <w:tr w:rsidR="002227B2" w:rsidRPr="002227B2" w:rsidTr="002227B2">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2835" w:type="dxa"/>
            <w:tcBorders>
              <w:bottom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Onset of </w:t>
            </w:r>
            <w:r w:rsidRPr="002227B2">
              <w:rPr>
                <w:rFonts w:ascii="Calibri" w:eastAsia="Malgun Gothic" w:hAnsi="Calibri" w:cs="Calibri" w:hint="eastAsia"/>
                <w:color w:val="auto"/>
                <w:sz w:val="16"/>
                <w:szCs w:val="16"/>
                <w:lang w:eastAsia="ko-KR"/>
              </w:rPr>
              <w:t>steroid</w:t>
            </w:r>
            <w:r w:rsidRPr="002227B2">
              <w:rPr>
                <w:rFonts w:ascii="Calibri" w:eastAsia="Malgun Gothic" w:hAnsi="Calibri" w:cs="Calibri"/>
                <w:color w:val="auto"/>
                <w:sz w:val="16"/>
                <w:szCs w:val="16"/>
                <w:lang w:eastAsia="ko-KR"/>
              </w:rPr>
              <w:t>*</w:t>
            </w:r>
          </w:p>
        </w:tc>
        <w:tc>
          <w:tcPr>
            <w:tcW w:w="1560" w:type="dxa"/>
            <w:tcBorders>
              <w:bottom w:val="nil"/>
            </w:tcBorders>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Calibri" w:eastAsia="Malgun Gothic" w:hAnsi="Calibri"/>
                <w:color w:val="auto"/>
                <w:sz w:val="16"/>
                <w:szCs w:val="16"/>
                <w:lang w:eastAsia="ko-KR"/>
              </w:rPr>
            </w:pPr>
            <w:r w:rsidRPr="002227B2">
              <w:rPr>
                <w:rFonts w:ascii="Calibri" w:eastAsia="Malgun Gothic" w:hAnsi="Calibri"/>
                <w:color w:val="auto"/>
                <w:sz w:val="16"/>
                <w:szCs w:val="16"/>
                <w:lang w:eastAsia="ko-KR"/>
              </w:rPr>
              <w:t>2</w:t>
            </w:r>
          </w:p>
        </w:tc>
        <w:tc>
          <w:tcPr>
            <w:tcW w:w="1559" w:type="dxa"/>
            <w:tcBorders>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1</w:t>
            </w:r>
          </w:p>
        </w:tc>
        <w:tc>
          <w:tcPr>
            <w:tcW w:w="1337" w:type="dxa"/>
            <w:tcBorders>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w:t>
            </w:r>
          </w:p>
        </w:tc>
      </w:tr>
      <w:tr w:rsidR="002227B2" w:rsidRPr="002227B2" w:rsidTr="002227B2">
        <w:tc>
          <w:tcPr>
            <w:cnfStyle w:val="001000000000" w:firstRow="0" w:lastRow="0" w:firstColumn="1" w:lastColumn="0" w:oddVBand="0" w:evenVBand="0" w:oddHBand="0" w:evenHBand="0" w:firstRowFirstColumn="0" w:firstRowLastColumn="0" w:lastRowFirstColumn="0" w:lastRowLastColumn="0"/>
            <w:tcW w:w="2835" w:type="dxa"/>
            <w:tcBorders>
              <w:top w:val="nil"/>
              <w:bottom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 xml:space="preserve"> Early(</w:t>
            </w:r>
            <w:r w:rsidRPr="002227B2">
              <w:rPr>
                <w:rFonts w:ascii="Calibri" w:eastAsia="Malgun Gothic" w:hAnsi="Calibri" w:cs="Calibri"/>
                <w:color w:val="auto"/>
                <w:sz w:val="16"/>
                <w:szCs w:val="16"/>
                <w:lang w:eastAsia="ko-KR"/>
              </w:rPr>
              <w:t xml:space="preserve">&lt;7days from onset of </w:t>
            </w:r>
            <w:proofErr w:type="spellStart"/>
            <w:r w:rsidRPr="002227B2">
              <w:rPr>
                <w:rFonts w:ascii="Calibri" w:eastAsia="Malgun Gothic" w:hAnsi="Calibri" w:cs="Calibri"/>
                <w:color w:val="auto"/>
                <w:sz w:val="16"/>
                <w:szCs w:val="16"/>
                <w:lang w:eastAsia="ko-KR"/>
              </w:rPr>
              <w:t>illeness</w:t>
            </w:r>
            <w:proofErr w:type="spellEnd"/>
            <w:r w:rsidRPr="002227B2">
              <w:rPr>
                <w:rFonts w:ascii="Calibri" w:eastAsia="Malgun Gothic" w:hAnsi="Calibri" w:cs="Calibri"/>
                <w:color w:val="auto"/>
                <w:sz w:val="16"/>
                <w:szCs w:val="16"/>
                <w:lang w:eastAsia="ko-KR"/>
              </w:rPr>
              <w:t>)</w:t>
            </w:r>
          </w:p>
        </w:tc>
        <w:tc>
          <w:tcPr>
            <w:tcW w:w="1560" w:type="dxa"/>
            <w:tcBorders>
              <w:top w:val="nil"/>
              <w:bottom w:val="nil"/>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2 </w:t>
            </w:r>
          </w:p>
        </w:tc>
        <w:tc>
          <w:tcPr>
            <w:tcW w:w="1559"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0</w:t>
            </w:r>
          </w:p>
        </w:tc>
        <w:tc>
          <w:tcPr>
            <w:tcW w:w="1337"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0</w:t>
            </w:r>
          </w:p>
        </w:tc>
      </w:tr>
      <w:tr w:rsidR="002227B2" w:rsidRPr="002227B2" w:rsidTr="00222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 xml:space="preserve"> Late(&gt;7days from</w:t>
            </w:r>
            <w:r w:rsidRPr="002227B2">
              <w:rPr>
                <w:rFonts w:ascii="Calibri" w:eastAsia="Malgun Gothic" w:hAnsi="Calibri" w:cs="Calibri"/>
                <w:color w:val="auto"/>
                <w:sz w:val="16"/>
                <w:szCs w:val="16"/>
                <w:lang w:eastAsia="ko-KR"/>
              </w:rPr>
              <w:t xml:space="preserve"> onset of </w:t>
            </w:r>
            <w:proofErr w:type="spellStart"/>
            <w:r w:rsidRPr="002227B2">
              <w:rPr>
                <w:rFonts w:ascii="Calibri" w:eastAsia="Malgun Gothic" w:hAnsi="Calibri" w:cs="Calibri"/>
                <w:color w:val="auto"/>
                <w:sz w:val="16"/>
                <w:szCs w:val="16"/>
                <w:lang w:eastAsia="ko-KR"/>
              </w:rPr>
              <w:t>illenss</w:t>
            </w:r>
            <w:proofErr w:type="spellEnd"/>
            <w:r w:rsidRPr="002227B2">
              <w:rPr>
                <w:rFonts w:ascii="Calibri" w:eastAsia="Malgun Gothic" w:hAnsi="Calibri" w:cs="Calibri" w:hint="eastAsia"/>
                <w:color w:val="auto"/>
                <w:sz w:val="16"/>
                <w:szCs w:val="16"/>
                <w:lang w:eastAsia="ko-KR"/>
              </w:rPr>
              <w:t>)</w:t>
            </w:r>
          </w:p>
        </w:tc>
        <w:tc>
          <w:tcPr>
            <w:tcW w:w="1560" w:type="dxa"/>
            <w:tcBorders>
              <w:top w:val="nil"/>
            </w:tcBorders>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0</w:t>
            </w:r>
          </w:p>
        </w:tc>
        <w:tc>
          <w:tcPr>
            <w:tcW w:w="1559" w:type="dxa"/>
            <w:tcBorders>
              <w:top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w:t>
            </w:r>
          </w:p>
        </w:tc>
        <w:tc>
          <w:tcPr>
            <w:tcW w:w="1337" w:type="dxa"/>
            <w:tcBorders>
              <w:top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w:t>
            </w:r>
          </w:p>
        </w:tc>
      </w:tr>
      <w:tr w:rsidR="002227B2" w:rsidRPr="002227B2" w:rsidTr="002227B2">
        <w:tc>
          <w:tcPr>
            <w:cnfStyle w:val="001000000000" w:firstRow="0" w:lastRow="0" w:firstColumn="1" w:lastColumn="0" w:oddVBand="0" w:evenVBand="0" w:oddHBand="0" w:evenHBand="0" w:firstRowFirstColumn="0" w:firstRowLastColumn="0" w:lastRowFirstColumn="0" w:lastRowLastColumn="0"/>
            <w:tcW w:w="2835" w:type="dxa"/>
            <w:tcBorders>
              <w:top w:val="nil"/>
              <w:bottom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ICU care*</w:t>
            </w:r>
          </w:p>
        </w:tc>
        <w:tc>
          <w:tcPr>
            <w:tcW w:w="1560" w:type="dxa"/>
            <w:tcBorders>
              <w:top w:val="nil"/>
              <w:bottom w:val="nil"/>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39</w:t>
            </w:r>
            <w:r w:rsidRPr="002227B2">
              <w:rPr>
                <w:rFonts w:ascii="Calibri" w:eastAsia="Malgun Gothic" w:hAnsi="Calibri" w:cs="Calibri"/>
                <w:color w:val="auto"/>
                <w:sz w:val="16"/>
                <w:szCs w:val="16"/>
                <w:lang w:eastAsia="ko-KR"/>
              </w:rPr>
              <w:t>9</w:t>
            </w:r>
          </w:p>
        </w:tc>
        <w:tc>
          <w:tcPr>
            <w:tcW w:w="1559"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19</w:t>
            </w:r>
          </w:p>
        </w:tc>
        <w:tc>
          <w:tcPr>
            <w:tcW w:w="1337"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r>
      <w:tr w:rsidR="002227B2" w:rsidRPr="002227B2" w:rsidTr="00222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nil"/>
              <w:bottom w:val="nil"/>
            </w:tcBorders>
          </w:tcPr>
          <w:p w:rsidR="002227B2" w:rsidRPr="002227B2" w:rsidRDefault="002227B2" w:rsidP="002227B2">
            <w:pPr>
              <w:widowControl w:val="0"/>
              <w:tabs>
                <w:tab w:val="left" w:pos="1236"/>
              </w:tabs>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 xml:space="preserve"> Steroid group</w:t>
            </w:r>
            <w:r w:rsidRPr="002227B2">
              <w:rPr>
                <w:rFonts w:ascii="Calibri" w:eastAsia="Malgun Gothic" w:hAnsi="Calibri" w:cs="Calibri"/>
                <w:color w:val="auto"/>
                <w:sz w:val="16"/>
                <w:szCs w:val="16"/>
                <w:lang w:eastAsia="ko-KR"/>
              </w:rPr>
              <w:tab/>
            </w:r>
          </w:p>
        </w:tc>
        <w:tc>
          <w:tcPr>
            <w:tcW w:w="1560" w:type="dxa"/>
            <w:tcBorders>
              <w:top w:val="nil"/>
              <w:bottom w:val="nil"/>
            </w:tcBorders>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395</w:t>
            </w:r>
          </w:p>
        </w:tc>
        <w:tc>
          <w:tcPr>
            <w:tcW w:w="1559"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3</w:t>
            </w:r>
          </w:p>
        </w:tc>
        <w:tc>
          <w:tcPr>
            <w:tcW w:w="1337"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r>
      <w:tr w:rsidR="002227B2" w:rsidRPr="002227B2" w:rsidTr="002227B2">
        <w:tc>
          <w:tcPr>
            <w:cnfStyle w:val="001000000000" w:firstRow="0" w:lastRow="0" w:firstColumn="1" w:lastColumn="0" w:oddVBand="0" w:evenVBand="0" w:oddHBand="0" w:evenHBand="0" w:firstRowFirstColumn="0" w:firstRowLastColumn="0" w:lastRowFirstColumn="0" w:lastRowLastColumn="0"/>
            <w:tcW w:w="2835" w:type="dxa"/>
            <w:tcBorders>
              <w:top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 xml:space="preserve"> Control </w:t>
            </w:r>
          </w:p>
        </w:tc>
        <w:tc>
          <w:tcPr>
            <w:tcW w:w="1560" w:type="dxa"/>
            <w:tcBorders>
              <w:top w:val="nil"/>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4</w:t>
            </w:r>
          </w:p>
        </w:tc>
        <w:tc>
          <w:tcPr>
            <w:tcW w:w="1559" w:type="dxa"/>
            <w:tcBorders>
              <w:top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16</w:t>
            </w:r>
          </w:p>
        </w:tc>
        <w:tc>
          <w:tcPr>
            <w:tcW w:w="1337" w:type="dxa"/>
            <w:tcBorders>
              <w:top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r>
      <w:tr w:rsidR="002227B2" w:rsidRPr="002227B2" w:rsidTr="00222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nil"/>
              <w:bottom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Ventilator</w:t>
            </w:r>
            <w:r w:rsidRPr="002227B2">
              <w:rPr>
                <w:rFonts w:ascii="Calibri" w:eastAsia="Malgun Gothic" w:hAnsi="Calibri" w:cs="Calibri"/>
                <w:color w:val="auto"/>
                <w:sz w:val="16"/>
                <w:szCs w:val="16"/>
                <w:lang w:eastAsia="ko-KR"/>
              </w:rPr>
              <w:t>*</w:t>
            </w:r>
          </w:p>
        </w:tc>
        <w:tc>
          <w:tcPr>
            <w:tcW w:w="1560" w:type="dxa"/>
            <w:tcBorders>
              <w:top w:val="nil"/>
              <w:bottom w:val="nil"/>
            </w:tcBorders>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165</w:t>
            </w:r>
          </w:p>
        </w:tc>
        <w:tc>
          <w:tcPr>
            <w:tcW w:w="1559"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262</w:t>
            </w:r>
          </w:p>
        </w:tc>
        <w:tc>
          <w:tcPr>
            <w:tcW w:w="1337"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r>
      <w:tr w:rsidR="002227B2" w:rsidRPr="002227B2" w:rsidTr="002227B2">
        <w:tc>
          <w:tcPr>
            <w:cnfStyle w:val="001000000000" w:firstRow="0" w:lastRow="0" w:firstColumn="1" w:lastColumn="0" w:oddVBand="0" w:evenVBand="0" w:oddHBand="0" w:evenHBand="0" w:firstRowFirstColumn="0" w:firstRowLastColumn="0" w:lastRowFirstColumn="0" w:lastRowLastColumn="0"/>
            <w:tcW w:w="2835" w:type="dxa"/>
            <w:tcBorders>
              <w:top w:val="nil"/>
              <w:bottom w:val="nil"/>
            </w:tcBorders>
          </w:tcPr>
          <w:p w:rsidR="002227B2" w:rsidRPr="002227B2" w:rsidRDefault="002227B2" w:rsidP="002227B2">
            <w:pPr>
              <w:widowControl w:val="0"/>
              <w:tabs>
                <w:tab w:val="left" w:pos="1236"/>
              </w:tabs>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 xml:space="preserve"> Steroid group</w:t>
            </w:r>
            <w:r w:rsidRPr="002227B2">
              <w:rPr>
                <w:rFonts w:ascii="Calibri" w:eastAsia="Malgun Gothic" w:hAnsi="Calibri" w:cs="Calibri"/>
                <w:color w:val="auto"/>
                <w:sz w:val="16"/>
                <w:szCs w:val="16"/>
                <w:lang w:eastAsia="ko-KR"/>
              </w:rPr>
              <w:tab/>
            </w:r>
          </w:p>
        </w:tc>
        <w:tc>
          <w:tcPr>
            <w:tcW w:w="1560" w:type="dxa"/>
            <w:tcBorders>
              <w:top w:val="nil"/>
              <w:bottom w:val="nil"/>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161</w:t>
            </w:r>
          </w:p>
        </w:tc>
        <w:tc>
          <w:tcPr>
            <w:tcW w:w="1559"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141</w:t>
            </w:r>
          </w:p>
        </w:tc>
        <w:tc>
          <w:tcPr>
            <w:tcW w:w="1337"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r>
      <w:tr w:rsidR="002227B2" w:rsidRPr="002227B2" w:rsidTr="00222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 xml:space="preserve"> Control </w:t>
            </w:r>
          </w:p>
        </w:tc>
        <w:tc>
          <w:tcPr>
            <w:tcW w:w="1560" w:type="dxa"/>
            <w:tcBorders>
              <w:top w:val="nil"/>
            </w:tcBorders>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4</w:t>
            </w:r>
          </w:p>
        </w:tc>
        <w:tc>
          <w:tcPr>
            <w:tcW w:w="1559" w:type="dxa"/>
            <w:tcBorders>
              <w:top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121</w:t>
            </w:r>
          </w:p>
        </w:tc>
        <w:tc>
          <w:tcPr>
            <w:tcW w:w="1337" w:type="dxa"/>
            <w:tcBorders>
              <w:top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r>
      <w:tr w:rsidR="002227B2" w:rsidRPr="002227B2" w:rsidTr="002227B2">
        <w:tc>
          <w:tcPr>
            <w:cnfStyle w:val="001000000000" w:firstRow="0" w:lastRow="0" w:firstColumn="1" w:lastColumn="0" w:oddVBand="0" w:evenVBand="0" w:oddHBand="0" w:evenHBand="0" w:firstRowFirstColumn="0" w:firstRowLastColumn="0" w:lastRowFirstColumn="0" w:lastRowLastColumn="0"/>
            <w:tcW w:w="2835" w:type="dxa"/>
            <w:tcBorders>
              <w:top w:val="nil"/>
              <w:bottom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ALI/ARDS</w:t>
            </w:r>
            <w:r w:rsidRPr="002227B2">
              <w:rPr>
                <w:rFonts w:ascii="Calibri" w:eastAsia="Malgun Gothic" w:hAnsi="Calibri" w:cs="Calibri"/>
                <w:color w:val="auto"/>
                <w:sz w:val="16"/>
                <w:szCs w:val="16"/>
                <w:lang w:eastAsia="ko-KR"/>
              </w:rPr>
              <w:t>*</w:t>
            </w:r>
          </w:p>
        </w:tc>
        <w:tc>
          <w:tcPr>
            <w:tcW w:w="1560" w:type="dxa"/>
            <w:tcBorders>
              <w:top w:val="nil"/>
              <w:bottom w:val="nil"/>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56</w:t>
            </w:r>
          </w:p>
        </w:tc>
        <w:tc>
          <w:tcPr>
            <w:tcW w:w="1559"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1337"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r>
      <w:tr w:rsidR="002227B2" w:rsidRPr="002227B2" w:rsidTr="00222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nil"/>
              <w:bottom w:val="nil"/>
            </w:tcBorders>
          </w:tcPr>
          <w:p w:rsidR="002227B2" w:rsidRPr="002227B2" w:rsidRDefault="002227B2" w:rsidP="002227B2">
            <w:pPr>
              <w:widowControl w:val="0"/>
              <w:tabs>
                <w:tab w:val="left" w:pos="1236"/>
              </w:tabs>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 xml:space="preserve"> Steroid group</w:t>
            </w:r>
            <w:r w:rsidRPr="002227B2">
              <w:rPr>
                <w:rFonts w:ascii="Calibri" w:eastAsia="Malgun Gothic" w:hAnsi="Calibri" w:cs="Calibri"/>
                <w:color w:val="auto"/>
                <w:sz w:val="16"/>
                <w:szCs w:val="16"/>
                <w:lang w:eastAsia="ko-KR"/>
              </w:rPr>
              <w:tab/>
            </w:r>
          </w:p>
        </w:tc>
        <w:tc>
          <w:tcPr>
            <w:tcW w:w="1560" w:type="dxa"/>
            <w:tcBorders>
              <w:top w:val="nil"/>
              <w:bottom w:val="nil"/>
            </w:tcBorders>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7</w:t>
            </w:r>
          </w:p>
        </w:tc>
        <w:tc>
          <w:tcPr>
            <w:tcW w:w="1559"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1337"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r>
      <w:tr w:rsidR="002227B2" w:rsidRPr="002227B2" w:rsidTr="002227B2">
        <w:tc>
          <w:tcPr>
            <w:cnfStyle w:val="001000000000" w:firstRow="0" w:lastRow="0" w:firstColumn="1" w:lastColumn="0" w:oddVBand="0" w:evenVBand="0" w:oddHBand="0" w:evenHBand="0" w:firstRowFirstColumn="0" w:firstRowLastColumn="0" w:lastRowFirstColumn="0" w:lastRowLastColumn="0"/>
            <w:tcW w:w="2835" w:type="dxa"/>
            <w:tcBorders>
              <w:top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 xml:space="preserve"> Control </w:t>
            </w:r>
          </w:p>
        </w:tc>
        <w:tc>
          <w:tcPr>
            <w:tcW w:w="1560" w:type="dxa"/>
            <w:tcBorders>
              <w:top w:val="nil"/>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49</w:t>
            </w:r>
          </w:p>
        </w:tc>
        <w:tc>
          <w:tcPr>
            <w:tcW w:w="1559" w:type="dxa"/>
            <w:tcBorders>
              <w:top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c>
          <w:tcPr>
            <w:tcW w:w="1337" w:type="dxa"/>
            <w:tcBorders>
              <w:top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w:t>
            </w:r>
          </w:p>
        </w:tc>
      </w:tr>
      <w:tr w:rsidR="002227B2" w:rsidRPr="002227B2" w:rsidTr="00222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bottom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Deaths</w:t>
            </w:r>
          </w:p>
        </w:tc>
        <w:tc>
          <w:tcPr>
            <w:tcW w:w="1560" w:type="dxa"/>
            <w:tcBorders>
              <w:bottom w:val="nil"/>
            </w:tcBorders>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Malgun Gothic" w:eastAsia="Malgun Gothic" w:hAnsi="Malgun Gothic"/>
                <w:color w:val="auto"/>
                <w:sz w:val="16"/>
                <w:szCs w:val="16"/>
                <w:lang w:eastAsia="ko-KR"/>
              </w:rPr>
            </w:pPr>
            <w:r w:rsidRPr="002227B2">
              <w:rPr>
                <w:rFonts w:ascii="Calibri" w:eastAsia="Malgun Gothic" w:hAnsi="Calibri" w:cs="Calibri"/>
                <w:color w:val="auto"/>
                <w:sz w:val="16"/>
                <w:szCs w:val="16"/>
                <w:lang w:eastAsia="ko-KR"/>
              </w:rPr>
              <w:t xml:space="preserve">582 </w:t>
            </w:r>
          </w:p>
        </w:tc>
        <w:tc>
          <w:tcPr>
            <w:tcW w:w="1559" w:type="dxa"/>
            <w:tcBorders>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227</w:t>
            </w:r>
          </w:p>
        </w:tc>
        <w:tc>
          <w:tcPr>
            <w:tcW w:w="1337" w:type="dxa"/>
            <w:tcBorders>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98</w:t>
            </w:r>
          </w:p>
        </w:tc>
      </w:tr>
      <w:tr w:rsidR="002227B2" w:rsidRPr="002227B2" w:rsidTr="002227B2">
        <w:tc>
          <w:tcPr>
            <w:cnfStyle w:val="001000000000" w:firstRow="0" w:lastRow="0" w:firstColumn="1" w:lastColumn="0" w:oddVBand="0" w:evenVBand="0" w:oddHBand="0" w:evenHBand="0" w:firstRowFirstColumn="0" w:firstRowLastColumn="0" w:lastRowFirstColumn="0" w:lastRowLastColumn="0"/>
            <w:tcW w:w="2835" w:type="dxa"/>
            <w:tcBorders>
              <w:top w:val="nil"/>
              <w:bottom w:val="nil"/>
            </w:tcBorders>
          </w:tcPr>
          <w:p w:rsidR="002227B2" w:rsidRPr="002227B2" w:rsidRDefault="002227B2" w:rsidP="002227B2">
            <w:pPr>
              <w:widowControl w:val="0"/>
              <w:tabs>
                <w:tab w:val="left" w:pos="1236"/>
              </w:tabs>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 xml:space="preserve"> Steroid group</w:t>
            </w:r>
            <w:r w:rsidRPr="002227B2">
              <w:rPr>
                <w:rFonts w:ascii="Calibri" w:eastAsia="Malgun Gothic" w:hAnsi="Calibri" w:cs="Calibri"/>
                <w:color w:val="auto"/>
                <w:sz w:val="16"/>
                <w:szCs w:val="16"/>
                <w:lang w:eastAsia="ko-KR"/>
              </w:rPr>
              <w:tab/>
            </w:r>
          </w:p>
        </w:tc>
        <w:tc>
          <w:tcPr>
            <w:tcW w:w="1560" w:type="dxa"/>
            <w:tcBorders>
              <w:top w:val="nil"/>
              <w:bottom w:val="nil"/>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Malgun Gothic" w:eastAsia="Malgun Gothic" w:hAnsi="Malgun Gothic"/>
                <w:color w:val="auto"/>
                <w:sz w:val="16"/>
                <w:szCs w:val="16"/>
                <w:lang w:eastAsia="ko-KR"/>
              </w:rPr>
            </w:pPr>
            <w:r w:rsidRPr="002227B2">
              <w:rPr>
                <w:rFonts w:ascii="Calibri" w:eastAsia="Malgun Gothic" w:hAnsi="Calibri" w:cs="Calibri"/>
                <w:color w:val="auto"/>
                <w:sz w:val="16"/>
                <w:szCs w:val="16"/>
                <w:lang w:eastAsia="ko-KR"/>
              </w:rPr>
              <w:t>335 (57.6)</w:t>
            </w:r>
          </w:p>
        </w:tc>
        <w:tc>
          <w:tcPr>
            <w:tcW w:w="1559"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120 (52.9)</w:t>
            </w:r>
          </w:p>
        </w:tc>
        <w:tc>
          <w:tcPr>
            <w:tcW w:w="1337"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49</w:t>
            </w:r>
            <w:r w:rsidRPr="002227B2">
              <w:rPr>
                <w:rFonts w:ascii="Calibri" w:eastAsia="Malgun Gothic" w:hAnsi="Calibri" w:cs="Calibri"/>
                <w:color w:val="auto"/>
                <w:sz w:val="16"/>
                <w:szCs w:val="16"/>
                <w:lang w:eastAsia="ko-KR"/>
              </w:rPr>
              <w:t xml:space="preserve"> (50.0)</w:t>
            </w:r>
          </w:p>
        </w:tc>
      </w:tr>
      <w:tr w:rsidR="002227B2" w:rsidRPr="002227B2" w:rsidTr="00222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nil"/>
              <w:bottom w:val="single" w:sz="2" w:space="0" w:color="7F7F7F"/>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 xml:space="preserve"> Control </w:t>
            </w:r>
          </w:p>
        </w:tc>
        <w:tc>
          <w:tcPr>
            <w:tcW w:w="1560" w:type="dxa"/>
            <w:tcBorders>
              <w:top w:val="nil"/>
              <w:bottom w:val="single" w:sz="2" w:space="0" w:color="7F7F7F"/>
            </w:tcBorders>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247</w:t>
            </w:r>
            <w:r w:rsidRPr="002227B2">
              <w:rPr>
                <w:rFonts w:ascii="Calibri" w:eastAsia="Malgun Gothic" w:hAnsi="Calibri" w:cs="Calibri"/>
                <w:color w:val="auto"/>
                <w:sz w:val="16"/>
                <w:szCs w:val="16"/>
                <w:lang w:eastAsia="ko-KR"/>
              </w:rPr>
              <w:t xml:space="preserve"> (42.4) </w:t>
            </w:r>
          </w:p>
        </w:tc>
        <w:tc>
          <w:tcPr>
            <w:tcW w:w="1559" w:type="dxa"/>
            <w:tcBorders>
              <w:top w:val="nil"/>
              <w:bottom w:val="single" w:sz="2" w:space="0" w:color="7F7F7F"/>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107</w:t>
            </w:r>
            <w:r w:rsidRPr="002227B2">
              <w:rPr>
                <w:rFonts w:ascii="Calibri" w:eastAsia="Malgun Gothic" w:hAnsi="Calibri" w:cs="Calibri"/>
                <w:color w:val="auto"/>
                <w:sz w:val="16"/>
                <w:szCs w:val="16"/>
                <w:lang w:eastAsia="ko-KR"/>
              </w:rPr>
              <w:t xml:space="preserve"> (47.1)</w:t>
            </w:r>
          </w:p>
        </w:tc>
        <w:tc>
          <w:tcPr>
            <w:tcW w:w="1337" w:type="dxa"/>
            <w:tcBorders>
              <w:top w:val="nil"/>
              <w:bottom w:val="single" w:sz="2" w:space="0" w:color="7F7F7F"/>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49</w:t>
            </w:r>
            <w:r w:rsidRPr="002227B2">
              <w:rPr>
                <w:rFonts w:ascii="Calibri" w:eastAsia="Malgun Gothic" w:hAnsi="Calibri" w:cs="Calibri"/>
                <w:color w:val="auto"/>
                <w:sz w:val="16"/>
                <w:szCs w:val="16"/>
                <w:lang w:eastAsia="ko-KR"/>
              </w:rPr>
              <w:t xml:space="preserve"> (50.0) </w:t>
            </w:r>
          </w:p>
        </w:tc>
      </w:tr>
      <w:tr w:rsidR="002227B2" w:rsidRPr="002227B2" w:rsidTr="002227B2">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7F7F7F"/>
              <w:bottom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Deaths/No.</w:t>
            </w:r>
          </w:p>
        </w:tc>
        <w:tc>
          <w:tcPr>
            <w:tcW w:w="1560" w:type="dxa"/>
            <w:tcBorders>
              <w:top w:val="single" w:sz="2" w:space="0" w:color="7F7F7F"/>
              <w:bottom w:val="nil"/>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582/3416 </w:t>
            </w:r>
            <w:r w:rsidRPr="002227B2">
              <w:rPr>
                <w:rFonts w:ascii="Calibri" w:eastAsia="Malgun Gothic" w:hAnsi="Calibri" w:cs="Calibri" w:hint="eastAsia"/>
                <w:color w:val="auto"/>
                <w:sz w:val="16"/>
                <w:szCs w:val="16"/>
                <w:lang w:eastAsia="ko-KR"/>
              </w:rPr>
              <w:t>(</w:t>
            </w:r>
            <w:r w:rsidRPr="002227B2">
              <w:rPr>
                <w:rFonts w:ascii="Calibri" w:eastAsia="Malgun Gothic" w:hAnsi="Calibri" w:cs="Calibri"/>
                <w:color w:val="auto"/>
                <w:sz w:val="16"/>
                <w:szCs w:val="16"/>
                <w:lang w:eastAsia="ko-KR"/>
              </w:rPr>
              <w:t>17.0)</w:t>
            </w:r>
          </w:p>
        </w:tc>
        <w:tc>
          <w:tcPr>
            <w:tcW w:w="1559" w:type="dxa"/>
            <w:tcBorders>
              <w:top w:val="single" w:sz="2" w:space="0" w:color="7F7F7F"/>
              <w:bottom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227/360 </w:t>
            </w:r>
            <w:r w:rsidRPr="002227B2">
              <w:rPr>
                <w:rFonts w:ascii="Calibri" w:eastAsia="Malgun Gothic" w:hAnsi="Calibri" w:cs="Calibri" w:hint="eastAsia"/>
                <w:color w:val="auto"/>
                <w:sz w:val="16"/>
                <w:szCs w:val="16"/>
                <w:lang w:eastAsia="ko-KR"/>
              </w:rPr>
              <w:t>(</w:t>
            </w:r>
            <w:r w:rsidRPr="002227B2">
              <w:rPr>
                <w:rFonts w:ascii="Calibri" w:eastAsia="Malgun Gothic" w:hAnsi="Calibri" w:cs="Calibri"/>
                <w:color w:val="auto"/>
                <w:sz w:val="16"/>
                <w:szCs w:val="16"/>
                <w:lang w:eastAsia="ko-KR"/>
              </w:rPr>
              <w:t>63.1)</w:t>
            </w:r>
          </w:p>
        </w:tc>
        <w:tc>
          <w:tcPr>
            <w:tcW w:w="1337" w:type="dxa"/>
            <w:tcBorders>
              <w:top w:val="single" w:sz="2" w:space="0" w:color="7F7F7F"/>
              <w:bottom w:val="nil"/>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98/275</w:t>
            </w:r>
            <w:r w:rsidRPr="002227B2">
              <w:rPr>
                <w:rFonts w:ascii="Calibri" w:eastAsia="Malgun Gothic" w:hAnsi="Calibri" w:cs="Calibri"/>
                <w:color w:val="auto"/>
                <w:sz w:val="16"/>
                <w:szCs w:val="16"/>
                <w:lang w:eastAsia="ko-KR"/>
              </w:rPr>
              <w:t xml:space="preserve"> (35.6)</w:t>
            </w:r>
          </w:p>
        </w:tc>
      </w:tr>
      <w:tr w:rsidR="002227B2" w:rsidRPr="002227B2" w:rsidTr="002227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nil"/>
              <w:bottom w:val="nil"/>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 xml:space="preserve"> Steroid group</w:t>
            </w:r>
          </w:p>
        </w:tc>
        <w:tc>
          <w:tcPr>
            <w:tcW w:w="1560" w:type="dxa"/>
            <w:tcBorders>
              <w:top w:val="nil"/>
              <w:bottom w:val="nil"/>
            </w:tcBorders>
          </w:tcPr>
          <w:p w:rsidR="002227B2" w:rsidRPr="002227B2" w:rsidRDefault="002227B2" w:rsidP="002227B2">
            <w:pPr>
              <w:widowControl w:val="0"/>
              <w:wordWrap w:val="0"/>
              <w:autoSpaceDE w:val="0"/>
              <w:autoSpaceDN w:val="0"/>
              <w:spacing w:line="240" w:lineRule="auto"/>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335/2180 </w:t>
            </w:r>
            <w:r w:rsidRPr="002227B2">
              <w:rPr>
                <w:rFonts w:ascii="Calibri" w:eastAsia="Malgun Gothic" w:hAnsi="Calibri" w:cs="Calibri" w:hint="eastAsia"/>
                <w:color w:val="auto"/>
                <w:sz w:val="16"/>
                <w:szCs w:val="16"/>
                <w:lang w:eastAsia="ko-KR"/>
              </w:rPr>
              <w:t>(</w:t>
            </w:r>
            <w:r w:rsidRPr="002227B2">
              <w:rPr>
                <w:rFonts w:ascii="Calibri" w:eastAsia="Malgun Gothic" w:hAnsi="Calibri" w:cs="Calibri"/>
                <w:color w:val="auto"/>
                <w:sz w:val="16"/>
                <w:szCs w:val="16"/>
                <w:lang w:eastAsia="ko-KR"/>
              </w:rPr>
              <w:t>15.4)</w:t>
            </w:r>
          </w:p>
        </w:tc>
        <w:tc>
          <w:tcPr>
            <w:tcW w:w="1559"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120/156 </w:t>
            </w:r>
            <w:r w:rsidRPr="002227B2">
              <w:rPr>
                <w:rFonts w:ascii="Calibri" w:eastAsia="Malgun Gothic" w:hAnsi="Calibri" w:cs="Calibri" w:hint="eastAsia"/>
                <w:color w:val="auto"/>
                <w:sz w:val="16"/>
                <w:szCs w:val="16"/>
                <w:lang w:eastAsia="ko-KR"/>
              </w:rPr>
              <w:t>(</w:t>
            </w:r>
            <w:r w:rsidRPr="002227B2">
              <w:rPr>
                <w:rFonts w:ascii="Calibri" w:eastAsia="Malgun Gothic" w:hAnsi="Calibri" w:cs="Calibri"/>
                <w:color w:val="auto"/>
                <w:sz w:val="16"/>
                <w:szCs w:val="16"/>
                <w:lang w:eastAsia="ko-KR"/>
              </w:rPr>
              <w:t>76.9)</w:t>
            </w:r>
          </w:p>
        </w:tc>
        <w:tc>
          <w:tcPr>
            <w:tcW w:w="1337" w:type="dxa"/>
            <w:tcBorders>
              <w:top w:val="nil"/>
              <w:bottom w:val="nil"/>
            </w:tcBorders>
          </w:tcPr>
          <w:p w:rsidR="002227B2" w:rsidRPr="002227B2" w:rsidRDefault="002227B2" w:rsidP="002227B2">
            <w:pPr>
              <w:widowControl w:val="0"/>
              <w:wordWrap w:val="0"/>
              <w:autoSpaceDE w:val="0"/>
              <w:autoSpaceDN w:val="0"/>
              <w:spacing w:line="240" w:lineRule="auto"/>
              <w:jc w:val="left"/>
              <w:cnfStyle w:val="000000100000" w:firstRow="0" w:lastRow="0" w:firstColumn="0" w:lastColumn="0" w:oddVBand="0" w:evenVBand="0" w:oddHBand="1"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49/</w:t>
            </w:r>
            <w:r w:rsidRPr="002227B2">
              <w:rPr>
                <w:rFonts w:ascii="Calibri" w:eastAsia="Malgun Gothic" w:hAnsi="Calibri" w:cs="Calibri"/>
                <w:color w:val="auto"/>
                <w:sz w:val="16"/>
                <w:szCs w:val="16"/>
                <w:lang w:eastAsia="ko-KR"/>
              </w:rPr>
              <w:t>107 (45.8)</w:t>
            </w:r>
          </w:p>
        </w:tc>
      </w:tr>
      <w:tr w:rsidR="002227B2" w:rsidRPr="002227B2" w:rsidTr="002227B2">
        <w:tc>
          <w:tcPr>
            <w:cnfStyle w:val="001000000000" w:firstRow="0" w:lastRow="0" w:firstColumn="1" w:lastColumn="0" w:oddVBand="0" w:evenVBand="0" w:oddHBand="0" w:evenHBand="0" w:firstRowFirstColumn="0" w:firstRowLastColumn="0" w:lastRowFirstColumn="0" w:lastRowLastColumn="0"/>
            <w:tcW w:w="2835" w:type="dxa"/>
            <w:tcBorders>
              <w:top w:val="nil"/>
              <w:bottom w:val="single" w:sz="12" w:space="0" w:color="auto"/>
            </w:tcBorders>
          </w:tcPr>
          <w:p w:rsidR="002227B2" w:rsidRPr="002227B2" w:rsidRDefault="002227B2" w:rsidP="002227B2">
            <w:pPr>
              <w:widowControl w:val="0"/>
              <w:wordWrap w:val="0"/>
              <w:autoSpaceDE w:val="0"/>
              <w:autoSpaceDN w:val="0"/>
              <w:spacing w:line="240" w:lineRule="auto"/>
              <w:jc w:val="left"/>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 xml:space="preserve"> Control</w:t>
            </w:r>
          </w:p>
        </w:tc>
        <w:tc>
          <w:tcPr>
            <w:tcW w:w="1560" w:type="dxa"/>
            <w:tcBorders>
              <w:top w:val="nil"/>
              <w:bottom w:val="single" w:sz="12" w:space="0" w:color="auto"/>
            </w:tcBorders>
          </w:tcPr>
          <w:p w:rsidR="002227B2" w:rsidRPr="002227B2" w:rsidRDefault="002227B2" w:rsidP="002227B2">
            <w:pPr>
              <w:widowControl w:val="0"/>
              <w:wordWrap w:val="0"/>
              <w:autoSpaceDE w:val="0"/>
              <w:autoSpaceDN w:val="0"/>
              <w:spacing w:line="240" w:lineRule="auto"/>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247/1236 </w:t>
            </w:r>
            <w:r w:rsidRPr="002227B2">
              <w:rPr>
                <w:rFonts w:ascii="Calibri" w:eastAsia="Malgun Gothic" w:hAnsi="Calibri" w:cs="Calibri" w:hint="eastAsia"/>
                <w:color w:val="auto"/>
                <w:sz w:val="16"/>
                <w:szCs w:val="16"/>
                <w:lang w:eastAsia="ko-KR"/>
              </w:rPr>
              <w:t>(</w:t>
            </w:r>
            <w:r w:rsidRPr="002227B2">
              <w:rPr>
                <w:rFonts w:ascii="Calibri" w:eastAsia="Malgun Gothic" w:hAnsi="Calibri" w:cs="Calibri"/>
                <w:color w:val="auto"/>
                <w:sz w:val="16"/>
                <w:szCs w:val="16"/>
                <w:lang w:eastAsia="ko-KR"/>
              </w:rPr>
              <w:t>20.0)</w:t>
            </w:r>
          </w:p>
        </w:tc>
        <w:tc>
          <w:tcPr>
            <w:tcW w:w="1559" w:type="dxa"/>
            <w:tcBorders>
              <w:top w:val="nil"/>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color w:val="auto"/>
                <w:sz w:val="16"/>
                <w:szCs w:val="16"/>
                <w:lang w:eastAsia="ko-KR"/>
              </w:rPr>
              <w:t xml:space="preserve">107/204 </w:t>
            </w:r>
            <w:r w:rsidRPr="002227B2">
              <w:rPr>
                <w:rFonts w:ascii="Calibri" w:eastAsia="Malgun Gothic" w:hAnsi="Calibri" w:cs="Calibri" w:hint="eastAsia"/>
                <w:color w:val="auto"/>
                <w:sz w:val="16"/>
                <w:szCs w:val="16"/>
                <w:lang w:eastAsia="ko-KR"/>
              </w:rPr>
              <w:t>(</w:t>
            </w:r>
            <w:r w:rsidRPr="002227B2">
              <w:rPr>
                <w:rFonts w:ascii="Calibri" w:eastAsia="Malgun Gothic" w:hAnsi="Calibri" w:cs="Calibri"/>
                <w:color w:val="auto"/>
                <w:sz w:val="16"/>
                <w:szCs w:val="16"/>
                <w:lang w:eastAsia="ko-KR"/>
              </w:rPr>
              <w:t>52.5)</w:t>
            </w:r>
          </w:p>
        </w:tc>
        <w:tc>
          <w:tcPr>
            <w:tcW w:w="1337" w:type="dxa"/>
            <w:tcBorders>
              <w:top w:val="nil"/>
              <w:bottom w:val="single" w:sz="12" w:space="0" w:color="auto"/>
            </w:tcBorders>
          </w:tcPr>
          <w:p w:rsidR="002227B2" w:rsidRPr="002227B2" w:rsidRDefault="002227B2" w:rsidP="002227B2">
            <w:pPr>
              <w:widowControl w:val="0"/>
              <w:wordWrap w:val="0"/>
              <w:autoSpaceDE w:val="0"/>
              <w:autoSpaceDN w:val="0"/>
              <w:spacing w:line="240" w:lineRule="auto"/>
              <w:jc w:val="left"/>
              <w:cnfStyle w:val="000000000000" w:firstRow="0" w:lastRow="0" w:firstColumn="0" w:lastColumn="0" w:oddVBand="0" w:evenVBand="0" w:oddHBand="0" w:evenHBand="0" w:firstRowFirstColumn="0" w:firstRowLastColumn="0" w:lastRowFirstColumn="0" w:lastRowLastColumn="0"/>
              <w:rPr>
                <w:rFonts w:ascii="Calibri" w:eastAsia="Malgun Gothic" w:hAnsi="Calibri" w:cs="Calibri"/>
                <w:color w:val="auto"/>
                <w:sz w:val="16"/>
                <w:szCs w:val="16"/>
                <w:lang w:eastAsia="ko-KR"/>
              </w:rPr>
            </w:pPr>
            <w:r w:rsidRPr="002227B2">
              <w:rPr>
                <w:rFonts w:ascii="Calibri" w:eastAsia="Malgun Gothic" w:hAnsi="Calibri" w:cs="Calibri" w:hint="eastAsia"/>
                <w:color w:val="auto"/>
                <w:sz w:val="16"/>
                <w:szCs w:val="16"/>
                <w:lang w:eastAsia="ko-KR"/>
              </w:rPr>
              <w:t>49/</w:t>
            </w:r>
            <w:r w:rsidRPr="002227B2">
              <w:rPr>
                <w:rFonts w:ascii="Calibri" w:eastAsia="Malgun Gothic" w:hAnsi="Calibri" w:cs="Calibri"/>
                <w:color w:val="auto"/>
                <w:sz w:val="16"/>
                <w:szCs w:val="16"/>
                <w:lang w:eastAsia="ko-KR"/>
              </w:rPr>
              <w:t>168</w:t>
            </w:r>
            <w:r w:rsidRPr="002227B2">
              <w:rPr>
                <w:rFonts w:ascii="Calibri" w:eastAsia="Malgun Gothic" w:hAnsi="Calibri" w:cs="Calibri" w:hint="eastAsia"/>
                <w:color w:val="auto"/>
                <w:sz w:val="16"/>
                <w:szCs w:val="16"/>
                <w:lang w:eastAsia="ko-KR"/>
              </w:rPr>
              <w:t xml:space="preserve"> (</w:t>
            </w:r>
            <w:r w:rsidRPr="002227B2">
              <w:rPr>
                <w:rFonts w:ascii="Calibri" w:eastAsia="Malgun Gothic" w:hAnsi="Calibri" w:cs="Calibri"/>
                <w:color w:val="auto"/>
                <w:sz w:val="16"/>
                <w:szCs w:val="16"/>
                <w:lang w:eastAsia="ko-KR"/>
              </w:rPr>
              <w:t>29.2)</w:t>
            </w:r>
          </w:p>
        </w:tc>
      </w:tr>
    </w:tbl>
    <w:p w:rsidR="002227B2" w:rsidRPr="002227B2" w:rsidRDefault="002227B2" w:rsidP="002227B2">
      <w:pPr>
        <w:widowControl w:val="0"/>
        <w:wordWrap w:val="0"/>
        <w:autoSpaceDE w:val="0"/>
        <w:autoSpaceDN w:val="0"/>
        <w:spacing w:line="276" w:lineRule="auto"/>
        <w:jc w:val="left"/>
        <w:rPr>
          <w:rFonts w:ascii="Calibri" w:eastAsia="Malgun Gothic" w:hAnsi="Calibri" w:cs="Calibri"/>
          <w:color w:val="auto"/>
          <w:kern w:val="2"/>
          <w:sz w:val="14"/>
          <w:szCs w:val="16"/>
          <w:lang w:eastAsia="ko-KR"/>
        </w:rPr>
      </w:pPr>
      <w:r w:rsidRPr="002227B2">
        <w:rPr>
          <w:rFonts w:ascii="Calibri" w:eastAsia="Malgun Gothic" w:hAnsi="Calibri" w:cs="Calibri"/>
          <w:color w:val="auto"/>
          <w:kern w:val="2"/>
          <w:sz w:val="14"/>
          <w:szCs w:val="16"/>
          <w:lang w:eastAsia="ko-KR"/>
        </w:rPr>
        <w:t xml:space="preserve">No: Number, SARS: Severe acute respiratory syndrome, MERS: Middle East respiratory syndrome, </w:t>
      </w:r>
    </w:p>
    <w:p w:rsidR="002227B2" w:rsidRPr="002227B2" w:rsidRDefault="002227B2" w:rsidP="002227B2">
      <w:pPr>
        <w:widowControl w:val="0"/>
        <w:wordWrap w:val="0"/>
        <w:autoSpaceDE w:val="0"/>
        <w:autoSpaceDN w:val="0"/>
        <w:spacing w:line="276" w:lineRule="auto"/>
        <w:jc w:val="left"/>
        <w:rPr>
          <w:rFonts w:ascii="Calibri" w:eastAsia="Malgun Gothic" w:hAnsi="Calibri" w:cs="Calibri"/>
          <w:color w:val="auto"/>
          <w:kern w:val="2"/>
          <w:sz w:val="14"/>
          <w:szCs w:val="16"/>
          <w:lang w:eastAsia="ko-KR"/>
        </w:rPr>
      </w:pPr>
      <w:r w:rsidRPr="002227B2">
        <w:rPr>
          <w:rFonts w:ascii="Calibri" w:eastAsia="Malgun Gothic" w:hAnsi="Calibri" w:cs="Calibri"/>
          <w:color w:val="auto"/>
          <w:kern w:val="2"/>
          <w:sz w:val="14"/>
          <w:szCs w:val="16"/>
          <w:lang w:eastAsia="ko-KR"/>
        </w:rPr>
        <w:t>COVID-19: Coronavirus disease 19,</w:t>
      </w:r>
      <w:r w:rsidRPr="002227B2">
        <w:rPr>
          <w:rFonts w:ascii="Calibri" w:eastAsia="Malgun Gothic" w:hAnsi="Calibri" w:cs="Calibri" w:hint="eastAsia"/>
          <w:color w:val="auto"/>
          <w:kern w:val="2"/>
          <w:sz w:val="14"/>
          <w:szCs w:val="16"/>
          <w:lang w:eastAsia="ko-KR"/>
        </w:rPr>
        <w:t xml:space="preserve"> </w:t>
      </w:r>
      <w:r w:rsidRPr="002227B2">
        <w:rPr>
          <w:rFonts w:ascii="Calibri" w:eastAsia="Malgun Gothic" w:hAnsi="Calibri" w:cs="Calibri"/>
          <w:color w:val="auto"/>
          <w:kern w:val="2"/>
          <w:sz w:val="14"/>
          <w:szCs w:val="16"/>
          <w:lang w:eastAsia="ko-KR"/>
        </w:rPr>
        <w:t xml:space="preserve">ICU: Intensive care unit, ALI: Acute lung injury, ARDS: Acute respiratory distress syndrome, </w:t>
      </w:r>
    </w:p>
    <w:p w:rsidR="002227B2" w:rsidRPr="002227B2" w:rsidRDefault="002227B2" w:rsidP="002227B2">
      <w:pPr>
        <w:widowControl w:val="0"/>
        <w:wordWrap w:val="0"/>
        <w:autoSpaceDE w:val="0"/>
        <w:autoSpaceDN w:val="0"/>
        <w:spacing w:line="276" w:lineRule="auto"/>
        <w:jc w:val="left"/>
        <w:rPr>
          <w:rFonts w:ascii="Calibri" w:eastAsia="Malgun Gothic" w:hAnsi="Calibri" w:cs="Calibri"/>
          <w:color w:val="auto"/>
          <w:kern w:val="2"/>
          <w:sz w:val="14"/>
          <w:szCs w:val="16"/>
          <w:lang w:eastAsia="ko-KR"/>
        </w:rPr>
      </w:pPr>
      <w:r w:rsidRPr="002227B2">
        <w:rPr>
          <w:rFonts w:ascii="Calibri" w:eastAsia="Malgun Gothic" w:hAnsi="Calibri" w:cs="Calibri"/>
          <w:color w:val="auto"/>
          <w:kern w:val="2"/>
          <w:sz w:val="14"/>
          <w:szCs w:val="16"/>
          <w:lang w:eastAsia="ko-KR"/>
        </w:rPr>
        <w:t>(-): no information.</w:t>
      </w:r>
    </w:p>
    <w:p w:rsidR="002227B2" w:rsidRPr="002227B2" w:rsidRDefault="002227B2" w:rsidP="002227B2">
      <w:pPr>
        <w:widowControl w:val="0"/>
        <w:wordWrap w:val="0"/>
        <w:autoSpaceDE w:val="0"/>
        <w:autoSpaceDN w:val="0"/>
        <w:spacing w:line="276" w:lineRule="auto"/>
        <w:jc w:val="left"/>
        <w:rPr>
          <w:rFonts w:ascii="Calibri" w:eastAsia="Malgun Gothic" w:hAnsi="Calibri" w:cs="Calibri"/>
          <w:color w:val="auto"/>
          <w:kern w:val="2"/>
          <w:sz w:val="14"/>
          <w:szCs w:val="16"/>
          <w:lang w:eastAsia="ko-KR"/>
        </w:rPr>
      </w:pPr>
      <w:r w:rsidRPr="002227B2">
        <w:rPr>
          <w:rFonts w:ascii="Calibri" w:eastAsia="Malgun Gothic" w:hAnsi="Calibri" w:cs="Calibri"/>
          <w:color w:val="auto"/>
          <w:kern w:val="2"/>
          <w:sz w:val="14"/>
          <w:szCs w:val="16"/>
          <w:lang w:eastAsia="ko-KR"/>
        </w:rPr>
        <w:t>*</w:t>
      </w:r>
      <w:r w:rsidRPr="002227B2">
        <w:rPr>
          <w:rFonts w:ascii="Malgun Gothic" w:eastAsia="Malgun Gothic" w:hAnsi="Malgun Gothic" w:cs="Arial"/>
          <w:color w:val="auto"/>
          <w:kern w:val="2"/>
          <w:sz w:val="20"/>
          <w:szCs w:val="22"/>
          <w:lang w:eastAsia="ko-KR"/>
        </w:rPr>
        <w:t xml:space="preserve"> </w:t>
      </w:r>
      <w:r w:rsidRPr="002227B2">
        <w:rPr>
          <w:rFonts w:ascii="Calibri" w:eastAsia="Malgun Gothic" w:hAnsi="Calibri" w:cs="Calibri"/>
          <w:color w:val="auto"/>
          <w:kern w:val="2"/>
          <w:sz w:val="14"/>
          <w:szCs w:val="16"/>
          <w:lang w:eastAsia="ko-KR"/>
        </w:rPr>
        <w:t>The number of studies that report the onset of steroids for SARS and MERS, respectively</w:t>
      </w:r>
    </w:p>
    <w:p w:rsidR="002227B2" w:rsidRDefault="002227B2" w:rsidP="003E4374">
      <w:pPr>
        <w:pStyle w:val="MDPI33textspaceafter"/>
        <w:spacing w:after="0"/>
      </w:pPr>
    </w:p>
    <w:p w:rsidR="002227B2" w:rsidRDefault="002227B2" w:rsidP="003E4374">
      <w:pPr>
        <w:pStyle w:val="MDPI33textspaceafter"/>
        <w:spacing w:after="0"/>
      </w:pPr>
    </w:p>
    <w:p w:rsidR="002227B2" w:rsidRDefault="002227B2" w:rsidP="003E4374">
      <w:pPr>
        <w:pStyle w:val="MDPI33textspaceafter"/>
        <w:spacing w:after="0"/>
      </w:pPr>
    </w:p>
    <w:p w:rsidR="002227B2" w:rsidRDefault="002227B2" w:rsidP="003E4374">
      <w:pPr>
        <w:pStyle w:val="MDPI33textspaceafter"/>
        <w:spacing w:after="0"/>
      </w:pPr>
    </w:p>
    <w:p w:rsidR="002227B2" w:rsidRDefault="002227B2" w:rsidP="003E4374">
      <w:pPr>
        <w:pStyle w:val="MDPI33textspaceafter"/>
        <w:spacing w:after="0"/>
      </w:pPr>
    </w:p>
    <w:p w:rsidR="002227B2" w:rsidRDefault="002227B2" w:rsidP="003E4374">
      <w:pPr>
        <w:pStyle w:val="MDPI33textspaceafter"/>
        <w:spacing w:after="0"/>
      </w:pPr>
    </w:p>
    <w:p w:rsidR="002227B2" w:rsidRDefault="002227B2" w:rsidP="003E4374">
      <w:pPr>
        <w:pStyle w:val="MDPI33textspaceafter"/>
        <w:spacing w:after="0"/>
        <w:sectPr w:rsidR="002227B2" w:rsidSect="008E2418">
          <w:pgSz w:w="16838" w:h="11906" w:orient="landscape"/>
          <w:pgMar w:top="1440" w:right="1701" w:bottom="1558" w:left="1134" w:header="851" w:footer="193" w:gutter="0"/>
          <w:pgNumType w:start="1"/>
          <w:cols w:space="425"/>
          <w:titlePg/>
          <w:docGrid w:linePitch="360"/>
        </w:sectPr>
      </w:pPr>
    </w:p>
    <w:p w:rsidR="002227B2" w:rsidRPr="002227B2" w:rsidRDefault="002227B2" w:rsidP="002227B2">
      <w:pPr>
        <w:pStyle w:val="MDPI33textspaceafter"/>
        <w:spacing w:after="0"/>
      </w:pPr>
      <w:r w:rsidRPr="002227B2">
        <w:rPr>
          <w:b/>
        </w:rPr>
        <w:lastRenderedPageBreak/>
        <w:t>Table 2</w:t>
      </w:r>
      <w:r w:rsidRPr="002227B2">
        <w:t xml:space="preserve"> describes the specific characteristics of the investigated patients. Various kinds and dose of steroids were used, such as methylprednisolone, dexamethasone, hydrocortisone, and prednisolone. Methylprednisolone pulse therapy was used in only 2 SARS studies within the description permits. The duration of steroid use was noted in one SARS and one MERS studies and varied between 3 and 21 days. Overall, there was a delay of about 5-12 days from the onset of symptoms to the start of steroids. Among the included studies, only 4 studies specifically described ICU treatment. There were 3 studies which described the number of patients who used ventilators, and 1 article contained patients with specific diagnoses of ALI or ARDS.  </w:t>
      </w:r>
    </w:p>
    <w:p w:rsidR="002227B2" w:rsidRPr="002227B2" w:rsidRDefault="002227B2" w:rsidP="002227B2">
      <w:pPr>
        <w:pStyle w:val="MDPI33textspaceafter"/>
        <w:spacing w:after="0"/>
      </w:pPr>
      <w:r w:rsidRPr="002227B2">
        <w:t xml:space="preserve">Deaths were mentioned in all included papers as the primary outcome. The total mortality rate of all SARS, MERS and COVID-19 patients </w:t>
      </w:r>
      <w:proofErr w:type="gramStart"/>
      <w:r w:rsidRPr="002227B2">
        <w:t>was</w:t>
      </w:r>
      <w:proofErr w:type="gramEnd"/>
      <w:r w:rsidRPr="002227B2">
        <w:t xml:space="preserve"> 17.0%, 63.1% and 35.6%, respectively, with or without steroids. In the steroid group, the corresponding figures </w:t>
      </w:r>
      <w:proofErr w:type="gramStart"/>
      <w:r w:rsidRPr="002227B2">
        <w:t>were:</w:t>
      </w:r>
      <w:proofErr w:type="gramEnd"/>
      <w:r w:rsidRPr="002227B2">
        <w:t xml:space="preserve"> SARS 15.4%, MERS 76.9%, and COVID-19 45.8% (</w:t>
      </w:r>
      <w:r w:rsidRPr="002227B2">
        <w:rPr>
          <w:b/>
        </w:rPr>
        <w:t>Table 1</w:t>
      </w:r>
      <w:r w:rsidRPr="002227B2">
        <w:t xml:space="preserve">). </w:t>
      </w:r>
    </w:p>
    <w:p w:rsidR="002227B2" w:rsidRPr="002227B2" w:rsidRDefault="002227B2" w:rsidP="002227B2">
      <w:pPr>
        <w:pStyle w:val="MDPI33textspaceafter"/>
        <w:spacing w:after="0"/>
      </w:pPr>
    </w:p>
    <w:p w:rsidR="002227B2" w:rsidRPr="002227B2" w:rsidRDefault="002227B2" w:rsidP="002227B2">
      <w:pPr>
        <w:pStyle w:val="MDPI33textspaceafter"/>
        <w:spacing w:after="0"/>
        <w:rPr>
          <w:b/>
          <w:bCs/>
          <w:i/>
          <w:vertAlign w:val="superscript"/>
        </w:rPr>
      </w:pPr>
      <w:r w:rsidRPr="002227B2">
        <w:rPr>
          <w:b/>
          <w:bCs/>
          <w:i/>
        </w:rPr>
        <w:t xml:space="preserve">Quality assessment </w:t>
      </w:r>
    </w:p>
    <w:p w:rsidR="002227B2" w:rsidRPr="002227B2" w:rsidRDefault="002227B2" w:rsidP="002227B2">
      <w:pPr>
        <w:pStyle w:val="MDPI33textspaceafter"/>
        <w:spacing w:after="0"/>
        <w:rPr>
          <w:bCs/>
        </w:rPr>
      </w:pPr>
      <w:r w:rsidRPr="002227B2">
        <w:rPr>
          <w:bCs/>
        </w:rPr>
        <w:t>Methodological quality assessment of the study conducted by Russell et al.</w:t>
      </w:r>
      <w:r w:rsidR="009278A4">
        <w:rPr>
          <w:bCs/>
        </w:rPr>
        <w:t>[22]</w:t>
      </w:r>
      <w:r w:rsidRPr="002227B2">
        <w:rPr>
          <w:bCs/>
          <w:vertAlign w:val="superscript"/>
        </w:rPr>
        <w:t xml:space="preserve"> </w:t>
      </w:r>
      <w:r w:rsidRPr="002227B2">
        <w:rPr>
          <w:bCs/>
        </w:rPr>
        <w:t xml:space="preserve">(previously published systematic review on steroid use in </w:t>
      </w:r>
      <w:proofErr w:type="spellStart"/>
      <w:r w:rsidRPr="002227B2">
        <w:rPr>
          <w:bCs/>
        </w:rPr>
        <w:t>hCoVs</w:t>
      </w:r>
      <w:proofErr w:type="spellEnd"/>
      <w:r w:rsidRPr="002227B2">
        <w:rPr>
          <w:bCs/>
        </w:rPr>
        <w:t>, influenza and respiratory syncytial viruses (RSV)) was performed according to AMSTAR-2 quality measurement. This study was a simple systematic review without meta-</w:t>
      </w:r>
      <w:proofErr w:type="gramStart"/>
      <w:r w:rsidRPr="002227B2">
        <w:rPr>
          <w:bCs/>
        </w:rPr>
        <w:t>analysis, and</w:t>
      </w:r>
      <w:proofErr w:type="gramEnd"/>
      <w:r w:rsidRPr="002227B2">
        <w:rPr>
          <w:bCs/>
        </w:rPr>
        <w:t xml:space="preserve"> did not meet the criteria such as risk of bias on meta-analysis and publication bias. The final quality score of this article was 2.5 in total showing a low quality compared to our study scored 16 in total </w:t>
      </w:r>
      <w:r w:rsidR="00030A33">
        <w:rPr>
          <w:b/>
          <w:bCs/>
        </w:rPr>
        <w:t>(Table S</w:t>
      </w:r>
      <w:r w:rsidRPr="002227B2">
        <w:rPr>
          <w:b/>
          <w:bCs/>
        </w:rPr>
        <w:t>4)</w:t>
      </w:r>
      <w:r w:rsidRPr="002227B2">
        <w:rPr>
          <w:bCs/>
        </w:rPr>
        <w:t xml:space="preserve">. We described detailed practical considerations in </w:t>
      </w:r>
      <w:r w:rsidRPr="002227B2">
        <w:rPr>
          <w:b/>
          <w:bCs/>
        </w:rPr>
        <w:t>Ta</w:t>
      </w:r>
      <w:r w:rsidR="00030A33">
        <w:rPr>
          <w:b/>
          <w:bCs/>
        </w:rPr>
        <w:t>ble S</w:t>
      </w:r>
      <w:r w:rsidRPr="002227B2">
        <w:rPr>
          <w:b/>
          <w:bCs/>
        </w:rPr>
        <w:t>5</w:t>
      </w:r>
      <w:r w:rsidRPr="002227B2">
        <w:rPr>
          <w:bCs/>
        </w:rPr>
        <w:t>.</w:t>
      </w:r>
    </w:p>
    <w:p w:rsidR="002227B2" w:rsidRPr="002227B2" w:rsidRDefault="002227B2" w:rsidP="002227B2">
      <w:pPr>
        <w:pStyle w:val="MDPI33textspaceafter"/>
        <w:spacing w:after="0"/>
      </w:pPr>
      <w:r w:rsidRPr="002227B2">
        <w:t>We re-assessed the quality of included studies based on an adapted version of the Newcastle Ottawa Scale, and found that there were 2 studies of high quality with a score of above 7 for a total of 8 (</w:t>
      </w:r>
      <w:r w:rsidRPr="002227B2">
        <w:rPr>
          <w:b/>
        </w:rPr>
        <w:t>Table E6-7</w:t>
      </w:r>
      <w:r w:rsidRPr="002227B2">
        <w:t>). The remaining 7 studies were ranked as low quality with a score 3 points or less. As a result, we performed sensitivity subgroup meta-analyses excluding studies ranked as low quality.</w:t>
      </w:r>
    </w:p>
    <w:p w:rsidR="002227B2" w:rsidRPr="002227B2" w:rsidRDefault="002227B2" w:rsidP="002227B2">
      <w:pPr>
        <w:pStyle w:val="MDPI33textspaceafter"/>
        <w:spacing w:after="0"/>
      </w:pPr>
    </w:p>
    <w:p w:rsidR="002227B2" w:rsidRPr="002227B2" w:rsidRDefault="002227B2" w:rsidP="002227B2">
      <w:pPr>
        <w:pStyle w:val="MDPI33textspaceafter"/>
        <w:spacing w:after="0"/>
        <w:rPr>
          <w:b/>
          <w:bCs/>
          <w:i/>
        </w:rPr>
      </w:pPr>
      <w:r w:rsidRPr="002227B2">
        <w:rPr>
          <w:b/>
          <w:bCs/>
          <w:i/>
        </w:rPr>
        <w:t xml:space="preserve">Meta-analyses  </w:t>
      </w:r>
    </w:p>
    <w:p w:rsidR="002227B2" w:rsidRPr="002227B2" w:rsidRDefault="002227B2" w:rsidP="002227B2">
      <w:pPr>
        <w:pStyle w:val="MDPI33textspaceafter"/>
        <w:spacing w:after="0"/>
      </w:pPr>
      <w:r w:rsidRPr="002227B2">
        <w:t xml:space="preserve">We performed a novel meta-analysis in each subgroup according to the outcome. Pooled ORs for individuals who used steroids (vs control) for mortality are presented in </w:t>
      </w:r>
      <w:r w:rsidRPr="002227B2">
        <w:rPr>
          <w:b/>
          <w:bCs/>
        </w:rPr>
        <w:t>Fig</w:t>
      </w:r>
      <w:r w:rsidR="009278A4">
        <w:rPr>
          <w:b/>
          <w:bCs/>
        </w:rPr>
        <w:t>ure</w:t>
      </w:r>
      <w:r w:rsidRPr="002227B2">
        <w:rPr>
          <w:b/>
          <w:bCs/>
        </w:rPr>
        <w:t xml:space="preserve"> 2 </w:t>
      </w:r>
      <w:r w:rsidRPr="002227B2">
        <w:rPr>
          <w:bCs/>
        </w:rPr>
        <w:t xml:space="preserve">as the </w:t>
      </w:r>
      <w:r w:rsidRPr="002227B2">
        <w:t>corresponding forest plots. In two papers in which HR was described</w:t>
      </w:r>
      <w:r w:rsidR="009278A4">
        <w:t xml:space="preserve"> [36, 37]</w:t>
      </w:r>
      <w:r w:rsidRPr="002227B2">
        <w:t>, meta-analysis was performed using HR (</w:t>
      </w:r>
      <w:r w:rsidRPr="002227B2">
        <w:rPr>
          <w:b/>
        </w:rPr>
        <w:t>Fig</w:t>
      </w:r>
      <w:r w:rsidR="009278A4">
        <w:rPr>
          <w:b/>
        </w:rPr>
        <w:t>ure</w:t>
      </w:r>
      <w:r w:rsidRPr="002227B2">
        <w:rPr>
          <w:b/>
        </w:rPr>
        <w:t xml:space="preserve"> 3</w:t>
      </w:r>
      <w:r w:rsidRPr="002227B2">
        <w:t>). The results were described as simple random and fixed-based analysis and 95% confidence interval (CI) obtained through meta-analysis. Funnel plots, which are shown in the appendix, indicate risk of publication bias for outcomes (</w:t>
      </w:r>
      <w:r w:rsidRPr="002227B2">
        <w:rPr>
          <w:b/>
        </w:rPr>
        <w:t>Fig</w:t>
      </w:r>
      <w:r w:rsidR="005832C3">
        <w:rPr>
          <w:b/>
        </w:rPr>
        <w:t>ure</w:t>
      </w:r>
      <w:r w:rsidRPr="002227B2">
        <w:rPr>
          <w:b/>
        </w:rPr>
        <w:t xml:space="preserve"> </w:t>
      </w:r>
      <w:r w:rsidR="00521EA3">
        <w:rPr>
          <w:b/>
        </w:rPr>
        <w:t>S2</w:t>
      </w:r>
      <w:r w:rsidRPr="002227B2">
        <w:rPr>
          <w:b/>
        </w:rPr>
        <w:t>-</w:t>
      </w:r>
      <w:r w:rsidR="00521EA3">
        <w:rPr>
          <w:b/>
        </w:rPr>
        <w:t>4</w:t>
      </w:r>
      <w:r w:rsidRPr="002227B2">
        <w:rPr>
          <w:b/>
        </w:rPr>
        <w:t xml:space="preserve">, </w:t>
      </w:r>
      <w:r w:rsidRPr="002227B2">
        <w:t xml:space="preserve">see appendix). </w:t>
      </w:r>
    </w:p>
    <w:p w:rsidR="002227B2" w:rsidRPr="002227B2" w:rsidRDefault="002227B2" w:rsidP="002227B2">
      <w:pPr>
        <w:pStyle w:val="MDPI33textspaceafter"/>
        <w:spacing w:after="0"/>
        <w:sectPr w:rsidR="002227B2" w:rsidRPr="002227B2" w:rsidSect="002227B2">
          <w:footerReference w:type="default" r:id="rId14"/>
          <w:footerReference w:type="first" r:id="rId15"/>
          <w:pgSz w:w="11906" w:h="16838"/>
          <w:pgMar w:top="1701" w:right="1558" w:bottom="426" w:left="1440" w:header="851" w:footer="193" w:gutter="0"/>
          <w:pgNumType w:start="15"/>
          <w:cols w:space="425"/>
          <w:titlePg/>
          <w:docGrid w:linePitch="360"/>
        </w:sectPr>
      </w:pPr>
      <w:r w:rsidRPr="002227B2">
        <w:t>Because most of the studies showed that the steroid group had more severe cases than the control groups, steroids were not associated with deaths in the overall analysis (OR 1.152 [95% CI 0.631-2.101] in random effects model, I</w:t>
      </w:r>
      <w:r w:rsidRPr="002227B2">
        <w:rPr>
          <w:vertAlign w:val="superscript"/>
        </w:rPr>
        <w:t>2</w:t>
      </w:r>
      <w:r w:rsidRPr="002227B2">
        <w:t xml:space="preserve">=78.3%; </w:t>
      </w:r>
      <w:r w:rsidRPr="002227B2">
        <w:rPr>
          <w:b/>
        </w:rPr>
        <w:t>Fig</w:t>
      </w:r>
      <w:r w:rsidR="005832C3">
        <w:rPr>
          <w:b/>
        </w:rPr>
        <w:t>ure</w:t>
      </w:r>
      <w:r w:rsidRPr="002227B2">
        <w:rPr>
          <w:b/>
        </w:rPr>
        <w:t xml:space="preserve"> 2, a</w:t>
      </w:r>
      <w:r w:rsidRPr="002227B2">
        <w:t xml:space="preserve">). </w:t>
      </w:r>
      <w:proofErr w:type="gramStart"/>
      <w:r w:rsidRPr="002227B2">
        <w:t>Similarly</w:t>
      </w:r>
      <w:proofErr w:type="gramEnd"/>
      <w:r w:rsidRPr="002227B2">
        <w:t xml:space="preserve"> in another subgroup analysis, steroids were not associated with mortality among the studies on steroid as an add-on therapy for ribavirin (OR 0.858 [95% CI 0.411–1.792] in random effects model; I²=76.2%; </w:t>
      </w:r>
      <w:r w:rsidRPr="002227B2">
        <w:rPr>
          <w:b/>
        </w:rPr>
        <w:t>Fig</w:t>
      </w:r>
      <w:r w:rsidR="009278A4">
        <w:rPr>
          <w:b/>
        </w:rPr>
        <w:t>ure</w:t>
      </w:r>
      <w:r w:rsidRPr="002227B2">
        <w:rPr>
          <w:b/>
        </w:rPr>
        <w:t xml:space="preserve"> 2, b</w:t>
      </w:r>
      <w:r w:rsidRPr="002227B2">
        <w:t xml:space="preserve">). </w:t>
      </w:r>
    </w:p>
    <w:p w:rsidR="002227B2" w:rsidRPr="002227B2" w:rsidRDefault="002227B2" w:rsidP="002227B2">
      <w:pPr>
        <w:pStyle w:val="MDPI33textspaceafter"/>
        <w:spacing w:after="0"/>
        <w:rPr>
          <w:b/>
          <w:sz w:val="18"/>
        </w:rPr>
      </w:pPr>
      <w:r w:rsidRPr="002227B2">
        <w:rPr>
          <w:rFonts w:hint="eastAsia"/>
          <w:b/>
          <w:bCs/>
          <w:sz w:val="18"/>
        </w:rPr>
        <w:lastRenderedPageBreak/>
        <w:t>F</w:t>
      </w:r>
      <w:r w:rsidRPr="002227B2">
        <w:rPr>
          <w:b/>
          <w:bCs/>
          <w:sz w:val="18"/>
        </w:rPr>
        <w:t>igure 2</w:t>
      </w:r>
      <w:r w:rsidRPr="002227B2">
        <w:rPr>
          <w:rFonts w:hint="eastAsia"/>
          <w:b/>
          <w:bCs/>
          <w:sz w:val="18"/>
        </w:rPr>
        <w:t>.</w:t>
      </w:r>
      <w:r w:rsidRPr="002227B2">
        <w:rPr>
          <w:b/>
          <w:bCs/>
          <w:sz w:val="18"/>
        </w:rPr>
        <w:t xml:space="preserve"> </w:t>
      </w:r>
      <w:r w:rsidRPr="002227B2">
        <w:rPr>
          <w:b/>
          <w:sz w:val="18"/>
        </w:rPr>
        <w:t>Association between steroids and mortality of studies about “intervention”</w:t>
      </w:r>
    </w:p>
    <w:p w:rsidR="002227B2" w:rsidRDefault="002227B2" w:rsidP="003E4374">
      <w:pPr>
        <w:pStyle w:val="MDPI33textspaceafter"/>
        <w:spacing w:after="0"/>
      </w:pPr>
    </w:p>
    <w:p w:rsidR="002227B2" w:rsidRDefault="002227B2" w:rsidP="003E4374">
      <w:pPr>
        <w:pStyle w:val="MDPI33textspaceafter"/>
        <w:spacing w:after="0"/>
      </w:pPr>
      <w:r>
        <w:rPr>
          <w:noProof/>
          <w:lang w:eastAsia="ko-KR" w:bidi="ar-SA"/>
        </w:rPr>
        <w:drawing>
          <wp:inline distT="0" distB="0" distL="0" distR="0" wp14:anchorId="3EB2CB5D" wp14:editId="6C307F55">
            <wp:extent cx="4859591" cy="4287329"/>
            <wp:effectExtent l="0" t="0" r="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865879" cy="4292876"/>
                    </a:xfrm>
                    <a:prstGeom prst="rect">
                      <a:avLst/>
                    </a:prstGeom>
                  </pic:spPr>
                </pic:pic>
              </a:graphicData>
            </a:graphic>
          </wp:inline>
        </w:drawing>
      </w:r>
    </w:p>
    <w:p w:rsidR="00713C2F" w:rsidRPr="002227B2" w:rsidRDefault="00713C2F" w:rsidP="00713C2F">
      <w:pPr>
        <w:pStyle w:val="MDPI33textspaceafter"/>
        <w:spacing w:after="0"/>
        <w:rPr>
          <w:sz w:val="18"/>
        </w:rPr>
      </w:pPr>
      <w:r w:rsidRPr="002227B2">
        <w:rPr>
          <w:sz w:val="18"/>
        </w:rPr>
        <w:t xml:space="preserve">Studies are presented as country study (study [year]). Data are presented for total intervention (a), steroids as an add-on therapy for ribavirin (b), and steroids itself comparing non-steroid group (c). </w:t>
      </w:r>
      <w:r w:rsidRPr="002227B2">
        <w:rPr>
          <w:rFonts w:hint="eastAsia"/>
          <w:sz w:val="18"/>
        </w:rPr>
        <w:t>†</w:t>
      </w:r>
      <w:r w:rsidRPr="002227B2">
        <w:rPr>
          <w:sz w:val="18"/>
        </w:rPr>
        <w:t>These are the same paper (Lau (2009)[34]) which has the two subgroups: one study in Hong-Kong(H1 and H2) and the other study in Toronto (T).</w:t>
      </w:r>
    </w:p>
    <w:p w:rsidR="00713C2F" w:rsidRDefault="00713C2F" w:rsidP="003E4374">
      <w:pPr>
        <w:pStyle w:val="MDPI33textspaceafter"/>
        <w:spacing w:after="0"/>
      </w:pPr>
    </w:p>
    <w:p w:rsidR="002227B2" w:rsidRDefault="002227B2" w:rsidP="003E4374">
      <w:pPr>
        <w:pStyle w:val="MDPI33textspaceafter"/>
        <w:spacing w:after="0"/>
      </w:pPr>
    </w:p>
    <w:p w:rsidR="002227B2" w:rsidRPr="002227B2" w:rsidRDefault="002227B2" w:rsidP="002227B2">
      <w:pPr>
        <w:pStyle w:val="MDPI33textspaceafter"/>
        <w:spacing w:after="0"/>
      </w:pPr>
      <w:r w:rsidRPr="002227B2">
        <w:t>However, in time-adjusted analysis assessing mortality in relation to risk factors such as age or comorbidities, steroids significantly reduced mortality (HR 0·378 [95% CI 0.221-0.646] in random effects model, I</w:t>
      </w:r>
      <w:r w:rsidRPr="002227B2">
        <w:rPr>
          <w:vertAlign w:val="superscript"/>
        </w:rPr>
        <w:t>2=</w:t>
      </w:r>
      <w:r w:rsidRPr="002227B2">
        <w:t xml:space="preserve">0.0%, </w:t>
      </w:r>
      <w:r w:rsidRPr="002227B2">
        <w:rPr>
          <w:b/>
        </w:rPr>
        <w:t>Fig</w:t>
      </w:r>
      <w:r w:rsidR="00110CEB">
        <w:rPr>
          <w:b/>
        </w:rPr>
        <w:t>ure</w:t>
      </w:r>
      <w:r w:rsidRPr="002227B2">
        <w:rPr>
          <w:b/>
        </w:rPr>
        <w:t xml:space="preserve"> 3</w:t>
      </w:r>
      <w:r w:rsidRPr="002227B2">
        <w:t>) in two studies</w:t>
      </w:r>
      <w:r w:rsidR="009278A4">
        <w:t xml:space="preserve"> [36, 37]</w:t>
      </w:r>
      <w:r w:rsidRPr="002227B2">
        <w:t>.</w:t>
      </w:r>
      <w:r w:rsidR="009278A4">
        <w:t xml:space="preserve"> </w:t>
      </w:r>
      <w:r w:rsidRPr="002227B2">
        <w:t>In contrast, steroid use and mortality were not significantly associated based on Chi-square test in both studies (</w:t>
      </w:r>
      <w:r w:rsidRPr="002227B2">
        <w:rPr>
          <w:i/>
        </w:rPr>
        <w:t>P</w:t>
      </w:r>
      <w:r w:rsidRPr="002227B2">
        <w:t xml:space="preserve">=0.158 and </w:t>
      </w:r>
      <w:r w:rsidRPr="002227B2">
        <w:rPr>
          <w:i/>
        </w:rPr>
        <w:t>P</w:t>
      </w:r>
      <w:r w:rsidRPr="002227B2">
        <w:t>=0.304, respectively).</w:t>
      </w:r>
    </w:p>
    <w:p w:rsidR="002227B2" w:rsidRPr="002227B2" w:rsidRDefault="002227B2" w:rsidP="002227B2">
      <w:pPr>
        <w:pStyle w:val="MDPI33textspaceafter"/>
        <w:spacing w:after="0"/>
      </w:pPr>
      <w:r w:rsidRPr="002227B2">
        <w:t>Steroids were associated with mortality in three studies (OR 1.829 [95% CI 1.018-3.286] in random effects model, I</w:t>
      </w:r>
      <w:r w:rsidRPr="002227B2">
        <w:rPr>
          <w:vertAlign w:val="superscript"/>
        </w:rPr>
        <w:t>2</w:t>
      </w:r>
      <w:r w:rsidRPr="002227B2">
        <w:t xml:space="preserve">=39.37%, </w:t>
      </w:r>
      <w:r w:rsidRPr="002227B2">
        <w:rPr>
          <w:b/>
        </w:rPr>
        <w:t>Fig</w:t>
      </w:r>
      <w:r w:rsidR="00110CEB">
        <w:rPr>
          <w:b/>
        </w:rPr>
        <w:t>ure</w:t>
      </w:r>
      <w:r w:rsidRPr="002227B2">
        <w:rPr>
          <w:b/>
        </w:rPr>
        <w:t xml:space="preserve"> 2, c</w:t>
      </w:r>
      <w:r w:rsidRPr="002227B2">
        <w:t>). When meta-analyses were performed in studies as risk factors, mortality in MERS and COVID-19 showed high OR (OR 3.133 [95% CI [1.670-5.877] in random effects model, I</w:t>
      </w:r>
      <w:r w:rsidRPr="002227B2">
        <w:rPr>
          <w:vertAlign w:val="superscript"/>
        </w:rPr>
        <w:t>2</w:t>
      </w:r>
      <w:r w:rsidRPr="002227B2">
        <w:t xml:space="preserve">=0.0%, </w:t>
      </w:r>
      <w:r w:rsidRPr="002227B2">
        <w:rPr>
          <w:b/>
        </w:rPr>
        <w:t>Fig</w:t>
      </w:r>
      <w:r w:rsidR="00110CEB">
        <w:rPr>
          <w:b/>
        </w:rPr>
        <w:t>ure</w:t>
      </w:r>
      <w:r w:rsidRPr="002227B2">
        <w:rPr>
          <w:b/>
        </w:rPr>
        <w:t xml:space="preserve"> 4</w:t>
      </w:r>
      <w:r w:rsidRPr="002227B2">
        <w:t xml:space="preserve">). </w:t>
      </w:r>
    </w:p>
    <w:p w:rsidR="002227B2" w:rsidRPr="002227B2" w:rsidRDefault="002227B2" w:rsidP="002227B2">
      <w:pPr>
        <w:pStyle w:val="MDPI33textspaceafter"/>
        <w:spacing w:after="0"/>
      </w:pPr>
      <w:r w:rsidRPr="002227B2">
        <w:t>High heterogeneity (I</w:t>
      </w:r>
      <w:r w:rsidRPr="002227B2">
        <w:rPr>
          <w:vertAlign w:val="superscript"/>
        </w:rPr>
        <w:t>2</w:t>
      </w:r>
      <w:r w:rsidRPr="002227B2">
        <w:t>&gt;50%) was observed</w:t>
      </w:r>
      <w:r w:rsidRPr="002227B2">
        <w:rPr>
          <w:rFonts w:hint="eastAsia"/>
        </w:rPr>
        <w:t xml:space="preserve"> </w:t>
      </w:r>
      <w:r w:rsidRPr="002227B2">
        <w:t xml:space="preserve">in </w:t>
      </w:r>
      <w:r w:rsidRPr="002227B2">
        <w:rPr>
          <w:rFonts w:hint="eastAsia"/>
        </w:rPr>
        <w:t xml:space="preserve">the </w:t>
      </w:r>
      <w:r w:rsidRPr="002227B2">
        <w:t>studies of total intervention and steroids as an add-on therapy. Although heterogeneity remained high because of the study characteristics, the P-value of heterogeneity was significant for some analyses when subgroup analyses were performed.</w:t>
      </w:r>
    </w:p>
    <w:p w:rsidR="002227B2" w:rsidRDefault="002227B2" w:rsidP="003E4374">
      <w:pPr>
        <w:pStyle w:val="MDPI33textspaceafter"/>
        <w:spacing w:after="0"/>
      </w:pPr>
    </w:p>
    <w:p w:rsidR="002227B2" w:rsidRDefault="002227B2" w:rsidP="002227B2">
      <w:pPr>
        <w:pStyle w:val="MDPI33textspaceafter"/>
        <w:spacing w:after="0"/>
        <w:ind w:firstLine="0"/>
        <w:rPr>
          <w:b/>
          <w:i/>
        </w:rPr>
      </w:pPr>
      <w:r w:rsidRPr="002227B2">
        <w:rPr>
          <w:b/>
          <w:i/>
        </w:rPr>
        <w:t>Sensitivity subset analyses</w:t>
      </w:r>
    </w:p>
    <w:p w:rsidR="002227B2" w:rsidRPr="002227B2" w:rsidRDefault="002227B2" w:rsidP="002227B2">
      <w:pPr>
        <w:pStyle w:val="MDPI33textspaceafter"/>
        <w:spacing w:after="0"/>
        <w:ind w:firstLine="0"/>
        <w:rPr>
          <w:b/>
          <w:i/>
        </w:rPr>
      </w:pPr>
    </w:p>
    <w:p w:rsidR="002227B2" w:rsidRDefault="002227B2" w:rsidP="002227B2">
      <w:pPr>
        <w:pStyle w:val="MDPI33textspaceafter"/>
        <w:spacing w:after="0"/>
      </w:pPr>
      <w:r w:rsidRPr="002227B2">
        <w:t>Sensitivity subset</w:t>
      </w:r>
      <w:r w:rsidRPr="002227B2">
        <w:rPr>
          <w:i/>
        </w:rPr>
        <w:t xml:space="preserve"> </w:t>
      </w:r>
      <w:r w:rsidRPr="002227B2">
        <w:t>analyses were available for the meta-analyses with high quality (</w:t>
      </w:r>
      <w:r w:rsidR="00030A33">
        <w:rPr>
          <w:b/>
        </w:rPr>
        <w:t>Table S</w:t>
      </w:r>
      <w:r w:rsidRPr="002227B2">
        <w:rPr>
          <w:b/>
        </w:rPr>
        <w:t>6-7</w:t>
      </w:r>
      <w:r w:rsidRPr="002227B2">
        <w:t xml:space="preserve">). Interestingly, the scores of included studies with high quality </w:t>
      </w:r>
      <w:r w:rsidRPr="002227B2">
        <w:rPr>
          <w:rFonts w:hint="eastAsia"/>
        </w:rPr>
        <w:t xml:space="preserve">showed </w:t>
      </w:r>
      <w:r w:rsidRPr="002227B2">
        <w:t xml:space="preserve">a large difference from other studies. In the subset analysis, the result of outcome was not different from the main meta-analysis </w:t>
      </w:r>
      <w:r w:rsidRPr="002227B2">
        <w:lastRenderedPageBreak/>
        <w:t>(</w:t>
      </w:r>
      <w:r w:rsidRPr="002227B2">
        <w:rPr>
          <w:b/>
        </w:rPr>
        <w:t>Fig 4</w:t>
      </w:r>
      <w:r w:rsidRPr="002227B2">
        <w:t xml:space="preserve">). </w:t>
      </w:r>
      <w:r w:rsidR="00171AB4">
        <w:t xml:space="preserve">To see </w:t>
      </w:r>
      <w:r w:rsidR="00171AB4" w:rsidRPr="00171AB4">
        <w:t xml:space="preserve">how the pathogenicity and risk of mortality induced </w:t>
      </w:r>
      <w:r w:rsidR="00171AB4">
        <w:t xml:space="preserve">only </w:t>
      </w:r>
      <w:r w:rsidR="00171AB4" w:rsidRPr="00171AB4">
        <w:t xml:space="preserve">by the </w:t>
      </w:r>
      <w:r w:rsidR="00171AB4">
        <w:t>SARS coul</w:t>
      </w:r>
      <w:r w:rsidR="00171AB4" w:rsidRPr="00171AB4">
        <w:t>d impact on the efficacy of corticosteroids</w:t>
      </w:r>
      <w:r w:rsidR="00171AB4">
        <w:t xml:space="preserve">, we performed another subset </w:t>
      </w:r>
      <w:proofErr w:type="gramStart"/>
      <w:r w:rsidR="00171AB4">
        <w:t>analyses</w:t>
      </w:r>
      <w:proofErr w:type="gramEnd"/>
      <w:r w:rsidR="00171AB4">
        <w:t xml:space="preserve"> removing studies about MERS. </w:t>
      </w:r>
      <w:r w:rsidR="00171AB4" w:rsidRPr="00171AB4">
        <w:t>In this case, there was no statistically significance</w:t>
      </w:r>
      <w:r w:rsidR="00171AB4">
        <w:t xml:space="preserve"> (P&gt;0.05, </w:t>
      </w:r>
      <w:r w:rsidR="00171AB4" w:rsidRPr="00AF6B5F">
        <w:rPr>
          <w:b/>
        </w:rPr>
        <w:t>Fig S1</w:t>
      </w:r>
      <w:r w:rsidR="00171AB4">
        <w:t xml:space="preserve">). </w:t>
      </w:r>
    </w:p>
    <w:p w:rsidR="002227B2" w:rsidRPr="0095443A" w:rsidRDefault="002227B2" w:rsidP="002227B2">
      <w:pPr>
        <w:pStyle w:val="MDPI33textspaceafter"/>
        <w:spacing w:after="0"/>
      </w:pPr>
    </w:p>
    <w:p w:rsidR="002227B2" w:rsidRDefault="002227B2" w:rsidP="002227B2">
      <w:pPr>
        <w:pStyle w:val="MDPI33textspaceafter"/>
        <w:spacing w:after="0"/>
      </w:pPr>
    </w:p>
    <w:p w:rsidR="002227B2" w:rsidRDefault="002227B2" w:rsidP="002227B2">
      <w:pPr>
        <w:pStyle w:val="MDPI33textspaceafter"/>
        <w:spacing w:after="0"/>
      </w:pPr>
    </w:p>
    <w:p w:rsidR="002227B2" w:rsidRPr="002227B2" w:rsidRDefault="002227B2" w:rsidP="00AB0E09">
      <w:pPr>
        <w:pStyle w:val="MDPI33textspaceafter"/>
        <w:spacing w:after="0"/>
        <w:ind w:firstLine="0"/>
        <w:rPr>
          <w:b/>
          <w:sz w:val="18"/>
        </w:rPr>
      </w:pPr>
      <w:r w:rsidRPr="002227B2">
        <w:rPr>
          <w:rFonts w:hint="eastAsia"/>
          <w:b/>
          <w:bCs/>
          <w:sz w:val="18"/>
        </w:rPr>
        <w:t>F</w:t>
      </w:r>
      <w:r w:rsidRPr="002227B2">
        <w:rPr>
          <w:b/>
          <w:bCs/>
          <w:sz w:val="18"/>
        </w:rPr>
        <w:t>igure 3</w:t>
      </w:r>
      <w:r w:rsidRPr="002227B2">
        <w:rPr>
          <w:rFonts w:hint="eastAsia"/>
          <w:b/>
          <w:bCs/>
          <w:sz w:val="18"/>
        </w:rPr>
        <w:t>.</w:t>
      </w:r>
      <w:r w:rsidRPr="002227B2">
        <w:rPr>
          <w:b/>
          <w:bCs/>
          <w:sz w:val="18"/>
        </w:rPr>
        <w:t xml:space="preserve"> </w:t>
      </w:r>
      <w:r w:rsidRPr="002227B2">
        <w:rPr>
          <w:b/>
          <w:sz w:val="18"/>
        </w:rPr>
        <w:t>Association between steroids and mortality of studies adjusted for comorbidities or time-dependent conducted studies</w:t>
      </w:r>
    </w:p>
    <w:p w:rsidR="002227B2" w:rsidRPr="002227B2" w:rsidRDefault="002227B2" w:rsidP="002227B2">
      <w:pPr>
        <w:pStyle w:val="MDPI33textspaceafter"/>
        <w:spacing w:after="0"/>
        <w:rPr>
          <w:b/>
        </w:rPr>
      </w:pPr>
    </w:p>
    <w:p w:rsidR="002227B2" w:rsidRDefault="002227B2" w:rsidP="002227B2">
      <w:pPr>
        <w:pStyle w:val="MDPI33textspaceafter"/>
        <w:spacing w:after="0"/>
        <w:rPr>
          <w:b/>
        </w:rPr>
      </w:pPr>
      <w:r w:rsidRPr="002227B2">
        <w:rPr>
          <w:noProof/>
          <w:lang w:eastAsia="ko-KR" w:bidi="ar-SA"/>
        </w:rPr>
        <w:drawing>
          <wp:inline distT="0" distB="0" distL="0" distR="0" wp14:anchorId="026F8B54" wp14:editId="0C40C77F">
            <wp:extent cx="5656580" cy="1969135"/>
            <wp:effectExtent l="0" t="0" r="127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656580" cy="1969135"/>
                    </a:xfrm>
                    <a:prstGeom prst="rect">
                      <a:avLst/>
                    </a:prstGeom>
                  </pic:spPr>
                </pic:pic>
              </a:graphicData>
            </a:graphic>
          </wp:inline>
        </w:drawing>
      </w:r>
    </w:p>
    <w:p w:rsidR="00713C2F" w:rsidRPr="00E51619" w:rsidRDefault="00713C2F" w:rsidP="00713C2F">
      <w:pPr>
        <w:pStyle w:val="MDPI33textspaceafter"/>
        <w:spacing w:after="0"/>
        <w:ind w:firstLine="0"/>
        <w:rPr>
          <w:sz w:val="16"/>
        </w:rPr>
      </w:pPr>
      <w:r w:rsidRPr="00E51619">
        <w:rPr>
          <w:sz w:val="16"/>
        </w:rPr>
        <w:t xml:space="preserve">Studies are presented as country study (study [year]). Meta-analysis was performed using hazard ratio (HR). </w:t>
      </w:r>
    </w:p>
    <w:p w:rsidR="00713C2F" w:rsidRPr="00713C2F" w:rsidRDefault="00713C2F" w:rsidP="002227B2">
      <w:pPr>
        <w:pStyle w:val="MDPI33textspaceafter"/>
        <w:spacing w:after="0"/>
        <w:rPr>
          <w:b/>
        </w:rPr>
      </w:pPr>
    </w:p>
    <w:p w:rsidR="002227B2" w:rsidRDefault="002227B2" w:rsidP="002227B2">
      <w:pPr>
        <w:pStyle w:val="MDPI33textspaceafter"/>
        <w:spacing w:after="0"/>
      </w:pPr>
    </w:p>
    <w:p w:rsidR="002227B2" w:rsidRPr="002227B2" w:rsidRDefault="002227B2" w:rsidP="002227B2">
      <w:pPr>
        <w:rPr>
          <w:b/>
          <w:sz w:val="18"/>
          <w:szCs w:val="18"/>
        </w:rPr>
      </w:pPr>
      <w:r w:rsidRPr="002227B2">
        <w:rPr>
          <w:rFonts w:hint="eastAsia"/>
          <w:b/>
          <w:bCs/>
          <w:sz w:val="18"/>
          <w:szCs w:val="18"/>
        </w:rPr>
        <w:t>F</w:t>
      </w:r>
      <w:r w:rsidRPr="002227B2">
        <w:rPr>
          <w:b/>
          <w:bCs/>
          <w:sz w:val="18"/>
          <w:szCs w:val="18"/>
        </w:rPr>
        <w:t>igure 4</w:t>
      </w:r>
      <w:r w:rsidRPr="002227B2">
        <w:rPr>
          <w:rFonts w:hint="eastAsia"/>
          <w:b/>
          <w:bCs/>
          <w:sz w:val="18"/>
          <w:szCs w:val="18"/>
        </w:rPr>
        <w:t>.</w:t>
      </w:r>
      <w:r w:rsidRPr="002227B2">
        <w:rPr>
          <w:b/>
          <w:bCs/>
          <w:sz w:val="18"/>
          <w:szCs w:val="18"/>
        </w:rPr>
        <w:t xml:space="preserve"> </w:t>
      </w:r>
      <w:r w:rsidRPr="002227B2">
        <w:rPr>
          <w:b/>
          <w:sz w:val="18"/>
          <w:szCs w:val="18"/>
        </w:rPr>
        <w:t xml:space="preserve">Association between steroids and mortality of studies about “risk factor” </w:t>
      </w:r>
    </w:p>
    <w:p w:rsidR="002227B2" w:rsidRPr="002227B2" w:rsidRDefault="002227B2" w:rsidP="002227B2">
      <w:pPr>
        <w:rPr>
          <w:b/>
          <w:sz w:val="20"/>
          <w:szCs w:val="28"/>
        </w:rPr>
      </w:pPr>
    </w:p>
    <w:p w:rsidR="002227B2" w:rsidRDefault="002227B2" w:rsidP="002227B2">
      <w:pPr>
        <w:rPr>
          <w:b/>
          <w:sz w:val="18"/>
          <w:szCs w:val="28"/>
        </w:rPr>
      </w:pPr>
      <w:r>
        <w:rPr>
          <w:noProof/>
          <w:lang w:eastAsia="ko-KR"/>
        </w:rPr>
        <w:drawing>
          <wp:inline distT="0" distB="0" distL="0" distR="0" wp14:anchorId="1EB5E208" wp14:editId="42AD0CF8">
            <wp:extent cx="5656580" cy="1571625"/>
            <wp:effectExtent l="0" t="0" r="1270" b="9525"/>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656580" cy="1571625"/>
                    </a:xfrm>
                    <a:prstGeom prst="rect">
                      <a:avLst/>
                    </a:prstGeom>
                  </pic:spPr>
                </pic:pic>
              </a:graphicData>
            </a:graphic>
          </wp:inline>
        </w:drawing>
      </w:r>
    </w:p>
    <w:p w:rsidR="00713C2F" w:rsidRPr="00E51619" w:rsidRDefault="00713C2F" w:rsidP="00713C2F">
      <w:pPr>
        <w:rPr>
          <w:sz w:val="16"/>
          <w:szCs w:val="18"/>
        </w:rPr>
      </w:pPr>
      <w:r w:rsidRPr="00E51619">
        <w:rPr>
          <w:sz w:val="16"/>
          <w:szCs w:val="18"/>
        </w:rPr>
        <w:t>Studies are presented as country study (study [year]). Meta-analysis was performed using odds ratio (OR).</w:t>
      </w:r>
    </w:p>
    <w:p w:rsidR="002227B2" w:rsidRPr="00713C2F" w:rsidRDefault="002227B2" w:rsidP="002227B2">
      <w:pPr>
        <w:pStyle w:val="MDPI33textspaceafter"/>
        <w:spacing w:after="0"/>
      </w:pPr>
    </w:p>
    <w:p w:rsidR="002227B2" w:rsidRDefault="002227B2" w:rsidP="002227B2">
      <w:pPr>
        <w:pStyle w:val="MDPI33textspaceafter"/>
        <w:spacing w:after="0"/>
      </w:pPr>
    </w:p>
    <w:p w:rsidR="002227B2" w:rsidRDefault="002227B2" w:rsidP="002227B2">
      <w:pPr>
        <w:pStyle w:val="MDPI33textspaceafter"/>
        <w:spacing w:after="0"/>
      </w:pPr>
    </w:p>
    <w:p w:rsidR="002227B2" w:rsidRPr="002227B2" w:rsidRDefault="002227B2" w:rsidP="002227B2">
      <w:pPr>
        <w:pStyle w:val="MDPI33textspaceafter"/>
        <w:spacing w:after="0"/>
        <w:ind w:firstLine="0"/>
        <w:rPr>
          <w:b/>
        </w:rPr>
      </w:pPr>
      <w:r>
        <w:rPr>
          <w:b/>
        </w:rPr>
        <w:t xml:space="preserve">4. </w:t>
      </w:r>
      <w:r w:rsidRPr="002227B2">
        <w:rPr>
          <w:rFonts w:hint="eastAsia"/>
          <w:b/>
        </w:rPr>
        <w:t>Discussion</w:t>
      </w:r>
    </w:p>
    <w:p w:rsidR="004E5A28" w:rsidRPr="002227B2" w:rsidRDefault="004E5A28" w:rsidP="004E5A28">
      <w:pPr>
        <w:pStyle w:val="MDPI33textspaceafter"/>
        <w:spacing w:after="0"/>
      </w:pPr>
      <w:r w:rsidRPr="002227B2">
        <w:t xml:space="preserve">To our knowledge, this paper is a comprehensive systematic review and meta-analysis providing the most accurate evidence on steroids as an important treatment of choice in critical coronavirus infections. </w:t>
      </w:r>
      <w:r w:rsidRPr="0038104A">
        <w:t>Until now, there were two other systematic reviews [</w:t>
      </w:r>
      <w:r w:rsidR="00927DA9">
        <w:t>40</w:t>
      </w:r>
      <w:r w:rsidRPr="0038104A">
        <w:t xml:space="preserve">, </w:t>
      </w:r>
      <w:r w:rsidR="00927DA9">
        <w:t>41</w:t>
      </w:r>
      <w:r w:rsidRPr="0038104A">
        <w:t>] dealing with correlation between corticosteroid and coronavirus. But one [</w:t>
      </w:r>
      <w:r w:rsidR="00927DA9">
        <w:t>40</w:t>
      </w:r>
      <w:r w:rsidRPr="0038104A">
        <w:t>] was reviewed conducted studies without including time or variable-adjusted statistics and the other [</w:t>
      </w:r>
      <w:r w:rsidR="00927DA9">
        <w:t>41</w:t>
      </w:r>
      <w:r w:rsidRPr="0038104A">
        <w:t>] only described corticosteroids as an add-on therapy</w:t>
      </w:r>
      <w:r>
        <w:t xml:space="preserve"> </w:t>
      </w:r>
      <w:r w:rsidRPr="002227B2">
        <w:t>(e.g. combination of ribavirin and corticosteroids). In our study, two reviewers found all the studies from 4 databases that were missing from the previous study by Russell et al.</w:t>
      </w:r>
      <w:r>
        <w:t xml:space="preserve"> [22]</w:t>
      </w:r>
      <w:r w:rsidRPr="002227B2">
        <w:t xml:space="preserve"> to avoid selection biases. There had been no statistical analysis on the efficacy of steroids until the current study. </w:t>
      </w:r>
    </w:p>
    <w:p w:rsidR="004E5A28" w:rsidRPr="002227B2" w:rsidRDefault="004E5A28" w:rsidP="004E5A28">
      <w:pPr>
        <w:pStyle w:val="MDPI33textspaceafter"/>
        <w:spacing w:after="0"/>
      </w:pPr>
      <w:r w:rsidRPr="002227B2">
        <w:lastRenderedPageBreak/>
        <w:t xml:space="preserve">Of note, several included articles in both categories (“intervention” and “risk factors”) should be interpreted with caution. </w:t>
      </w:r>
      <w:proofErr w:type="gramStart"/>
      <w:r w:rsidRPr="002227B2">
        <w:t>First of all</w:t>
      </w:r>
      <w:proofErr w:type="gramEnd"/>
      <w:r w:rsidRPr="002227B2">
        <w:t xml:space="preserve">, steroids were used in more severe cases, and the patients chose to enroll in these included studies. Further, studies did not adjust for confounders related to mortality such as time, age, or comorbidities. </w:t>
      </w:r>
      <w:r w:rsidRPr="002227B2">
        <w:rPr>
          <w:rFonts w:hint="eastAsia"/>
        </w:rPr>
        <w:t xml:space="preserve">As </w:t>
      </w:r>
      <w:r w:rsidRPr="002227B2">
        <w:t xml:space="preserve">a result, overall, there were no associations between the use of steroids and mortality (OR 1.152 [95% CI 0.631-2.101], </w:t>
      </w:r>
      <w:r w:rsidRPr="002227B2">
        <w:rPr>
          <w:b/>
        </w:rPr>
        <w:t>Fig</w:t>
      </w:r>
      <w:r>
        <w:rPr>
          <w:b/>
        </w:rPr>
        <w:t>ure</w:t>
      </w:r>
      <w:r w:rsidRPr="002227B2">
        <w:rPr>
          <w:b/>
        </w:rPr>
        <w:t xml:space="preserve"> 2, a</w:t>
      </w:r>
      <w:r w:rsidRPr="002227B2">
        <w:t xml:space="preserve">). However, after adjusting for time or other variables, steroids significantly reduced the risk of mortality (HR 0·378 [95% CI 0.221-0.646] in random effects model, </w:t>
      </w:r>
      <w:r w:rsidRPr="002227B2">
        <w:rPr>
          <w:b/>
        </w:rPr>
        <w:t>Fig</w:t>
      </w:r>
      <w:r>
        <w:rPr>
          <w:b/>
        </w:rPr>
        <w:t>ure</w:t>
      </w:r>
      <w:r w:rsidRPr="002227B2">
        <w:rPr>
          <w:b/>
        </w:rPr>
        <w:t xml:space="preserve"> 3</w:t>
      </w:r>
      <w:r w:rsidRPr="002227B2">
        <w:t xml:space="preserve">) with similar findings in a fixed-effects model and subset sensitivity analysis. But when these adjustments were removed after performing simple Chi-square test in both studies, the output was </w:t>
      </w:r>
      <w:proofErr w:type="gramStart"/>
      <w:r w:rsidRPr="002227B2">
        <w:t>similar to</w:t>
      </w:r>
      <w:proofErr w:type="gramEnd"/>
      <w:r w:rsidRPr="002227B2">
        <w:t xml:space="preserve"> overall results with no statistically significant differences (</w:t>
      </w:r>
      <w:r w:rsidRPr="002227B2">
        <w:rPr>
          <w:i/>
        </w:rPr>
        <w:t>P</w:t>
      </w:r>
      <w:r w:rsidRPr="002227B2">
        <w:t xml:space="preserve">=0.158 and </w:t>
      </w:r>
      <w:r w:rsidRPr="002227B2">
        <w:rPr>
          <w:i/>
        </w:rPr>
        <w:t>P</w:t>
      </w:r>
      <w:r w:rsidRPr="002227B2">
        <w:t xml:space="preserve">=0.304, respectively). </w:t>
      </w:r>
      <w:r w:rsidRPr="009278A4">
        <w:t xml:space="preserve">Taking these results from two well-executed studies [36, 37] together, this suggests that well conducted studies, with time or variable-adjusted statistics, were </w:t>
      </w:r>
      <w:proofErr w:type="gramStart"/>
      <w:r w:rsidRPr="009278A4">
        <w:t>definitely important</w:t>
      </w:r>
      <w:proofErr w:type="gramEnd"/>
      <w:r w:rsidRPr="009278A4">
        <w:t xml:space="preserve"> in the interpretation of the effect of steroid on lowering mortality. In this regard, prescribing of steroids may still be a viable option.</w:t>
      </w:r>
    </w:p>
    <w:p w:rsidR="004E5A28" w:rsidRPr="002227B2" w:rsidRDefault="004E5A28" w:rsidP="004E5A28">
      <w:pPr>
        <w:pStyle w:val="MDPI33textspaceafter"/>
        <w:spacing w:after="0"/>
      </w:pPr>
      <w:r w:rsidRPr="002227B2">
        <w:t>In addition, there were too few remaining studies about steroids used in coronavirus after the search process, and most of the studies that ended up being included showed low quality (</w:t>
      </w:r>
      <w:r>
        <w:rPr>
          <w:b/>
        </w:rPr>
        <w:t>Table S</w:t>
      </w:r>
      <w:r w:rsidRPr="002227B2">
        <w:rPr>
          <w:b/>
        </w:rPr>
        <w:t>6-7 and Table 2</w:t>
      </w:r>
      <w:r w:rsidRPr="002227B2">
        <w:t xml:space="preserve">). </w:t>
      </w:r>
      <w:r w:rsidRPr="009278A4">
        <w:t xml:space="preserve">Only two enrolled studies [36, 37] </w:t>
      </w:r>
      <w:r w:rsidRPr="002227B2">
        <w:t xml:space="preserve">were ranked as high quality after the search process, and these affected the overall results more than other studies. Excluding low quality studies changed </w:t>
      </w:r>
      <w:proofErr w:type="gramStart"/>
      <w:r w:rsidRPr="002227B2">
        <w:t>the final result</w:t>
      </w:r>
      <w:proofErr w:type="gramEnd"/>
      <w:r w:rsidRPr="002227B2">
        <w:t xml:space="preserve"> from no association to better outcome in terms of mortality. We argue that such results from higher quality studies are more appropriate and should be considered relevant before results of ongoing RCTs become available. As a major point of criticism of the systematic review conducted by Russell et al.</w:t>
      </w:r>
      <w:r>
        <w:t xml:space="preserve"> [22]</w:t>
      </w:r>
      <w:r w:rsidRPr="002227B2">
        <w:t xml:space="preserve">, the exclusion of </w:t>
      </w:r>
      <w:proofErr w:type="gramStart"/>
      <w:r w:rsidRPr="002227B2">
        <w:t>high quality</w:t>
      </w:r>
      <w:proofErr w:type="gramEnd"/>
      <w:r w:rsidRPr="002227B2">
        <w:t xml:space="preserve"> studies can result in misinterpretation of the currently available evidence.</w:t>
      </w:r>
    </w:p>
    <w:p w:rsidR="00955D3E" w:rsidRDefault="004E5A28" w:rsidP="004E5A28">
      <w:pPr>
        <w:pStyle w:val="MDPI33textspaceafter"/>
        <w:spacing w:after="0"/>
      </w:pPr>
      <w:r w:rsidRPr="002227B2">
        <w:t xml:space="preserve">Moreover, there have been no systematic reviews or meta-analyses on the timing of initiation of steroids in </w:t>
      </w:r>
      <w:proofErr w:type="spellStart"/>
      <w:r w:rsidRPr="002227B2">
        <w:t>hCoV</w:t>
      </w:r>
      <w:proofErr w:type="spellEnd"/>
      <w:r w:rsidRPr="002227B2">
        <w:t>. Our study is also the first to collect information on the timing of initiation of steroids. Since several studies did not mention the timing of steroid use in detail, we examined 6 studies</w:t>
      </w:r>
      <w:r>
        <w:t xml:space="preserve"> [33, 35-39]</w:t>
      </w:r>
      <w:r w:rsidRPr="002227B2">
        <w:t xml:space="preserve">, and found that steroids were more commonly used in patients who had already reached critically severe status such as ALI/ARDS or admission to ICU. In this case, a large </w:t>
      </w:r>
      <w:proofErr w:type="gramStart"/>
      <w:r w:rsidRPr="002227B2">
        <w:t>amount</w:t>
      </w:r>
      <w:proofErr w:type="gramEnd"/>
      <w:r w:rsidRPr="002227B2">
        <w:t xml:space="preserve"> of steroids were likely required to suppress the “cytokine storm”. </w:t>
      </w:r>
    </w:p>
    <w:p w:rsidR="004E5A28" w:rsidRPr="002227B2" w:rsidRDefault="004E5A28" w:rsidP="004E5A28">
      <w:pPr>
        <w:pStyle w:val="MDPI33textspaceafter"/>
        <w:spacing w:after="0"/>
      </w:pPr>
      <w:r w:rsidRPr="002227B2">
        <w:t xml:space="preserve">According to our results, the use of steroids in already critically ill patients in the ICU or on mechanical ventilation can make it difficult to prevent disease progression (OR 1.829 [95% CI 1.018-3.286] in random effects model, </w:t>
      </w:r>
      <w:r w:rsidRPr="002227B2">
        <w:rPr>
          <w:b/>
        </w:rPr>
        <w:t>Fig</w:t>
      </w:r>
      <w:r>
        <w:rPr>
          <w:b/>
        </w:rPr>
        <w:t>ure</w:t>
      </w:r>
      <w:r w:rsidRPr="002227B2">
        <w:rPr>
          <w:b/>
        </w:rPr>
        <w:t xml:space="preserve"> 2, c</w:t>
      </w:r>
      <w:r w:rsidRPr="002227B2">
        <w:t>). Also in our “risk factor” study, people who were older and had more comorbidities used a higher amount of steroids along with progression of the disease and showed high mortality (OR 3.133 [95% CI [1.670-5.877] in random effects model, I</w:t>
      </w:r>
      <w:r w:rsidRPr="002227B2">
        <w:rPr>
          <w:vertAlign w:val="superscript"/>
        </w:rPr>
        <w:t>2</w:t>
      </w:r>
      <w:r w:rsidRPr="002227B2">
        <w:t xml:space="preserve">=0.0%, </w:t>
      </w:r>
      <w:r w:rsidRPr="002227B2">
        <w:rPr>
          <w:b/>
        </w:rPr>
        <w:t>Fig</w:t>
      </w:r>
      <w:r>
        <w:rPr>
          <w:b/>
        </w:rPr>
        <w:t>ure</w:t>
      </w:r>
      <w:r w:rsidRPr="002227B2">
        <w:rPr>
          <w:b/>
        </w:rPr>
        <w:t xml:space="preserve"> 4</w:t>
      </w:r>
      <w:r w:rsidRPr="002227B2">
        <w:t>). Therefore, the use of steroid may be important to prevent disease progression because the “cytokine storm” may not be suppressible when the disease is advanced. It can be also assumed that if the patient does not have severe symptoms, the use of steroids in low doses may help treat coronavirus infection without complications.</w:t>
      </w:r>
    </w:p>
    <w:p w:rsidR="009278A4" w:rsidRDefault="009278A4" w:rsidP="002227B2">
      <w:pPr>
        <w:pStyle w:val="MDPI33textspaceafter"/>
        <w:spacing w:after="0"/>
      </w:pPr>
      <w:r w:rsidRPr="009278A4">
        <w:t xml:space="preserve">The use of corticosteroids in coronaviruses such as SARS, MERS, and even COVID-19 has been controversial. Recently, Russell et al. performed a systematic review on several studies about use of steroids in viral </w:t>
      </w:r>
      <w:proofErr w:type="gramStart"/>
      <w:r w:rsidRPr="009278A4">
        <w:t>infection, and</w:t>
      </w:r>
      <w:proofErr w:type="gramEnd"/>
      <w:r w:rsidRPr="009278A4">
        <w:t xml:space="preserve"> cautioned against the use of steroids [22]. However, as a result of examining the quality of studies through AMSTAR2 (</w:t>
      </w:r>
      <w:proofErr w:type="spellStart"/>
      <w:r w:rsidRPr="009278A4">
        <w:t>eTable</w:t>
      </w:r>
      <w:proofErr w:type="spellEnd"/>
      <w:r w:rsidRPr="009278A4">
        <w:t xml:space="preserve"> 4 and 5, see appendix), we found that this paper had potential several critical problems. Among the references cited in this article [22], a selection bias was evident because complications and side effects of steroids were investigated in studies focusing on steroids only without a retrospective control group. For example, studies on complications such as psychosis [4</w:t>
      </w:r>
      <w:r w:rsidR="00927DA9">
        <w:t>2</w:t>
      </w:r>
      <w:r w:rsidRPr="009278A4">
        <w:t>], stero</w:t>
      </w:r>
      <w:r w:rsidR="00927DA9">
        <w:t>id-induced diabetes mellitus [43], and osteonecrosis [44</w:t>
      </w:r>
      <w:r w:rsidRPr="009278A4">
        <w:t>] only appear in people who used steroids. Inclusion of studies on influenza [4</w:t>
      </w:r>
      <w:r w:rsidR="00927DA9">
        <w:t>5</w:t>
      </w:r>
      <w:r w:rsidRPr="009278A4">
        <w:t>] and RSV [4</w:t>
      </w:r>
      <w:r w:rsidR="00927DA9">
        <w:t>6</w:t>
      </w:r>
      <w:r w:rsidRPr="009278A4">
        <w:t>, 4</w:t>
      </w:r>
      <w:r w:rsidR="00927DA9">
        <w:t>7</w:t>
      </w:r>
      <w:r w:rsidRPr="009278A4">
        <w:t>] can also result in selection bias dealing with different types of viruses. As Ioannidis previously suggested [4</w:t>
      </w:r>
      <w:r w:rsidR="00927DA9">
        <w:t>8</w:t>
      </w:r>
      <w:r w:rsidRPr="009278A4">
        <w:t xml:space="preserve">], if there are selection biases and </w:t>
      </w:r>
      <w:proofErr w:type="spellStart"/>
      <w:r w:rsidRPr="009278A4">
        <w:t>misinterpretion</w:t>
      </w:r>
      <w:proofErr w:type="spellEnd"/>
      <w:r w:rsidRPr="009278A4">
        <w:t xml:space="preserve"> during the selection of studies, the results can misguide treatments and harm patients. </w:t>
      </w:r>
    </w:p>
    <w:p w:rsidR="009278A4" w:rsidRDefault="009278A4" w:rsidP="009278A4">
      <w:pPr>
        <w:pStyle w:val="MDPI33textspaceafter"/>
        <w:spacing w:after="0"/>
      </w:pPr>
      <w:r>
        <w:lastRenderedPageBreak/>
        <w:t>An important shortcoming is found in Russell et al.’s argument [22] apart from the AMSTAR2 checklist. They did not thoroughly consider the relationship between viral clearance and clinical outcomes. Viral clearance was not significantly associated with clinical outcomes: for SARS, the difference in delayed viral clearance for the treated versus placebo group was two days (17-18 vs 19-20) [4</w:t>
      </w:r>
      <w:r w:rsidR="00927DA9">
        <w:t>9</w:t>
      </w:r>
      <w:r>
        <w:t>] and for MERS, the viral clearance was not significantly associated with 90-day mortality [35]. The delayed clearance of viral RNA being harmful is unclear; however, Russell et al. [22] used it to strengthen their argument.</w:t>
      </w:r>
    </w:p>
    <w:p w:rsidR="009278A4" w:rsidRDefault="009278A4" w:rsidP="009278A4">
      <w:pPr>
        <w:pStyle w:val="MDPI33textspaceafter"/>
        <w:spacing w:after="0"/>
      </w:pPr>
      <w:r>
        <w:t>After Russell et al.’s</w:t>
      </w:r>
      <w:r w:rsidR="00927DA9">
        <w:t xml:space="preserve"> suggestion, several authors [50-52</w:t>
      </w:r>
      <w:r>
        <w:t>] recommended a short course of corticosteroids at low-to-moderate dose with close monitoring for critically ill patients with COVID-19. Besides, China’s National Health Commission recently developed a modified treatment strategy regarding the use of systematic corticosteroid treatment (methylprednisolone, &lt;1–2 mg per kg body weight, for 3–5 days) for critically ill patients as an adjuvant therapy [5</w:t>
      </w:r>
      <w:r w:rsidR="00927DA9">
        <w:t>3</w:t>
      </w:r>
      <w:r>
        <w:t xml:space="preserve">]. However, WHO [23] and CDC [24] have yet to change their opinions on the use of steroids based on the study by Russell et al. [22] For better global guideline about the use of steroids, additional studies are necessary. </w:t>
      </w:r>
    </w:p>
    <w:p w:rsidR="002227B2" w:rsidRPr="002227B2" w:rsidRDefault="002227B2" w:rsidP="002227B2">
      <w:pPr>
        <w:pStyle w:val="MDPI33textspaceafter"/>
        <w:spacing w:after="0"/>
      </w:pPr>
      <w:r w:rsidRPr="002227B2">
        <w:t>There are several potential limitations of our study that should be mentioned. First, all 9 included studies were retrospective cohort studies without any RCTs. Because studies depended on the provided records, reporting bias is possible. Also, of the 2140 articles on steroids, only two studies</w:t>
      </w:r>
      <w:r w:rsidR="009278A4">
        <w:t xml:space="preserve"> [36, 37]</w:t>
      </w:r>
      <w:r w:rsidRPr="002227B2">
        <w:t xml:space="preserve"> were adjusted for confounders related to mortality. Until now, there have been no RCTs that have examined the effects of steroids on SARS and MERS based on clinicaltrials.gov including studied from developing countries. It is surprising that there are no RCTs on this issue for SARS and MERS. </w:t>
      </w:r>
      <w:r w:rsidR="00014C54" w:rsidRPr="00014C54">
        <w:t>As a result, there is a limitation that each result of these included two studies [36, 37] have be judged the way it is.</w:t>
      </w:r>
      <w:r w:rsidR="00014C54">
        <w:t xml:space="preserve"> </w:t>
      </w:r>
      <w:r w:rsidRPr="002227B2">
        <w:t xml:space="preserve">Second, there can be potential variations of effects for different combinations of steroids (e.g. patients who received both oral prednisolone and intravenous dexamethasone) or other agents such as antiviral agents or antibiotics. </w:t>
      </w:r>
      <w:r w:rsidR="00014C54" w:rsidRPr="00014C54">
        <w:t xml:space="preserve">Because the included studies were not RCTs but retrospective studies, meta-analyses could not be performed about this point. </w:t>
      </w:r>
      <w:r w:rsidRPr="002227B2">
        <w:t xml:space="preserve">Third, confounding factors such as rational variations are varied and may bias the data, although we </w:t>
      </w:r>
      <w:proofErr w:type="gramStart"/>
      <w:r w:rsidRPr="002227B2">
        <w:t>made an effort</w:t>
      </w:r>
      <w:proofErr w:type="gramEnd"/>
      <w:r w:rsidRPr="002227B2">
        <w:t xml:space="preserve"> to minimize this bias. Lastly, we could not perform dose-response meta-analyses between steroids and outcomes because of lack of data. </w:t>
      </w:r>
    </w:p>
    <w:p w:rsidR="002227B2" w:rsidRPr="002227B2" w:rsidRDefault="002227B2" w:rsidP="002227B2">
      <w:pPr>
        <w:pStyle w:val="MDPI33textspaceafter"/>
        <w:spacing w:after="0"/>
      </w:pPr>
      <w:r w:rsidRPr="002227B2">
        <w:t xml:space="preserve">Nevertheless, we conducted the systematic review and meta-analyses without missing any of the studies previously published to minimize these limitations because there has been no meta-analysis and evidence-based statistics related to this topic until now. The results from our study suggest that relations between steroids and better outcomes of critical and pandemic coronavirus had great significance especially in the well-controlled studies even though they were not RCTs. This can also be an important key for treatment of COVID-19. </w:t>
      </w:r>
      <w:r w:rsidR="003120C3" w:rsidRPr="003120C3">
        <w:t xml:space="preserve">In the United Kingdom, RECOVERY trial recruiting 2104 patients has been recently concluded that dexamethasone reduced 28-day mortality among </w:t>
      </w:r>
      <w:r w:rsidR="00CA47D3">
        <w:t>patients</w:t>
      </w:r>
      <w:r w:rsidR="003120C3" w:rsidRPr="003120C3">
        <w:t xml:space="preserve"> receiving invasive mechanical ventilation or oxygen at randomization</w:t>
      </w:r>
      <w:r w:rsidR="00CA47D3">
        <w:t xml:space="preserve"> (</w:t>
      </w:r>
      <w:r w:rsidR="00CA47D3" w:rsidRPr="00CA47D3">
        <w:t>RR 0.65 [95% CI 0.51 to 0.82]; p&lt;0.001</w:t>
      </w:r>
      <w:r w:rsidR="00CA47D3">
        <w:t xml:space="preserve">, </w:t>
      </w:r>
      <w:r w:rsidR="00CA47D3" w:rsidRPr="00CA47D3">
        <w:t>RR 0.80 [95% CI 0.70 to 0.92]</w:t>
      </w:r>
      <w:r w:rsidR="00CA47D3">
        <w:t>, respectively)</w:t>
      </w:r>
      <w:r w:rsidR="00CA47D3" w:rsidRPr="00CA47D3">
        <w:t xml:space="preserve"> </w:t>
      </w:r>
      <w:r w:rsidR="00CA47D3">
        <w:t>[54]</w:t>
      </w:r>
      <w:r w:rsidR="003120C3" w:rsidRPr="003120C3">
        <w:t xml:space="preserve">. </w:t>
      </w:r>
      <w:r w:rsidR="00EB6CD5">
        <w:t xml:space="preserve">Not only about COVID-19, but similar RCT about the efficacy of dexamethasone for the ARDS also supports these findings [55]. </w:t>
      </w:r>
      <w:r w:rsidR="003120C3" w:rsidRPr="003120C3">
        <w:t xml:space="preserve">This has a great meaning that the </w:t>
      </w:r>
      <w:r w:rsidR="00EB6CD5">
        <w:t>results</w:t>
      </w:r>
      <w:r w:rsidR="003120C3" w:rsidRPr="003120C3">
        <w:t xml:space="preserve"> of RCT and meta-analyses extracted similar conclusions. Other RCTs in COVID-19 also have been registered at clinicaltrials.gov (NCT04244591, NCT04263402, NCT04273321 and NCT04348305) so far and these RCTs are expected to lead to more accurate results on the efficacy of corticosteroids. </w:t>
      </w:r>
    </w:p>
    <w:p w:rsidR="002227B2" w:rsidRPr="002227B2" w:rsidRDefault="002227B2" w:rsidP="002227B2">
      <w:pPr>
        <w:pStyle w:val="MDPI33textspaceafter"/>
        <w:spacing w:after="0"/>
      </w:pPr>
    </w:p>
    <w:p w:rsidR="002227B2" w:rsidRPr="002227B2" w:rsidRDefault="002227B2" w:rsidP="002227B2">
      <w:pPr>
        <w:pStyle w:val="MDPI33textspaceafter"/>
        <w:spacing w:after="0"/>
        <w:ind w:firstLine="0"/>
        <w:rPr>
          <w:b/>
        </w:rPr>
      </w:pPr>
      <w:r>
        <w:rPr>
          <w:b/>
        </w:rPr>
        <w:t xml:space="preserve">5. </w:t>
      </w:r>
      <w:r w:rsidRPr="002227B2">
        <w:rPr>
          <w:b/>
        </w:rPr>
        <w:t>Conclusions</w:t>
      </w:r>
    </w:p>
    <w:p w:rsidR="002227B2" w:rsidRDefault="002227B2" w:rsidP="002227B2">
      <w:pPr>
        <w:pStyle w:val="MDPI33textspaceafter"/>
        <w:spacing w:after="0"/>
      </w:pPr>
    </w:p>
    <w:p w:rsidR="002227B2" w:rsidRPr="002227B2" w:rsidRDefault="002227B2" w:rsidP="002227B2">
      <w:pPr>
        <w:pStyle w:val="MDPI33textspaceafter"/>
        <w:spacing w:after="0"/>
      </w:pPr>
      <w:r w:rsidRPr="002227B2">
        <w:t xml:space="preserve">In conclusion, our systematic review and meta-analysis found that steroid use can be beneficial in coronavirus infections. Most studies have initiated steroids late and in more severely affected individuals, clearly indicating a selection bias. The use of such </w:t>
      </w:r>
      <w:proofErr w:type="gramStart"/>
      <w:r w:rsidRPr="002227B2">
        <w:t>low quality</w:t>
      </w:r>
      <w:proofErr w:type="gramEnd"/>
      <w:r w:rsidRPr="002227B2">
        <w:t xml:space="preserve"> studies in a systematic review can be misleading and could influence treatment strategies issued by organizations such as the WHO or the CDC, and can potentially withhold efficient therapies. Based on the results of high </w:t>
      </w:r>
      <w:r w:rsidRPr="002227B2">
        <w:lastRenderedPageBreak/>
        <w:t xml:space="preserve">quality and time-dependent studies included in our work, which </w:t>
      </w:r>
      <w:r w:rsidR="004E5A28">
        <w:t xml:space="preserve">was </w:t>
      </w:r>
      <w:r w:rsidR="004E5A28" w:rsidRPr="004E5A28">
        <w:t>adjusted fo</w:t>
      </w:r>
      <w:r w:rsidR="004E5A28">
        <w:t xml:space="preserve">r confounders and comorbidities and </w:t>
      </w:r>
      <w:r w:rsidRPr="002227B2">
        <w:t xml:space="preserve">showed significant relations between steroid use and better outcome in critical coronavirus infection, we suggest that policymakers communicate the existing state of evidence to practitioners regarding steroid use. </w:t>
      </w:r>
    </w:p>
    <w:p w:rsidR="002227B2" w:rsidRPr="002227B2" w:rsidRDefault="002227B2" w:rsidP="002227B2">
      <w:pPr>
        <w:pStyle w:val="MDPI33textspaceafter"/>
        <w:spacing w:after="0"/>
      </w:pPr>
      <w:r w:rsidRPr="002227B2">
        <w:t>These findings highlight that steroids can potentially be a good therapeutic weapon to overcome coronavirus infection</w:t>
      </w:r>
      <w:r w:rsidRPr="002227B2">
        <w:rPr>
          <w:rFonts w:hint="eastAsia"/>
        </w:rPr>
        <w:t>.</w:t>
      </w:r>
      <w:r w:rsidR="003120C3">
        <w:t xml:space="preserve"> </w:t>
      </w:r>
      <w:r w:rsidR="003120C3" w:rsidRPr="003120C3">
        <w:t>Considering th</w:t>
      </w:r>
      <w:r w:rsidR="0095443A">
        <w:t>e results to come from the RECOV</w:t>
      </w:r>
      <w:r w:rsidR="003120C3" w:rsidRPr="003120C3">
        <w:t xml:space="preserve">ERY trial, this methodological analysis is likely the main strength of this paper. </w:t>
      </w:r>
      <w:r w:rsidRPr="002227B2">
        <w:t xml:space="preserve">Further RCTs will be necessary in the future, but we believe that our meta-analyses can provide very important insights for the present pandemic.  </w:t>
      </w:r>
    </w:p>
    <w:p w:rsidR="002227B2" w:rsidRDefault="002227B2" w:rsidP="002227B2">
      <w:pPr>
        <w:pStyle w:val="MDPI33textspaceafter"/>
        <w:spacing w:after="0"/>
      </w:pPr>
    </w:p>
    <w:p w:rsidR="0003340F" w:rsidRDefault="0003340F" w:rsidP="0003340F">
      <w:pPr>
        <w:pStyle w:val="MDPI21heading1"/>
      </w:pPr>
      <w:r>
        <w:t>6. Patents</w:t>
      </w:r>
    </w:p>
    <w:p w:rsidR="002227B2" w:rsidRPr="002227B2" w:rsidRDefault="002227B2" w:rsidP="0003340F">
      <w:pPr>
        <w:pStyle w:val="MDPI33textspaceafter"/>
        <w:spacing w:after="0"/>
        <w:ind w:firstLine="0"/>
        <w:rPr>
          <w:b/>
        </w:rPr>
      </w:pPr>
      <w:r w:rsidRPr="002227B2">
        <w:rPr>
          <w:b/>
        </w:rPr>
        <w:t>Author contributions</w:t>
      </w:r>
    </w:p>
    <w:p w:rsidR="002227B2" w:rsidRPr="002227B2" w:rsidRDefault="002227B2" w:rsidP="0003340F">
      <w:pPr>
        <w:pStyle w:val="MDPI33textspaceafter"/>
        <w:spacing w:after="0"/>
        <w:ind w:firstLine="0"/>
      </w:pPr>
      <w:r w:rsidRPr="002227B2">
        <w:t>KHL and JIS designed the study and oversaw its implementation. KHL and JIS did review activities, consisting of searches, study selection, data extraction, and quality assessment. KHL analyzed the data and JIS contributed to data interpretation. KHL and SY made the figures. KHL, SY and JIS prepared the figures and tables. KHL wrote the initial draft and JIS contributed writing to subsequent versions of draft. KHL, SY, GHJ, JYK, YJH, SHH, SR, HJL, JSK, JYL, JWY, JHL, MS, AK, ED, LJ, JR, LS, HO, KT, SC, ST and JIS reviewed the revised the draft and read and approved the final report. All authors agreed to be accountable for all aspects of the work.</w:t>
      </w:r>
    </w:p>
    <w:p w:rsidR="002227B2" w:rsidRPr="002227B2" w:rsidRDefault="002227B2" w:rsidP="002227B2">
      <w:pPr>
        <w:pStyle w:val="MDPI33textspaceafter"/>
        <w:spacing w:after="0"/>
      </w:pPr>
    </w:p>
    <w:p w:rsidR="002227B2" w:rsidRPr="002227B2" w:rsidRDefault="002227B2" w:rsidP="002227B2">
      <w:pPr>
        <w:pStyle w:val="MDPI33textspaceafter"/>
        <w:spacing w:after="0"/>
        <w:ind w:firstLine="0"/>
        <w:rPr>
          <w:b/>
        </w:rPr>
      </w:pPr>
    </w:p>
    <w:p w:rsidR="002227B2" w:rsidRPr="002227B2" w:rsidRDefault="002227B2" w:rsidP="002227B2">
      <w:pPr>
        <w:pStyle w:val="MDPI33textspaceafter"/>
        <w:spacing w:after="0"/>
        <w:ind w:firstLine="0"/>
        <w:rPr>
          <w:b/>
        </w:rPr>
      </w:pPr>
      <w:r w:rsidRPr="002227B2">
        <w:rPr>
          <w:rFonts w:hint="eastAsia"/>
          <w:b/>
        </w:rPr>
        <w:t>Funding</w:t>
      </w:r>
    </w:p>
    <w:p w:rsidR="002227B2" w:rsidRPr="002227B2" w:rsidRDefault="002227B2" w:rsidP="002227B2">
      <w:pPr>
        <w:pStyle w:val="MDPI33textspaceafter"/>
        <w:spacing w:after="0"/>
        <w:ind w:firstLine="0"/>
      </w:pPr>
      <w:r w:rsidRPr="002227B2">
        <w:t xml:space="preserve">No financial compensation was provided to any of these individuals. </w:t>
      </w:r>
    </w:p>
    <w:p w:rsidR="003E4374" w:rsidRDefault="003E4374" w:rsidP="003E4374">
      <w:pPr>
        <w:pStyle w:val="MDPI33textspaceafter"/>
      </w:pPr>
    </w:p>
    <w:p w:rsidR="0003340F" w:rsidRPr="002227B2" w:rsidRDefault="0003340F" w:rsidP="0003340F">
      <w:pPr>
        <w:pStyle w:val="MDPI33textspaceafter"/>
        <w:spacing w:after="0"/>
        <w:ind w:firstLine="0"/>
        <w:rPr>
          <w:b/>
        </w:rPr>
      </w:pPr>
      <w:r w:rsidRPr="002227B2">
        <w:rPr>
          <w:b/>
        </w:rPr>
        <w:t>Conflicts of interest</w:t>
      </w:r>
    </w:p>
    <w:p w:rsidR="0003340F" w:rsidRPr="002227B2" w:rsidRDefault="0003340F" w:rsidP="0003340F">
      <w:pPr>
        <w:pStyle w:val="MDPI33textspaceafter"/>
        <w:spacing w:after="0"/>
        <w:ind w:firstLine="0"/>
      </w:pPr>
      <w:r w:rsidRPr="002227B2">
        <w:t>The authors declare no conflict of interest directly applicable to this research.</w:t>
      </w:r>
    </w:p>
    <w:p w:rsidR="0003340F" w:rsidRPr="0003340F" w:rsidRDefault="0003340F" w:rsidP="0003340F">
      <w:pPr>
        <w:pStyle w:val="MDPI21heading1"/>
      </w:pPr>
      <w:r w:rsidRPr="0003340F">
        <w:t xml:space="preserve">Reference </w:t>
      </w:r>
    </w:p>
    <w:p w:rsidR="0003340F" w:rsidRPr="0003340F" w:rsidRDefault="0003340F" w:rsidP="0003340F">
      <w:pPr>
        <w:pStyle w:val="MDPI21heading1"/>
        <w:spacing w:before="0" w:after="0"/>
        <w:ind w:left="200" w:hangingChars="100" w:hanging="200"/>
        <w:jc w:val="both"/>
        <w:rPr>
          <w:b w:val="0"/>
        </w:rPr>
      </w:pPr>
      <w:r w:rsidRPr="0003340F">
        <w:rPr>
          <w:b w:val="0"/>
        </w:rPr>
        <w:t>1. World Health Organization. Coronavirus disease (COVID-19) outbreak, 2020. https://</w:t>
      </w:r>
      <w:r w:rsidR="009E6B0E">
        <w:rPr>
          <w:b w:val="0"/>
        </w:rPr>
        <w:t>covid19.who.int/ (accessed May 16</w:t>
      </w:r>
      <w:r w:rsidRPr="0003340F">
        <w:rPr>
          <w:b w:val="0"/>
        </w:rPr>
        <w:t>, 2020).</w:t>
      </w:r>
    </w:p>
    <w:p w:rsidR="0003340F" w:rsidRPr="0003340F" w:rsidRDefault="0003340F" w:rsidP="0003340F">
      <w:pPr>
        <w:pStyle w:val="MDPI21heading1"/>
        <w:spacing w:before="0" w:after="0"/>
        <w:ind w:left="200" w:hangingChars="100" w:hanging="200"/>
        <w:jc w:val="both"/>
        <w:rPr>
          <w:b w:val="0"/>
        </w:rPr>
      </w:pPr>
      <w:r w:rsidRPr="0003340F">
        <w:rPr>
          <w:b w:val="0"/>
        </w:rPr>
        <w:t xml:space="preserve">2. </w:t>
      </w:r>
      <w:r w:rsidR="00DC44E5" w:rsidRPr="00DC44E5">
        <w:rPr>
          <w:b w:val="0"/>
        </w:rPr>
        <w:t>Zhu</w:t>
      </w:r>
      <w:r w:rsidR="00DC44E5">
        <w:rPr>
          <w:b w:val="0"/>
        </w:rPr>
        <w:t>,</w:t>
      </w:r>
      <w:r w:rsidR="00DC44E5" w:rsidRPr="00DC44E5">
        <w:rPr>
          <w:b w:val="0"/>
        </w:rPr>
        <w:t xml:space="preserve"> N</w:t>
      </w:r>
      <w:r w:rsidR="00DC44E5">
        <w:rPr>
          <w:b w:val="0"/>
        </w:rPr>
        <w:t>.;</w:t>
      </w:r>
      <w:r w:rsidR="00DC44E5" w:rsidRPr="00DC44E5">
        <w:rPr>
          <w:b w:val="0"/>
        </w:rPr>
        <w:t xml:space="preserve"> Zhang</w:t>
      </w:r>
      <w:r w:rsidR="00DC44E5">
        <w:rPr>
          <w:b w:val="0"/>
        </w:rPr>
        <w:t>,</w:t>
      </w:r>
      <w:r w:rsidR="00DC44E5" w:rsidRPr="00DC44E5">
        <w:rPr>
          <w:b w:val="0"/>
        </w:rPr>
        <w:t xml:space="preserve"> D</w:t>
      </w:r>
      <w:r w:rsidR="00DC44E5">
        <w:rPr>
          <w:b w:val="0"/>
        </w:rPr>
        <w:t>.;</w:t>
      </w:r>
      <w:r w:rsidR="00DC44E5" w:rsidRPr="00DC44E5">
        <w:rPr>
          <w:b w:val="0"/>
        </w:rPr>
        <w:t xml:space="preserve"> Wang</w:t>
      </w:r>
      <w:r w:rsidR="00DC44E5">
        <w:rPr>
          <w:b w:val="0"/>
        </w:rPr>
        <w:t>,</w:t>
      </w:r>
      <w:r w:rsidR="00DC44E5" w:rsidRPr="00DC44E5">
        <w:rPr>
          <w:b w:val="0"/>
        </w:rPr>
        <w:t xml:space="preserve"> W</w:t>
      </w:r>
      <w:r w:rsidR="00DC44E5">
        <w:rPr>
          <w:b w:val="0"/>
        </w:rPr>
        <w:t>.;</w:t>
      </w:r>
      <w:r w:rsidR="00DC44E5" w:rsidRPr="00DC44E5">
        <w:rPr>
          <w:b w:val="0"/>
        </w:rPr>
        <w:t xml:space="preserve"> Li</w:t>
      </w:r>
      <w:r w:rsidR="00DC44E5">
        <w:rPr>
          <w:b w:val="0"/>
        </w:rPr>
        <w:t>,</w:t>
      </w:r>
      <w:r w:rsidR="00DC44E5" w:rsidRPr="00DC44E5">
        <w:rPr>
          <w:b w:val="0"/>
        </w:rPr>
        <w:t xml:space="preserve"> X</w:t>
      </w:r>
      <w:r w:rsidR="00DC44E5">
        <w:rPr>
          <w:b w:val="0"/>
        </w:rPr>
        <w:t>.;</w:t>
      </w:r>
      <w:r w:rsidR="00DC44E5" w:rsidRPr="00DC44E5">
        <w:rPr>
          <w:b w:val="0"/>
        </w:rPr>
        <w:t xml:space="preserve"> Yang</w:t>
      </w:r>
      <w:r w:rsidR="00DC44E5">
        <w:rPr>
          <w:b w:val="0"/>
        </w:rPr>
        <w:t>,</w:t>
      </w:r>
      <w:r w:rsidR="00DC44E5" w:rsidRPr="00DC44E5">
        <w:rPr>
          <w:b w:val="0"/>
        </w:rPr>
        <w:t xml:space="preserve"> B</w:t>
      </w:r>
      <w:r w:rsidR="00DC44E5">
        <w:rPr>
          <w:b w:val="0"/>
        </w:rPr>
        <w:t>.;</w:t>
      </w:r>
      <w:r w:rsidR="00DC44E5" w:rsidRPr="00DC44E5">
        <w:rPr>
          <w:b w:val="0"/>
        </w:rPr>
        <w:t xml:space="preserve"> Song</w:t>
      </w:r>
      <w:r w:rsidR="00DC44E5">
        <w:rPr>
          <w:b w:val="0"/>
        </w:rPr>
        <w:t>,</w:t>
      </w:r>
      <w:r w:rsidR="00DC44E5" w:rsidRPr="00DC44E5">
        <w:rPr>
          <w:b w:val="0"/>
        </w:rPr>
        <w:t xml:space="preserve"> J</w:t>
      </w:r>
      <w:r w:rsidR="00DC44E5">
        <w:rPr>
          <w:b w:val="0"/>
        </w:rPr>
        <w:t>.;</w:t>
      </w:r>
      <w:r w:rsidR="00DC44E5" w:rsidRPr="00DC44E5">
        <w:rPr>
          <w:b w:val="0"/>
        </w:rPr>
        <w:t xml:space="preserve"> Zhao</w:t>
      </w:r>
      <w:r w:rsidR="00DC44E5">
        <w:rPr>
          <w:b w:val="0"/>
        </w:rPr>
        <w:t>,</w:t>
      </w:r>
      <w:r w:rsidR="00DC44E5" w:rsidRPr="00DC44E5">
        <w:rPr>
          <w:b w:val="0"/>
        </w:rPr>
        <w:t xml:space="preserve"> X</w:t>
      </w:r>
      <w:r w:rsidR="00DC44E5">
        <w:rPr>
          <w:b w:val="0"/>
        </w:rPr>
        <w:t>.;</w:t>
      </w:r>
      <w:r w:rsidR="00DC44E5" w:rsidRPr="00DC44E5">
        <w:rPr>
          <w:b w:val="0"/>
        </w:rPr>
        <w:t xml:space="preserve"> Huang</w:t>
      </w:r>
      <w:r w:rsidR="00DC44E5">
        <w:rPr>
          <w:b w:val="0"/>
        </w:rPr>
        <w:t>,</w:t>
      </w:r>
      <w:r w:rsidR="00DC44E5" w:rsidRPr="00DC44E5">
        <w:rPr>
          <w:b w:val="0"/>
        </w:rPr>
        <w:t xml:space="preserve"> B</w:t>
      </w:r>
      <w:r w:rsidR="00DC44E5">
        <w:rPr>
          <w:b w:val="0"/>
        </w:rPr>
        <w:t>.;</w:t>
      </w:r>
      <w:r w:rsidR="00DC44E5" w:rsidRPr="00DC44E5">
        <w:rPr>
          <w:b w:val="0"/>
        </w:rPr>
        <w:t xml:space="preserve"> Shi</w:t>
      </w:r>
      <w:r w:rsidR="00DC44E5">
        <w:rPr>
          <w:b w:val="0"/>
        </w:rPr>
        <w:t>,</w:t>
      </w:r>
      <w:r w:rsidR="00DC44E5" w:rsidRPr="00DC44E5">
        <w:rPr>
          <w:b w:val="0"/>
        </w:rPr>
        <w:t xml:space="preserve"> W</w:t>
      </w:r>
      <w:r w:rsidR="00DC44E5">
        <w:rPr>
          <w:b w:val="0"/>
        </w:rPr>
        <w:t>.;</w:t>
      </w:r>
      <w:r w:rsidR="00DC44E5" w:rsidRPr="00DC44E5">
        <w:rPr>
          <w:b w:val="0"/>
        </w:rPr>
        <w:t xml:space="preserve"> Lu</w:t>
      </w:r>
      <w:r w:rsidR="00DC44E5">
        <w:rPr>
          <w:b w:val="0"/>
        </w:rPr>
        <w:t>,</w:t>
      </w:r>
      <w:r w:rsidR="00DC44E5" w:rsidRPr="00DC44E5">
        <w:rPr>
          <w:b w:val="0"/>
        </w:rPr>
        <w:t xml:space="preserve"> R</w:t>
      </w:r>
      <w:r w:rsidR="00DC44E5">
        <w:rPr>
          <w:b w:val="0"/>
        </w:rPr>
        <w:t>.;</w:t>
      </w:r>
      <w:r w:rsidRPr="0003340F">
        <w:rPr>
          <w:b w:val="0"/>
        </w:rPr>
        <w:t xml:space="preserve"> et al; A novel coronavirus from patients with pneumonia in China, 2019. </w:t>
      </w:r>
      <w:r w:rsidRPr="00713C2F">
        <w:rPr>
          <w:b w:val="0"/>
          <w:i/>
        </w:rPr>
        <w:t>N</w:t>
      </w:r>
      <w:r w:rsidR="00713C2F" w:rsidRPr="00713C2F">
        <w:rPr>
          <w:b w:val="0"/>
          <w:i/>
        </w:rPr>
        <w:t>.</w:t>
      </w:r>
      <w:r w:rsidRPr="00713C2F">
        <w:rPr>
          <w:b w:val="0"/>
          <w:i/>
        </w:rPr>
        <w:t xml:space="preserve"> Engl</w:t>
      </w:r>
      <w:r w:rsidR="00713C2F" w:rsidRPr="00713C2F">
        <w:rPr>
          <w:b w:val="0"/>
          <w:i/>
        </w:rPr>
        <w:t>.</w:t>
      </w:r>
      <w:r w:rsidRPr="00713C2F">
        <w:rPr>
          <w:b w:val="0"/>
          <w:i/>
        </w:rPr>
        <w:t xml:space="preserve"> J</w:t>
      </w:r>
      <w:r w:rsidR="00713C2F" w:rsidRPr="00713C2F">
        <w:rPr>
          <w:b w:val="0"/>
          <w:i/>
        </w:rPr>
        <w:t>.</w:t>
      </w:r>
      <w:r w:rsidRPr="00713C2F">
        <w:rPr>
          <w:b w:val="0"/>
          <w:i/>
        </w:rPr>
        <w:t xml:space="preserve"> Med</w:t>
      </w:r>
      <w:r w:rsidR="00713C2F">
        <w:rPr>
          <w:b w:val="0"/>
        </w:rPr>
        <w:t>.</w:t>
      </w:r>
      <w:r w:rsidRPr="0003340F">
        <w:rPr>
          <w:b w:val="0"/>
        </w:rPr>
        <w:t xml:space="preserve"> </w:t>
      </w:r>
      <w:r w:rsidRPr="00713C2F">
        <w:t>2020</w:t>
      </w:r>
      <w:r w:rsidRPr="0003340F">
        <w:rPr>
          <w:b w:val="0"/>
        </w:rPr>
        <w:t>;</w:t>
      </w:r>
      <w:r w:rsidR="00713C2F">
        <w:rPr>
          <w:b w:val="0"/>
        </w:rPr>
        <w:t xml:space="preserve"> </w:t>
      </w:r>
      <w:r w:rsidRPr="0003340F">
        <w:rPr>
          <w:b w:val="0"/>
        </w:rPr>
        <w:t>382:</w:t>
      </w:r>
      <w:r w:rsidR="00713C2F">
        <w:rPr>
          <w:b w:val="0"/>
        </w:rPr>
        <w:t xml:space="preserve"> </w:t>
      </w:r>
      <w:r w:rsidRPr="0003340F">
        <w:rPr>
          <w:b w:val="0"/>
        </w:rPr>
        <w:t>727-</w:t>
      </w:r>
      <w:r w:rsidR="00713C2F">
        <w:rPr>
          <w:b w:val="0"/>
        </w:rPr>
        <w:t>7</w:t>
      </w:r>
      <w:r w:rsidRPr="0003340F">
        <w:rPr>
          <w:b w:val="0"/>
        </w:rPr>
        <w:t>33.</w:t>
      </w:r>
    </w:p>
    <w:p w:rsidR="0003340F" w:rsidRPr="0003340F" w:rsidRDefault="0003340F" w:rsidP="0003340F">
      <w:pPr>
        <w:pStyle w:val="MDPI21heading1"/>
        <w:spacing w:before="0" w:after="0"/>
        <w:ind w:left="200" w:hangingChars="100" w:hanging="200"/>
        <w:jc w:val="both"/>
        <w:rPr>
          <w:b w:val="0"/>
        </w:rPr>
      </w:pPr>
      <w:r w:rsidRPr="0003340F">
        <w:rPr>
          <w:b w:val="0"/>
        </w:rPr>
        <w:t>3. Phelan</w:t>
      </w:r>
      <w:r w:rsidR="00DC44E5">
        <w:rPr>
          <w:b w:val="0"/>
        </w:rPr>
        <w:t>,</w:t>
      </w:r>
      <w:r w:rsidRPr="0003340F">
        <w:rPr>
          <w:b w:val="0"/>
        </w:rPr>
        <w:t xml:space="preserve"> A</w:t>
      </w:r>
      <w:r w:rsidR="00DC44E5">
        <w:rPr>
          <w:b w:val="0"/>
        </w:rPr>
        <w:t>.</w:t>
      </w:r>
      <w:r w:rsidRPr="0003340F">
        <w:rPr>
          <w:b w:val="0"/>
        </w:rPr>
        <w:t>L</w:t>
      </w:r>
      <w:r w:rsidR="00DC44E5">
        <w:rPr>
          <w:b w:val="0"/>
        </w:rPr>
        <w:t>.;</w:t>
      </w:r>
      <w:r w:rsidRPr="0003340F">
        <w:rPr>
          <w:b w:val="0"/>
        </w:rPr>
        <w:t xml:space="preserve"> Katz</w:t>
      </w:r>
      <w:r w:rsidR="00DC44E5">
        <w:rPr>
          <w:b w:val="0"/>
        </w:rPr>
        <w:t>,</w:t>
      </w:r>
      <w:r w:rsidRPr="0003340F">
        <w:rPr>
          <w:b w:val="0"/>
        </w:rPr>
        <w:t xml:space="preserve"> R</w:t>
      </w:r>
      <w:r w:rsidR="00DC44E5">
        <w:rPr>
          <w:b w:val="0"/>
        </w:rPr>
        <w:t>.;</w:t>
      </w:r>
      <w:r w:rsidRPr="0003340F">
        <w:rPr>
          <w:b w:val="0"/>
        </w:rPr>
        <w:t xml:space="preserve"> </w:t>
      </w:r>
      <w:proofErr w:type="spellStart"/>
      <w:r w:rsidRPr="0003340F">
        <w:rPr>
          <w:b w:val="0"/>
        </w:rPr>
        <w:t>Gostin</w:t>
      </w:r>
      <w:proofErr w:type="spellEnd"/>
      <w:r w:rsidR="00DC44E5">
        <w:rPr>
          <w:b w:val="0"/>
        </w:rPr>
        <w:t>,</w:t>
      </w:r>
      <w:r w:rsidRPr="0003340F">
        <w:rPr>
          <w:b w:val="0"/>
        </w:rPr>
        <w:t xml:space="preserve"> L</w:t>
      </w:r>
      <w:r w:rsidR="00DC44E5">
        <w:rPr>
          <w:b w:val="0"/>
        </w:rPr>
        <w:t>.</w:t>
      </w:r>
      <w:r w:rsidRPr="0003340F">
        <w:rPr>
          <w:b w:val="0"/>
        </w:rPr>
        <w:t>O. The novel coronavirus originating in Wuhan, China: challenges for global health governance</w:t>
      </w:r>
      <w:r w:rsidRPr="00713C2F">
        <w:rPr>
          <w:b w:val="0"/>
          <w:i/>
        </w:rPr>
        <w:t>. JAMA</w:t>
      </w:r>
      <w:r w:rsidR="00713C2F">
        <w:rPr>
          <w:b w:val="0"/>
        </w:rPr>
        <w:t>.</w:t>
      </w:r>
      <w:r w:rsidRPr="0003340F">
        <w:rPr>
          <w:b w:val="0"/>
        </w:rPr>
        <w:t xml:space="preserve"> </w:t>
      </w:r>
      <w:r w:rsidRPr="00713C2F">
        <w:t>2020</w:t>
      </w:r>
      <w:r w:rsidRPr="0003340F">
        <w:rPr>
          <w:b w:val="0"/>
        </w:rPr>
        <w:t xml:space="preserve">; published online Jan 30. </w:t>
      </w:r>
    </w:p>
    <w:p w:rsidR="0003340F" w:rsidRPr="0003340F" w:rsidRDefault="0003340F" w:rsidP="0003340F">
      <w:pPr>
        <w:pStyle w:val="MDPI21heading1"/>
        <w:spacing w:before="0" w:after="0"/>
        <w:ind w:left="200" w:hangingChars="100" w:hanging="200"/>
        <w:jc w:val="both"/>
        <w:rPr>
          <w:b w:val="0"/>
          <w:lang w:val="fr-FR"/>
        </w:rPr>
      </w:pPr>
      <w:r w:rsidRPr="0003340F">
        <w:rPr>
          <w:b w:val="0"/>
        </w:rPr>
        <w:t>4. Chan</w:t>
      </w:r>
      <w:r w:rsidR="00DC44E5">
        <w:rPr>
          <w:b w:val="0"/>
        </w:rPr>
        <w:t>,</w:t>
      </w:r>
      <w:r w:rsidRPr="0003340F">
        <w:rPr>
          <w:b w:val="0"/>
        </w:rPr>
        <w:t xml:space="preserve"> J</w:t>
      </w:r>
      <w:r w:rsidR="00DC44E5">
        <w:rPr>
          <w:b w:val="0"/>
        </w:rPr>
        <w:t>.</w:t>
      </w:r>
      <w:r w:rsidRPr="0003340F">
        <w:rPr>
          <w:b w:val="0"/>
        </w:rPr>
        <w:t>F</w:t>
      </w:r>
      <w:r w:rsidR="00DC44E5">
        <w:rPr>
          <w:b w:val="0"/>
        </w:rPr>
        <w:t>.;</w:t>
      </w:r>
      <w:r w:rsidRPr="0003340F">
        <w:rPr>
          <w:b w:val="0"/>
        </w:rPr>
        <w:t xml:space="preserve"> Yuan</w:t>
      </w:r>
      <w:r w:rsidR="00DC44E5">
        <w:rPr>
          <w:b w:val="0"/>
        </w:rPr>
        <w:t>,</w:t>
      </w:r>
      <w:r w:rsidRPr="0003340F">
        <w:rPr>
          <w:b w:val="0"/>
        </w:rPr>
        <w:t xml:space="preserve"> S</w:t>
      </w:r>
      <w:r w:rsidR="00DC44E5">
        <w:rPr>
          <w:b w:val="0"/>
        </w:rPr>
        <w:t>.;</w:t>
      </w:r>
      <w:r w:rsidRPr="0003340F">
        <w:rPr>
          <w:b w:val="0"/>
        </w:rPr>
        <w:t xml:space="preserve"> </w:t>
      </w:r>
      <w:proofErr w:type="spellStart"/>
      <w:r w:rsidRPr="0003340F">
        <w:rPr>
          <w:b w:val="0"/>
        </w:rPr>
        <w:t>Kok</w:t>
      </w:r>
      <w:proofErr w:type="spellEnd"/>
      <w:r w:rsidR="00DC44E5">
        <w:rPr>
          <w:b w:val="0"/>
        </w:rPr>
        <w:t>,</w:t>
      </w:r>
      <w:r w:rsidRPr="0003340F">
        <w:rPr>
          <w:b w:val="0"/>
        </w:rPr>
        <w:t xml:space="preserve"> K</w:t>
      </w:r>
      <w:r w:rsidR="00DC44E5">
        <w:rPr>
          <w:b w:val="0"/>
        </w:rPr>
        <w:t>.</w:t>
      </w:r>
      <w:r w:rsidRPr="0003340F">
        <w:rPr>
          <w:b w:val="0"/>
        </w:rPr>
        <w:t>H</w:t>
      </w:r>
      <w:r w:rsidR="00DC44E5">
        <w:rPr>
          <w:b w:val="0"/>
        </w:rPr>
        <w:t>.;</w:t>
      </w:r>
      <w:r w:rsidRPr="0003340F">
        <w:rPr>
          <w:b w:val="0"/>
        </w:rPr>
        <w:t xml:space="preserve"> To</w:t>
      </w:r>
      <w:r w:rsidR="00DC44E5">
        <w:rPr>
          <w:b w:val="0"/>
        </w:rPr>
        <w:t>,</w:t>
      </w:r>
      <w:r w:rsidRPr="0003340F">
        <w:rPr>
          <w:b w:val="0"/>
        </w:rPr>
        <w:t xml:space="preserve"> K</w:t>
      </w:r>
      <w:r w:rsidR="00DC44E5">
        <w:rPr>
          <w:b w:val="0"/>
        </w:rPr>
        <w:t>.</w:t>
      </w:r>
      <w:r w:rsidRPr="0003340F">
        <w:rPr>
          <w:b w:val="0"/>
        </w:rPr>
        <w:t>K</w:t>
      </w:r>
      <w:r w:rsidR="00DC44E5">
        <w:rPr>
          <w:b w:val="0"/>
        </w:rPr>
        <w:t>.;</w:t>
      </w:r>
      <w:r w:rsidRPr="0003340F">
        <w:rPr>
          <w:b w:val="0"/>
        </w:rPr>
        <w:t xml:space="preserve"> Chu</w:t>
      </w:r>
      <w:r w:rsidR="00DC44E5">
        <w:rPr>
          <w:b w:val="0"/>
        </w:rPr>
        <w:t>,</w:t>
      </w:r>
      <w:r w:rsidRPr="0003340F">
        <w:rPr>
          <w:b w:val="0"/>
        </w:rPr>
        <w:t xml:space="preserve"> H</w:t>
      </w:r>
      <w:r w:rsidR="00DC44E5">
        <w:rPr>
          <w:b w:val="0"/>
        </w:rPr>
        <w:t>.;</w:t>
      </w:r>
      <w:r w:rsidRPr="0003340F">
        <w:rPr>
          <w:b w:val="0"/>
        </w:rPr>
        <w:t xml:space="preserve"> Yang</w:t>
      </w:r>
      <w:r w:rsidR="00DC44E5">
        <w:rPr>
          <w:b w:val="0"/>
        </w:rPr>
        <w:t>,</w:t>
      </w:r>
      <w:r w:rsidRPr="0003340F">
        <w:rPr>
          <w:b w:val="0"/>
        </w:rPr>
        <w:t xml:space="preserve"> J</w:t>
      </w:r>
      <w:r w:rsidR="00DC44E5">
        <w:rPr>
          <w:b w:val="0"/>
        </w:rPr>
        <w:t>.;</w:t>
      </w:r>
      <w:r w:rsidRPr="0003340F">
        <w:rPr>
          <w:b w:val="0"/>
        </w:rPr>
        <w:t xml:space="preserve"> </w:t>
      </w:r>
      <w:r w:rsidR="00DC44E5" w:rsidRPr="00DC44E5">
        <w:rPr>
          <w:b w:val="0"/>
        </w:rPr>
        <w:t>Xing</w:t>
      </w:r>
      <w:r w:rsidR="00DC44E5">
        <w:rPr>
          <w:b w:val="0"/>
        </w:rPr>
        <w:t>,</w:t>
      </w:r>
      <w:r w:rsidR="00DC44E5" w:rsidRPr="00DC44E5">
        <w:rPr>
          <w:b w:val="0"/>
        </w:rPr>
        <w:t xml:space="preserve"> F</w:t>
      </w:r>
      <w:r w:rsidR="00DC44E5">
        <w:rPr>
          <w:b w:val="0"/>
        </w:rPr>
        <w:t>.;</w:t>
      </w:r>
      <w:r w:rsidR="00DC44E5" w:rsidRPr="00DC44E5">
        <w:rPr>
          <w:b w:val="0"/>
        </w:rPr>
        <w:t xml:space="preserve"> Liu</w:t>
      </w:r>
      <w:r w:rsidR="00DC44E5">
        <w:rPr>
          <w:b w:val="0"/>
        </w:rPr>
        <w:t>,</w:t>
      </w:r>
      <w:r w:rsidR="00DC44E5" w:rsidRPr="00DC44E5">
        <w:rPr>
          <w:b w:val="0"/>
        </w:rPr>
        <w:t xml:space="preserve"> J</w:t>
      </w:r>
      <w:r w:rsidR="00DC44E5">
        <w:rPr>
          <w:b w:val="0"/>
        </w:rPr>
        <w:t>.;</w:t>
      </w:r>
      <w:r w:rsidR="00DC44E5" w:rsidRPr="00DC44E5">
        <w:rPr>
          <w:b w:val="0"/>
        </w:rPr>
        <w:t xml:space="preserve"> Yip</w:t>
      </w:r>
      <w:r w:rsidR="00DC44E5">
        <w:rPr>
          <w:b w:val="0"/>
        </w:rPr>
        <w:t>,</w:t>
      </w:r>
      <w:r w:rsidR="00DC44E5" w:rsidRPr="00DC44E5">
        <w:rPr>
          <w:b w:val="0"/>
        </w:rPr>
        <w:t xml:space="preserve"> C</w:t>
      </w:r>
      <w:r w:rsidR="00DC44E5">
        <w:rPr>
          <w:b w:val="0"/>
        </w:rPr>
        <w:t>.</w:t>
      </w:r>
      <w:r w:rsidR="00DC44E5" w:rsidRPr="00DC44E5">
        <w:rPr>
          <w:b w:val="0"/>
        </w:rPr>
        <w:t>C</w:t>
      </w:r>
      <w:r w:rsidR="00DC44E5">
        <w:rPr>
          <w:b w:val="0"/>
        </w:rPr>
        <w:t>.;</w:t>
      </w:r>
      <w:r w:rsidR="00DC44E5" w:rsidRPr="00DC44E5">
        <w:rPr>
          <w:b w:val="0"/>
        </w:rPr>
        <w:t xml:space="preserve"> Poon</w:t>
      </w:r>
      <w:r w:rsidR="00DC44E5">
        <w:rPr>
          <w:b w:val="0"/>
        </w:rPr>
        <w:t>,</w:t>
      </w:r>
      <w:r w:rsidR="00DC44E5" w:rsidRPr="00DC44E5">
        <w:rPr>
          <w:b w:val="0"/>
        </w:rPr>
        <w:t xml:space="preserve"> R</w:t>
      </w:r>
      <w:r w:rsidR="00DC44E5">
        <w:rPr>
          <w:b w:val="0"/>
        </w:rPr>
        <w:t>.</w:t>
      </w:r>
      <w:r w:rsidR="00DC44E5" w:rsidRPr="00DC44E5">
        <w:rPr>
          <w:b w:val="0"/>
        </w:rPr>
        <w:t>W</w:t>
      </w:r>
      <w:r w:rsidR="00DC44E5">
        <w:rPr>
          <w:b w:val="0"/>
        </w:rPr>
        <w:t xml:space="preserve">.; </w:t>
      </w:r>
      <w:r w:rsidRPr="0003340F">
        <w:rPr>
          <w:b w:val="0"/>
        </w:rPr>
        <w:t>et al. A familial cluster of pneumonia associated with the 2019 novel coronavirus indicating person-to-person transmission: a study of a family cluster</w:t>
      </w:r>
      <w:r w:rsidRPr="00713C2F">
        <w:rPr>
          <w:b w:val="0"/>
          <w:i/>
        </w:rPr>
        <w:t xml:space="preserve">. </w:t>
      </w:r>
      <w:r w:rsidRPr="00713C2F">
        <w:rPr>
          <w:b w:val="0"/>
          <w:i/>
          <w:lang w:val="fr-FR"/>
        </w:rPr>
        <w:t>Lancet</w:t>
      </w:r>
      <w:r w:rsidR="00713C2F">
        <w:rPr>
          <w:b w:val="0"/>
          <w:i/>
          <w:lang w:val="fr-FR"/>
        </w:rPr>
        <w:t>.</w:t>
      </w:r>
      <w:r w:rsidRPr="0003340F">
        <w:rPr>
          <w:b w:val="0"/>
          <w:lang w:val="fr-FR"/>
        </w:rPr>
        <w:t xml:space="preserve"> </w:t>
      </w:r>
      <w:proofErr w:type="gramStart"/>
      <w:r w:rsidRPr="00713C2F">
        <w:rPr>
          <w:lang w:val="fr-FR"/>
        </w:rPr>
        <w:t>2020</w:t>
      </w:r>
      <w:r w:rsidRPr="0003340F">
        <w:rPr>
          <w:b w:val="0"/>
          <w:lang w:val="fr-FR"/>
        </w:rPr>
        <w:t>;</w:t>
      </w:r>
      <w:proofErr w:type="gramEnd"/>
      <w:r w:rsidRPr="0003340F">
        <w:rPr>
          <w:b w:val="0"/>
          <w:lang w:val="fr-FR"/>
        </w:rPr>
        <w:t xml:space="preserve"> 395: 514-</w:t>
      </w:r>
      <w:r w:rsidR="00713C2F">
        <w:rPr>
          <w:b w:val="0"/>
          <w:lang w:val="fr-FR"/>
        </w:rPr>
        <w:t>5</w:t>
      </w:r>
      <w:r w:rsidRPr="0003340F">
        <w:rPr>
          <w:b w:val="0"/>
          <w:lang w:val="fr-FR"/>
        </w:rPr>
        <w:t xml:space="preserve">23. </w:t>
      </w:r>
    </w:p>
    <w:p w:rsidR="0003340F" w:rsidRPr="0003340F" w:rsidRDefault="0003340F" w:rsidP="0003340F">
      <w:pPr>
        <w:pStyle w:val="MDPI21heading1"/>
        <w:spacing w:before="0" w:after="0"/>
        <w:ind w:left="200" w:hangingChars="100" w:hanging="200"/>
        <w:jc w:val="both"/>
        <w:rPr>
          <w:b w:val="0"/>
        </w:rPr>
      </w:pPr>
      <w:r w:rsidRPr="0003340F">
        <w:rPr>
          <w:b w:val="0"/>
          <w:lang w:val="fr-FR"/>
        </w:rPr>
        <w:t>5. Chen</w:t>
      </w:r>
      <w:r w:rsidR="00DC44E5">
        <w:rPr>
          <w:b w:val="0"/>
          <w:lang w:val="fr-FR"/>
        </w:rPr>
        <w:t>,</w:t>
      </w:r>
      <w:r w:rsidRPr="0003340F">
        <w:rPr>
          <w:b w:val="0"/>
          <w:lang w:val="fr-FR"/>
        </w:rPr>
        <w:t xml:space="preserve"> N</w:t>
      </w:r>
      <w:r w:rsidR="00DC44E5">
        <w:rPr>
          <w:b w:val="0"/>
          <w:lang w:val="fr-FR"/>
        </w:rPr>
        <w:t>. ;</w:t>
      </w:r>
      <w:r w:rsidRPr="0003340F">
        <w:rPr>
          <w:b w:val="0"/>
          <w:lang w:val="fr-FR"/>
        </w:rPr>
        <w:t xml:space="preserve"> Zhou</w:t>
      </w:r>
      <w:r w:rsidR="00DC44E5">
        <w:rPr>
          <w:b w:val="0"/>
          <w:lang w:val="fr-FR"/>
        </w:rPr>
        <w:t>,</w:t>
      </w:r>
      <w:r w:rsidRPr="0003340F">
        <w:rPr>
          <w:b w:val="0"/>
          <w:lang w:val="fr-FR"/>
        </w:rPr>
        <w:t xml:space="preserve"> M</w:t>
      </w:r>
      <w:r w:rsidR="00DC44E5">
        <w:rPr>
          <w:b w:val="0"/>
          <w:lang w:val="fr-FR"/>
        </w:rPr>
        <w:t>. ;</w:t>
      </w:r>
      <w:r w:rsidRPr="0003340F">
        <w:rPr>
          <w:b w:val="0"/>
          <w:lang w:val="fr-FR"/>
        </w:rPr>
        <w:t xml:space="preserve"> Dong</w:t>
      </w:r>
      <w:r w:rsidR="00DC44E5">
        <w:rPr>
          <w:b w:val="0"/>
          <w:lang w:val="fr-FR"/>
        </w:rPr>
        <w:t>,</w:t>
      </w:r>
      <w:r w:rsidRPr="0003340F">
        <w:rPr>
          <w:b w:val="0"/>
          <w:lang w:val="fr-FR"/>
        </w:rPr>
        <w:t xml:space="preserve"> X</w:t>
      </w:r>
      <w:r w:rsidR="00DC44E5">
        <w:rPr>
          <w:b w:val="0"/>
          <w:lang w:val="fr-FR"/>
        </w:rPr>
        <w:t>. ;</w:t>
      </w:r>
      <w:r w:rsidRPr="0003340F">
        <w:rPr>
          <w:b w:val="0"/>
          <w:lang w:val="fr-FR"/>
        </w:rPr>
        <w:t xml:space="preserve"> </w:t>
      </w:r>
      <w:proofErr w:type="spellStart"/>
      <w:r w:rsidRPr="0003340F">
        <w:rPr>
          <w:b w:val="0"/>
          <w:lang w:val="fr-FR"/>
        </w:rPr>
        <w:t>Qu</w:t>
      </w:r>
      <w:proofErr w:type="spellEnd"/>
      <w:r w:rsidR="00DC44E5">
        <w:rPr>
          <w:b w:val="0"/>
          <w:lang w:val="fr-FR"/>
        </w:rPr>
        <w:t>,</w:t>
      </w:r>
      <w:r w:rsidRPr="0003340F">
        <w:rPr>
          <w:b w:val="0"/>
          <w:lang w:val="fr-FR"/>
        </w:rPr>
        <w:t xml:space="preserve"> J</w:t>
      </w:r>
      <w:r w:rsidR="00DC44E5">
        <w:rPr>
          <w:b w:val="0"/>
          <w:lang w:val="fr-FR"/>
        </w:rPr>
        <w:t>. ;</w:t>
      </w:r>
      <w:r w:rsidRPr="0003340F">
        <w:rPr>
          <w:b w:val="0"/>
          <w:lang w:val="fr-FR"/>
        </w:rPr>
        <w:t xml:space="preserve"> Gong</w:t>
      </w:r>
      <w:r w:rsidR="00DC44E5">
        <w:rPr>
          <w:b w:val="0"/>
          <w:lang w:val="fr-FR"/>
        </w:rPr>
        <w:t>,</w:t>
      </w:r>
      <w:r w:rsidRPr="0003340F">
        <w:rPr>
          <w:b w:val="0"/>
          <w:lang w:val="fr-FR"/>
        </w:rPr>
        <w:t xml:space="preserve"> F</w:t>
      </w:r>
      <w:r w:rsidR="00DC44E5">
        <w:rPr>
          <w:b w:val="0"/>
          <w:lang w:val="fr-FR"/>
        </w:rPr>
        <w:t>. ;</w:t>
      </w:r>
      <w:r w:rsidRPr="0003340F">
        <w:rPr>
          <w:b w:val="0"/>
          <w:lang w:val="fr-FR"/>
        </w:rPr>
        <w:t xml:space="preserve"> Han</w:t>
      </w:r>
      <w:r w:rsidR="00DC44E5">
        <w:rPr>
          <w:b w:val="0"/>
          <w:lang w:val="fr-FR"/>
        </w:rPr>
        <w:t>,</w:t>
      </w:r>
      <w:r w:rsidRPr="0003340F">
        <w:rPr>
          <w:b w:val="0"/>
          <w:lang w:val="fr-FR"/>
        </w:rPr>
        <w:t xml:space="preserve"> Y</w:t>
      </w:r>
      <w:r w:rsidR="00DC44E5">
        <w:rPr>
          <w:b w:val="0"/>
          <w:lang w:val="fr-FR"/>
        </w:rPr>
        <w:t>. ;</w:t>
      </w:r>
      <w:r w:rsidRPr="0003340F">
        <w:rPr>
          <w:b w:val="0"/>
          <w:lang w:val="fr-FR"/>
        </w:rPr>
        <w:t xml:space="preserve"> </w:t>
      </w:r>
      <w:r w:rsidR="00DC44E5" w:rsidRPr="00DC44E5">
        <w:rPr>
          <w:b w:val="0"/>
          <w:lang w:val="fr-FR"/>
        </w:rPr>
        <w:t>Qiu</w:t>
      </w:r>
      <w:r w:rsidR="00DC44E5">
        <w:rPr>
          <w:b w:val="0"/>
          <w:lang w:val="fr-FR"/>
        </w:rPr>
        <w:t>,</w:t>
      </w:r>
      <w:r w:rsidR="00DC44E5" w:rsidRPr="00DC44E5">
        <w:rPr>
          <w:b w:val="0"/>
          <w:lang w:val="fr-FR"/>
        </w:rPr>
        <w:t xml:space="preserve"> Y</w:t>
      </w:r>
      <w:r w:rsidR="00DC44E5">
        <w:rPr>
          <w:b w:val="0"/>
          <w:lang w:val="fr-FR"/>
        </w:rPr>
        <w:t>. ;</w:t>
      </w:r>
      <w:r w:rsidR="00DC44E5" w:rsidRPr="00DC44E5">
        <w:rPr>
          <w:b w:val="0"/>
          <w:lang w:val="fr-FR"/>
        </w:rPr>
        <w:t xml:space="preserve"> Wang</w:t>
      </w:r>
      <w:r w:rsidR="00DC44E5">
        <w:rPr>
          <w:b w:val="0"/>
          <w:lang w:val="fr-FR"/>
        </w:rPr>
        <w:t>,</w:t>
      </w:r>
      <w:r w:rsidR="00DC44E5" w:rsidRPr="00DC44E5">
        <w:rPr>
          <w:b w:val="0"/>
          <w:lang w:val="fr-FR"/>
        </w:rPr>
        <w:t xml:space="preserve"> J</w:t>
      </w:r>
      <w:r w:rsidR="00DC44E5">
        <w:rPr>
          <w:b w:val="0"/>
          <w:lang w:val="fr-FR"/>
        </w:rPr>
        <w:t>. ;</w:t>
      </w:r>
      <w:r w:rsidR="00DC44E5" w:rsidRPr="00DC44E5">
        <w:rPr>
          <w:b w:val="0"/>
          <w:lang w:val="fr-FR"/>
        </w:rPr>
        <w:t xml:space="preserve"> Liu</w:t>
      </w:r>
      <w:r w:rsidR="00DC44E5">
        <w:rPr>
          <w:b w:val="0"/>
          <w:lang w:val="fr-FR"/>
        </w:rPr>
        <w:t>,</w:t>
      </w:r>
      <w:r w:rsidR="00DC44E5" w:rsidRPr="00DC44E5">
        <w:rPr>
          <w:b w:val="0"/>
          <w:lang w:val="fr-FR"/>
        </w:rPr>
        <w:t xml:space="preserve"> Y</w:t>
      </w:r>
      <w:r w:rsidR="00DC44E5">
        <w:rPr>
          <w:b w:val="0"/>
          <w:lang w:val="fr-FR"/>
        </w:rPr>
        <w:t>. ;</w:t>
      </w:r>
      <w:r w:rsidR="00DC44E5" w:rsidRPr="00DC44E5">
        <w:rPr>
          <w:b w:val="0"/>
          <w:lang w:val="fr-FR"/>
        </w:rPr>
        <w:t xml:space="preserve"> Wei</w:t>
      </w:r>
      <w:r w:rsidR="00DC44E5">
        <w:rPr>
          <w:b w:val="0"/>
          <w:lang w:val="fr-FR"/>
        </w:rPr>
        <w:t>,</w:t>
      </w:r>
      <w:r w:rsidR="00DC44E5" w:rsidRPr="00DC44E5">
        <w:rPr>
          <w:b w:val="0"/>
          <w:lang w:val="fr-FR"/>
        </w:rPr>
        <w:t xml:space="preserve"> Y</w:t>
      </w:r>
      <w:r w:rsidR="00DC44E5">
        <w:rPr>
          <w:b w:val="0"/>
          <w:lang w:val="fr-FR"/>
        </w:rPr>
        <w:t>. ;</w:t>
      </w:r>
      <w:r w:rsidR="00DC44E5" w:rsidRPr="00DC44E5">
        <w:rPr>
          <w:b w:val="0"/>
          <w:lang w:val="fr-FR"/>
        </w:rPr>
        <w:t xml:space="preserve"> </w:t>
      </w:r>
      <w:r w:rsidRPr="0003340F">
        <w:rPr>
          <w:b w:val="0"/>
          <w:lang w:val="fr-FR"/>
        </w:rPr>
        <w:t xml:space="preserve">et al. </w:t>
      </w:r>
      <w:r w:rsidRPr="0003340F">
        <w:rPr>
          <w:b w:val="0"/>
        </w:rPr>
        <w:t xml:space="preserve">Epidemiological and clinical characteristics of 99 cases of 2019 novel coronavirus pneumonia in Wuhan, China: a descriptive study. </w:t>
      </w:r>
      <w:r w:rsidRPr="00713C2F">
        <w:rPr>
          <w:b w:val="0"/>
          <w:i/>
        </w:rPr>
        <w:t>Lancet</w:t>
      </w:r>
      <w:r w:rsidR="00713C2F">
        <w:rPr>
          <w:b w:val="0"/>
          <w:i/>
        </w:rPr>
        <w:t>.</w:t>
      </w:r>
      <w:r w:rsidRPr="00713C2F">
        <w:rPr>
          <w:b w:val="0"/>
          <w:i/>
        </w:rPr>
        <w:t xml:space="preserve"> </w:t>
      </w:r>
      <w:r w:rsidRPr="00713C2F">
        <w:t>2020</w:t>
      </w:r>
      <w:r w:rsidRPr="0003340F">
        <w:rPr>
          <w:b w:val="0"/>
        </w:rPr>
        <w:t>; 395: 507-</w:t>
      </w:r>
      <w:r w:rsidR="00713C2F">
        <w:rPr>
          <w:b w:val="0"/>
        </w:rPr>
        <w:t>5</w:t>
      </w:r>
      <w:r w:rsidRPr="0003340F">
        <w:rPr>
          <w:b w:val="0"/>
        </w:rPr>
        <w:t>13.</w:t>
      </w:r>
    </w:p>
    <w:p w:rsidR="0003340F" w:rsidRPr="0003340F" w:rsidRDefault="0003340F" w:rsidP="0003340F">
      <w:pPr>
        <w:pStyle w:val="MDPI21heading1"/>
        <w:spacing w:before="0" w:after="0"/>
        <w:ind w:left="200" w:hangingChars="100" w:hanging="200"/>
        <w:jc w:val="both"/>
        <w:rPr>
          <w:b w:val="0"/>
        </w:rPr>
      </w:pPr>
      <w:r w:rsidRPr="0003340F">
        <w:rPr>
          <w:b w:val="0"/>
        </w:rPr>
        <w:t xml:space="preserve">6. </w:t>
      </w:r>
      <w:proofErr w:type="spellStart"/>
      <w:r w:rsidRPr="0003340F">
        <w:rPr>
          <w:b w:val="0"/>
        </w:rPr>
        <w:t>Ghinai</w:t>
      </w:r>
      <w:proofErr w:type="spellEnd"/>
      <w:r w:rsidR="00DC44E5">
        <w:rPr>
          <w:b w:val="0"/>
        </w:rPr>
        <w:t>,</w:t>
      </w:r>
      <w:r w:rsidRPr="0003340F">
        <w:rPr>
          <w:b w:val="0"/>
        </w:rPr>
        <w:t xml:space="preserve"> I</w:t>
      </w:r>
      <w:r w:rsidR="00DC44E5">
        <w:rPr>
          <w:b w:val="0"/>
        </w:rPr>
        <w:t>.;</w:t>
      </w:r>
      <w:r w:rsidRPr="0003340F">
        <w:rPr>
          <w:b w:val="0"/>
        </w:rPr>
        <w:t xml:space="preserve"> McPherson</w:t>
      </w:r>
      <w:r w:rsidR="00DC44E5">
        <w:rPr>
          <w:b w:val="0"/>
        </w:rPr>
        <w:t>,</w:t>
      </w:r>
      <w:r w:rsidRPr="0003340F">
        <w:rPr>
          <w:b w:val="0"/>
        </w:rPr>
        <w:t xml:space="preserve"> T</w:t>
      </w:r>
      <w:r w:rsidR="00DC44E5">
        <w:rPr>
          <w:b w:val="0"/>
        </w:rPr>
        <w:t>.</w:t>
      </w:r>
      <w:r w:rsidRPr="0003340F">
        <w:rPr>
          <w:b w:val="0"/>
        </w:rPr>
        <w:t>D</w:t>
      </w:r>
      <w:r w:rsidR="00DC44E5">
        <w:rPr>
          <w:b w:val="0"/>
        </w:rPr>
        <w:t>.;</w:t>
      </w:r>
      <w:r w:rsidRPr="0003340F">
        <w:rPr>
          <w:b w:val="0"/>
        </w:rPr>
        <w:t xml:space="preserve"> Hunter</w:t>
      </w:r>
      <w:r w:rsidR="00DC44E5">
        <w:rPr>
          <w:b w:val="0"/>
        </w:rPr>
        <w:t>,</w:t>
      </w:r>
      <w:r w:rsidRPr="0003340F">
        <w:rPr>
          <w:b w:val="0"/>
        </w:rPr>
        <w:t xml:space="preserve"> J</w:t>
      </w:r>
      <w:r w:rsidR="00DC44E5">
        <w:rPr>
          <w:b w:val="0"/>
        </w:rPr>
        <w:t>.</w:t>
      </w:r>
      <w:r w:rsidRPr="0003340F">
        <w:rPr>
          <w:b w:val="0"/>
        </w:rPr>
        <w:t>C</w:t>
      </w:r>
      <w:r w:rsidR="00DC44E5">
        <w:rPr>
          <w:b w:val="0"/>
        </w:rPr>
        <w:t>.;</w:t>
      </w:r>
      <w:r w:rsidRPr="0003340F">
        <w:rPr>
          <w:b w:val="0"/>
        </w:rPr>
        <w:t xml:space="preserve"> </w:t>
      </w:r>
      <w:proofErr w:type="spellStart"/>
      <w:r w:rsidRPr="0003340F">
        <w:rPr>
          <w:b w:val="0"/>
        </w:rPr>
        <w:t>Kirking</w:t>
      </w:r>
      <w:proofErr w:type="spellEnd"/>
      <w:r w:rsidR="00DC44E5">
        <w:rPr>
          <w:b w:val="0"/>
        </w:rPr>
        <w:t>,</w:t>
      </w:r>
      <w:r w:rsidRPr="0003340F">
        <w:rPr>
          <w:b w:val="0"/>
        </w:rPr>
        <w:t xml:space="preserve"> H</w:t>
      </w:r>
      <w:r w:rsidR="00DC44E5">
        <w:rPr>
          <w:b w:val="0"/>
        </w:rPr>
        <w:t>.</w:t>
      </w:r>
      <w:r w:rsidRPr="0003340F">
        <w:rPr>
          <w:b w:val="0"/>
        </w:rPr>
        <w:t>L</w:t>
      </w:r>
      <w:r w:rsidR="00DC44E5">
        <w:rPr>
          <w:b w:val="0"/>
        </w:rPr>
        <w:t>.;</w:t>
      </w:r>
      <w:r w:rsidRPr="0003340F">
        <w:rPr>
          <w:b w:val="0"/>
        </w:rPr>
        <w:t xml:space="preserve"> Christiansen</w:t>
      </w:r>
      <w:r w:rsidR="00DC44E5">
        <w:rPr>
          <w:b w:val="0"/>
        </w:rPr>
        <w:t>,</w:t>
      </w:r>
      <w:r w:rsidRPr="0003340F">
        <w:rPr>
          <w:b w:val="0"/>
        </w:rPr>
        <w:t xml:space="preserve"> D</w:t>
      </w:r>
      <w:r w:rsidR="00DC44E5">
        <w:rPr>
          <w:b w:val="0"/>
        </w:rPr>
        <w:t>.;</w:t>
      </w:r>
      <w:r w:rsidRPr="0003340F">
        <w:rPr>
          <w:b w:val="0"/>
        </w:rPr>
        <w:t xml:space="preserve"> Joshi</w:t>
      </w:r>
      <w:r w:rsidR="00DC44E5">
        <w:rPr>
          <w:b w:val="0"/>
        </w:rPr>
        <w:t>,</w:t>
      </w:r>
      <w:r w:rsidRPr="0003340F">
        <w:rPr>
          <w:b w:val="0"/>
        </w:rPr>
        <w:t xml:space="preserve"> K</w:t>
      </w:r>
      <w:r w:rsidR="00DC44E5">
        <w:rPr>
          <w:b w:val="0"/>
        </w:rPr>
        <w:t>.;</w:t>
      </w:r>
      <w:r w:rsidRPr="0003340F">
        <w:rPr>
          <w:b w:val="0"/>
        </w:rPr>
        <w:t xml:space="preserve"> </w:t>
      </w:r>
      <w:r w:rsidR="00DC44E5">
        <w:rPr>
          <w:b w:val="0"/>
        </w:rPr>
        <w:t>Rubin, R.; Morales-Estrada, S.;</w:t>
      </w:r>
      <w:r w:rsidR="00DC44E5" w:rsidRPr="00DC44E5">
        <w:rPr>
          <w:b w:val="0"/>
        </w:rPr>
        <w:t xml:space="preserve"> Black</w:t>
      </w:r>
      <w:r w:rsidR="00DC44E5">
        <w:rPr>
          <w:b w:val="0"/>
        </w:rPr>
        <w:t>,</w:t>
      </w:r>
      <w:r w:rsidR="00DC44E5" w:rsidRPr="00DC44E5">
        <w:rPr>
          <w:b w:val="0"/>
        </w:rPr>
        <w:t xml:space="preserve"> S</w:t>
      </w:r>
      <w:r w:rsidR="00DC44E5">
        <w:rPr>
          <w:b w:val="0"/>
        </w:rPr>
        <w:t>.</w:t>
      </w:r>
      <w:r w:rsidR="00DC44E5" w:rsidRPr="00DC44E5">
        <w:rPr>
          <w:b w:val="0"/>
        </w:rPr>
        <w:t>R</w:t>
      </w:r>
      <w:r w:rsidR="00DC44E5">
        <w:rPr>
          <w:b w:val="0"/>
        </w:rPr>
        <w:t>.;</w:t>
      </w:r>
      <w:r w:rsidR="00DC44E5" w:rsidRPr="00DC44E5">
        <w:rPr>
          <w:b w:val="0"/>
        </w:rPr>
        <w:t xml:space="preserve"> </w:t>
      </w:r>
      <w:proofErr w:type="spellStart"/>
      <w:r w:rsidR="00DC44E5" w:rsidRPr="00DC44E5">
        <w:rPr>
          <w:b w:val="0"/>
        </w:rPr>
        <w:t>Pacilli</w:t>
      </w:r>
      <w:proofErr w:type="spellEnd"/>
      <w:r w:rsidR="00DC44E5">
        <w:rPr>
          <w:b w:val="0"/>
        </w:rPr>
        <w:t>,</w:t>
      </w:r>
      <w:r w:rsidR="00DC44E5" w:rsidRPr="00DC44E5">
        <w:rPr>
          <w:b w:val="0"/>
        </w:rPr>
        <w:t xml:space="preserve"> M</w:t>
      </w:r>
      <w:r w:rsidR="00DC44E5">
        <w:rPr>
          <w:b w:val="0"/>
        </w:rPr>
        <w:t xml:space="preserve">.; </w:t>
      </w:r>
      <w:r w:rsidRPr="0003340F">
        <w:rPr>
          <w:b w:val="0"/>
        </w:rPr>
        <w:t xml:space="preserve">et al. First known person-to-person transmission of severe acute respiratory syndrome coronavirus 2 (SARS-CoV-2) in the USA. </w:t>
      </w:r>
      <w:r w:rsidRPr="00E9171C">
        <w:rPr>
          <w:b w:val="0"/>
          <w:i/>
        </w:rPr>
        <w:t>Lancet</w:t>
      </w:r>
      <w:r w:rsidR="00E9171C">
        <w:rPr>
          <w:b w:val="0"/>
          <w:i/>
        </w:rPr>
        <w:t>.</w:t>
      </w:r>
      <w:r w:rsidRPr="00E9171C">
        <w:rPr>
          <w:b w:val="0"/>
          <w:i/>
        </w:rPr>
        <w:t xml:space="preserve"> </w:t>
      </w:r>
      <w:r w:rsidRPr="00E9171C">
        <w:t>2020</w:t>
      </w:r>
      <w:r w:rsidRPr="0003340F">
        <w:rPr>
          <w:b w:val="0"/>
        </w:rPr>
        <w:t>; 395:1137-</w:t>
      </w:r>
      <w:r w:rsidR="00713C2F">
        <w:rPr>
          <w:b w:val="0"/>
        </w:rPr>
        <w:t>11</w:t>
      </w:r>
      <w:r w:rsidRPr="0003340F">
        <w:rPr>
          <w:b w:val="0"/>
        </w:rPr>
        <w:t xml:space="preserve">44. </w:t>
      </w:r>
    </w:p>
    <w:p w:rsidR="0003340F" w:rsidRPr="0003340F" w:rsidRDefault="0003340F" w:rsidP="0003340F">
      <w:pPr>
        <w:pStyle w:val="MDPI21heading1"/>
        <w:spacing w:before="0" w:after="0"/>
        <w:ind w:left="200" w:hangingChars="100" w:hanging="200"/>
        <w:jc w:val="both"/>
        <w:rPr>
          <w:b w:val="0"/>
        </w:rPr>
      </w:pPr>
      <w:r w:rsidRPr="0003340F">
        <w:rPr>
          <w:b w:val="0"/>
        </w:rPr>
        <w:t xml:space="preserve">7. </w:t>
      </w:r>
      <w:proofErr w:type="spellStart"/>
      <w:r w:rsidRPr="0003340F">
        <w:rPr>
          <w:b w:val="0"/>
        </w:rPr>
        <w:t>Kalil</w:t>
      </w:r>
      <w:proofErr w:type="spellEnd"/>
      <w:r w:rsidR="00DC44E5">
        <w:rPr>
          <w:b w:val="0"/>
        </w:rPr>
        <w:t>,</w:t>
      </w:r>
      <w:r w:rsidRPr="0003340F">
        <w:rPr>
          <w:b w:val="0"/>
        </w:rPr>
        <w:t xml:space="preserve"> A</w:t>
      </w:r>
      <w:r w:rsidR="00DC44E5">
        <w:rPr>
          <w:b w:val="0"/>
        </w:rPr>
        <w:t>.</w:t>
      </w:r>
      <w:r w:rsidRPr="0003340F">
        <w:rPr>
          <w:b w:val="0"/>
        </w:rPr>
        <w:t xml:space="preserve">C. Treating COVID-19-Off-Label Drug Use, Compassionate Use, and Randomized Clinical Trials During Pandemics. JAMA 2020; published online Mar 24. </w:t>
      </w:r>
    </w:p>
    <w:p w:rsidR="0003340F" w:rsidRPr="0003340F" w:rsidRDefault="0003340F" w:rsidP="0003340F">
      <w:pPr>
        <w:pStyle w:val="MDPI21heading1"/>
        <w:spacing w:before="0" w:after="0"/>
        <w:ind w:left="200" w:hangingChars="100" w:hanging="200"/>
        <w:jc w:val="both"/>
        <w:rPr>
          <w:b w:val="0"/>
        </w:rPr>
      </w:pPr>
      <w:r w:rsidRPr="0003340F">
        <w:rPr>
          <w:b w:val="0"/>
        </w:rPr>
        <w:lastRenderedPageBreak/>
        <w:t>8. Omer</w:t>
      </w:r>
      <w:r w:rsidR="00DC44E5">
        <w:rPr>
          <w:b w:val="0"/>
        </w:rPr>
        <w:t>,</w:t>
      </w:r>
      <w:r w:rsidRPr="0003340F">
        <w:rPr>
          <w:b w:val="0"/>
        </w:rPr>
        <w:t xml:space="preserve"> S</w:t>
      </w:r>
      <w:r w:rsidR="00DC44E5">
        <w:rPr>
          <w:b w:val="0"/>
        </w:rPr>
        <w:t>.</w:t>
      </w:r>
      <w:r w:rsidRPr="0003340F">
        <w:rPr>
          <w:b w:val="0"/>
        </w:rPr>
        <w:t>B</w:t>
      </w:r>
      <w:r w:rsidR="00DC44E5">
        <w:rPr>
          <w:b w:val="0"/>
        </w:rPr>
        <w:t>.;</w:t>
      </w:r>
      <w:r w:rsidRPr="0003340F">
        <w:rPr>
          <w:b w:val="0"/>
        </w:rPr>
        <w:t xml:space="preserve"> </w:t>
      </w:r>
      <w:proofErr w:type="spellStart"/>
      <w:r w:rsidRPr="0003340F">
        <w:rPr>
          <w:b w:val="0"/>
        </w:rPr>
        <w:t>Malani</w:t>
      </w:r>
      <w:proofErr w:type="spellEnd"/>
      <w:r w:rsidR="00DC44E5">
        <w:rPr>
          <w:b w:val="0"/>
        </w:rPr>
        <w:t>,</w:t>
      </w:r>
      <w:r w:rsidRPr="0003340F">
        <w:rPr>
          <w:b w:val="0"/>
        </w:rPr>
        <w:t xml:space="preserve"> P</w:t>
      </w:r>
      <w:r w:rsidR="00DC44E5">
        <w:rPr>
          <w:b w:val="0"/>
        </w:rPr>
        <w:t>.;</w:t>
      </w:r>
      <w:r w:rsidRPr="0003340F">
        <w:rPr>
          <w:b w:val="0"/>
        </w:rPr>
        <w:t xml:space="preserve"> Del</w:t>
      </w:r>
      <w:r w:rsidR="00DC44E5">
        <w:rPr>
          <w:b w:val="0"/>
        </w:rPr>
        <w:t>,</w:t>
      </w:r>
      <w:r w:rsidRPr="0003340F">
        <w:rPr>
          <w:b w:val="0"/>
        </w:rPr>
        <w:t xml:space="preserve"> Rio</w:t>
      </w:r>
      <w:r w:rsidR="00DC44E5">
        <w:rPr>
          <w:b w:val="0"/>
        </w:rPr>
        <w:t>.</w:t>
      </w:r>
      <w:r w:rsidRPr="0003340F">
        <w:rPr>
          <w:b w:val="0"/>
        </w:rPr>
        <w:t xml:space="preserve"> C. The COVID-19 Pandemic in the US: A Clinical Update. </w:t>
      </w:r>
      <w:r w:rsidRPr="00E9171C">
        <w:rPr>
          <w:b w:val="0"/>
          <w:i/>
        </w:rPr>
        <w:t>JAMA</w:t>
      </w:r>
      <w:r w:rsidR="00E9171C">
        <w:rPr>
          <w:b w:val="0"/>
          <w:i/>
        </w:rPr>
        <w:t>.</w:t>
      </w:r>
      <w:r w:rsidRPr="0003340F">
        <w:rPr>
          <w:b w:val="0"/>
        </w:rPr>
        <w:t xml:space="preserve"> </w:t>
      </w:r>
      <w:r w:rsidRPr="00E9171C">
        <w:t>2020</w:t>
      </w:r>
      <w:r w:rsidRPr="0003340F">
        <w:rPr>
          <w:b w:val="0"/>
        </w:rPr>
        <w:t xml:space="preserve">; published online Apr 6. </w:t>
      </w:r>
    </w:p>
    <w:p w:rsidR="0003340F" w:rsidRPr="0003340F" w:rsidRDefault="0003340F" w:rsidP="0003340F">
      <w:pPr>
        <w:pStyle w:val="MDPI21heading1"/>
        <w:spacing w:before="0" w:after="0"/>
        <w:ind w:left="200" w:hangingChars="100" w:hanging="200"/>
        <w:jc w:val="both"/>
        <w:rPr>
          <w:b w:val="0"/>
        </w:rPr>
      </w:pPr>
      <w:r w:rsidRPr="0003340F">
        <w:rPr>
          <w:b w:val="0"/>
        </w:rPr>
        <w:t>9. World Health Organization. A research and development blueprint for action to prevent epidemics. https://www.who.int/blueprint/en/ (accessed Apr 11, 2020).</w:t>
      </w:r>
    </w:p>
    <w:p w:rsidR="0003340F" w:rsidRPr="0003340F" w:rsidRDefault="0003340F" w:rsidP="0003340F">
      <w:pPr>
        <w:pStyle w:val="MDPI21heading1"/>
        <w:spacing w:before="0" w:after="0"/>
        <w:ind w:left="200" w:hangingChars="100" w:hanging="200"/>
        <w:jc w:val="both"/>
        <w:rPr>
          <w:b w:val="0"/>
        </w:rPr>
      </w:pPr>
      <w:r w:rsidRPr="0003340F">
        <w:rPr>
          <w:b w:val="0"/>
        </w:rPr>
        <w:t>10. World Health Organization. SARS (severe acute respiratory syndrome). https://www.who.int/ith/diseases/sars/en/ (accessed Mar 25, 2020).</w:t>
      </w:r>
    </w:p>
    <w:p w:rsidR="0003340F" w:rsidRPr="0003340F" w:rsidRDefault="0003340F" w:rsidP="0003340F">
      <w:pPr>
        <w:pStyle w:val="MDPI21heading1"/>
        <w:spacing w:before="0" w:after="0"/>
        <w:ind w:left="200" w:hangingChars="100" w:hanging="200"/>
        <w:jc w:val="both"/>
        <w:rPr>
          <w:b w:val="0"/>
        </w:rPr>
      </w:pPr>
      <w:r w:rsidRPr="0003340F">
        <w:rPr>
          <w:b w:val="0"/>
        </w:rPr>
        <w:t>11. Peiris</w:t>
      </w:r>
      <w:r w:rsidR="00DC44E5">
        <w:rPr>
          <w:b w:val="0"/>
        </w:rPr>
        <w:t>,</w:t>
      </w:r>
      <w:r w:rsidRPr="0003340F">
        <w:rPr>
          <w:b w:val="0"/>
        </w:rPr>
        <w:t xml:space="preserve"> J</w:t>
      </w:r>
      <w:r w:rsidR="00DC44E5">
        <w:rPr>
          <w:b w:val="0"/>
        </w:rPr>
        <w:t>.S.;</w:t>
      </w:r>
      <w:r w:rsidRPr="0003340F">
        <w:rPr>
          <w:b w:val="0"/>
        </w:rPr>
        <w:t xml:space="preserve"> Yuen</w:t>
      </w:r>
      <w:r w:rsidR="00DC44E5">
        <w:rPr>
          <w:b w:val="0"/>
        </w:rPr>
        <w:t>,</w:t>
      </w:r>
      <w:r w:rsidRPr="0003340F">
        <w:rPr>
          <w:b w:val="0"/>
        </w:rPr>
        <w:t xml:space="preserve"> K</w:t>
      </w:r>
      <w:r w:rsidR="00DC44E5">
        <w:rPr>
          <w:b w:val="0"/>
        </w:rPr>
        <w:t>.</w:t>
      </w:r>
      <w:r w:rsidRPr="0003340F">
        <w:rPr>
          <w:b w:val="0"/>
        </w:rPr>
        <w:t>Y</w:t>
      </w:r>
      <w:r w:rsidR="00DC44E5">
        <w:rPr>
          <w:b w:val="0"/>
        </w:rPr>
        <w:t>.;</w:t>
      </w:r>
      <w:r w:rsidRPr="0003340F">
        <w:rPr>
          <w:b w:val="0"/>
        </w:rPr>
        <w:t xml:space="preserve"> Osterhaus</w:t>
      </w:r>
      <w:r w:rsidR="00DC44E5">
        <w:rPr>
          <w:b w:val="0"/>
        </w:rPr>
        <w:t>,</w:t>
      </w:r>
      <w:r w:rsidRPr="0003340F">
        <w:rPr>
          <w:b w:val="0"/>
        </w:rPr>
        <w:t xml:space="preserve"> A</w:t>
      </w:r>
      <w:r w:rsidR="00DC44E5">
        <w:rPr>
          <w:b w:val="0"/>
        </w:rPr>
        <w:t>.</w:t>
      </w:r>
      <w:r w:rsidRPr="0003340F">
        <w:rPr>
          <w:b w:val="0"/>
        </w:rPr>
        <w:t>D</w:t>
      </w:r>
      <w:r w:rsidR="00DC44E5">
        <w:rPr>
          <w:b w:val="0"/>
        </w:rPr>
        <w:t>.;</w:t>
      </w:r>
      <w:r w:rsidRPr="0003340F">
        <w:rPr>
          <w:b w:val="0"/>
        </w:rPr>
        <w:t xml:space="preserve"> </w:t>
      </w:r>
      <w:proofErr w:type="spellStart"/>
      <w:r w:rsidRPr="0003340F">
        <w:rPr>
          <w:b w:val="0"/>
        </w:rPr>
        <w:t>Stöhr</w:t>
      </w:r>
      <w:proofErr w:type="spellEnd"/>
      <w:r w:rsidR="00DC44E5">
        <w:rPr>
          <w:b w:val="0"/>
        </w:rPr>
        <w:t>,</w:t>
      </w:r>
      <w:r w:rsidRPr="0003340F">
        <w:rPr>
          <w:b w:val="0"/>
        </w:rPr>
        <w:t xml:space="preserve"> K. The severe acute respiratory syndrome. </w:t>
      </w:r>
      <w:r w:rsidR="00E9171C" w:rsidRPr="00713C2F">
        <w:rPr>
          <w:b w:val="0"/>
          <w:i/>
        </w:rPr>
        <w:t>N. Engl. J. Med</w:t>
      </w:r>
      <w:r w:rsidR="00E9171C">
        <w:rPr>
          <w:b w:val="0"/>
        </w:rPr>
        <w:t>.</w:t>
      </w:r>
      <w:r w:rsidR="00E9171C" w:rsidRPr="0003340F">
        <w:rPr>
          <w:b w:val="0"/>
        </w:rPr>
        <w:t xml:space="preserve"> </w:t>
      </w:r>
      <w:r w:rsidRPr="00E9171C">
        <w:t>2003</w:t>
      </w:r>
      <w:r w:rsidRPr="0003340F">
        <w:rPr>
          <w:b w:val="0"/>
        </w:rPr>
        <w:t>; 349: 2431–</w:t>
      </w:r>
      <w:r w:rsidR="00E9171C">
        <w:rPr>
          <w:b w:val="0"/>
        </w:rPr>
        <w:t>24</w:t>
      </w:r>
      <w:r w:rsidRPr="0003340F">
        <w:rPr>
          <w:b w:val="0"/>
        </w:rPr>
        <w:t xml:space="preserve">41. </w:t>
      </w:r>
    </w:p>
    <w:p w:rsidR="0003340F" w:rsidRPr="0003340F" w:rsidRDefault="0003340F" w:rsidP="0003340F">
      <w:pPr>
        <w:pStyle w:val="MDPI21heading1"/>
        <w:spacing w:before="0" w:after="0"/>
        <w:ind w:left="200" w:hangingChars="100" w:hanging="200"/>
        <w:jc w:val="both"/>
        <w:rPr>
          <w:b w:val="0"/>
        </w:rPr>
      </w:pPr>
      <w:r w:rsidRPr="0003340F">
        <w:rPr>
          <w:b w:val="0"/>
        </w:rPr>
        <w:t>12. World Health Organization. Middle East respiratory syndrome coronavirus (MERS-</w:t>
      </w:r>
      <w:proofErr w:type="spellStart"/>
      <w:r w:rsidRPr="0003340F">
        <w:rPr>
          <w:b w:val="0"/>
        </w:rPr>
        <w:t>CoV</w:t>
      </w:r>
      <w:proofErr w:type="spellEnd"/>
      <w:r w:rsidRPr="0003340F">
        <w:rPr>
          <w:b w:val="0"/>
        </w:rPr>
        <w:t>). https://www.who.int/emergencies/mers-cov/en/ (accessed Mar 25, 2020).</w:t>
      </w:r>
    </w:p>
    <w:p w:rsidR="0003340F" w:rsidRPr="0003340F" w:rsidRDefault="0003340F" w:rsidP="0003340F">
      <w:pPr>
        <w:pStyle w:val="MDPI21heading1"/>
        <w:spacing w:before="0" w:after="0"/>
        <w:ind w:left="200" w:hangingChars="100" w:hanging="200"/>
        <w:jc w:val="both"/>
        <w:rPr>
          <w:b w:val="0"/>
        </w:rPr>
      </w:pPr>
      <w:r w:rsidRPr="0003340F">
        <w:rPr>
          <w:b w:val="0"/>
        </w:rPr>
        <w:t xml:space="preserve">13. </w:t>
      </w:r>
      <w:proofErr w:type="spellStart"/>
      <w:r w:rsidRPr="0003340F">
        <w:rPr>
          <w:b w:val="0"/>
        </w:rPr>
        <w:t>Zaki</w:t>
      </w:r>
      <w:proofErr w:type="spellEnd"/>
      <w:r w:rsidR="00DC44E5">
        <w:rPr>
          <w:b w:val="0"/>
        </w:rPr>
        <w:t>,</w:t>
      </w:r>
      <w:r w:rsidRPr="0003340F">
        <w:rPr>
          <w:b w:val="0"/>
        </w:rPr>
        <w:t xml:space="preserve"> A</w:t>
      </w:r>
      <w:r w:rsidR="00DC44E5">
        <w:rPr>
          <w:b w:val="0"/>
        </w:rPr>
        <w:t>.</w:t>
      </w:r>
      <w:r w:rsidRPr="0003340F">
        <w:rPr>
          <w:b w:val="0"/>
        </w:rPr>
        <w:t>M</w:t>
      </w:r>
      <w:r w:rsidR="00DC44E5">
        <w:rPr>
          <w:b w:val="0"/>
        </w:rPr>
        <w:t>.;</w:t>
      </w:r>
      <w:r w:rsidRPr="0003340F">
        <w:rPr>
          <w:b w:val="0"/>
        </w:rPr>
        <w:t xml:space="preserve"> van</w:t>
      </w:r>
      <w:r w:rsidR="00DC44E5">
        <w:rPr>
          <w:b w:val="0"/>
        </w:rPr>
        <w:t>,</w:t>
      </w:r>
      <w:r w:rsidRPr="0003340F">
        <w:rPr>
          <w:b w:val="0"/>
        </w:rPr>
        <w:t xml:space="preserve"> </w:t>
      </w:r>
      <w:proofErr w:type="spellStart"/>
      <w:r w:rsidRPr="0003340F">
        <w:rPr>
          <w:b w:val="0"/>
        </w:rPr>
        <w:t>Boheemen</w:t>
      </w:r>
      <w:proofErr w:type="spellEnd"/>
      <w:r w:rsidR="00DC44E5">
        <w:rPr>
          <w:b w:val="0"/>
        </w:rPr>
        <w:t>,</w:t>
      </w:r>
      <w:r w:rsidRPr="0003340F">
        <w:rPr>
          <w:b w:val="0"/>
        </w:rPr>
        <w:t xml:space="preserve"> S</w:t>
      </w:r>
      <w:r w:rsidR="00DC44E5">
        <w:rPr>
          <w:b w:val="0"/>
        </w:rPr>
        <w:t>.;</w:t>
      </w:r>
      <w:r w:rsidRPr="0003340F">
        <w:rPr>
          <w:b w:val="0"/>
        </w:rPr>
        <w:t xml:space="preserve"> </w:t>
      </w:r>
      <w:proofErr w:type="spellStart"/>
      <w:r w:rsidRPr="0003340F">
        <w:rPr>
          <w:b w:val="0"/>
        </w:rPr>
        <w:t>Bestebroer</w:t>
      </w:r>
      <w:proofErr w:type="spellEnd"/>
      <w:r w:rsidR="00DC44E5">
        <w:rPr>
          <w:b w:val="0"/>
        </w:rPr>
        <w:t>,</w:t>
      </w:r>
      <w:r w:rsidRPr="0003340F">
        <w:rPr>
          <w:b w:val="0"/>
        </w:rPr>
        <w:t xml:space="preserve"> T</w:t>
      </w:r>
      <w:r w:rsidR="00DC44E5">
        <w:rPr>
          <w:b w:val="0"/>
        </w:rPr>
        <w:t>.</w:t>
      </w:r>
      <w:r w:rsidRPr="0003340F">
        <w:rPr>
          <w:b w:val="0"/>
        </w:rPr>
        <w:t>M</w:t>
      </w:r>
      <w:r w:rsidR="00DC44E5">
        <w:rPr>
          <w:b w:val="0"/>
        </w:rPr>
        <w:t>.;</w:t>
      </w:r>
      <w:r w:rsidRPr="0003340F">
        <w:rPr>
          <w:b w:val="0"/>
        </w:rPr>
        <w:t xml:space="preserve"> Osterhaus</w:t>
      </w:r>
      <w:r w:rsidR="00DC44E5">
        <w:rPr>
          <w:b w:val="0"/>
        </w:rPr>
        <w:t>,</w:t>
      </w:r>
      <w:r w:rsidRPr="0003340F">
        <w:rPr>
          <w:b w:val="0"/>
        </w:rPr>
        <w:t xml:space="preserve"> A</w:t>
      </w:r>
      <w:r w:rsidR="00DC44E5">
        <w:rPr>
          <w:b w:val="0"/>
        </w:rPr>
        <w:t>.</w:t>
      </w:r>
      <w:r w:rsidRPr="0003340F">
        <w:rPr>
          <w:b w:val="0"/>
        </w:rPr>
        <w:t>D</w:t>
      </w:r>
      <w:r w:rsidR="00DC44E5">
        <w:rPr>
          <w:b w:val="0"/>
        </w:rPr>
        <w:t>.;</w:t>
      </w:r>
      <w:r w:rsidRPr="0003340F">
        <w:rPr>
          <w:b w:val="0"/>
        </w:rPr>
        <w:t xml:space="preserve"> </w:t>
      </w:r>
      <w:proofErr w:type="spellStart"/>
      <w:r w:rsidRPr="0003340F">
        <w:rPr>
          <w:b w:val="0"/>
        </w:rPr>
        <w:t>Fouchier</w:t>
      </w:r>
      <w:proofErr w:type="spellEnd"/>
      <w:r w:rsidR="00DC44E5">
        <w:rPr>
          <w:b w:val="0"/>
        </w:rPr>
        <w:t>,</w:t>
      </w:r>
      <w:r w:rsidRPr="0003340F">
        <w:rPr>
          <w:b w:val="0"/>
        </w:rPr>
        <w:t xml:space="preserve"> R</w:t>
      </w:r>
      <w:r w:rsidR="00DC44E5">
        <w:rPr>
          <w:b w:val="0"/>
        </w:rPr>
        <w:t>.</w:t>
      </w:r>
      <w:r w:rsidRPr="0003340F">
        <w:rPr>
          <w:b w:val="0"/>
        </w:rPr>
        <w:t>A. Isolation of a novel coronavirus from a man with pneumonia in Saudi Arabia</w:t>
      </w:r>
      <w:r w:rsidR="00E9171C" w:rsidRPr="00E9171C">
        <w:rPr>
          <w:b w:val="0"/>
          <w:i/>
        </w:rPr>
        <w:t xml:space="preserve"> </w:t>
      </w:r>
      <w:r w:rsidR="00E9171C" w:rsidRPr="00713C2F">
        <w:rPr>
          <w:b w:val="0"/>
          <w:i/>
        </w:rPr>
        <w:t>N. Engl. J. Med</w:t>
      </w:r>
      <w:r w:rsidR="00E9171C">
        <w:rPr>
          <w:b w:val="0"/>
        </w:rPr>
        <w:t>.</w:t>
      </w:r>
      <w:r w:rsidR="00E9171C" w:rsidRPr="0003340F">
        <w:rPr>
          <w:b w:val="0"/>
        </w:rPr>
        <w:t xml:space="preserve"> </w:t>
      </w:r>
      <w:r w:rsidRPr="00E9171C">
        <w:t>2012</w:t>
      </w:r>
      <w:r w:rsidRPr="0003340F">
        <w:rPr>
          <w:b w:val="0"/>
        </w:rPr>
        <w:t>; 367: 1814–</w:t>
      </w:r>
      <w:r w:rsidR="00E9171C">
        <w:rPr>
          <w:b w:val="0"/>
        </w:rPr>
        <w:t>18</w:t>
      </w:r>
      <w:r w:rsidRPr="0003340F">
        <w:rPr>
          <w:b w:val="0"/>
        </w:rPr>
        <w:t xml:space="preserve">20. </w:t>
      </w:r>
    </w:p>
    <w:p w:rsidR="0003340F" w:rsidRPr="0003340F" w:rsidRDefault="0003340F" w:rsidP="0003340F">
      <w:pPr>
        <w:pStyle w:val="MDPI21heading1"/>
        <w:spacing w:before="0" w:after="0"/>
        <w:ind w:left="200" w:hangingChars="100" w:hanging="200"/>
        <w:jc w:val="both"/>
        <w:rPr>
          <w:b w:val="0"/>
        </w:rPr>
      </w:pPr>
      <w:r w:rsidRPr="0003340F">
        <w:rPr>
          <w:b w:val="0"/>
          <w:lang w:val="fr-FR"/>
        </w:rPr>
        <w:t>14. Cheng</w:t>
      </w:r>
      <w:r w:rsidR="00DC44E5">
        <w:rPr>
          <w:b w:val="0"/>
          <w:lang w:val="fr-FR"/>
        </w:rPr>
        <w:t>,</w:t>
      </w:r>
      <w:r w:rsidRPr="0003340F">
        <w:rPr>
          <w:b w:val="0"/>
          <w:lang w:val="fr-FR"/>
        </w:rPr>
        <w:t xml:space="preserve"> V</w:t>
      </w:r>
      <w:r w:rsidR="00DC44E5">
        <w:rPr>
          <w:b w:val="0"/>
          <w:lang w:val="fr-FR"/>
        </w:rPr>
        <w:t>.</w:t>
      </w:r>
      <w:r w:rsidRPr="0003340F">
        <w:rPr>
          <w:b w:val="0"/>
          <w:lang w:val="fr-FR"/>
        </w:rPr>
        <w:t>C</w:t>
      </w:r>
      <w:r w:rsidR="00DC44E5">
        <w:rPr>
          <w:b w:val="0"/>
          <w:lang w:val="fr-FR"/>
        </w:rPr>
        <w:t>. ;</w:t>
      </w:r>
      <w:r w:rsidRPr="0003340F">
        <w:rPr>
          <w:b w:val="0"/>
          <w:lang w:val="fr-FR"/>
        </w:rPr>
        <w:t xml:space="preserve"> Lau</w:t>
      </w:r>
      <w:r w:rsidR="00DC44E5">
        <w:rPr>
          <w:b w:val="0"/>
          <w:lang w:val="fr-FR"/>
        </w:rPr>
        <w:t>,</w:t>
      </w:r>
      <w:r w:rsidRPr="0003340F">
        <w:rPr>
          <w:b w:val="0"/>
          <w:lang w:val="fr-FR"/>
        </w:rPr>
        <w:t xml:space="preserve"> S</w:t>
      </w:r>
      <w:r w:rsidR="00DC44E5">
        <w:rPr>
          <w:b w:val="0"/>
          <w:lang w:val="fr-FR"/>
        </w:rPr>
        <w:t>.</w:t>
      </w:r>
      <w:r w:rsidRPr="0003340F">
        <w:rPr>
          <w:b w:val="0"/>
          <w:lang w:val="fr-FR"/>
        </w:rPr>
        <w:t>K</w:t>
      </w:r>
      <w:r w:rsidR="00DC44E5">
        <w:rPr>
          <w:b w:val="0"/>
          <w:lang w:val="fr-FR"/>
        </w:rPr>
        <w:t>. ;</w:t>
      </w:r>
      <w:r w:rsidRPr="0003340F">
        <w:rPr>
          <w:b w:val="0"/>
          <w:lang w:val="fr-FR"/>
        </w:rPr>
        <w:t xml:space="preserve"> Woo</w:t>
      </w:r>
      <w:r w:rsidR="00DC44E5">
        <w:rPr>
          <w:b w:val="0"/>
          <w:lang w:val="fr-FR"/>
        </w:rPr>
        <w:t>,</w:t>
      </w:r>
      <w:r w:rsidRPr="0003340F">
        <w:rPr>
          <w:b w:val="0"/>
          <w:lang w:val="fr-FR"/>
        </w:rPr>
        <w:t xml:space="preserve"> P</w:t>
      </w:r>
      <w:r w:rsidR="00DC44E5">
        <w:rPr>
          <w:b w:val="0"/>
          <w:lang w:val="fr-FR"/>
        </w:rPr>
        <w:t>.</w:t>
      </w:r>
      <w:r w:rsidRPr="0003340F">
        <w:rPr>
          <w:b w:val="0"/>
          <w:lang w:val="fr-FR"/>
        </w:rPr>
        <w:t>C</w:t>
      </w:r>
      <w:r w:rsidR="00DC44E5">
        <w:rPr>
          <w:b w:val="0"/>
          <w:lang w:val="fr-FR"/>
        </w:rPr>
        <w:t>. ;</w:t>
      </w:r>
      <w:r w:rsidRPr="0003340F">
        <w:rPr>
          <w:b w:val="0"/>
          <w:lang w:val="fr-FR"/>
        </w:rPr>
        <w:t xml:space="preserve"> </w:t>
      </w:r>
      <w:proofErr w:type="spellStart"/>
      <w:r w:rsidRPr="0003340F">
        <w:rPr>
          <w:b w:val="0"/>
          <w:lang w:val="fr-FR"/>
        </w:rPr>
        <w:t>Yuen</w:t>
      </w:r>
      <w:proofErr w:type="spellEnd"/>
      <w:r w:rsidR="00DC44E5">
        <w:rPr>
          <w:b w:val="0"/>
          <w:lang w:val="fr-FR"/>
        </w:rPr>
        <w:t>,</w:t>
      </w:r>
      <w:r w:rsidRPr="0003340F">
        <w:rPr>
          <w:b w:val="0"/>
          <w:lang w:val="fr-FR"/>
        </w:rPr>
        <w:t xml:space="preserve"> K</w:t>
      </w:r>
      <w:r w:rsidR="00DC44E5">
        <w:rPr>
          <w:b w:val="0"/>
          <w:lang w:val="fr-FR"/>
        </w:rPr>
        <w:t>.</w:t>
      </w:r>
      <w:r w:rsidRPr="0003340F">
        <w:rPr>
          <w:b w:val="0"/>
          <w:lang w:val="fr-FR"/>
        </w:rPr>
        <w:t xml:space="preserve">Y. </w:t>
      </w:r>
      <w:r w:rsidRPr="0003340F">
        <w:rPr>
          <w:b w:val="0"/>
        </w:rPr>
        <w:t xml:space="preserve">Severe acute respiratory syndrome coronavirus as an agent of emerging and reemerging infection. </w:t>
      </w:r>
      <w:r w:rsidRPr="00E9171C">
        <w:rPr>
          <w:b w:val="0"/>
          <w:i/>
        </w:rPr>
        <w:t>Clin</w:t>
      </w:r>
      <w:r w:rsidR="00E9171C">
        <w:rPr>
          <w:b w:val="0"/>
          <w:i/>
        </w:rPr>
        <w:t>.</w:t>
      </w:r>
      <w:r w:rsidRPr="00E9171C">
        <w:rPr>
          <w:b w:val="0"/>
          <w:i/>
        </w:rPr>
        <w:t xml:space="preserve"> Microbiol</w:t>
      </w:r>
      <w:r w:rsidR="00E9171C">
        <w:rPr>
          <w:b w:val="0"/>
          <w:i/>
        </w:rPr>
        <w:t>.</w:t>
      </w:r>
      <w:r w:rsidRPr="00E9171C">
        <w:rPr>
          <w:b w:val="0"/>
          <w:i/>
        </w:rPr>
        <w:t xml:space="preserve"> Rev</w:t>
      </w:r>
      <w:r w:rsidR="00E9171C">
        <w:rPr>
          <w:b w:val="0"/>
          <w:i/>
        </w:rPr>
        <w:t>.</w:t>
      </w:r>
      <w:r w:rsidRPr="0003340F">
        <w:rPr>
          <w:b w:val="0"/>
        </w:rPr>
        <w:t xml:space="preserve"> </w:t>
      </w:r>
      <w:r w:rsidRPr="00E9171C">
        <w:t>2007</w:t>
      </w:r>
      <w:r w:rsidRPr="0003340F">
        <w:rPr>
          <w:b w:val="0"/>
        </w:rPr>
        <w:t>; 20:660-</w:t>
      </w:r>
      <w:r w:rsidR="00E9171C">
        <w:rPr>
          <w:b w:val="0"/>
        </w:rPr>
        <w:t>6</w:t>
      </w:r>
      <w:r w:rsidRPr="0003340F">
        <w:rPr>
          <w:b w:val="0"/>
        </w:rPr>
        <w:t xml:space="preserve">94. </w:t>
      </w:r>
    </w:p>
    <w:p w:rsidR="0003340F" w:rsidRPr="0003340F" w:rsidRDefault="0003340F" w:rsidP="0003340F">
      <w:pPr>
        <w:pStyle w:val="MDPI21heading1"/>
        <w:spacing w:before="0" w:after="0"/>
        <w:ind w:left="200" w:hangingChars="100" w:hanging="200"/>
        <w:jc w:val="both"/>
        <w:rPr>
          <w:b w:val="0"/>
        </w:rPr>
      </w:pPr>
      <w:r w:rsidRPr="0003340F">
        <w:rPr>
          <w:b w:val="0"/>
        </w:rPr>
        <w:t>15. Chan</w:t>
      </w:r>
      <w:r w:rsidR="00DC44E5">
        <w:rPr>
          <w:b w:val="0"/>
        </w:rPr>
        <w:t>,</w:t>
      </w:r>
      <w:r w:rsidRPr="0003340F">
        <w:rPr>
          <w:b w:val="0"/>
        </w:rPr>
        <w:t xml:space="preserve"> J</w:t>
      </w:r>
      <w:r w:rsidR="00DC44E5">
        <w:rPr>
          <w:b w:val="0"/>
        </w:rPr>
        <w:t>.</w:t>
      </w:r>
      <w:r w:rsidRPr="0003340F">
        <w:rPr>
          <w:b w:val="0"/>
        </w:rPr>
        <w:t>F</w:t>
      </w:r>
      <w:r w:rsidR="00DC44E5">
        <w:rPr>
          <w:b w:val="0"/>
        </w:rPr>
        <w:t>.;</w:t>
      </w:r>
      <w:r w:rsidRPr="0003340F">
        <w:rPr>
          <w:b w:val="0"/>
        </w:rPr>
        <w:t xml:space="preserve"> Lau</w:t>
      </w:r>
      <w:r w:rsidR="00DC44E5">
        <w:rPr>
          <w:b w:val="0"/>
        </w:rPr>
        <w:t>,</w:t>
      </w:r>
      <w:r w:rsidRPr="0003340F">
        <w:rPr>
          <w:b w:val="0"/>
        </w:rPr>
        <w:t xml:space="preserve"> S</w:t>
      </w:r>
      <w:r w:rsidR="00DC44E5">
        <w:rPr>
          <w:b w:val="0"/>
        </w:rPr>
        <w:t>.</w:t>
      </w:r>
      <w:r w:rsidRPr="0003340F">
        <w:rPr>
          <w:b w:val="0"/>
        </w:rPr>
        <w:t>K</w:t>
      </w:r>
      <w:r w:rsidR="00DC44E5">
        <w:rPr>
          <w:b w:val="0"/>
        </w:rPr>
        <w:t>.;</w:t>
      </w:r>
      <w:r w:rsidRPr="0003340F">
        <w:rPr>
          <w:b w:val="0"/>
        </w:rPr>
        <w:t xml:space="preserve"> To</w:t>
      </w:r>
      <w:r w:rsidR="00DC44E5">
        <w:rPr>
          <w:b w:val="0"/>
        </w:rPr>
        <w:t>,</w:t>
      </w:r>
      <w:r w:rsidRPr="0003340F">
        <w:rPr>
          <w:b w:val="0"/>
        </w:rPr>
        <w:t xml:space="preserve"> K</w:t>
      </w:r>
      <w:r w:rsidR="00DC44E5">
        <w:rPr>
          <w:b w:val="0"/>
        </w:rPr>
        <w:t>.</w:t>
      </w:r>
      <w:r w:rsidRPr="0003340F">
        <w:rPr>
          <w:b w:val="0"/>
        </w:rPr>
        <w:t>K</w:t>
      </w:r>
      <w:r w:rsidR="00DC44E5">
        <w:rPr>
          <w:b w:val="0"/>
        </w:rPr>
        <w:t>.;</w:t>
      </w:r>
      <w:r w:rsidRPr="0003340F">
        <w:rPr>
          <w:b w:val="0"/>
        </w:rPr>
        <w:t xml:space="preserve"> Cheng</w:t>
      </w:r>
      <w:r w:rsidR="00DC44E5">
        <w:rPr>
          <w:b w:val="0"/>
        </w:rPr>
        <w:t>,</w:t>
      </w:r>
      <w:r w:rsidRPr="0003340F">
        <w:rPr>
          <w:b w:val="0"/>
        </w:rPr>
        <w:t xml:space="preserve"> V</w:t>
      </w:r>
      <w:r w:rsidR="00DC44E5">
        <w:rPr>
          <w:b w:val="0"/>
        </w:rPr>
        <w:t>.</w:t>
      </w:r>
      <w:r w:rsidRPr="0003340F">
        <w:rPr>
          <w:b w:val="0"/>
        </w:rPr>
        <w:t>C</w:t>
      </w:r>
      <w:r w:rsidR="00DC44E5">
        <w:rPr>
          <w:b w:val="0"/>
        </w:rPr>
        <w:t>.;</w:t>
      </w:r>
      <w:r w:rsidRPr="0003340F">
        <w:rPr>
          <w:b w:val="0"/>
        </w:rPr>
        <w:t xml:space="preserve"> Woo</w:t>
      </w:r>
      <w:r w:rsidR="00DC44E5">
        <w:rPr>
          <w:b w:val="0"/>
        </w:rPr>
        <w:t>,</w:t>
      </w:r>
      <w:r w:rsidRPr="0003340F">
        <w:rPr>
          <w:b w:val="0"/>
        </w:rPr>
        <w:t xml:space="preserve"> P</w:t>
      </w:r>
      <w:r w:rsidR="00DC44E5">
        <w:rPr>
          <w:b w:val="0"/>
        </w:rPr>
        <w:t>.</w:t>
      </w:r>
      <w:r w:rsidRPr="0003340F">
        <w:rPr>
          <w:b w:val="0"/>
        </w:rPr>
        <w:t>C</w:t>
      </w:r>
      <w:r w:rsidR="00DC44E5">
        <w:rPr>
          <w:b w:val="0"/>
        </w:rPr>
        <w:t>.;</w:t>
      </w:r>
      <w:r w:rsidRPr="0003340F">
        <w:rPr>
          <w:b w:val="0"/>
        </w:rPr>
        <w:t xml:space="preserve"> Yuen</w:t>
      </w:r>
      <w:r w:rsidR="00DC44E5">
        <w:rPr>
          <w:b w:val="0"/>
        </w:rPr>
        <w:t>,</w:t>
      </w:r>
      <w:r w:rsidRPr="0003340F">
        <w:rPr>
          <w:b w:val="0"/>
        </w:rPr>
        <w:t xml:space="preserve"> K</w:t>
      </w:r>
      <w:r w:rsidR="00DC44E5">
        <w:rPr>
          <w:b w:val="0"/>
        </w:rPr>
        <w:t>.</w:t>
      </w:r>
      <w:r w:rsidRPr="0003340F">
        <w:rPr>
          <w:b w:val="0"/>
        </w:rPr>
        <w:t xml:space="preserve">Y. Middle East respiratory syndrome coronavirus: another zoonotic </w:t>
      </w:r>
      <w:proofErr w:type="spellStart"/>
      <w:r w:rsidRPr="0003340F">
        <w:rPr>
          <w:b w:val="0"/>
        </w:rPr>
        <w:t>betacoronavirus</w:t>
      </w:r>
      <w:proofErr w:type="spellEnd"/>
      <w:r w:rsidRPr="0003340F">
        <w:rPr>
          <w:b w:val="0"/>
        </w:rPr>
        <w:t xml:space="preserve"> causing SARS-like disease. </w:t>
      </w:r>
      <w:r w:rsidR="00E9171C" w:rsidRPr="00E9171C">
        <w:rPr>
          <w:b w:val="0"/>
          <w:i/>
        </w:rPr>
        <w:t>Clin</w:t>
      </w:r>
      <w:r w:rsidR="00E9171C">
        <w:rPr>
          <w:b w:val="0"/>
          <w:i/>
        </w:rPr>
        <w:t>.</w:t>
      </w:r>
      <w:r w:rsidR="00E9171C" w:rsidRPr="00E9171C">
        <w:rPr>
          <w:b w:val="0"/>
          <w:i/>
        </w:rPr>
        <w:t xml:space="preserve"> Microbiol</w:t>
      </w:r>
      <w:r w:rsidR="00E9171C">
        <w:rPr>
          <w:b w:val="0"/>
          <w:i/>
        </w:rPr>
        <w:t>.</w:t>
      </w:r>
      <w:r w:rsidR="00E9171C" w:rsidRPr="00E9171C">
        <w:rPr>
          <w:b w:val="0"/>
          <w:i/>
        </w:rPr>
        <w:t xml:space="preserve"> Rev</w:t>
      </w:r>
      <w:r w:rsidR="00E9171C">
        <w:rPr>
          <w:b w:val="0"/>
          <w:i/>
        </w:rPr>
        <w:t>.</w:t>
      </w:r>
      <w:r w:rsidR="00E9171C" w:rsidRPr="0003340F">
        <w:rPr>
          <w:b w:val="0"/>
        </w:rPr>
        <w:t xml:space="preserve"> </w:t>
      </w:r>
      <w:r w:rsidRPr="00E9171C">
        <w:t>2015</w:t>
      </w:r>
      <w:r w:rsidRPr="0003340F">
        <w:rPr>
          <w:b w:val="0"/>
        </w:rPr>
        <w:t xml:space="preserve">; 28:465-522. </w:t>
      </w:r>
    </w:p>
    <w:p w:rsidR="0003340F" w:rsidRPr="0003340F" w:rsidRDefault="0003340F" w:rsidP="0003340F">
      <w:pPr>
        <w:pStyle w:val="MDPI21heading1"/>
        <w:spacing w:before="0" w:after="0"/>
        <w:ind w:left="200" w:hangingChars="100" w:hanging="200"/>
        <w:jc w:val="both"/>
        <w:rPr>
          <w:b w:val="0"/>
        </w:rPr>
      </w:pPr>
      <w:r w:rsidRPr="0003340F">
        <w:rPr>
          <w:b w:val="0"/>
        </w:rPr>
        <w:t xml:space="preserve">16. </w:t>
      </w:r>
      <w:proofErr w:type="spellStart"/>
      <w:r w:rsidRPr="0003340F">
        <w:rPr>
          <w:b w:val="0"/>
        </w:rPr>
        <w:t>Tisoncik</w:t>
      </w:r>
      <w:proofErr w:type="spellEnd"/>
      <w:r w:rsidR="00DC44E5">
        <w:rPr>
          <w:b w:val="0"/>
        </w:rPr>
        <w:t>,</w:t>
      </w:r>
      <w:r w:rsidRPr="0003340F">
        <w:rPr>
          <w:b w:val="0"/>
        </w:rPr>
        <w:t xml:space="preserve"> J</w:t>
      </w:r>
      <w:r w:rsidR="00DC44E5">
        <w:rPr>
          <w:b w:val="0"/>
        </w:rPr>
        <w:t>.</w:t>
      </w:r>
      <w:r w:rsidRPr="0003340F">
        <w:rPr>
          <w:b w:val="0"/>
        </w:rPr>
        <w:t>R</w:t>
      </w:r>
      <w:r w:rsidR="00DC44E5">
        <w:rPr>
          <w:b w:val="0"/>
        </w:rPr>
        <w:t>.;</w:t>
      </w:r>
      <w:r w:rsidRPr="0003340F">
        <w:rPr>
          <w:b w:val="0"/>
        </w:rPr>
        <w:t xml:space="preserve"> </w:t>
      </w:r>
      <w:proofErr w:type="spellStart"/>
      <w:r w:rsidRPr="0003340F">
        <w:rPr>
          <w:b w:val="0"/>
        </w:rPr>
        <w:t>Korth</w:t>
      </w:r>
      <w:proofErr w:type="spellEnd"/>
      <w:r w:rsidR="00DC44E5">
        <w:rPr>
          <w:b w:val="0"/>
        </w:rPr>
        <w:t>,</w:t>
      </w:r>
      <w:r w:rsidRPr="0003340F">
        <w:rPr>
          <w:b w:val="0"/>
        </w:rPr>
        <w:t xml:space="preserve"> M</w:t>
      </w:r>
      <w:r w:rsidR="00DC44E5">
        <w:rPr>
          <w:b w:val="0"/>
        </w:rPr>
        <w:t>.</w:t>
      </w:r>
      <w:r w:rsidRPr="0003340F">
        <w:rPr>
          <w:b w:val="0"/>
        </w:rPr>
        <w:t>J</w:t>
      </w:r>
      <w:r w:rsidR="00DC44E5">
        <w:rPr>
          <w:b w:val="0"/>
        </w:rPr>
        <w:t>.;</w:t>
      </w:r>
      <w:r w:rsidRPr="0003340F">
        <w:rPr>
          <w:b w:val="0"/>
        </w:rPr>
        <w:t xml:space="preserve"> Simmons</w:t>
      </w:r>
      <w:r w:rsidR="00DC44E5">
        <w:rPr>
          <w:b w:val="0"/>
        </w:rPr>
        <w:t>,</w:t>
      </w:r>
      <w:r w:rsidRPr="0003340F">
        <w:rPr>
          <w:b w:val="0"/>
        </w:rPr>
        <w:t xml:space="preserve"> C</w:t>
      </w:r>
      <w:r w:rsidR="00DC44E5">
        <w:rPr>
          <w:b w:val="0"/>
        </w:rPr>
        <w:t>.</w:t>
      </w:r>
      <w:r w:rsidRPr="0003340F">
        <w:rPr>
          <w:b w:val="0"/>
        </w:rPr>
        <w:t>P</w:t>
      </w:r>
      <w:r w:rsidR="00DC44E5">
        <w:rPr>
          <w:b w:val="0"/>
        </w:rPr>
        <w:t>.;</w:t>
      </w:r>
      <w:r w:rsidRPr="0003340F">
        <w:rPr>
          <w:b w:val="0"/>
        </w:rPr>
        <w:t xml:space="preserve"> Farrar</w:t>
      </w:r>
      <w:r w:rsidR="00DC44E5">
        <w:rPr>
          <w:b w:val="0"/>
        </w:rPr>
        <w:t>,</w:t>
      </w:r>
      <w:r w:rsidRPr="0003340F">
        <w:rPr>
          <w:b w:val="0"/>
        </w:rPr>
        <w:t xml:space="preserve"> J</w:t>
      </w:r>
      <w:r w:rsidR="00DC44E5">
        <w:rPr>
          <w:b w:val="0"/>
        </w:rPr>
        <w:t>.;</w:t>
      </w:r>
      <w:r w:rsidRPr="0003340F">
        <w:rPr>
          <w:b w:val="0"/>
        </w:rPr>
        <w:t xml:space="preserve"> Martin</w:t>
      </w:r>
      <w:r w:rsidR="00DC44E5">
        <w:rPr>
          <w:b w:val="0"/>
        </w:rPr>
        <w:t>,</w:t>
      </w:r>
      <w:r w:rsidRPr="0003340F">
        <w:rPr>
          <w:b w:val="0"/>
        </w:rPr>
        <w:t xml:space="preserve"> T</w:t>
      </w:r>
      <w:r w:rsidR="00DC44E5">
        <w:rPr>
          <w:b w:val="0"/>
        </w:rPr>
        <w:t>.</w:t>
      </w:r>
      <w:r w:rsidRPr="0003340F">
        <w:rPr>
          <w:b w:val="0"/>
        </w:rPr>
        <w:t>R</w:t>
      </w:r>
      <w:r w:rsidR="00DC44E5">
        <w:rPr>
          <w:b w:val="0"/>
        </w:rPr>
        <w:t>.;</w:t>
      </w:r>
      <w:r w:rsidRPr="0003340F">
        <w:rPr>
          <w:b w:val="0"/>
        </w:rPr>
        <w:t xml:space="preserve"> </w:t>
      </w:r>
      <w:proofErr w:type="spellStart"/>
      <w:r w:rsidRPr="0003340F">
        <w:rPr>
          <w:b w:val="0"/>
        </w:rPr>
        <w:t>Katze</w:t>
      </w:r>
      <w:proofErr w:type="spellEnd"/>
      <w:r w:rsidR="00DC44E5">
        <w:rPr>
          <w:b w:val="0"/>
        </w:rPr>
        <w:t>,</w:t>
      </w:r>
      <w:r w:rsidRPr="0003340F">
        <w:rPr>
          <w:b w:val="0"/>
        </w:rPr>
        <w:t xml:space="preserve"> M</w:t>
      </w:r>
      <w:r w:rsidR="00DC44E5">
        <w:rPr>
          <w:b w:val="0"/>
        </w:rPr>
        <w:t>.</w:t>
      </w:r>
      <w:r w:rsidRPr="0003340F">
        <w:rPr>
          <w:b w:val="0"/>
        </w:rPr>
        <w:t xml:space="preserve">G. Into the Eye of the Cytokine Storm. </w:t>
      </w:r>
      <w:r w:rsidRPr="00E9171C">
        <w:rPr>
          <w:b w:val="0"/>
          <w:i/>
        </w:rPr>
        <w:t>Microbiol</w:t>
      </w:r>
      <w:r w:rsidR="00E9171C">
        <w:rPr>
          <w:b w:val="0"/>
          <w:i/>
        </w:rPr>
        <w:t>.</w:t>
      </w:r>
      <w:r w:rsidRPr="00E9171C">
        <w:rPr>
          <w:b w:val="0"/>
          <w:i/>
        </w:rPr>
        <w:t xml:space="preserve"> Mol</w:t>
      </w:r>
      <w:r w:rsidR="00E9171C">
        <w:rPr>
          <w:b w:val="0"/>
          <w:i/>
        </w:rPr>
        <w:t>.</w:t>
      </w:r>
      <w:r w:rsidRPr="00E9171C">
        <w:rPr>
          <w:b w:val="0"/>
          <w:i/>
        </w:rPr>
        <w:t xml:space="preserve"> Biol</w:t>
      </w:r>
      <w:r w:rsidR="00E9171C">
        <w:rPr>
          <w:b w:val="0"/>
          <w:i/>
        </w:rPr>
        <w:t>.</w:t>
      </w:r>
      <w:r w:rsidRPr="00E9171C">
        <w:rPr>
          <w:b w:val="0"/>
          <w:i/>
        </w:rPr>
        <w:t xml:space="preserve"> Rev</w:t>
      </w:r>
      <w:r w:rsidR="00E9171C">
        <w:rPr>
          <w:b w:val="0"/>
          <w:i/>
        </w:rPr>
        <w:t>.</w:t>
      </w:r>
      <w:r w:rsidRPr="0003340F">
        <w:rPr>
          <w:b w:val="0"/>
        </w:rPr>
        <w:t xml:space="preserve"> </w:t>
      </w:r>
      <w:r w:rsidRPr="00E9171C">
        <w:t>2012</w:t>
      </w:r>
      <w:r w:rsidRPr="0003340F">
        <w:rPr>
          <w:b w:val="0"/>
        </w:rPr>
        <w:t xml:space="preserve">; 76:16-32. </w:t>
      </w:r>
    </w:p>
    <w:p w:rsidR="0003340F" w:rsidRPr="0003340F" w:rsidRDefault="0003340F" w:rsidP="0003340F">
      <w:pPr>
        <w:pStyle w:val="MDPI21heading1"/>
        <w:spacing w:before="0" w:after="0"/>
        <w:ind w:left="200" w:hangingChars="100" w:hanging="200"/>
        <w:jc w:val="both"/>
        <w:rPr>
          <w:b w:val="0"/>
        </w:rPr>
      </w:pPr>
      <w:r w:rsidRPr="0003340F">
        <w:rPr>
          <w:b w:val="0"/>
        </w:rPr>
        <w:t xml:space="preserve">17. </w:t>
      </w:r>
      <w:proofErr w:type="spellStart"/>
      <w:r w:rsidRPr="0003340F">
        <w:rPr>
          <w:b w:val="0"/>
        </w:rPr>
        <w:t>Channappanavar</w:t>
      </w:r>
      <w:proofErr w:type="spellEnd"/>
      <w:r w:rsidR="00DC44E5">
        <w:rPr>
          <w:b w:val="0"/>
        </w:rPr>
        <w:t>,</w:t>
      </w:r>
      <w:r w:rsidRPr="0003340F">
        <w:rPr>
          <w:b w:val="0"/>
        </w:rPr>
        <w:t xml:space="preserve"> R</w:t>
      </w:r>
      <w:r w:rsidR="00DC44E5">
        <w:rPr>
          <w:b w:val="0"/>
        </w:rPr>
        <w:t>.;</w:t>
      </w:r>
      <w:r w:rsidRPr="0003340F">
        <w:rPr>
          <w:b w:val="0"/>
        </w:rPr>
        <w:t xml:space="preserve"> Perlman</w:t>
      </w:r>
      <w:r w:rsidR="00DC44E5">
        <w:rPr>
          <w:b w:val="0"/>
        </w:rPr>
        <w:t>,</w:t>
      </w:r>
      <w:r w:rsidRPr="0003340F">
        <w:rPr>
          <w:b w:val="0"/>
        </w:rPr>
        <w:t xml:space="preserve"> S. Pathogenic human coronavirus infections: causes and consequences of cytokine storm and immunopathology. </w:t>
      </w:r>
      <w:proofErr w:type="spellStart"/>
      <w:r w:rsidRPr="00E9171C">
        <w:rPr>
          <w:b w:val="0"/>
          <w:i/>
        </w:rPr>
        <w:t>Semin</w:t>
      </w:r>
      <w:proofErr w:type="spellEnd"/>
      <w:r w:rsidR="00E9171C" w:rsidRPr="00E9171C">
        <w:rPr>
          <w:b w:val="0"/>
          <w:i/>
        </w:rPr>
        <w:t>.</w:t>
      </w:r>
      <w:r w:rsidRPr="00E9171C">
        <w:rPr>
          <w:b w:val="0"/>
          <w:i/>
        </w:rPr>
        <w:t xml:space="preserve"> </w:t>
      </w:r>
      <w:proofErr w:type="spellStart"/>
      <w:r w:rsidRPr="00E9171C">
        <w:rPr>
          <w:b w:val="0"/>
          <w:i/>
        </w:rPr>
        <w:t>Immunopathol</w:t>
      </w:r>
      <w:proofErr w:type="spellEnd"/>
      <w:r w:rsidR="00E9171C" w:rsidRPr="00E9171C">
        <w:rPr>
          <w:b w:val="0"/>
          <w:i/>
        </w:rPr>
        <w:t>.</w:t>
      </w:r>
      <w:r w:rsidRPr="0003340F">
        <w:rPr>
          <w:b w:val="0"/>
        </w:rPr>
        <w:t xml:space="preserve"> </w:t>
      </w:r>
      <w:r w:rsidRPr="00E9171C">
        <w:t>2017</w:t>
      </w:r>
      <w:r w:rsidRPr="0003340F">
        <w:rPr>
          <w:b w:val="0"/>
        </w:rPr>
        <w:t>;39:529-</w:t>
      </w:r>
      <w:r w:rsidR="00E9171C">
        <w:rPr>
          <w:b w:val="0"/>
        </w:rPr>
        <w:t>5</w:t>
      </w:r>
      <w:r w:rsidRPr="0003340F">
        <w:rPr>
          <w:b w:val="0"/>
        </w:rPr>
        <w:t xml:space="preserve">39. </w:t>
      </w:r>
    </w:p>
    <w:p w:rsidR="0003340F" w:rsidRPr="0003340F" w:rsidRDefault="0003340F" w:rsidP="0003340F">
      <w:pPr>
        <w:pStyle w:val="MDPI21heading1"/>
        <w:spacing w:before="0" w:after="0"/>
        <w:ind w:left="200" w:hangingChars="100" w:hanging="200"/>
        <w:jc w:val="both"/>
        <w:rPr>
          <w:b w:val="0"/>
        </w:rPr>
      </w:pPr>
      <w:r w:rsidRPr="0003340F">
        <w:rPr>
          <w:b w:val="0"/>
        </w:rPr>
        <w:t>18. Mehta</w:t>
      </w:r>
      <w:r w:rsidR="00DC44E5">
        <w:rPr>
          <w:b w:val="0"/>
        </w:rPr>
        <w:t>,</w:t>
      </w:r>
      <w:r w:rsidRPr="0003340F">
        <w:rPr>
          <w:b w:val="0"/>
        </w:rPr>
        <w:t xml:space="preserve"> P</w:t>
      </w:r>
      <w:r w:rsidR="00DC44E5">
        <w:rPr>
          <w:b w:val="0"/>
        </w:rPr>
        <w:t>.;</w:t>
      </w:r>
      <w:r w:rsidRPr="0003340F">
        <w:rPr>
          <w:b w:val="0"/>
        </w:rPr>
        <w:t xml:space="preserve"> McAuley</w:t>
      </w:r>
      <w:r w:rsidR="00DC44E5">
        <w:rPr>
          <w:b w:val="0"/>
        </w:rPr>
        <w:t>,</w:t>
      </w:r>
      <w:r w:rsidRPr="0003340F">
        <w:rPr>
          <w:b w:val="0"/>
        </w:rPr>
        <w:t xml:space="preserve"> D</w:t>
      </w:r>
      <w:r w:rsidR="00DC44E5">
        <w:rPr>
          <w:b w:val="0"/>
        </w:rPr>
        <w:t>.</w:t>
      </w:r>
      <w:r w:rsidRPr="0003340F">
        <w:rPr>
          <w:b w:val="0"/>
        </w:rPr>
        <w:t>F</w:t>
      </w:r>
      <w:r w:rsidR="00DC44E5">
        <w:rPr>
          <w:b w:val="0"/>
        </w:rPr>
        <w:t>.;</w:t>
      </w:r>
      <w:r w:rsidRPr="0003340F">
        <w:rPr>
          <w:b w:val="0"/>
        </w:rPr>
        <w:t xml:space="preserve"> Brown</w:t>
      </w:r>
      <w:r w:rsidR="00DC44E5">
        <w:rPr>
          <w:b w:val="0"/>
        </w:rPr>
        <w:t>,</w:t>
      </w:r>
      <w:r w:rsidRPr="0003340F">
        <w:rPr>
          <w:b w:val="0"/>
        </w:rPr>
        <w:t xml:space="preserve"> M</w:t>
      </w:r>
      <w:r w:rsidR="00DC44E5">
        <w:rPr>
          <w:b w:val="0"/>
        </w:rPr>
        <w:t>.;</w:t>
      </w:r>
      <w:r w:rsidRPr="0003340F">
        <w:rPr>
          <w:b w:val="0"/>
        </w:rPr>
        <w:t xml:space="preserve"> Sanchez</w:t>
      </w:r>
      <w:r w:rsidR="00DC44E5">
        <w:rPr>
          <w:b w:val="0"/>
        </w:rPr>
        <w:t>,</w:t>
      </w:r>
      <w:r w:rsidRPr="0003340F">
        <w:rPr>
          <w:b w:val="0"/>
        </w:rPr>
        <w:t xml:space="preserve"> E</w:t>
      </w:r>
      <w:r w:rsidR="00DC44E5">
        <w:rPr>
          <w:b w:val="0"/>
        </w:rPr>
        <w:t>.;</w:t>
      </w:r>
      <w:r w:rsidRPr="0003340F">
        <w:rPr>
          <w:b w:val="0"/>
        </w:rPr>
        <w:t xml:space="preserve"> Tattersall</w:t>
      </w:r>
      <w:r w:rsidR="00DC44E5">
        <w:rPr>
          <w:b w:val="0"/>
        </w:rPr>
        <w:t>,</w:t>
      </w:r>
      <w:r w:rsidRPr="0003340F">
        <w:rPr>
          <w:b w:val="0"/>
        </w:rPr>
        <w:t xml:space="preserve"> R</w:t>
      </w:r>
      <w:r w:rsidR="00DC44E5">
        <w:rPr>
          <w:b w:val="0"/>
        </w:rPr>
        <w:t>.</w:t>
      </w:r>
      <w:r w:rsidRPr="0003340F">
        <w:rPr>
          <w:b w:val="0"/>
        </w:rPr>
        <w:t>S</w:t>
      </w:r>
      <w:r w:rsidR="00DC44E5">
        <w:rPr>
          <w:b w:val="0"/>
        </w:rPr>
        <w:t>.;</w:t>
      </w:r>
      <w:r w:rsidRPr="0003340F">
        <w:rPr>
          <w:b w:val="0"/>
        </w:rPr>
        <w:t xml:space="preserve"> Manson</w:t>
      </w:r>
      <w:r w:rsidR="00DC44E5">
        <w:rPr>
          <w:b w:val="0"/>
        </w:rPr>
        <w:t>,</w:t>
      </w:r>
      <w:r w:rsidRPr="0003340F">
        <w:rPr>
          <w:b w:val="0"/>
        </w:rPr>
        <w:t xml:space="preserve"> J</w:t>
      </w:r>
      <w:r w:rsidR="00DC44E5">
        <w:rPr>
          <w:b w:val="0"/>
        </w:rPr>
        <w:t>.</w:t>
      </w:r>
      <w:r w:rsidRPr="0003340F">
        <w:rPr>
          <w:b w:val="0"/>
        </w:rPr>
        <w:t>J</w:t>
      </w:r>
      <w:r w:rsidR="00DC44E5">
        <w:rPr>
          <w:b w:val="0"/>
        </w:rPr>
        <w:t>.</w:t>
      </w:r>
      <w:r w:rsidRPr="0003340F">
        <w:rPr>
          <w:b w:val="0"/>
        </w:rPr>
        <w:t xml:space="preserve"> HLH Across </w:t>
      </w:r>
      <w:proofErr w:type="spellStart"/>
      <w:r w:rsidRPr="0003340F">
        <w:rPr>
          <w:b w:val="0"/>
        </w:rPr>
        <w:t>Speciality</w:t>
      </w:r>
      <w:proofErr w:type="spellEnd"/>
      <w:r w:rsidRPr="0003340F">
        <w:rPr>
          <w:b w:val="0"/>
        </w:rPr>
        <w:t xml:space="preserve"> Collaboration, UK. COVID-19: consider cytokine storm syndromes and immunosuppression. </w:t>
      </w:r>
      <w:r w:rsidRPr="00E9171C">
        <w:rPr>
          <w:b w:val="0"/>
          <w:i/>
        </w:rPr>
        <w:t>Lancet</w:t>
      </w:r>
      <w:r w:rsidR="00E9171C" w:rsidRPr="00E9171C">
        <w:rPr>
          <w:b w:val="0"/>
          <w:i/>
        </w:rPr>
        <w:t>.</w:t>
      </w:r>
      <w:r w:rsidRPr="0003340F">
        <w:rPr>
          <w:b w:val="0"/>
        </w:rPr>
        <w:t xml:space="preserve"> </w:t>
      </w:r>
      <w:r w:rsidRPr="00E9171C">
        <w:t>2020</w:t>
      </w:r>
      <w:r w:rsidRPr="0003340F">
        <w:rPr>
          <w:b w:val="0"/>
        </w:rPr>
        <w:t>; 395:1033-</w:t>
      </w:r>
      <w:r w:rsidR="00E9171C">
        <w:rPr>
          <w:b w:val="0"/>
        </w:rPr>
        <w:t>103</w:t>
      </w:r>
      <w:r w:rsidRPr="0003340F">
        <w:rPr>
          <w:b w:val="0"/>
        </w:rPr>
        <w:t xml:space="preserve">4. </w:t>
      </w:r>
    </w:p>
    <w:p w:rsidR="0003340F" w:rsidRPr="0003340F" w:rsidRDefault="0003340F" w:rsidP="0003340F">
      <w:pPr>
        <w:pStyle w:val="MDPI21heading1"/>
        <w:spacing w:before="0" w:after="0"/>
        <w:ind w:left="200" w:hangingChars="100" w:hanging="200"/>
        <w:jc w:val="both"/>
        <w:rPr>
          <w:b w:val="0"/>
        </w:rPr>
      </w:pPr>
      <w:r w:rsidRPr="0003340F">
        <w:rPr>
          <w:b w:val="0"/>
        </w:rPr>
        <w:t>19. Nicholls</w:t>
      </w:r>
      <w:r w:rsidR="00DC44E5">
        <w:rPr>
          <w:b w:val="0"/>
        </w:rPr>
        <w:t>,</w:t>
      </w:r>
      <w:r w:rsidRPr="0003340F">
        <w:rPr>
          <w:b w:val="0"/>
        </w:rPr>
        <w:t xml:space="preserve"> J</w:t>
      </w:r>
      <w:r w:rsidR="00DC44E5">
        <w:rPr>
          <w:b w:val="0"/>
        </w:rPr>
        <w:t>.</w:t>
      </w:r>
      <w:r w:rsidRPr="0003340F">
        <w:rPr>
          <w:b w:val="0"/>
        </w:rPr>
        <w:t>M</w:t>
      </w:r>
      <w:r w:rsidR="00DC44E5">
        <w:rPr>
          <w:b w:val="0"/>
        </w:rPr>
        <w:t>.;</w:t>
      </w:r>
      <w:r w:rsidRPr="0003340F">
        <w:rPr>
          <w:b w:val="0"/>
        </w:rPr>
        <w:t xml:space="preserve"> Poon</w:t>
      </w:r>
      <w:r w:rsidR="00DC44E5">
        <w:rPr>
          <w:b w:val="0"/>
        </w:rPr>
        <w:t>,</w:t>
      </w:r>
      <w:r w:rsidRPr="0003340F">
        <w:rPr>
          <w:b w:val="0"/>
        </w:rPr>
        <w:t xml:space="preserve"> L</w:t>
      </w:r>
      <w:r w:rsidR="00DC44E5">
        <w:rPr>
          <w:b w:val="0"/>
        </w:rPr>
        <w:t>.</w:t>
      </w:r>
      <w:r w:rsidRPr="0003340F">
        <w:rPr>
          <w:b w:val="0"/>
        </w:rPr>
        <w:t>L</w:t>
      </w:r>
      <w:r w:rsidR="00DC44E5">
        <w:rPr>
          <w:b w:val="0"/>
        </w:rPr>
        <w:t>.;</w:t>
      </w:r>
      <w:r w:rsidRPr="0003340F">
        <w:rPr>
          <w:b w:val="0"/>
        </w:rPr>
        <w:t xml:space="preserve"> Lee</w:t>
      </w:r>
      <w:r w:rsidR="00DC44E5">
        <w:rPr>
          <w:b w:val="0"/>
        </w:rPr>
        <w:t>,</w:t>
      </w:r>
      <w:r w:rsidRPr="0003340F">
        <w:rPr>
          <w:b w:val="0"/>
        </w:rPr>
        <w:t xml:space="preserve"> K</w:t>
      </w:r>
      <w:r w:rsidR="00DC44E5">
        <w:rPr>
          <w:b w:val="0"/>
        </w:rPr>
        <w:t>.</w:t>
      </w:r>
      <w:r w:rsidRPr="0003340F">
        <w:rPr>
          <w:b w:val="0"/>
        </w:rPr>
        <w:t>C</w:t>
      </w:r>
      <w:r w:rsidR="00DC44E5">
        <w:rPr>
          <w:b w:val="0"/>
        </w:rPr>
        <w:t>.;</w:t>
      </w:r>
      <w:r w:rsidRPr="0003340F">
        <w:rPr>
          <w:b w:val="0"/>
        </w:rPr>
        <w:t xml:space="preserve"> Ng</w:t>
      </w:r>
      <w:r w:rsidR="00DC44E5">
        <w:rPr>
          <w:b w:val="0"/>
        </w:rPr>
        <w:t>,</w:t>
      </w:r>
      <w:r w:rsidRPr="0003340F">
        <w:rPr>
          <w:b w:val="0"/>
        </w:rPr>
        <w:t xml:space="preserve"> W</w:t>
      </w:r>
      <w:r w:rsidR="00DC44E5">
        <w:rPr>
          <w:b w:val="0"/>
        </w:rPr>
        <w:t>.</w:t>
      </w:r>
      <w:r w:rsidRPr="0003340F">
        <w:rPr>
          <w:b w:val="0"/>
        </w:rPr>
        <w:t>F</w:t>
      </w:r>
      <w:r w:rsidR="00DC44E5">
        <w:rPr>
          <w:b w:val="0"/>
        </w:rPr>
        <w:t>.;</w:t>
      </w:r>
      <w:r w:rsidRPr="0003340F">
        <w:rPr>
          <w:b w:val="0"/>
        </w:rPr>
        <w:t xml:space="preserve"> Lai</w:t>
      </w:r>
      <w:r w:rsidR="00DC44E5">
        <w:rPr>
          <w:b w:val="0"/>
        </w:rPr>
        <w:t>,</w:t>
      </w:r>
      <w:r w:rsidRPr="0003340F">
        <w:rPr>
          <w:b w:val="0"/>
        </w:rPr>
        <w:t xml:space="preserve"> S</w:t>
      </w:r>
      <w:r w:rsidR="00DC44E5">
        <w:rPr>
          <w:b w:val="0"/>
        </w:rPr>
        <w:t>.</w:t>
      </w:r>
      <w:r w:rsidRPr="0003340F">
        <w:rPr>
          <w:b w:val="0"/>
        </w:rPr>
        <w:t>T</w:t>
      </w:r>
      <w:r w:rsidR="00DC44E5">
        <w:rPr>
          <w:b w:val="0"/>
        </w:rPr>
        <w:t>.;</w:t>
      </w:r>
      <w:r w:rsidRPr="0003340F">
        <w:rPr>
          <w:b w:val="0"/>
        </w:rPr>
        <w:t xml:space="preserve"> Leung</w:t>
      </w:r>
      <w:r w:rsidR="00DC44E5">
        <w:rPr>
          <w:b w:val="0"/>
        </w:rPr>
        <w:t>,</w:t>
      </w:r>
      <w:r w:rsidRPr="0003340F">
        <w:rPr>
          <w:b w:val="0"/>
        </w:rPr>
        <w:t xml:space="preserve"> C</w:t>
      </w:r>
      <w:r w:rsidR="00DC44E5">
        <w:rPr>
          <w:b w:val="0"/>
        </w:rPr>
        <w:t>.</w:t>
      </w:r>
      <w:r w:rsidRPr="0003340F">
        <w:rPr>
          <w:b w:val="0"/>
        </w:rPr>
        <w:t>Y</w:t>
      </w:r>
      <w:r w:rsidR="00DC44E5">
        <w:rPr>
          <w:b w:val="0"/>
        </w:rPr>
        <w:t>.;</w:t>
      </w:r>
      <w:r w:rsidRPr="0003340F">
        <w:rPr>
          <w:b w:val="0"/>
        </w:rPr>
        <w:t xml:space="preserve"> </w:t>
      </w:r>
      <w:r w:rsidR="00DC44E5" w:rsidRPr="00DC44E5">
        <w:rPr>
          <w:b w:val="0"/>
        </w:rPr>
        <w:t>Chu</w:t>
      </w:r>
      <w:r w:rsidR="00DC44E5">
        <w:rPr>
          <w:b w:val="0"/>
        </w:rPr>
        <w:t>,</w:t>
      </w:r>
      <w:r w:rsidR="00DC44E5" w:rsidRPr="00DC44E5">
        <w:rPr>
          <w:b w:val="0"/>
        </w:rPr>
        <w:t xml:space="preserve"> C</w:t>
      </w:r>
      <w:r w:rsidR="00DC44E5">
        <w:rPr>
          <w:b w:val="0"/>
        </w:rPr>
        <w:t>.</w:t>
      </w:r>
      <w:r w:rsidR="00DC44E5" w:rsidRPr="00DC44E5">
        <w:rPr>
          <w:b w:val="0"/>
        </w:rPr>
        <w:t>M</w:t>
      </w:r>
      <w:r w:rsidR="00DC44E5">
        <w:rPr>
          <w:b w:val="0"/>
        </w:rPr>
        <w:t>.;</w:t>
      </w:r>
      <w:r w:rsidR="00DC44E5" w:rsidRPr="00DC44E5">
        <w:rPr>
          <w:b w:val="0"/>
        </w:rPr>
        <w:t xml:space="preserve"> Hui</w:t>
      </w:r>
      <w:r w:rsidR="00DC44E5">
        <w:rPr>
          <w:b w:val="0"/>
        </w:rPr>
        <w:t>,</w:t>
      </w:r>
      <w:r w:rsidR="00DC44E5" w:rsidRPr="00DC44E5">
        <w:rPr>
          <w:b w:val="0"/>
        </w:rPr>
        <w:t xml:space="preserve"> P</w:t>
      </w:r>
      <w:r w:rsidR="00DC44E5">
        <w:rPr>
          <w:b w:val="0"/>
        </w:rPr>
        <w:t>.</w:t>
      </w:r>
      <w:r w:rsidR="00DC44E5" w:rsidRPr="00DC44E5">
        <w:rPr>
          <w:b w:val="0"/>
        </w:rPr>
        <w:t>K</w:t>
      </w:r>
      <w:r w:rsidR="00DC44E5">
        <w:rPr>
          <w:b w:val="0"/>
        </w:rPr>
        <w:t>.;</w:t>
      </w:r>
      <w:r w:rsidR="00DC44E5" w:rsidRPr="00DC44E5">
        <w:rPr>
          <w:b w:val="0"/>
        </w:rPr>
        <w:t xml:space="preserve"> </w:t>
      </w:r>
      <w:proofErr w:type="spellStart"/>
      <w:r w:rsidR="00DC44E5" w:rsidRPr="00DC44E5">
        <w:rPr>
          <w:b w:val="0"/>
        </w:rPr>
        <w:t>Mak</w:t>
      </w:r>
      <w:proofErr w:type="spellEnd"/>
      <w:r w:rsidR="00DC44E5">
        <w:rPr>
          <w:b w:val="0"/>
        </w:rPr>
        <w:t>,</w:t>
      </w:r>
      <w:r w:rsidR="00DC44E5" w:rsidRPr="00DC44E5">
        <w:rPr>
          <w:b w:val="0"/>
        </w:rPr>
        <w:t xml:space="preserve"> K</w:t>
      </w:r>
      <w:r w:rsidR="00DC44E5">
        <w:rPr>
          <w:b w:val="0"/>
        </w:rPr>
        <w:t>.</w:t>
      </w:r>
      <w:r w:rsidR="00DC44E5" w:rsidRPr="00DC44E5">
        <w:rPr>
          <w:b w:val="0"/>
        </w:rPr>
        <w:t>L</w:t>
      </w:r>
      <w:r w:rsidR="00DC44E5">
        <w:rPr>
          <w:b w:val="0"/>
        </w:rPr>
        <w:t>.;</w:t>
      </w:r>
      <w:r w:rsidR="00DC44E5" w:rsidRPr="00DC44E5">
        <w:rPr>
          <w:b w:val="0"/>
        </w:rPr>
        <w:t xml:space="preserve"> Lim</w:t>
      </w:r>
      <w:r w:rsidR="00DC44E5">
        <w:rPr>
          <w:b w:val="0"/>
        </w:rPr>
        <w:t>,</w:t>
      </w:r>
      <w:r w:rsidR="00DC44E5" w:rsidRPr="00DC44E5">
        <w:rPr>
          <w:b w:val="0"/>
        </w:rPr>
        <w:t xml:space="preserve"> W</w:t>
      </w:r>
      <w:r w:rsidR="00DC44E5">
        <w:rPr>
          <w:b w:val="0"/>
        </w:rPr>
        <w:t xml:space="preserve">.; </w:t>
      </w:r>
      <w:r w:rsidRPr="0003340F">
        <w:rPr>
          <w:b w:val="0"/>
        </w:rPr>
        <w:t xml:space="preserve">et al. Lung pathology of fatal severe acute respiratory syndrome. </w:t>
      </w:r>
      <w:r w:rsidRPr="00E9171C">
        <w:rPr>
          <w:b w:val="0"/>
          <w:i/>
        </w:rPr>
        <w:t>Lancet</w:t>
      </w:r>
      <w:r w:rsidR="00E9171C">
        <w:rPr>
          <w:b w:val="0"/>
          <w:i/>
        </w:rPr>
        <w:t>.</w:t>
      </w:r>
      <w:r w:rsidRPr="00E9171C">
        <w:rPr>
          <w:b w:val="0"/>
          <w:i/>
        </w:rPr>
        <w:t xml:space="preserve"> </w:t>
      </w:r>
      <w:r w:rsidRPr="00E9171C">
        <w:t>2003</w:t>
      </w:r>
      <w:r w:rsidRPr="0003340F">
        <w:rPr>
          <w:b w:val="0"/>
        </w:rPr>
        <w:t>;361:1773-</w:t>
      </w:r>
      <w:r w:rsidR="00E9171C">
        <w:rPr>
          <w:b w:val="0"/>
        </w:rPr>
        <w:t>177</w:t>
      </w:r>
      <w:r w:rsidRPr="0003340F">
        <w:rPr>
          <w:b w:val="0"/>
        </w:rPr>
        <w:t xml:space="preserve">8. </w:t>
      </w:r>
    </w:p>
    <w:p w:rsidR="00DC44E5" w:rsidRDefault="0003340F" w:rsidP="0003340F">
      <w:pPr>
        <w:pStyle w:val="MDPI21heading1"/>
        <w:spacing w:before="0" w:after="0"/>
        <w:ind w:left="200" w:hangingChars="100" w:hanging="200"/>
        <w:jc w:val="both"/>
        <w:rPr>
          <w:b w:val="0"/>
        </w:rPr>
      </w:pPr>
      <w:r w:rsidRPr="0003340F">
        <w:rPr>
          <w:b w:val="0"/>
        </w:rPr>
        <w:t>20. Shi</w:t>
      </w:r>
      <w:r w:rsidR="00DC44E5">
        <w:rPr>
          <w:b w:val="0"/>
        </w:rPr>
        <w:t>,</w:t>
      </w:r>
      <w:r w:rsidRPr="0003340F">
        <w:rPr>
          <w:b w:val="0"/>
        </w:rPr>
        <w:t xml:space="preserve"> Y</w:t>
      </w:r>
      <w:r w:rsidR="00DC44E5">
        <w:rPr>
          <w:b w:val="0"/>
        </w:rPr>
        <w:t>.;</w:t>
      </w:r>
      <w:r w:rsidRPr="0003340F">
        <w:rPr>
          <w:b w:val="0"/>
        </w:rPr>
        <w:t xml:space="preserve"> Wang</w:t>
      </w:r>
      <w:r w:rsidR="00DC44E5">
        <w:rPr>
          <w:b w:val="0"/>
        </w:rPr>
        <w:t>,</w:t>
      </w:r>
      <w:r w:rsidRPr="0003340F">
        <w:rPr>
          <w:b w:val="0"/>
        </w:rPr>
        <w:t xml:space="preserve"> Y</w:t>
      </w:r>
      <w:r w:rsidR="00DC44E5">
        <w:rPr>
          <w:b w:val="0"/>
        </w:rPr>
        <w:t>.;</w:t>
      </w:r>
      <w:r w:rsidRPr="0003340F">
        <w:rPr>
          <w:b w:val="0"/>
        </w:rPr>
        <w:t xml:space="preserve"> Shao</w:t>
      </w:r>
      <w:r w:rsidR="00DC44E5">
        <w:rPr>
          <w:b w:val="0"/>
        </w:rPr>
        <w:t>,</w:t>
      </w:r>
      <w:r w:rsidRPr="0003340F">
        <w:rPr>
          <w:b w:val="0"/>
        </w:rPr>
        <w:t xml:space="preserve"> C</w:t>
      </w:r>
      <w:r w:rsidR="00DC44E5">
        <w:rPr>
          <w:b w:val="0"/>
        </w:rPr>
        <w:t>.;</w:t>
      </w:r>
      <w:r w:rsidRPr="0003340F">
        <w:rPr>
          <w:b w:val="0"/>
        </w:rPr>
        <w:t xml:space="preserve"> Huang</w:t>
      </w:r>
      <w:r w:rsidR="00DC44E5">
        <w:rPr>
          <w:b w:val="0"/>
        </w:rPr>
        <w:t>,</w:t>
      </w:r>
      <w:r w:rsidRPr="0003340F">
        <w:rPr>
          <w:b w:val="0"/>
        </w:rPr>
        <w:t xml:space="preserve"> J</w:t>
      </w:r>
      <w:r w:rsidR="00DC44E5">
        <w:rPr>
          <w:b w:val="0"/>
        </w:rPr>
        <w:t>.;</w:t>
      </w:r>
      <w:r w:rsidRPr="0003340F">
        <w:rPr>
          <w:b w:val="0"/>
        </w:rPr>
        <w:t xml:space="preserve"> Gan</w:t>
      </w:r>
      <w:r w:rsidR="00DC44E5">
        <w:rPr>
          <w:b w:val="0"/>
        </w:rPr>
        <w:t>,</w:t>
      </w:r>
      <w:r w:rsidRPr="0003340F">
        <w:rPr>
          <w:b w:val="0"/>
        </w:rPr>
        <w:t xml:space="preserve"> J</w:t>
      </w:r>
      <w:r w:rsidR="00DC44E5">
        <w:rPr>
          <w:b w:val="0"/>
        </w:rPr>
        <w:t>.;</w:t>
      </w:r>
      <w:r w:rsidRPr="0003340F">
        <w:rPr>
          <w:b w:val="0"/>
        </w:rPr>
        <w:t xml:space="preserve"> Huang</w:t>
      </w:r>
      <w:r w:rsidR="00DC44E5">
        <w:rPr>
          <w:b w:val="0"/>
        </w:rPr>
        <w:t>,</w:t>
      </w:r>
      <w:r w:rsidRPr="0003340F">
        <w:rPr>
          <w:b w:val="0"/>
        </w:rPr>
        <w:t xml:space="preserve"> X</w:t>
      </w:r>
      <w:r w:rsidR="00DC44E5">
        <w:rPr>
          <w:b w:val="0"/>
        </w:rPr>
        <w:t>.;</w:t>
      </w:r>
      <w:r w:rsidRPr="0003340F">
        <w:rPr>
          <w:b w:val="0"/>
        </w:rPr>
        <w:t xml:space="preserve"> </w:t>
      </w:r>
      <w:r w:rsidR="00DC44E5" w:rsidRPr="00DC44E5">
        <w:rPr>
          <w:b w:val="0"/>
        </w:rPr>
        <w:t>Bucci</w:t>
      </w:r>
      <w:r w:rsidR="00DC44E5">
        <w:rPr>
          <w:b w:val="0"/>
        </w:rPr>
        <w:t>,</w:t>
      </w:r>
      <w:r w:rsidR="00DC44E5" w:rsidRPr="00DC44E5">
        <w:rPr>
          <w:b w:val="0"/>
        </w:rPr>
        <w:t xml:space="preserve"> E</w:t>
      </w:r>
      <w:r w:rsidR="00DC44E5">
        <w:rPr>
          <w:b w:val="0"/>
        </w:rPr>
        <w:t>.;</w:t>
      </w:r>
      <w:r w:rsidR="00DC44E5" w:rsidRPr="00DC44E5">
        <w:rPr>
          <w:b w:val="0"/>
        </w:rPr>
        <w:t xml:space="preserve"> </w:t>
      </w:r>
      <w:proofErr w:type="spellStart"/>
      <w:r w:rsidR="00DC44E5" w:rsidRPr="00DC44E5">
        <w:rPr>
          <w:b w:val="0"/>
        </w:rPr>
        <w:t>Piacentini</w:t>
      </w:r>
      <w:proofErr w:type="spellEnd"/>
      <w:r w:rsidR="00DC44E5">
        <w:rPr>
          <w:b w:val="0"/>
        </w:rPr>
        <w:t>,</w:t>
      </w:r>
      <w:r w:rsidR="00DC44E5" w:rsidRPr="00DC44E5">
        <w:rPr>
          <w:b w:val="0"/>
        </w:rPr>
        <w:t xml:space="preserve"> M</w:t>
      </w:r>
      <w:r w:rsidR="00DC44E5">
        <w:rPr>
          <w:b w:val="0"/>
        </w:rPr>
        <w:t>.;</w:t>
      </w:r>
      <w:r w:rsidR="00DC44E5" w:rsidRPr="00DC44E5">
        <w:rPr>
          <w:b w:val="0"/>
        </w:rPr>
        <w:t xml:space="preserve"> Ippolito</w:t>
      </w:r>
      <w:r w:rsidR="00DC44E5">
        <w:rPr>
          <w:b w:val="0"/>
        </w:rPr>
        <w:t>,</w:t>
      </w:r>
      <w:r w:rsidR="00DC44E5" w:rsidRPr="00DC44E5">
        <w:rPr>
          <w:b w:val="0"/>
        </w:rPr>
        <w:t xml:space="preserve"> G</w:t>
      </w:r>
      <w:r w:rsidR="00DC44E5">
        <w:rPr>
          <w:b w:val="0"/>
        </w:rPr>
        <w:t>.;</w:t>
      </w:r>
      <w:r w:rsidR="00DC44E5" w:rsidRPr="00DC44E5">
        <w:rPr>
          <w:b w:val="0"/>
        </w:rPr>
        <w:t xml:space="preserve"> </w:t>
      </w:r>
      <w:proofErr w:type="spellStart"/>
      <w:r w:rsidR="00DC44E5" w:rsidRPr="00DC44E5">
        <w:rPr>
          <w:b w:val="0"/>
        </w:rPr>
        <w:t>Melino</w:t>
      </w:r>
      <w:proofErr w:type="spellEnd"/>
      <w:r w:rsidR="00DC44E5">
        <w:rPr>
          <w:b w:val="0"/>
        </w:rPr>
        <w:t>,</w:t>
      </w:r>
      <w:r w:rsidR="00DC44E5" w:rsidRPr="00DC44E5">
        <w:rPr>
          <w:b w:val="0"/>
        </w:rPr>
        <w:t xml:space="preserve"> G.</w:t>
      </w:r>
      <w:r w:rsidRPr="0003340F">
        <w:rPr>
          <w:b w:val="0"/>
        </w:rPr>
        <w:t xml:space="preserve"> COVID-19 infection: the perspectives on</w:t>
      </w:r>
      <w:r>
        <w:rPr>
          <w:b w:val="0"/>
        </w:rPr>
        <w:t xml:space="preserve"> </w:t>
      </w:r>
      <w:r w:rsidRPr="0003340F">
        <w:rPr>
          <w:b w:val="0"/>
        </w:rPr>
        <w:t xml:space="preserve"> immune responses. </w:t>
      </w:r>
      <w:r w:rsidRPr="00DC44E5">
        <w:rPr>
          <w:b w:val="0"/>
          <w:i/>
        </w:rPr>
        <w:t>Cell</w:t>
      </w:r>
      <w:r w:rsidR="00DC44E5">
        <w:rPr>
          <w:b w:val="0"/>
          <w:i/>
        </w:rPr>
        <w:t>.</w:t>
      </w:r>
      <w:r w:rsidRPr="00DC44E5">
        <w:rPr>
          <w:b w:val="0"/>
          <w:i/>
        </w:rPr>
        <w:t xml:space="preserve"> Death</w:t>
      </w:r>
      <w:r w:rsidR="00DC44E5">
        <w:rPr>
          <w:b w:val="0"/>
          <w:i/>
        </w:rPr>
        <w:t>.</w:t>
      </w:r>
      <w:r w:rsidRPr="00DC44E5">
        <w:rPr>
          <w:b w:val="0"/>
          <w:i/>
        </w:rPr>
        <w:t xml:space="preserve"> Differ</w:t>
      </w:r>
      <w:r w:rsidR="00DC44E5">
        <w:rPr>
          <w:b w:val="0"/>
          <w:i/>
        </w:rPr>
        <w:t>.</w:t>
      </w:r>
      <w:r w:rsidRPr="0003340F">
        <w:rPr>
          <w:b w:val="0"/>
        </w:rPr>
        <w:t xml:space="preserve"> </w:t>
      </w:r>
      <w:r w:rsidRPr="00DC44E5">
        <w:t>2020</w:t>
      </w:r>
      <w:r w:rsidRPr="0003340F">
        <w:rPr>
          <w:b w:val="0"/>
        </w:rPr>
        <w:t xml:space="preserve">; published online Mar 23. </w:t>
      </w:r>
    </w:p>
    <w:p w:rsidR="0003340F" w:rsidRPr="0003340F" w:rsidRDefault="0003340F" w:rsidP="0003340F">
      <w:pPr>
        <w:pStyle w:val="MDPI21heading1"/>
        <w:spacing w:before="0" w:after="0"/>
        <w:ind w:left="200" w:hangingChars="100" w:hanging="200"/>
        <w:jc w:val="both"/>
        <w:rPr>
          <w:b w:val="0"/>
        </w:rPr>
      </w:pPr>
      <w:r w:rsidRPr="0003340F">
        <w:rPr>
          <w:b w:val="0"/>
        </w:rPr>
        <w:t>21. Li</w:t>
      </w:r>
      <w:r w:rsidR="00DC44E5">
        <w:rPr>
          <w:b w:val="0"/>
        </w:rPr>
        <w:t>,</w:t>
      </w:r>
      <w:r w:rsidRPr="0003340F">
        <w:rPr>
          <w:b w:val="0"/>
        </w:rPr>
        <w:t xml:space="preserve"> G</w:t>
      </w:r>
      <w:r w:rsidR="00DC44E5">
        <w:rPr>
          <w:b w:val="0"/>
        </w:rPr>
        <w:t>.;</w:t>
      </w:r>
      <w:r w:rsidRPr="0003340F">
        <w:rPr>
          <w:b w:val="0"/>
        </w:rPr>
        <w:t xml:space="preserve"> Fan</w:t>
      </w:r>
      <w:r w:rsidR="00DC44E5">
        <w:rPr>
          <w:b w:val="0"/>
        </w:rPr>
        <w:t>,</w:t>
      </w:r>
      <w:r w:rsidRPr="0003340F">
        <w:rPr>
          <w:b w:val="0"/>
        </w:rPr>
        <w:t xml:space="preserve"> Y</w:t>
      </w:r>
      <w:r w:rsidR="00DC44E5">
        <w:rPr>
          <w:b w:val="0"/>
        </w:rPr>
        <w:t>.;</w:t>
      </w:r>
      <w:r w:rsidRPr="0003340F">
        <w:rPr>
          <w:b w:val="0"/>
        </w:rPr>
        <w:t xml:space="preserve"> Lai</w:t>
      </w:r>
      <w:r w:rsidR="00DC44E5">
        <w:rPr>
          <w:b w:val="0"/>
        </w:rPr>
        <w:t>,</w:t>
      </w:r>
      <w:r w:rsidRPr="0003340F">
        <w:rPr>
          <w:b w:val="0"/>
        </w:rPr>
        <w:t xml:space="preserve"> Y</w:t>
      </w:r>
      <w:r w:rsidR="00DC44E5">
        <w:rPr>
          <w:b w:val="0"/>
        </w:rPr>
        <w:t>.;</w:t>
      </w:r>
      <w:r w:rsidRPr="0003340F">
        <w:rPr>
          <w:b w:val="0"/>
        </w:rPr>
        <w:t xml:space="preserve"> Han</w:t>
      </w:r>
      <w:r w:rsidR="00DC44E5">
        <w:rPr>
          <w:b w:val="0"/>
        </w:rPr>
        <w:t>,</w:t>
      </w:r>
      <w:r w:rsidRPr="0003340F">
        <w:rPr>
          <w:b w:val="0"/>
        </w:rPr>
        <w:t xml:space="preserve"> T</w:t>
      </w:r>
      <w:r w:rsidR="00DC44E5">
        <w:rPr>
          <w:b w:val="0"/>
        </w:rPr>
        <w:t>.;</w:t>
      </w:r>
      <w:r w:rsidRPr="0003340F">
        <w:rPr>
          <w:b w:val="0"/>
        </w:rPr>
        <w:t xml:space="preserve"> Li</w:t>
      </w:r>
      <w:r w:rsidR="00DC44E5">
        <w:rPr>
          <w:b w:val="0"/>
        </w:rPr>
        <w:t>,</w:t>
      </w:r>
      <w:r w:rsidRPr="0003340F">
        <w:rPr>
          <w:b w:val="0"/>
        </w:rPr>
        <w:t xml:space="preserve"> Z</w:t>
      </w:r>
      <w:r w:rsidR="00DC44E5">
        <w:rPr>
          <w:b w:val="0"/>
        </w:rPr>
        <w:t>.;</w:t>
      </w:r>
      <w:r w:rsidRPr="0003340F">
        <w:rPr>
          <w:b w:val="0"/>
        </w:rPr>
        <w:t xml:space="preserve"> Zhou</w:t>
      </w:r>
      <w:r w:rsidR="00DC44E5">
        <w:rPr>
          <w:b w:val="0"/>
        </w:rPr>
        <w:t>,</w:t>
      </w:r>
      <w:r w:rsidRPr="0003340F">
        <w:rPr>
          <w:b w:val="0"/>
        </w:rPr>
        <w:t xml:space="preserve"> P</w:t>
      </w:r>
      <w:r w:rsidR="00DC44E5">
        <w:rPr>
          <w:b w:val="0"/>
        </w:rPr>
        <w:t>.;</w:t>
      </w:r>
      <w:r w:rsidRPr="0003340F">
        <w:rPr>
          <w:b w:val="0"/>
        </w:rPr>
        <w:t xml:space="preserve"> </w:t>
      </w:r>
      <w:r w:rsidR="00DC44E5" w:rsidRPr="00DC44E5">
        <w:rPr>
          <w:b w:val="0"/>
        </w:rPr>
        <w:t>Pan</w:t>
      </w:r>
      <w:r w:rsidR="00DC44E5">
        <w:rPr>
          <w:b w:val="0"/>
        </w:rPr>
        <w:t>,</w:t>
      </w:r>
      <w:r w:rsidR="00DC44E5" w:rsidRPr="00DC44E5">
        <w:rPr>
          <w:b w:val="0"/>
        </w:rPr>
        <w:t xml:space="preserve"> P</w:t>
      </w:r>
      <w:r w:rsidR="00DC44E5">
        <w:rPr>
          <w:b w:val="0"/>
        </w:rPr>
        <w:t>.;</w:t>
      </w:r>
      <w:r w:rsidR="00DC44E5" w:rsidRPr="00DC44E5">
        <w:rPr>
          <w:b w:val="0"/>
        </w:rPr>
        <w:t xml:space="preserve"> Wang</w:t>
      </w:r>
      <w:r w:rsidR="00DC44E5">
        <w:rPr>
          <w:b w:val="0"/>
        </w:rPr>
        <w:t>,</w:t>
      </w:r>
      <w:r w:rsidR="00DC44E5" w:rsidRPr="00DC44E5">
        <w:rPr>
          <w:b w:val="0"/>
        </w:rPr>
        <w:t xml:space="preserve"> W</w:t>
      </w:r>
      <w:r w:rsidR="00DC44E5">
        <w:rPr>
          <w:b w:val="0"/>
        </w:rPr>
        <w:t>.;</w:t>
      </w:r>
      <w:r w:rsidR="00DC44E5" w:rsidRPr="00DC44E5">
        <w:rPr>
          <w:b w:val="0"/>
        </w:rPr>
        <w:t xml:space="preserve"> Hu</w:t>
      </w:r>
      <w:r w:rsidR="00DC44E5">
        <w:rPr>
          <w:b w:val="0"/>
        </w:rPr>
        <w:t>,</w:t>
      </w:r>
      <w:r w:rsidR="00DC44E5" w:rsidRPr="00DC44E5">
        <w:rPr>
          <w:b w:val="0"/>
        </w:rPr>
        <w:t xml:space="preserve"> D</w:t>
      </w:r>
      <w:r w:rsidR="00DC44E5">
        <w:rPr>
          <w:b w:val="0"/>
        </w:rPr>
        <w:t>.;</w:t>
      </w:r>
      <w:r w:rsidR="00DC44E5" w:rsidRPr="00DC44E5">
        <w:rPr>
          <w:b w:val="0"/>
        </w:rPr>
        <w:t xml:space="preserve"> Liu</w:t>
      </w:r>
      <w:r w:rsidR="00DC44E5">
        <w:rPr>
          <w:b w:val="0"/>
        </w:rPr>
        <w:t>,</w:t>
      </w:r>
      <w:r w:rsidR="00DC44E5" w:rsidRPr="00DC44E5">
        <w:rPr>
          <w:b w:val="0"/>
        </w:rPr>
        <w:t xml:space="preserve"> X</w:t>
      </w:r>
      <w:r w:rsidR="00DC44E5">
        <w:rPr>
          <w:b w:val="0"/>
        </w:rPr>
        <w:t xml:space="preserve">.; </w:t>
      </w:r>
      <w:r w:rsidRPr="0003340F">
        <w:rPr>
          <w:b w:val="0"/>
        </w:rPr>
        <w:t xml:space="preserve">et al. Coronavirus infections and immune responses. </w:t>
      </w:r>
      <w:r w:rsidRPr="00E9171C">
        <w:rPr>
          <w:b w:val="0"/>
          <w:i/>
        </w:rPr>
        <w:t>J</w:t>
      </w:r>
      <w:r w:rsidR="00E9171C">
        <w:rPr>
          <w:b w:val="0"/>
          <w:i/>
        </w:rPr>
        <w:t>.</w:t>
      </w:r>
      <w:r w:rsidRPr="00E9171C">
        <w:rPr>
          <w:b w:val="0"/>
          <w:i/>
        </w:rPr>
        <w:t xml:space="preserve"> Med</w:t>
      </w:r>
      <w:r w:rsidR="00E9171C">
        <w:rPr>
          <w:b w:val="0"/>
          <w:i/>
        </w:rPr>
        <w:t>.</w:t>
      </w:r>
      <w:r w:rsidRPr="00E9171C">
        <w:rPr>
          <w:b w:val="0"/>
          <w:i/>
        </w:rPr>
        <w:t xml:space="preserve"> </w:t>
      </w:r>
      <w:proofErr w:type="spellStart"/>
      <w:r w:rsidRPr="00E9171C">
        <w:rPr>
          <w:b w:val="0"/>
          <w:i/>
        </w:rPr>
        <w:t>Virol</w:t>
      </w:r>
      <w:proofErr w:type="spellEnd"/>
      <w:r w:rsidR="00E9171C">
        <w:rPr>
          <w:b w:val="0"/>
          <w:i/>
        </w:rPr>
        <w:t>.</w:t>
      </w:r>
      <w:r w:rsidRPr="0003340F">
        <w:rPr>
          <w:b w:val="0"/>
        </w:rPr>
        <w:t xml:space="preserve"> </w:t>
      </w:r>
      <w:r w:rsidRPr="00E9171C">
        <w:t>2020</w:t>
      </w:r>
      <w:r w:rsidRPr="0003340F">
        <w:rPr>
          <w:b w:val="0"/>
        </w:rPr>
        <w:t>;</w:t>
      </w:r>
      <w:r w:rsidR="00DC44E5">
        <w:rPr>
          <w:b w:val="0"/>
        </w:rPr>
        <w:t xml:space="preserve"> </w:t>
      </w:r>
      <w:r w:rsidRPr="0003340F">
        <w:rPr>
          <w:b w:val="0"/>
        </w:rPr>
        <w:t>92:</w:t>
      </w:r>
      <w:r w:rsidR="00DC44E5">
        <w:rPr>
          <w:b w:val="0"/>
        </w:rPr>
        <w:t xml:space="preserve"> </w:t>
      </w:r>
      <w:r w:rsidRPr="0003340F">
        <w:rPr>
          <w:b w:val="0"/>
        </w:rPr>
        <w:t>424-</w:t>
      </w:r>
      <w:r w:rsidR="00E9171C">
        <w:rPr>
          <w:b w:val="0"/>
        </w:rPr>
        <w:t>4</w:t>
      </w:r>
      <w:r w:rsidRPr="0003340F">
        <w:rPr>
          <w:b w:val="0"/>
        </w:rPr>
        <w:t xml:space="preserve">32. </w:t>
      </w:r>
    </w:p>
    <w:p w:rsidR="0003340F" w:rsidRPr="0003340F" w:rsidRDefault="0003340F" w:rsidP="0003340F">
      <w:pPr>
        <w:pStyle w:val="MDPI21heading1"/>
        <w:spacing w:before="0" w:after="0"/>
        <w:ind w:left="200" w:hangingChars="100" w:hanging="200"/>
        <w:jc w:val="both"/>
        <w:rPr>
          <w:b w:val="0"/>
        </w:rPr>
      </w:pPr>
      <w:r w:rsidRPr="0003340F">
        <w:rPr>
          <w:b w:val="0"/>
        </w:rPr>
        <w:t xml:space="preserve">22. </w:t>
      </w:r>
      <w:r w:rsidRPr="00DC44E5">
        <w:rPr>
          <w:b w:val="0"/>
          <w:i/>
        </w:rPr>
        <w:t>Russell</w:t>
      </w:r>
      <w:r w:rsidR="00DC44E5">
        <w:rPr>
          <w:b w:val="0"/>
          <w:i/>
        </w:rPr>
        <w:t>,</w:t>
      </w:r>
      <w:r w:rsidRPr="00DC44E5">
        <w:rPr>
          <w:b w:val="0"/>
          <w:i/>
        </w:rPr>
        <w:t xml:space="preserve"> C</w:t>
      </w:r>
      <w:r w:rsidR="00DC44E5">
        <w:rPr>
          <w:b w:val="0"/>
          <w:i/>
        </w:rPr>
        <w:t>.</w:t>
      </w:r>
      <w:r w:rsidRPr="00DC44E5">
        <w:rPr>
          <w:b w:val="0"/>
          <w:i/>
        </w:rPr>
        <w:t>D</w:t>
      </w:r>
      <w:r w:rsidR="00DC44E5">
        <w:rPr>
          <w:b w:val="0"/>
          <w:i/>
        </w:rPr>
        <w:t>.;</w:t>
      </w:r>
      <w:r w:rsidRPr="00DC44E5">
        <w:rPr>
          <w:b w:val="0"/>
          <w:i/>
        </w:rPr>
        <w:t xml:space="preserve"> Millar</w:t>
      </w:r>
      <w:r w:rsidR="00DC44E5">
        <w:rPr>
          <w:b w:val="0"/>
          <w:i/>
        </w:rPr>
        <w:t>,</w:t>
      </w:r>
      <w:r w:rsidRPr="00DC44E5">
        <w:rPr>
          <w:b w:val="0"/>
          <w:i/>
        </w:rPr>
        <w:t xml:space="preserve"> J</w:t>
      </w:r>
      <w:r w:rsidR="00DC44E5">
        <w:rPr>
          <w:b w:val="0"/>
          <w:i/>
        </w:rPr>
        <w:t>.</w:t>
      </w:r>
      <w:r w:rsidRPr="00DC44E5">
        <w:rPr>
          <w:b w:val="0"/>
          <w:i/>
        </w:rPr>
        <w:t>E</w:t>
      </w:r>
      <w:r w:rsidR="00DC44E5">
        <w:rPr>
          <w:b w:val="0"/>
          <w:i/>
        </w:rPr>
        <w:t>.;</w:t>
      </w:r>
      <w:r w:rsidRPr="00DC44E5">
        <w:rPr>
          <w:b w:val="0"/>
          <w:i/>
        </w:rPr>
        <w:t xml:space="preserve"> Baillie</w:t>
      </w:r>
      <w:r w:rsidR="00DC44E5">
        <w:rPr>
          <w:b w:val="0"/>
          <w:i/>
        </w:rPr>
        <w:t>,</w:t>
      </w:r>
      <w:r w:rsidRPr="00DC44E5">
        <w:rPr>
          <w:b w:val="0"/>
          <w:i/>
        </w:rPr>
        <w:t xml:space="preserve"> J</w:t>
      </w:r>
      <w:r w:rsidR="00DC44E5">
        <w:rPr>
          <w:b w:val="0"/>
          <w:i/>
        </w:rPr>
        <w:t>.</w:t>
      </w:r>
      <w:r w:rsidRPr="00DC44E5">
        <w:rPr>
          <w:b w:val="0"/>
          <w:i/>
        </w:rPr>
        <w:t>K</w:t>
      </w:r>
      <w:r w:rsidRPr="0003340F">
        <w:rPr>
          <w:b w:val="0"/>
        </w:rPr>
        <w:t xml:space="preserve">. Clinical evidence does not support corticosteroid treatment for 2019-nCoV lung injury. </w:t>
      </w:r>
      <w:r w:rsidRPr="00D93C95">
        <w:rPr>
          <w:b w:val="0"/>
          <w:i/>
        </w:rPr>
        <w:t>Lancet</w:t>
      </w:r>
      <w:r w:rsidR="00D93C95">
        <w:rPr>
          <w:b w:val="0"/>
          <w:i/>
        </w:rPr>
        <w:t>.</w:t>
      </w:r>
      <w:r w:rsidRPr="00D93C95">
        <w:rPr>
          <w:b w:val="0"/>
          <w:i/>
        </w:rPr>
        <w:t xml:space="preserve"> </w:t>
      </w:r>
      <w:r w:rsidRPr="00D93C95">
        <w:t>2020</w:t>
      </w:r>
      <w:r w:rsidRPr="0003340F">
        <w:rPr>
          <w:b w:val="0"/>
        </w:rPr>
        <w:t>; 395:473-</w:t>
      </w:r>
      <w:r w:rsidR="00D93C95">
        <w:rPr>
          <w:b w:val="0"/>
        </w:rPr>
        <w:t>47</w:t>
      </w:r>
      <w:r w:rsidRPr="0003340F">
        <w:rPr>
          <w:b w:val="0"/>
        </w:rPr>
        <w:t xml:space="preserve">5. </w:t>
      </w:r>
    </w:p>
    <w:p w:rsidR="0003340F" w:rsidRPr="0003340F" w:rsidRDefault="0003340F" w:rsidP="0003340F">
      <w:pPr>
        <w:pStyle w:val="MDPI21heading1"/>
        <w:spacing w:before="0" w:after="0"/>
        <w:ind w:left="200" w:hangingChars="100" w:hanging="200"/>
        <w:jc w:val="both"/>
        <w:rPr>
          <w:b w:val="0"/>
        </w:rPr>
      </w:pPr>
      <w:r w:rsidRPr="0003340F">
        <w:rPr>
          <w:b w:val="0"/>
        </w:rPr>
        <w:t>23. World Health Organization. Clinical management of severe acute respiratory infection when novel coronavirus (</w:t>
      </w:r>
      <w:proofErr w:type="spellStart"/>
      <w:r w:rsidRPr="0003340F">
        <w:rPr>
          <w:b w:val="0"/>
        </w:rPr>
        <w:t>nCoV</w:t>
      </w:r>
      <w:proofErr w:type="spellEnd"/>
      <w:r w:rsidRPr="0003340F">
        <w:rPr>
          <w:b w:val="0"/>
        </w:rPr>
        <w:t>) infection is suspected, 2020. https://www.who.int/internal-publications-detail/clinical-management-of-severe-acute-respiratory-infection-when-novelcoronavirus-(ncov)-infection-is-suspected (accessed Mar 25, 2020).</w:t>
      </w:r>
    </w:p>
    <w:p w:rsidR="0003340F" w:rsidRPr="0003340F" w:rsidRDefault="0003340F" w:rsidP="0003340F">
      <w:pPr>
        <w:pStyle w:val="MDPI21heading1"/>
        <w:spacing w:before="0" w:after="0"/>
        <w:ind w:left="200" w:hangingChars="100" w:hanging="200"/>
        <w:jc w:val="both"/>
        <w:rPr>
          <w:b w:val="0"/>
        </w:rPr>
      </w:pPr>
      <w:r w:rsidRPr="0003340F">
        <w:rPr>
          <w:b w:val="0"/>
        </w:rPr>
        <w:t>24. Center for Disease Control. Interim Clinical Guidance for Management of Patients with Confirmed Coronavirus Disease (COVID-19). https://www.cdc.gov/coronavirus/2019-ncov/hcp/clinical-guidance-management-patients.html (accessed Mar 25, 2020).</w:t>
      </w:r>
    </w:p>
    <w:p w:rsidR="0003340F" w:rsidRPr="0003340F" w:rsidRDefault="0003340F" w:rsidP="0003340F">
      <w:pPr>
        <w:pStyle w:val="MDPI21heading1"/>
        <w:spacing w:before="0" w:after="0"/>
        <w:ind w:left="200" w:hangingChars="100" w:hanging="200"/>
        <w:jc w:val="both"/>
        <w:rPr>
          <w:b w:val="0"/>
        </w:rPr>
      </w:pPr>
      <w:r w:rsidRPr="0003340F">
        <w:rPr>
          <w:b w:val="0"/>
        </w:rPr>
        <w:t>25. Moher</w:t>
      </w:r>
      <w:r w:rsidR="00B067A3">
        <w:rPr>
          <w:b w:val="0"/>
        </w:rPr>
        <w:t>,</w:t>
      </w:r>
      <w:r w:rsidRPr="0003340F">
        <w:rPr>
          <w:b w:val="0"/>
        </w:rPr>
        <w:t xml:space="preserve"> D</w:t>
      </w:r>
      <w:r w:rsidR="00B067A3">
        <w:rPr>
          <w:b w:val="0"/>
        </w:rPr>
        <w:t>.;</w:t>
      </w:r>
      <w:r w:rsidRPr="0003340F">
        <w:rPr>
          <w:b w:val="0"/>
        </w:rPr>
        <w:t xml:space="preserve"> </w:t>
      </w:r>
      <w:proofErr w:type="spellStart"/>
      <w:r w:rsidRPr="0003340F">
        <w:rPr>
          <w:b w:val="0"/>
        </w:rPr>
        <w:t>Liberati</w:t>
      </w:r>
      <w:proofErr w:type="spellEnd"/>
      <w:r w:rsidR="00B067A3">
        <w:rPr>
          <w:b w:val="0"/>
        </w:rPr>
        <w:t>,</w:t>
      </w:r>
      <w:r w:rsidRPr="0003340F">
        <w:rPr>
          <w:b w:val="0"/>
        </w:rPr>
        <w:t xml:space="preserve"> A</w:t>
      </w:r>
      <w:r w:rsidR="00B067A3">
        <w:rPr>
          <w:b w:val="0"/>
        </w:rPr>
        <w:t>.;</w:t>
      </w:r>
      <w:r w:rsidRPr="0003340F">
        <w:rPr>
          <w:b w:val="0"/>
        </w:rPr>
        <w:t xml:space="preserve"> </w:t>
      </w:r>
      <w:proofErr w:type="spellStart"/>
      <w:r w:rsidRPr="0003340F">
        <w:rPr>
          <w:b w:val="0"/>
        </w:rPr>
        <w:t>Tetzlaff</w:t>
      </w:r>
      <w:proofErr w:type="spellEnd"/>
      <w:r w:rsidR="00B067A3">
        <w:rPr>
          <w:b w:val="0"/>
        </w:rPr>
        <w:t>,</w:t>
      </w:r>
      <w:r w:rsidRPr="0003340F">
        <w:rPr>
          <w:b w:val="0"/>
        </w:rPr>
        <w:t xml:space="preserve"> J</w:t>
      </w:r>
      <w:r w:rsidR="00B067A3">
        <w:rPr>
          <w:b w:val="0"/>
        </w:rPr>
        <w:t>.;</w:t>
      </w:r>
      <w:r w:rsidRPr="0003340F">
        <w:rPr>
          <w:b w:val="0"/>
        </w:rPr>
        <w:t xml:space="preserve"> Altman</w:t>
      </w:r>
      <w:r w:rsidR="00B067A3">
        <w:rPr>
          <w:b w:val="0"/>
        </w:rPr>
        <w:t>,</w:t>
      </w:r>
      <w:r w:rsidRPr="0003340F">
        <w:rPr>
          <w:b w:val="0"/>
        </w:rPr>
        <w:t xml:space="preserve"> D</w:t>
      </w:r>
      <w:r w:rsidR="00B067A3">
        <w:rPr>
          <w:b w:val="0"/>
        </w:rPr>
        <w:t>.</w:t>
      </w:r>
      <w:r w:rsidRPr="0003340F">
        <w:rPr>
          <w:b w:val="0"/>
        </w:rPr>
        <w:t>G</w:t>
      </w:r>
      <w:r w:rsidR="00B067A3">
        <w:rPr>
          <w:b w:val="0"/>
        </w:rPr>
        <w:t>.</w:t>
      </w:r>
      <w:r w:rsidRPr="0003340F">
        <w:rPr>
          <w:b w:val="0"/>
        </w:rPr>
        <w:t xml:space="preserve"> PRISMA Group. Preferred reporting items for systematic reviews and meta-analyses: the PRISMA statement. </w:t>
      </w:r>
      <w:r w:rsidRPr="00D93C95">
        <w:rPr>
          <w:b w:val="0"/>
          <w:i/>
        </w:rPr>
        <w:t>J</w:t>
      </w:r>
      <w:r w:rsidR="00D93C95">
        <w:rPr>
          <w:b w:val="0"/>
          <w:i/>
        </w:rPr>
        <w:t>.</w:t>
      </w:r>
      <w:r w:rsidRPr="00D93C95">
        <w:rPr>
          <w:b w:val="0"/>
          <w:i/>
        </w:rPr>
        <w:t xml:space="preserve"> Clin</w:t>
      </w:r>
      <w:r w:rsidR="00D93C95">
        <w:rPr>
          <w:b w:val="0"/>
          <w:i/>
        </w:rPr>
        <w:t>.</w:t>
      </w:r>
      <w:r w:rsidRPr="00D93C95">
        <w:rPr>
          <w:b w:val="0"/>
          <w:i/>
        </w:rPr>
        <w:t xml:space="preserve"> Epidemiol</w:t>
      </w:r>
      <w:r w:rsidR="00D93C95">
        <w:rPr>
          <w:b w:val="0"/>
          <w:i/>
        </w:rPr>
        <w:t>.</w:t>
      </w:r>
      <w:r w:rsidRPr="0003340F">
        <w:rPr>
          <w:b w:val="0"/>
        </w:rPr>
        <w:t xml:space="preserve"> </w:t>
      </w:r>
      <w:r w:rsidRPr="00D93C95">
        <w:t>2009</w:t>
      </w:r>
      <w:r w:rsidRPr="0003340F">
        <w:rPr>
          <w:b w:val="0"/>
        </w:rPr>
        <w:t>; 62:1006-</w:t>
      </w:r>
      <w:r w:rsidR="00D93C95">
        <w:rPr>
          <w:b w:val="0"/>
        </w:rPr>
        <w:t>10</w:t>
      </w:r>
      <w:r w:rsidRPr="0003340F">
        <w:rPr>
          <w:b w:val="0"/>
        </w:rPr>
        <w:t xml:space="preserve">12. </w:t>
      </w:r>
    </w:p>
    <w:p w:rsidR="0003340F" w:rsidRPr="0003340F" w:rsidRDefault="0003340F" w:rsidP="0003340F">
      <w:pPr>
        <w:pStyle w:val="MDPI21heading1"/>
        <w:spacing w:before="0" w:after="0"/>
        <w:ind w:left="200" w:hangingChars="100" w:hanging="200"/>
        <w:jc w:val="both"/>
        <w:rPr>
          <w:b w:val="0"/>
        </w:rPr>
      </w:pPr>
      <w:r w:rsidRPr="0003340F">
        <w:rPr>
          <w:b w:val="0"/>
        </w:rPr>
        <w:t>26. Shea</w:t>
      </w:r>
      <w:r w:rsidR="00470C7F">
        <w:rPr>
          <w:b w:val="0"/>
        </w:rPr>
        <w:t>,</w:t>
      </w:r>
      <w:r w:rsidRPr="0003340F">
        <w:rPr>
          <w:b w:val="0"/>
        </w:rPr>
        <w:t xml:space="preserve"> B</w:t>
      </w:r>
      <w:r w:rsidR="00470C7F">
        <w:rPr>
          <w:b w:val="0"/>
        </w:rPr>
        <w:t>.</w:t>
      </w:r>
      <w:r w:rsidRPr="0003340F">
        <w:rPr>
          <w:b w:val="0"/>
        </w:rPr>
        <w:t>J</w:t>
      </w:r>
      <w:r w:rsidR="00470C7F">
        <w:rPr>
          <w:b w:val="0"/>
        </w:rPr>
        <w:t>.;</w:t>
      </w:r>
      <w:r w:rsidRPr="0003340F">
        <w:rPr>
          <w:b w:val="0"/>
        </w:rPr>
        <w:t xml:space="preserve"> Reeves</w:t>
      </w:r>
      <w:r w:rsidR="00470C7F">
        <w:rPr>
          <w:b w:val="0"/>
        </w:rPr>
        <w:t>,</w:t>
      </w:r>
      <w:r w:rsidRPr="0003340F">
        <w:rPr>
          <w:b w:val="0"/>
        </w:rPr>
        <w:t xml:space="preserve"> B</w:t>
      </w:r>
      <w:r w:rsidR="00470C7F">
        <w:rPr>
          <w:b w:val="0"/>
        </w:rPr>
        <w:t>.</w:t>
      </w:r>
      <w:r w:rsidRPr="0003340F">
        <w:rPr>
          <w:b w:val="0"/>
        </w:rPr>
        <w:t>C</w:t>
      </w:r>
      <w:r w:rsidR="00470C7F">
        <w:rPr>
          <w:b w:val="0"/>
        </w:rPr>
        <w:t>.;</w:t>
      </w:r>
      <w:r w:rsidRPr="0003340F">
        <w:rPr>
          <w:b w:val="0"/>
        </w:rPr>
        <w:t xml:space="preserve"> Wells</w:t>
      </w:r>
      <w:r w:rsidR="00470C7F">
        <w:rPr>
          <w:b w:val="0"/>
        </w:rPr>
        <w:t>,</w:t>
      </w:r>
      <w:r w:rsidRPr="0003340F">
        <w:rPr>
          <w:b w:val="0"/>
        </w:rPr>
        <w:t xml:space="preserve"> G</w:t>
      </w:r>
      <w:r w:rsidR="00470C7F">
        <w:rPr>
          <w:b w:val="0"/>
        </w:rPr>
        <w:t>.;</w:t>
      </w:r>
      <w:r w:rsidRPr="0003340F">
        <w:rPr>
          <w:b w:val="0"/>
        </w:rPr>
        <w:t xml:space="preserve"> </w:t>
      </w:r>
      <w:proofErr w:type="spellStart"/>
      <w:r w:rsidRPr="0003340F">
        <w:rPr>
          <w:b w:val="0"/>
        </w:rPr>
        <w:t>Thuku</w:t>
      </w:r>
      <w:proofErr w:type="spellEnd"/>
      <w:r w:rsidR="00470C7F">
        <w:rPr>
          <w:b w:val="0"/>
        </w:rPr>
        <w:t>,</w:t>
      </w:r>
      <w:r w:rsidRPr="0003340F">
        <w:rPr>
          <w:b w:val="0"/>
        </w:rPr>
        <w:t xml:space="preserve"> M</w:t>
      </w:r>
      <w:r w:rsidR="00470C7F">
        <w:rPr>
          <w:b w:val="0"/>
        </w:rPr>
        <w:t>.;</w:t>
      </w:r>
      <w:r w:rsidRPr="0003340F">
        <w:rPr>
          <w:b w:val="0"/>
        </w:rPr>
        <w:t xml:space="preserve"> Hamel</w:t>
      </w:r>
      <w:r w:rsidR="00470C7F">
        <w:rPr>
          <w:b w:val="0"/>
        </w:rPr>
        <w:t>,</w:t>
      </w:r>
      <w:r w:rsidRPr="0003340F">
        <w:rPr>
          <w:b w:val="0"/>
        </w:rPr>
        <w:t xml:space="preserve"> C</w:t>
      </w:r>
      <w:r w:rsidR="00470C7F">
        <w:rPr>
          <w:b w:val="0"/>
        </w:rPr>
        <w:t>.;</w:t>
      </w:r>
      <w:r w:rsidRPr="0003340F">
        <w:rPr>
          <w:b w:val="0"/>
        </w:rPr>
        <w:t xml:space="preserve"> Moran</w:t>
      </w:r>
      <w:r w:rsidR="00470C7F">
        <w:rPr>
          <w:b w:val="0"/>
        </w:rPr>
        <w:t>,</w:t>
      </w:r>
      <w:r w:rsidRPr="0003340F">
        <w:rPr>
          <w:b w:val="0"/>
        </w:rPr>
        <w:t xml:space="preserve"> J</w:t>
      </w:r>
      <w:r w:rsidR="00470C7F">
        <w:rPr>
          <w:b w:val="0"/>
        </w:rPr>
        <w:t>.;</w:t>
      </w:r>
      <w:r w:rsidRPr="0003340F">
        <w:rPr>
          <w:b w:val="0"/>
        </w:rPr>
        <w:t xml:space="preserve"> </w:t>
      </w:r>
      <w:r w:rsidR="00470C7F" w:rsidRPr="00470C7F">
        <w:rPr>
          <w:b w:val="0"/>
        </w:rPr>
        <w:t>Moher</w:t>
      </w:r>
      <w:r w:rsidR="00470C7F">
        <w:rPr>
          <w:b w:val="0"/>
        </w:rPr>
        <w:t>,</w:t>
      </w:r>
      <w:r w:rsidR="00470C7F" w:rsidRPr="00470C7F">
        <w:rPr>
          <w:b w:val="0"/>
        </w:rPr>
        <w:t xml:space="preserve"> D</w:t>
      </w:r>
      <w:r w:rsidR="00470C7F">
        <w:rPr>
          <w:b w:val="0"/>
        </w:rPr>
        <w:t>.;</w:t>
      </w:r>
      <w:r w:rsidR="00470C7F" w:rsidRPr="00470C7F">
        <w:rPr>
          <w:b w:val="0"/>
        </w:rPr>
        <w:t xml:space="preserve"> </w:t>
      </w:r>
      <w:proofErr w:type="spellStart"/>
      <w:r w:rsidR="00470C7F" w:rsidRPr="00470C7F">
        <w:rPr>
          <w:b w:val="0"/>
        </w:rPr>
        <w:t>Tugwell</w:t>
      </w:r>
      <w:proofErr w:type="spellEnd"/>
      <w:r w:rsidR="00470C7F">
        <w:rPr>
          <w:b w:val="0"/>
        </w:rPr>
        <w:t>,</w:t>
      </w:r>
      <w:r w:rsidR="00470C7F" w:rsidRPr="00470C7F">
        <w:rPr>
          <w:b w:val="0"/>
        </w:rPr>
        <w:t xml:space="preserve"> P</w:t>
      </w:r>
      <w:r w:rsidR="00470C7F">
        <w:rPr>
          <w:b w:val="0"/>
        </w:rPr>
        <w:t>.;</w:t>
      </w:r>
      <w:r w:rsidR="00470C7F" w:rsidRPr="00470C7F">
        <w:rPr>
          <w:b w:val="0"/>
        </w:rPr>
        <w:t xml:space="preserve"> Welch</w:t>
      </w:r>
      <w:r w:rsidR="00470C7F">
        <w:rPr>
          <w:b w:val="0"/>
        </w:rPr>
        <w:t>,</w:t>
      </w:r>
      <w:r w:rsidR="00470C7F" w:rsidRPr="00470C7F">
        <w:rPr>
          <w:b w:val="0"/>
        </w:rPr>
        <w:t xml:space="preserve"> V</w:t>
      </w:r>
      <w:r w:rsidR="00470C7F">
        <w:rPr>
          <w:b w:val="0"/>
        </w:rPr>
        <w:t>.;</w:t>
      </w:r>
      <w:r w:rsidR="00470C7F" w:rsidRPr="00470C7F">
        <w:rPr>
          <w:b w:val="0"/>
        </w:rPr>
        <w:t xml:space="preserve"> </w:t>
      </w:r>
      <w:proofErr w:type="spellStart"/>
      <w:r w:rsidR="00470C7F" w:rsidRPr="00470C7F">
        <w:rPr>
          <w:b w:val="0"/>
        </w:rPr>
        <w:t>Kristjansson</w:t>
      </w:r>
      <w:proofErr w:type="spellEnd"/>
      <w:r w:rsidR="00470C7F">
        <w:rPr>
          <w:b w:val="0"/>
        </w:rPr>
        <w:t>,</w:t>
      </w:r>
      <w:r w:rsidR="00470C7F" w:rsidRPr="00470C7F">
        <w:rPr>
          <w:b w:val="0"/>
        </w:rPr>
        <w:t xml:space="preserve"> E</w:t>
      </w:r>
      <w:r w:rsidR="00470C7F">
        <w:rPr>
          <w:b w:val="0"/>
        </w:rPr>
        <w:t xml:space="preserve">.; </w:t>
      </w:r>
      <w:r w:rsidRPr="0003340F">
        <w:rPr>
          <w:b w:val="0"/>
        </w:rPr>
        <w:t xml:space="preserve">et al. AMSTAR 2: a critical appraisal tool for systematic reviews that include </w:t>
      </w:r>
      <w:proofErr w:type="spellStart"/>
      <w:r w:rsidRPr="0003340F">
        <w:rPr>
          <w:b w:val="0"/>
        </w:rPr>
        <w:t>randomised</w:t>
      </w:r>
      <w:proofErr w:type="spellEnd"/>
      <w:r w:rsidRPr="0003340F">
        <w:rPr>
          <w:b w:val="0"/>
        </w:rPr>
        <w:t xml:space="preserve"> or non-</w:t>
      </w:r>
      <w:proofErr w:type="spellStart"/>
      <w:r w:rsidRPr="0003340F">
        <w:rPr>
          <w:b w:val="0"/>
        </w:rPr>
        <w:t>randomised</w:t>
      </w:r>
      <w:proofErr w:type="spellEnd"/>
      <w:r w:rsidRPr="0003340F">
        <w:rPr>
          <w:b w:val="0"/>
        </w:rPr>
        <w:t xml:space="preserve"> studies of healthcare interventions, or both. </w:t>
      </w:r>
      <w:r w:rsidRPr="00D93C95">
        <w:rPr>
          <w:b w:val="0"/>
          <w:i/>
        </w:rPr>
        <w:t>BMJ</w:t>
      </w:r>
      <w:r w:rsidR="00D93C95">
        <w:rPr>
          <w:b w:val="0"/>
          <w:i/>
        </w:rPr>
        <w:t>.</w:t>
      </w:r>
      <w:r w:rsidRPr="0003340F">
        <w:rPr>
          <w:b w:val="0"/>
        </w:rPr>
        <w:t xml:space="preserve"> </w:t>
      </w:r>
      <w:r w:rsidRPr="00D93C95">
        <w:t>2017</w:t>
      </w:r>
      <w:r w:rsidRPr="0003340F">
        <w:rPr>
          <w:b w:val="0"/>
        </w:rPr>
        <w:t xml:space="preserve">; 358: j4008. </w:t>
      </w:r>
    </w:p>
    <w:p w:rsidR="0003340F" w:rsidRPr="0003340F" w:rsidRDefault="0003340F" w:rsidP="0003340F">
      <w:pPr>
        <w:pStyle w:val="MDPI21heading1"/>
        <w:spacing w:before="0" w:after="0"/>
        <w:ind w:left="200" w:hangingChars="100" w:hanging="200"/>
        <w:jc w:val="both"/>
        <w:rPr>
          <w:b w:val="0"/>
        </w:rPr>
      </w:pPr>
      <w:r w:rsidRPr="0003340F">
        <w:rPr>
          <w:b w:val="0"/>
        </w:rPr>
        <w:lastRenderedPageBreak/>
        <w:t>27. Wells</w:t>
      </w:r>
      <w:r w:rsidR="00470C7F">
        <w:rPr>
          <w:b w:val="0"/>
        </w:rPr>
        <w:t>,</w:t>
      </w:r>
      <w:r w:rsidRPr="0003340F">
        <w:rPr>
          <w:b w:val="0"/>
        </w:rPr>
        <w:t xml:space="preserve"> G</w:t>
      </w:r>
      <w:r w:rsidR="00470C7F">
        <w:rPr>
          <w:b w:val="0"/>
        </w:rPr>
        <w:t>.</w:t>
      </w:r>
      <w:r w:rsidRPr="0003340F">
        <w:rPr>
          <w:b w:val="0"/>
        </w:rPr>
        <w:t>A</w:t>
      </w:r>
      <w:r w:rsidR="00470C7F">
        <w:rPr>
          <w:b w:val="0"/>
        </w:rPr>
        <w:t>.;</w:t>
      </w:r>
      <w:r w:rsidRPr="0003340F">
        <w:rPr>
          <w:b w:val="0"/>
        </w:rPr>
        <w:t xml:space="preserve"> Shea</w:t>
      </w:r>
      <w:r w:rsidR="00470C7F">
        <w:rPr>
          <w:b w:val="0"/>
        </w:rPr>
        <w:t>,</w:t>
      </w:r>
      <w:r w:rsidRPr="0003340F">
        <w:rPr>
          <w:b w:val="0"/>
        </w:rPr>
        <w:t xml:space="preserve"> B</w:t>
      </w:r>
      <w:r w:rsidR="00470C7F">
        <w:rPr>
          <w:b w:val="0"/>
        </w:rPr>
        <w:t>.;</w:t>
      </w:r>
      <w:r w:rsidRPr="0003340F">
        <w:rPr>
          <w:b w:val="0"/>
        </w:rPr>
        <w:t xml:space="preserve"> O’Connell</w:t>
      </w:r>
      <w:r w:rsidR="00470C7F">
        <w:rPr>
          <w:b w:val="0"/>
        </w:rPr>
        <w:t>,</w:t>
      </w:r>
      <w:r w:rsidRPr="0003340F">
        <w:rPr>
          <w:b w:val="0"/>
        </w:rPr>
        <w:t xml:space="preserve"> D</w:t>
      </w:r>
      <w:r w:rsidR="00470C7F">
        <w:rPr>
          <w:b w:val="0"/>
        </w:rPr>
        <w:t>.;</w:t>
      </w:r>
      <w:r w:rsidRPr="0003340F">
        <w:rPr>
          <w:b w:val="0"/>
        </w:rPr>
        <w:t xml:space="preserve"> Peterson</w:t>
      </w:r>
      <w:r w:rsidR="00470C7F">
        <w:rPr>
          <w:b w:val="0"/>
        </w:rPr>
        <w:t>,</w:t>
      </w:r>
      <w:r w:rsidRPr="0003340F">
        <w:rPr>
          <w:b w:val="0"/>
        </w:rPr>
        <w:t xml:space="preserve"> J</w:t>
      </w:r>
      <w:r w:rsidR="00470C7F">
        <w:rPr>
          <w:b w:val="0"/>
        </w:rPr>
        <w:t>.;</w:t>
      </w:r>
      <w:r w:rsidRPr="0003340F">
        <w:rPr>
          <w:b w:val="0"/>
        </w:rPr>
        <w:t xml:space="preserve"> Welch</w:t>
      </w:r>
      <w:r w:rsidR="00470C7F">
        <w:rPr>
          <w:b w:val="0"/>
        </w:rPr>
        <w:t>,</w:t>
      </w:r>
      <w:r w:rsidRPr="0003340F">
        <w:rPr>
          <w:b w:val="0"/>
        </w:rPr>
        <w:t xml:space="preserve"> V</w:t>
      </w:r>
      <w:r w:rsidR="00470C7F">
        <w:rPr>
          <w:b w:val="0"/>
        </w:rPr>
        <w:t>.;</w:t>
      </w:r>
      <w:r w:rsidRPr="0003340F">
        <w:rPr>
          <w:b w:val="0"/>
        </w:rPr>
        <w:t xml:space="preserve"> </w:t>
      </w:r>
      <w:proofErr w:type="spellStart"/>
      <w:r w:rsidRPr="0003340F">
        <w:rPr>
          <w:b w:val="0"/>
        </w:rPr>
        <w:t>Losos</w:t>
      </w:r>
      <w:proofErr w:type="spellEnd"/>
      <w:r w:rsidR="00470C7F">
        <w:rPr>
          <w:b w:val="0"/>
        </w:rPr>
        <w:t>,</w:t>
      </w:r>
      <w:r w:rsidRPr="0003340F">
        <w:rPr>
          <w:b w:val="0"/>
        </w:rPr>
        <w:t xml:space="preserve"> M</w:t>
      </w:r>
      <w:r w:rsidR="00470C7F">
        <w:rPr>
          <w:b w:val="0"/>
        </w:rPr>
        <w:t>.;</w:t>
      </w:r>
      <w:r w:rsidRPr="0003340F">
        <w:rPr>
          <w:b w:val="0"/>
        </w:rPr>
        <w:t xml:space="preserve"> et al. The Newcastle-Ottawa Scale (NOS) for assessing the quality of </w:t>
      </w:r>
      <w:proofErr w:type="spellStart"/>
      <w:r w:rsidRPr="0003340F">
        <w:rPr>
          <w:b w:val="0"/>
        </w:rPr>
        <w:t>nonrandomised</w:t>
      </w:r>
      <w:proofErr w:type="spellEnd"/>
      <w:r w:rsidRPr="0003340F">
        <w:rPr>
          <w:b w:val="0"/>
        </w:rPr>
        <w:t xml:space="preserve"> studies in meta-analyses. http://www.ohri.ca/programs/clinical_epidemiology/oxford.asp (accessed March 28, 2020).</w:t>
      </w:r>
    </w:p>
    <w:p w:rsidR="0003340F" w:rsidRPr="0003340F" w:rsidRDefault="0003340F" w:rsidP="0003340F">
      <w:pPr>
        <w:pStyle w:val="MDPI21heading1"/>
        <w:spacing w:before="0" w:after="0"/>
        <w:ind w:left="200" w:hangingChars="100" w:hanging="200"/>
        <w:jc w:val="both"/>
        <w:rPr>
          <w:b w:val="0"/>
        </w:rPr>
      </w:pPr>
      <w:r w:rsidRPr="0003340F">
        <w:rPr>
          <w:b w:val="0"/>
        </w:rPr>
        <w:t>28. Egger</w:t>
      </w:r>
      <w:r w:rsidR="00470C7F">
        <w:rPr>
          <w:b w:val="0"/>
        </w:rPr>
        <w:t>, M.;</w:t>
      </w:r>
      <w:r w:rsidRPr="0003340F">
        <w:rPr>
          <w:b w:val="0"/>
        </w:rPr>
        <w:t xml:space="preserve"> Davey</w:t>
      </w:r>
      <w:r w:rsidR="00470C7F">
        <w:rPr>
          <w:b w:val="0"/>
        </w:rPr>
        <w:t>,</w:t>
      </w:r>
      <w:r w:rsidRPr="0003340F">
        <w:rPr>
          <w:b w:val="0"/>
        </w:rPr>
        <w:t xml:space="preserve"> Smith</w:t>
      </w:r>
      <w:r w:rsidR="00470C7F">
        <w:rPr>
          <w:b w:val="0"/>
        </w:rPr>
        <w:t>.</w:t>
      </w:r>
      <w:r w:rsidRPr="0003340F">
        <w:rPr>
          <w:b w:val="0"/>
        </w:rPr>
        <w:t xml:space="preserve"> G</w:t>
      </w:r>
      <w:r w:rsidR="00470C7F">
        <w:rPr>
          <w:b w:val="0"/>
        </w:rPr>
        <w:t>.;</w:t>
      </w:r>
      <w:r w:rsidRPr="0003340F">
        <w:rPr>
          <w:b w:val="0"/>
        </w:rPr>
        <w:t xml:space="preserve"> Schneider</w:t>
      </w:r>
      <w:r w:rsidR="00470C7F">
        <w:rPr>
          <w:b w:val="0"/>
        </w:rPr>
        <w:t>,</w:t>
      </w:r>
      <w:r w:rsidRPr="0003340F">
        <w:rPr>
          <w:b w:val="0"/>
        </w:rPr>
        <w:t xml:space="preserve"> M</w:t>
      </w:r>
      <w:r w:rsidR="00470C7F">
        <w:rPr>
          <w:b w:val="0"/>
        </w:rPr>
        <w:t>.;</w:t>
      </w:r>
      <w:r w:rsidRPr="0003340F">
        <w:rPr>
          <w:b w:val="0"/>
        </w:rPr>
        <w:t xml:space="preserve"> Minder</w:t>
      </w:r>
      <w:r w:rsidR="00470C7F">
        <w:rPr>
          <w:b w:val="0"/>
        </w:rPr>
        <w:t>,</w:t>
      </w:r>
      <w:r w:rsidRPr="0003340F">
        <w:rPr>
          <w:b w:val="0"/>
        </w:rPr>
        <w:t xml:space="preserve"> C. Bias in meta-analysis detected by a simple, graphical test. </w:t>
      </w:r>
      <w:r w:rsidRPr="00A02919">
        <w:rPr>
          <w:b w:val="0"/>
          <w:i/>
        </w:rPr>
        <w:t>BMJ</w:t>
      </w:r>
      <w:r w:rsidR="00A02919">
        <w:rPr>
          <w:b w:val="0"/>
          <w:i/>
        </w:rPr>
        <w:t>.</w:t>
      </w:r>
      <w:r w:rsidRPr="0003340F">
        <w:rPr>
          <w:b w:val="0"/>
        </w:rPr>
        <w:t xml:space="preserve"> </w:t>
      </w:r>
      <w:r w:rsidRPr="00A02919">
        <w:t>1997</w:t>
      </w:r>
      <w:r w:rsidRPr="0003340F">
        <w:rPr>
          <w:b w:val="0"/>
        </w:rPr>
        <w:t>; 315:629-</w:t>
      </w:r>
      <w:r w:rsidR="00A02919">
        <w:rPr>
          <w:b w:val="0"/>
        </w:rPr>
        <w:t>6</w:t>
      </w:r>
      <w:r w:rsidRPr="0003340F">
        <w:rPr>
          <w:b w:val="0"/>
        </w:rPr>
        <w:t xml:space="preserve">34. </w:t>
      </w:r>
    </w:p>
    <w:p w:rsidR="0003340F" w:rsidRPr="0003340F" w:rsidRDefault="0003340F" w:rsidP="0003340F">
      <w:pPr>
        <w:pStyle w:val="MDPI21heading1"/>
        <w:spacing w:before="0" w:after="0"/>
        <w:ind w:left="200" w:hangingChars="100" w:hanging="200"/>
        <w:jc w:val="both"/>
        <w:rPr>
          <w:b w:val="0"/>
        </w:rPr>
      </w:pPr>
      <w:r w:rsidRPr="0003340F">
        <w:rPr>
          <w:b w:val="0"/>
        </w:rPr>
        <w:t>29. Sterne</w:t>
      </w:r>
      <w:r w:rsidR="00470C7F">
        <w:rPr>
          <w:b w:val="0"/>
        </w:rPr>
        <w:t>,</w:t>
      </w:r>
      <w:r w:rsidRPr="0003340F">
        <w:rPr>
          <w:b w:val="0"/>
        </w:rPr>
        <w:t xml:space="preserve"> J</w:t>
      </w:r>
      <w:r w:rsidR="00470C7F">
        <w:rPr>
          <w:b w:val="0"/>
        </w:rPr>
        <w:t>.</w:t>
      </w:r>
      <w:r w:rsidRPr="0003340F">
        <w:rPr>
          <w:b w:val="0"/>
        </w:rPr>
        <w:t>A</w:t>
      </w:r>
      <w:r w:rsidR="00470C7F">
        <w:rPr>
          <w:b w:val="0"/>
        </w:rPr>
        <w:t>.;</w:t>
      </w:r>
      <w:r w:rsidRPr="0003340F">
        <w:rPr>
          <w:b w:val="0"/>
        </w:rPr>
        <w:t xml:space="preserve"> Davey</w:t>
      </w:r>
      <w:r w:rsidR="00470C7F">
        <w:rPr>
          <w:b w:val="0"/>
        </w:rPr>
        <w:t>,</w:t>
      </w:r>
      <w:r w:rsidRPr="0003340F">
        <w:rPr>
          <w:b w:val="0"/>
        </w:rPr>
        <w:t xml:space="preserve"> Smith</w:t>
      </w:r>
      <w:r w:rsidR="00470C7F">
        <w:rPr>
          <w:b w:val="0"/>
        </w:rPr>
        <w:t>,</w:t>
      </w:r>
      <w:r w:rsidRPr="0003340F">
        <w:rPr>
          <w:b w:val="0"/>
        </w:rPr>
        <w:t xml:space="preserve"> G. Sifting the evidence-what's wrong with significance tests? </w:t>
      </w:r>
      <w:r w:rsidRPr="00A02919">
        <w:rPr>
          <w:b w:val="0"/>
          <w:i/>
        </w:rPr>
        <w:t>BMJ.</w:t>
      </w:r>
      <w:r w:rsidRPr="0003340F">
        <w:rPr>
          <w:b w:val="0"/>
        </w:rPr>
        <w:t xml:space="preserve"> </w:t>
      </w:r>
      <w:r w:rsidRPr="00A02919">
        <w:t>2001</w:t>
      </w:r>
      <w:r w:rsidRPr="0003340F">
        <w:rPr>
          <w:b w:val="0"/>
        </w:rPr>
        <w:t>; 322:226-</w:t>
      </w:r>
      <w:r w:rsidR="00A02919">
        <w:rPr>
          <w:b w:val="0"/>
        </w:rPr>
        <w:t>2</w:t>
      </w:r>
      <w:r w:rsidRPr="0003340F">
        <w:rPr>
          <w:b w:val="0"/>
        </w:rPr>
        <w:t xml:space="preserve">31. </w:t>
      </w:r>
    </w:p>
    <w:p w:rsidR="0003340F" w:rsidRPr="0003340F" w:rsidRDefault="0003340F" w:rsidP="0003340F">
      <w:pPr>
        <w:pStyle w:val="MDPI21heading1"/>
        <w:spacing w:before="0" w:after="0"/>
        <w:ind w:left="200" w:hangingChars="100" w:hanging="200"/>
        <w:jc w:val="both"/>
        <w:rPr>
          <w:b w:val="0"/>
        </w:rPr>
      </w:pPr>
      <w:r w:rsidRPr="0003340F">
        <w:rPr>
          <w:b w:val="0"/>
        </w:rPr>
        <w:t>30. Ioannidis</w:t>
      </w:r>
      <w:r w:rsidR="00470C7F">
        <w:rPr>
          <w:b w:val="0"/>
        </w:rPr>
        <w:t>,</w:t>
      </w:r>
      <w:r w:rsidRPr="0003340F">
        <w:rPr>
          <w:b w:val="0"/>
        </w:rPr>
        <w:t xml:space="preserve"> J</w:t>
      </w:r>
      <w:r w:rsidR="00470C7F">
        <w:rPr>
          <w:b w:val="0"/>
        </w:rPr>
        <w:t>.</w:t>
      </w:r>
      <w:r w:rsidRPr="0003340F">
        <w:rPr>
          <w:b w:val="0"/>
        </w:rPr>
        <w:t>P</w:t>
      </w:r>
      <w:r w:rsidR="00470C7F">
        <w:rPr>
          <w:b w:val="0"/>
        </w:rPr>
        <w:t>.;</w:t>
      </w:r>
      <w:r w:rsidRPr="0003340F">
        <w:rPr>
          <w:b w:val="0"/>
        </w:rPr>
        <w:t xml:space="preserve"> </w:t>
      </w:r>
      <w:proofErr w:type="spellStart"/>
      <w:r w:rsidRPr="0003340F">
        <w:rPr>
          <w:b w:val="0"/>
        </w:rPr>
        <w:t>Tarone</w:t>
      </w:r>
      <w:proofErr w:type="spellEnd"/>
      <w:r w:rsidR="00470C7F">
        <w:rPr>
          <w:b w:val="0"/>
        </w:rPr>
        <w:t>,</w:t>
      </w:r>
      <w:r w:rsidRPr="0003340F">
        <w:rPr>
          <w:b w:val="0"/>
        </w:rPr>
        <w:t xml:space="preserve"> R</w:t>
      </w:r>
      <w:r w:rsidR="00470C7F">
        <w:rPr>
          <w:b w:val="0"/>
        </w:rPr>
        <w:t>.;</w:t>
      </w:r>
      <w:r w:rsidRPr="0003340F">
        <w:rPr>
          <w:b w:val="0"/>
        </w:rPr>
        <w:t xml:space="preserve"> McLaughlin</w:t>
      </w:r>
      <w:r w:rsidR="00470C7F">
        <w:rPr>
          <w:b w:val="0"/>
        </w:rPr>
        <w:t>,</w:t>
      </w:r>
      <w:r w:rsidRPr="0003340F">
        <w:rPr>
          <w:b w:val="0"/>
        </w:rPr>
        <w:t xml:space="preserve"> J</w:t>
      </w:r>
      <w:r w:rsidR="00470C7F">
        <w:rPr>
          <w:b w:val="0"/>
        </w:rPr>
        <w:t>.</w:t>
      </w:r>
      <w:r w:rsidRPr="0003340F">
        <w:rPr>
          <w:b w:val="0"/>
        </w:rPr>
        <w:t xml:space="preserve">K. The false-positive to false-negative ratio in epidemiologic studies. </w:t>
      </w:r>
      <w:r w:rsidRPr="00A02919">
        <w:rPr>
          <w:b w:val="0"/>
          <w:i/>
        </w:rPr>
        <w:t>Epidemiology</w:t>
      </w:r>
      <w:r w:rsidR="00A02919">
        <w:rPr>
          <w:b w:val="0"/>
          <w:i/>
        </w:rPr>
        <w:t>.</w:t>
      </w:r>
      <w:r w:rsidRPr="0003340F">
        <w:rPr>
          <w:b w:val="0"/>
        </w:rPr>
        <w:t xml:space="preserve"> </w:t>
      </w:r>
      <w:r w:rsidRPr="00A02919">
        <w:t>2011</w:t>
      </w:r>
      <w:r w:rsidRPr="0003340F">
        <w:rPr>
          <w:b w:val="0"/>
        </w:rPr>
        <w:t>; 22:450-</w:t>
      </w:r>
      <w:r w:rsidR="00A02919">
        <w:rPr>
          <w:b w:val="0"/>
        </w:rPr>
        <w:t>45</w:t>
      </w:r>
      <w:r w:rsidRPr="0003340F">
        <w:rPr>
          <w:b w:val="0"/>
        </w:rPr>
        <w:t xml:space="preserve">6. </w:t>
      </w:r>
    </w:p>
    <w:p w:rsidR="0003340F" w:rsidRPr="0003340F" w:rsidRDefault="0003340F" w:rsidP="0003340F">
      <w:pPr>
        <w:pStyle w:val="MDPI21heading1"/>
        <w:spacing w:before="0" w:after="0"/>
        <w:ind w:left="200" w:hangingChars="100" w:hanging="200"/>
        <w:jc w:val="both"/>
        <w:rPr>
          <w:b w:val="0"/>
          <w:lang w:val="fr-FR"/>
        </w:rPr>
      </w:pPr>
      <w:r w:rsidRPr="0003340F">
        <w:rPr>
          <w:b w:val="0"/>
        </w:rPr>
        <w:t>31. Cochran</w:t>
      </w:r>
      <w:r w:rsidR="00470C7F">
        <w:rPr>
          <w:b w:val="0"/>
        </w:rPr>
        <w:t>,</w:t>
      </w:r>
      <w:r w:rsidRPr="0003340F">
        <w:rPr>
          <w:b w:val="0"/>
        </w:rPr>
        <w:t xml:space="preserve"> W</w:t>
      </w:r>
      <w:r w:rsidR="00470C7F">
        <w:rPr>
          <w:b w:val="0"/>
        </w:rPr>
        <w:t>.</w:t>
      </w:r>
      <w:r w:rsidRPr="0003340F">
        <w:rPr>
          <w:b w:val="0"/>
        </w:rPr>
        <w:t xml:space="preserve">G. The combination of estimates from different experiments. </w:t>
      </w:r>
      <w:proofErr w:type="spellStart"/>
      <w:r w:rsidRPr="00A02919">
        <w:rPr>
          <w:b w:val="0"/>
          <w:i/>
          <w:lang w:val="fr-FR"/>
        </w:rPr>
        <w:t>Biometrics</w:t>
      </w:r>
      <w:proofErr w:type="spellEnd"/>
      <w:r w:rsidR="00A02919">
        <w:rPr>
          <w:b w:val="0"/>
          <w:i/>
          <w:lang w:val="fr-FR"/>
        </w:rPr>
        <w:t>.</w:t>
      </w:r>
      <w:r w:rsidRPr="0003340F">
        <w:rPr>
          <w:b w:val="0"/>
          <w:lang w:val="fr-FR"/>
        </w:rPr>
        <w:t xml:space="preserve"> </w:t>
      </w:r>
      <w:proofErr w:type="gramStart"/>
      <w:r w:rsidRPr="00A02919">
        <w:rPr>
          <w:lang w:val="fr-FR"/>
        </w:rPr>
        <w:t>1954</w:t>
      </w:r>
      <w:r w:rsidRPr="0003340F">
        <w:rPr>
          <w:b w:val="0"/>
          <w:lang w:val="fr-FR"/>
        </w:rPr>
        <w:t>;</w:t>
      </w:r>
      <w:proofErr w:type="gramEnd"/>
      <w:r w:rsidRPr="0003340F">
        <w:rPr>
          <w:b w:val="0"/>
          <w:lang w:val="fr-FR"/>
        </w:rPr>
        <w:t xml:space="preserve"> 10; 101–</w:t>
      </w:r>
      <w:r w:rsidR="00A02919">
        <w:rPr>
          <w:b w:val="0"/>
          <w:lang w:val="fr-FR"/>
        </w:rPr>
        <w:t>1</w:t>
      </w:r>
      <w:r w:rsidRPr="0003340F">
        <w:rPr>
          <w:b w:val="0"/>
          <w:lang w:val="fr-FR"/>
        </w:rPr>
        <w:t>29.</w:t>
      </w:r>
    </w:p>
    <w:p w:rsidR="0003340F" w:rsidRPr="0003340F" w:rsidRDefault="0003340F" w:rsidP="0003340F">
      <w:pPr>
        <w:pStyle w:val="MDPI21heading1"/>
        <w:spacing w:before="0" w:after="0"/>
        <w:ind w:left="200" w:hangingChars="100" w:hanging="200"/>
        <w:jc w:val="both"/>
        <w:rPr>
          <w:b w:val="0"/>
        </w:rPr>
      </w:pPr>
      <w:r w:rsidRPr="0003340F">
        <w:rPr>
          <w:b w:val="0"/>
          <w:lang w:val="fr-FR"/>
        </w:rPr>
        <w:t>32. Li</w:t>
      </w:r>
      <w:r w:rsidR="00470C7F">
        <w:rPr>
          <w:b w:val="0"/>
          <w:lang w:val="fr-FR"/>
        </w:rPr>
        <w:t>,</w:t>
      </w:r>
      <w:r w:rsidRPr="0003340F">
        <w:rPr>
          <w:b w:val="0"/>
          <w:lang w:val="fr-FR"/>
        </w:rPr>
        <w:t xml:space="preserve"> N</w:t>
      </w:r>
      <w:r w:rsidR="00470C7F">
        <w:rPr>
          <w:b w:val="0"/>
          <w:lang w:val="fr-FR"/>
        </w:rPr>
        <w:t>. ;</w:t>
      </w:r>
      <w:r w:rsidRPr="0003340F">
        <w:rPr>
          <w:b w:val="0"/>
          <w:lang w:val="fr-FR"/>
        </w:rPr>
        <w:t xml:space="preserve"> Ma</w:t>
      </w:r>
      <w:r w:rsidR="00470C7F">
        <w:rPr>
          <w:b w:val="0"/>
          <w:lang w:val="fr-FR"/>
        </w:rPr>
        <w:t>,</w:t>
      </w:r>
      <w:r w:rsidRPr="0003340F">
        <w:rPr>
          <w:b w:val="0"/>
          <w:lang w:val="fr-FR"/>
        </w:rPr>
        <w:t xml:space="preserve"> J</w:t>
      </w:r>
      <w:r w:rsidR="00470C7F">
        <w:rPr>
          <w:b w:val="0"/>
          <w:lang w:val="fr-FR"/>
        </w:rPr>
        <w:t>. ;</w:t>
      </w:r>
      <w:r w:rsidRPr="0003340F">
        <w:rPr>
          <w:b w:val="0"/>
          <w:lang w:val="fr-FR"/>
        </w:rPr>
        <w:t xml:space="preserve"> Nie</w:t>
      </w:r>
      <w:r w:rsidR="00470C7F">
        <w:rPr>
          <w:b w:val="0"/>
          <w:lang w:val="fr-FR"/>
        </w:rPr>
        <w:t>,</w:t>
      </w:r>
      <w:r w:rsidRPr="0003340F">
        <w:rPr>
          <w:b w:val="0"/>
          <w:lang w:val="fr-FR"/>
        </w:rPr>
        <w:t xml:space="preserve"> L</w:t>
      </w:r>
      <w:r w:rsidR="00470C7F">
        <w:rPr>
          <w:b w:val="0"/>
          <w:lang w:val="fr-FR"/>
        </w:rPr>
        <w:t>. ;</w:t>
      </w:r>
      <w:r w:rsidRPr="0003340F">
        <w:rPr>
          <w:b w:val="0"/>
          <w:lang w:val="fr-FR"/>
        </w:rPr>
        <w:t xml:space="preserve"> Li</w:t>
      </w:r>
      <w:r w:rsidR="00470C7F">
        <w:rPr>
          <w:b w:val="0"/>
          <w:lang w:val="fr-FR"/>
        </w:rPr>
        <w:t>,</w:t>
      </w:r>
      <w:r w:rsidRPr="0003340F">
        <w:rPr>
          <w:b w:val="0"/>
          <w:lang w:val="fr-FR"/>
        </w:rPr>
        <w:t xml:space="preserve"> H</w:t>
      </w:r>
      <w:r w:rsidR="00470C7F">
        <w:rPr>
          <w:b w:val="0"/>
          <w:lang w:val="fr-FR"/>
        </w:rPr>
        <w:t>. ;</w:t>
      </w:r>
      <w:r w:rsidRPr="0003340F">
        <w:rPr>
          <w:b w:val="0"/>
          <w:lang w:val="fr-FR"/>
        </w:rPr>
        <w:t xml:space="preserve"> Que</w:t>
      </w:r>
      <w:r w:rsidR="00470C7F">
        <w:rPr>
          <w:b w:val="0"/>
          <w:lang w:val="fr-FR"/>
        </w:rPr>
        <w:t>,</w:t>
      </w:r>
      <w:r w:rsidRPr="0003340F">
        <w:rPr>
          <w:b w:val="0"/>
          <w:lang w:val="fr-FR"/>
        </w:rPr>
        <w:t xml:space="preserve"> C</w:t>
      </w:r>
      <w:r w:rsidR="00470C7F">
        <w:rPr>
          <w:b w:val="0"/>
          <w:lang w:val="fr-FR"/>
        </w:rPr>
        <w:t>. ;</w:t>
      </w:r>
      <w:r w:rsidRPr="0003340F">
        <w:rPr>
          <w:b w:val="0"/>
          <w:lang w:val="fr-FR"/>
        </w:rPr>
        <w:t xml:space="preserve"> Gao</w:t>
      </w:r>
      <w:r w:rsidR="00470C7F">
        <w:rPr>
          <w:b w:val="0"/>
          <w:lang w:val="fr-FR"/>
        </w:rPr>
        <w:t>,</w:t>
      </w:r>
      <w:r w:rsidRPr="0003340F">
        <w:rPr>
          <w:b w:val="0"/>
          <w:lang w:val="fr-FR"/>
        </w:rPr>
        <w:t xml:space="preserve"> Z</w:t>
      </w:r>
      <w:r w:rsidR="00470C7F">
        <w:rPr>
          <w:b w:val="0"/>
          <w:lang w:val="fr-FR"/>
        </w:rPr>
        <w:t>. ;</w:t>
      </w:r>
      <w:r w:rsidRPr="0003340F">
        <w:rPr>
          <w:b w:val="0"/>
          <w:lang w:val="fr-FR"/>
        </w:rPr>
        <w:t xml:space="preserve"> </w:t>
      </w:r>
      <w:r w:rsidR="00470C7F" w:rsidRPr="00470C7F">
        <w:rPr>
          <w:b w:val="0"/>
          <w:lang w:val="fr-FR"/>
        </w:rPr>
        <w:t>Wang</w:t>
      </w:r>
      <w:r w:rsidR="00470C7F">
        <w:rPr>
          <w:b w:val="0"/>
          <w:lang w:val="fr-FR"/>
        </w:rPr>
        <w:t>,</w:t>
      </w:r>
      <w:r w:rsidR="00470C7F" w:rsidRPr="00470C7F">
        <w:rPr>
          <w:b w:val="0"/>
          <w:lang w:val="fr-FR"/>
        </w:rPr>
        <w:t xml:space="preserve"> G</w:t>
      </w:r>
      <w:r w:rsidR="00470C7F">
        <w:rPr>
          <w:b w:val="0"/>
          <w:lang w:val="fr-FR"/>
        </w:rPr>
        <w:t>. ;</w:t>
      </w:r>
      <w:r w:rsidR="00470C7F" w:rsidRPr="00470C7F">
        <w:rPr>
          <w:b w:val="0"/>
          <w:lang w:val="fr-FR"/>
        </w:rPr>
        <w:t xml:space="preserve"> Xu</w:t>
      </w:r>
      <w:r w:rsidR="00470C7F">
        <w:rPr>
          <w:b w:val="0"/>
          <w:lang w:val="fr-FR"/>
        </w:rPr>
        <w:t>,</w:t>
      </w:r>
      <w:r w:rsidR="00470C7F" w:rsidRPr="00470C7F">
        <w:rPr>
          <w:b w:val="0"/>
          <w:lang w:val="fr-FR"/>
        </w:rPr>
        <w:t xml:space="preserve"> X</w:t>
      </w:r>
      <w:r w:rsidR="00470C7F">
        <w:rPr>
          <w:b w:val="0"/>
          <w:lang w:val="fr-FR"/>
        </w:rPr>
        <w:t>. ;</w:t>
      </w:r>
      <w:r w:rsidR="00470C7F" w:rsidRPr="00470C7F">
        <w:rPr>
          <w:b w:val="0"/>
          <w:lang w:val="fr-FR"/>
        </w:rPr>
        <w:t xml:space="preserve"> Lu</w:t>
      </w:r>
      <w:r w:rsidR="00470C7F">
        <w:rPr>
          <w:b w:val="0"/>
          <w:lang w:val="fr-FR"/>
        </w:rPr>
        <w:t>,</w:t>
      </w:r>
      <w:r w:rsidR="00470C7F" w:rsidRPr="00470C7F">
        <w:rPr>
          <w:b w:val="0"/>
          <w:lang w:val="fr-FR"/>
        </w:rPr>
        <w:t xml:space="preserve"> H</w:t>
      </w:r>
      <w:r w:rsidR="00470C7F">
        <w:rPr>
          <w:b w:val="0"/>
          <w:lang w:val="fr-FR"/>
        </w:rPr>
        <w:t>. ;</w:t>
      </w:r>
      <w:r w:rsidR="00470C7F" w:rsidRPr="00470C7F">
        <w:rPr>
          <w:b w:val="0"/>
          <w:lang w:val="fr-FR"/>
        </w:rPr>
        <w:t xml:space="preserve"> Wang</w:t>
      </w:r>
      <w:r w:rsidR="00470C7F">
        <w:rPr>
          <w:b w:val="0"/>
          <w:lang w:val="fr-FR"/>
        </w:rPr>
        <w:t>,</w:t>
      </w:r>
      <w:r w:rsidR="00470C7F" w:rsidRPr="00470C7F">
        <w:rPr>
          <w:b w:val="0"/>
          <w:lang w:val="fr-FR"/>
        </w:rPr>
        <w:t xml:space="preserve"> G.</w:t>
      </w:r>
      <w:r w:rsidRPr="0003340F">
        <w:rPr>
          <w:b w:val="0"/>
          <w:lang w:val="fr-FR"/>
        </w:rPr>
        <w:t xml:space="preserve"> </w:t>
      </w:r>
      <w:r w:rsidRPr="0003340F">
        <w:rPr>
          <w:b w:val="0"/>
        </w:rPr>
        <w:t xml:space="preserve">[Retrospective analysis of the </w:t>
      </w:r>
      <w:proofErr w:type="gramStart"/>
      <w:r w:rsidRPr="0003340F">
        <w:rPr>
          <w:b w:val="0"/>
        </w:rPr>
        <w:t xml:space="preserve">corticosteroids </w:t>
      </w:r>
      <w:r>
        <w:rPr>
          <w:b w:val="0"/>
        </w:rPr>
        <w:t xml:space="preserve"> </w:t>
      </w:r>
      <w:r w:rsidRPr="0003340F">
        <w:rPr>
          <w:b w:val="0"/>
        </w:rPr>
        <w:t>treatment</w:t>
      </w:r>
      <w:proofErr w:type="gramEnd"/>
      <w:r w:rsidRPr="0003340F">
        <w:rPr>
          <w:b w:val="0"/>
        </w:rPr>
        <w:t xml:space="preserve"> on severe acute respiratory syndrome (SARS)]. </w:t>
      </w:r>
      <w:r w:rsidRPr="00A02919">
        <w:rPr>
          <w:b w:val="0"/>
          <w:i/>
        </w:rPr>
        <w:t>Beijing</w:t>
      </w:r>
      <w:r w:rsidR="00A02919">
        <w:rPr>
          <w:b w:val="0"/>
          <w:i/>
        </w:rPr>
        <w:t>.</w:t>
      </w:r>
      <w:r w:rsidRPr="00A02919">
        <w:rPr>
          <w:b w:val="0"/>
          <w:i/>
        </w:rPr>
        <w:t xml:space="preserve"> Da</w:t>
      </w:r>
      <w:r w:rsidR="00A02919">
        <w:rPr>
          <w:b w:val="0"/>
          <w:i/>
        </w:rPr>
        <w:t>.</w:t>
      </w:r>
      <w:r w:rsidRPr="00A02919">
        <w:rPr>
          <w:b w:val="0"/>
          <w:i/>
        </w:rPr>
        <w:t xml:space="preserve"> </w:t>
      </w:r>
      <w:proofErr w:type="spellStart"/>
      <w:r w:rsidRPr="00A02919">
        <w:rPr>
          <w:b w:val="0"/>
          <w:i/>
        </w:rPr>
        <w:t>Xue</w:t>
      </w:r>
      <w:proofErr w:type="spellEnd"/>
      <w:r w:rsidR="00A02919">
        <w:rPr>
          <w:b w:val="0"/>
          <w:i/>
        </w:rPr>
        <w:t>.</w:t>
      </w:r>
      <w:r w:rsidRPr="00A02919">
        <w:rPr>
          <w:b w:val="0"/>
          <w:i/>
        </w:rPr>
        <w:t xml:space="preserve"> </w:t>
      </w:r>
      <w:proofErr w:type="spellStart"/>
      <w:r w:rsidRPr="00A02919">
        <w:rPr>
          <w:b w:val="0"/>
          <w:i/>
        </w:rPr>
        <w:t>Xue</w:t>
      </w:r>
      <w:proofErr w:type="spellEnd"/>
      <w:r w:rsidR="00A02919">
        <w:rPr>
          <w:b w:val="0"/>
          <w:i/>
        </w:rPr>
        <w:t>.</w:t>
      </w:r>
      <w:r w:rsidRPr="00A02919">
        <w:rPr>
          <w:b w:val="0"/>
          <w:i/>
        </w:rPr>
        <w:t xml:space="preserve"> Bao</w:t>
      </w:r>
      <w:r w:rsidR="00A02919">
        <w:rPr>
          <w:b w:val="0"/>
          <w:i/>
        </w:rPr>
        <w:t>.</w:t>
      </w:r>
      <w:r w:rsidRPr="00A02919">
        <w:rPr>
          <w:b w:val="0"/>
          <w:i/>
        </w:rPr>
        <w:t xml:space="preserve"> Yi</w:t>
      </w:r>
      <w:r w:rsidR="00A02919">
        <w:rPr>
          <w:b w:val="0"/>
          <w:i/>
        </w:rPr>
        <w:t>.</w:t>
      </w:r>
      <w:r w:rsidRPr="00A02919">
        <w:rPr>
          <w:b w:val="0"/>
          <w:i/>
        </w:rPr>
        <w:t xml:space="preserve"> </w:t>
      </w:r>
      <w:proofErr w:type="spellStart"/>
      <w:r w:rsidRPr="00A02919">
        <w:rPr>
          <w:b w:val="0"/>
          <w:i/>
        </w:rPr>
        <w:t>Xue</w:t>
      </w:r>
      <w:proofErr w:type="spellEnd"/>
      <w:r w:rsidR="00A02919">
        <w:rPr>
          <w:b w:val="0"/>
          <w:i/>
        </w:rPr>
        <w:t>.</w:t>
      </w:r>
      <w:r w:rsidRPr="00A02919">
        <w:rPr>
          <w:b w:val="0"/>
          <w:i/>
        </w:rPr>
        <w:t xml:space="preserve"> Ban</w:t>
      </w:r>
      <w:r w:rsidR="00A02919">
        <w:rPr>
          <w:b w:val="0"/>
          <w:i/>
        </w:rPr>
        <w:t>.</w:t>
      </w:r>
      <w:r w:rsidRPr="0003340F">
        <w:rPr>
          <w:b w:val="0"/>
        </w:rPr>
        <w:t xml:space="preserve"> </w:t>
      </w:r>
      <w:r w:rsidRPr="00A02919">
        <w:t>2003</w:t>
      </w:r>
      <w:r w:rsidRPr="0003340F">
        <w:rPr>
          <w:b w:val="0"/>
        </w:rPr>
        <w:t>; 35:Suppl:16-8 (in Chinese).</w:t>
      </w:r>
    </w:p>
    <w:p w:rsidR="0003340F" w:rsidRPr="0003340F" w:rsidRDefault="0003340F" w:rsidP="0003340F">
      <w:pPr>
        <w:pStyle w:val="MDPI21heading1"/>
        <w:spacing w:before="0" w:after="0"/>
        <w:ind w:left="200" w:hangingChars="100" w:hanging="200"/>
        <w:jc w:val="both"/>
        <w:rPr>
          <w:b w:val="0"/>
        </w:rPr>
      </w:pPr>
      <w:r w:rsidRPr="0003340F">
        <w:rPr>
          <w:b w:val="0"/>
          <w:lang w:val="fr-FR"/>
        </w:rPr>
        <w:t>33. Yam</w:t>
      </w:r>
      <w:r w:rsidR="00A073C5">
        <w:rPr>
          <w:b w:val="0"/>
          <w:lang w:val="fr-FR"/>
        </w:rPr>
        <w:t>,</w:t>
      </w:r>
      <w:r w:rsidRPr="0003340F">
        <w:rPr>
          <w:b w:val="0"/>
          <w:lang w:val="fr-FR"/>
        </w:rPr>
        <w:t xml:space="preserve"> L</w:t>
      </w:r>
      <w:r w:rsidR="00A073C5">
        <w:rPr>
          <w:b w:val="0"/>
          <w:lang w:val="fr-FR"/>
        </w:rPr>
        <w:t>.Y. ;</w:t>
      </w:r>
      <w:r w:rsidRPr="0003340F">
        <w:rPr>
          <w:b w:val="0"/>
          <w:lang w:val="fr-FR"/>
        </w:rPr>
        <w:t xml:space="preserve"> Lau</w:t>
      </w:r>
      <w:r w:rsidR="00A073C5">
        <w:rPr>
          <w:b w:val="0"/>
          <w:lang w:val="fr-FR"/>
        </w:rPr>
        <w:t>,</w:t>
      </w:r>
      <w:r w:rsidRPr="0003340F">
        <w:rPr>
          <w:b w:val="0"/>
          <w:lang w:val="fr-FR"/>
        </w:rPr>
        <w:t xml:space="preserve"> A</w:t>
      </w:r>
      <w:r w:rsidR="00A073C5">
        <w:rPr>
          <w:b w:val="0"/>
          <w:lang w:val="fr-FR"/>
        </w:rPr>
        <w:t>.</w:t>
      </w:r>
      <w:r w:rsidRPr="0003340F">
        <w:rPr>
          <w:b w:val="0"/>
          <w:lang w:val="fr-FR"/>
        </w:rPr>
        <w:t>C</w:t>
      </w:r>
      <w:r w:rsidR="00A073C5">
        <w:rPr>
          <w:b w:val="0"/>
          <w:lang w:val="fr-FR"/>
        </w:rPr>
        <w:t>. ;</w:t>
      </w:r>
      <w:r w:rsidRPr="0003340F">
        <w:rPr>
          <w:b w:val="0"/>
          <w:lang w:val="fr-FR"/>
        </w:rPr>
        <w:t xml:space="preserve"> Lai</w:t>
      </w:r>
      <w:r w:rsidR="00A073C5">
        <w:rPr>
          <w:b w:val="0"/>
          <w:lang w:val="fr-FR"/>
        </w:rPr>
        <w:t>,</w:t>
      </w:r>
      <w:r w:rsidRPr="0003340F">
        <w:rPr>
          <w:b w:val="0"/>
          <w:lang w:val="fr-FR"/>
        </w:rPr>
        <w:t xml:space="preserve"> F</w:t>
      </w:r>
      <w:r w:rsidR="00A073C5">
        <w:rPr>
          <w:b w:val="0"/>
          <w:lang w:val="fr-FR"/>
        </w:rPr>
        <w:t>.</w:t>
      </w:r>
      <w:r w:rsidRPr="0003340F">
        <w:rPr>
          <w:b w:val="0"/>
          <w:lang w:val="fr-FR"/>
        </w:rPr>
        <w:t>Y</w:t>
      </w:r>
      <w:r w:rsidR="00A073C5">
        <w:rPr>
          <w:b w:val="0"/>
          <w:lang w:val="fr-FR"/>
        </w:rPr>
        <w:t>. ;</w:t>
      </w:r>
      <w:r w:rsidRPr="0003340F">
        <w:rPr>
          <w:b w:val="0"/>
          <w:lang w:val="fr-FR"/>
        </w:rPr>
        <w:t xml:space="preserve"> </w:t>
      </w:r>
      <w:proofErr w:type="spellStart"/>
      <w:r w:rsidRPr="0003340F">
        <w:rPr>
          <w:b w:val="0"/>
          <w:lang w:val="fr-FR"/>
        </w:rPr>
        <w:t>Shung</w:t>
      </w:r>
      <w:proofErr w:type="spellEnd"/>
      <w:r w:rsidR="00A073C5">
        <w:rPr>
          <w:b w:val="0"/>
          <w:lang w:val="fr-FR"/>
        </w:rPr>
        <w:t>,</w:t>
      </w:r>
      <w:r w:rsidRPr="0003340F">
        <w:rPr>
          <w:b w:val="0"/>
          <w:lang w:val="fr-FR"/>
        </w:rPr>
        <w:t xml:space="preserve"> E</w:t>
      </w:r>
      <w:r w:rsidR="00A073C5">
        <w:rPr>
          <w:b w:val="0"/>
          <w:lang w:val="fr-FR"/>
        </w:rPr>
        <w:t>. ;</w:t>
      </w:r>
      <w:r w:rsidRPr="0003340F">
        <w:rPr>
          <w:b w:val="0"/>
          <w:lang w:val="fr-FR"/>
        </w:rPr>
        <w:t xml:space="preserve"> Chan</w:t>
      </w:r>
      <w:r w:rsidR="00A073C5">
        <w:rPr>
          <w:b w:val="0"/>
          <w:lang w:val="fr-FR"/>
        </w:rPr>
        <w:t xml:space="preserve">, </w:t>
      </w:r>
      <w:r w:rsidRPr="0003340F">
        <w:rPr>
          <w:b w:val="0"/>
          <w:lang w:val="fr-FR"/>
        </w:rPr>
        <w:t>J</w:t>
      </w:r>
      <w:r w:rsidR="00A073C5">
        <w:rPr>
          <w:b w:val="0"/>
          <w:lang w:val="fr-FR"/>
        </w:rPr>
        <w:t>. ;</w:t>
      </w:r>
      <w:r w:rsidRPr="0003340F">
        <w:rPr>
          <w:b w:val="0"/>
          <w:lang w:val="fr-FR"/>
        </w:rPr>
        <w:t xml:space="preserve"> Wong</w:t>
      </w:r>
      <w:r w:rsidR="00A073C5">
        <w:rPr>
          <w:b w:val="0"/>
          <w:lang w:val="fr-FR"/>
        </w:rPr>
        <w:t>,</w:t>
      </w:r>
      <w:r w:rsidRPr="0003340F">
        <w:rPr>
          <w:b w:val="0"/>
          <w:lang w:val="fr-FR"/>
        </w:rPr>
        <w:t xml:space="preserve"> V</w:t>
      </w:r>
      <w:r w:rsidR="00A073C5">
        <w:rPr>
          <w:b w:val="0"/>
          <w:lang w:val="fr-FR"/>
        </w:rPr>
        <w:t>. ;</w:t>
      </w:r>
      <w:r w:rsidRPr="0003340F">
        <w:rPr>
          <w:b w:val="0"/>
          <w:lang w:val="fr-FR"/>
        </w:rPr>
        <w:t xml:space="preserve"> Hong Kong Hospital </w:t>
      </w:r>
      <w:proofErr w:type="spellStart"/>
      <w:r w:rsidRPr="0003340F">
        <w:rPr>
          <w:b w:val="0"/>
          <w:lang w:val="fr-FR"/>
        </w:rPr>
        <w:t>Authority</w:t>
      </w:r>
      <w:proofErr w:type="spellEnd"/>
      <w:r w:rsidRPr="0003340F">
        <w:rPr>
          <w:b w:val="0"/>
          <w:lang w:val="fr-FR"/>
        </w:rPr>
        <w:t xml:space="preserve"> SARS Collaborative Group (HASCOG). </w:t>
      </w:r>
      <w:r w:rsidRPr="0003340F">
        <w:rPr>
          <w:b w:val="0"/>
        </w:rPr>
        <w:t>Corticosteroid treatment of severe acute respiratory syndrome in Hong Kong</w:t>
      </w:r>
      <w:r w:rsidRPr="00A02919">
        <w:rPr>
          <w:b w:val="0"/>
          <w:i/>
        </w:rPr>
        <w:t>. J Infect</w:t>
      </w:r>
      <w:r w:rsidR="00A02919">
        <w:rPr>
          <w:b w:val="0"/>
          <w:i/>
        </w:rPr>
        <w:t>.</w:t>
      </w:r>
      <w:r w:rsidRPr="0003340F">
        <w:rPr>
          <w:b w:val="0"/>
        </w:rPr>
        <w:t xml:space="preserve"> </w:t>
      </w:r>
      <w:r w:rsidRPr="00A02919">
        <w:t>2007</w:t>
      </w:r>
      <w:r w:rsidRPr="0003340F">
        <w:rPr>
          <w:b w:val="0"/>
        </w:rPr>
        <w:t xml:space="preserve">;54:28-39. </w:t>
      </w:r>
    </w:p>
    <w:p w:rsidR="0003340F" w:rsidRPr="0003340F" w:rsidRDefault="0003340F" w:rsidP="0003340F">
      <w:pPr>
        <w:pStyle w:val="MDPI21heading1"/>
        <w:spacing w:before="0" w:after="0"/>
        <w:ind w:left="200" w:hangingChars="100" w:hanging="200"/>
        <w:jc w:val="both"/>
        <w:rPr>
          <w:b w:val="0"/>
        </w:rPr>
      </w:pPr>
      <w:r w:rsidRPr="0003340F">
        <w:rPr>
          <w:b w:val="0"/>
        </w:rPr>
        <w:t>34. Lau</w:t>
      </w:r>
      <w:r w:rsidR="00A073C5">
        <w:rPr>
          <w:b w:val="0"/>
        </w:rPr>
        <w:t>,</w:t>
      </w:r>
      <w:r w:rsidRPr="0003340F">
        <w:rPr>
          <w:b w:val="0"/>
        </w:rPr>
        <w:t xml:space="preserve"> E</w:t>
      </w:r>
      <w:r w:rsidR="00A073C5">
        <w:rPr>
          <w:b w:val="0"/>
        </w:rPr>
        <w:t>.</w:t>
      </w:r>
      <w:r w:rsidRPr="0003340F">
        <w:rPr>
          <w:b w:val="0"/>
        </w:rPr>
        <w:t>H</w:t>
      </w:r>
      <w:r w:rsidR="00A073C5">
        <w:rPr>
          <w:b w:val="0"/>
        </w:rPr>
        <w:t xml:space="preserve">.; </w:t>
      </w:r>
      <w:r w:rsidRPr="0003340F">
        <w:rPr>
          <w:b w:val="0"/>
        </w:rPr>
        <w:t>Cowling</w:t>
      </w:r>
      <w:r w:rsidR="00A073C5">
        <w:rPr>
          <w:b w:val="0"/>
        </w:rPr>
        <w:t>,</w:t>
      </w:r>
      <w:r w:rsidRPr="0003340F">
        <w:rPr>
          <w:b w:val="0"/>
        </w:rPr>
        <w:t xml:space="preserve"> B</w:t>
      </w:r>
      <w:r w:rsidR="00A073C5">
        <w:rPr>
          <w:b w:val="0"/>
        </w:rPr>
        <w:t>.</w:t>
      </w:r>
      <w:r w:rsidRPr="0003340F">
        <w:rPr>
          <w:b w:val="0"/>
        </w:rPr>
        <w:t>J</w:t>
      </w:r>
      <w:r w:rsidR="00A073C5">
        <w:rPr>
          <w:b w:val="0"/>
        </w:rPr>
        <w:t>.;</w:t>
      </w:r>
      <w:r w:rsidRPr="0003340F">
        <w:rPr>
          <w:b w:val="0"/>
        </w:rPr>
        <w:t xml:space="preserve"> Muller</w:t>
      </w:r>
      <w:r w:rsidR="00A073C5">
        <w:rPr>
          <w:b w:val="0"/>
        </w:rPr>
        <w:t>,</w:t>
      </w:r>
      <w:r w:rsidRPr="0003340F">
        <w:rPr>
          <w:b w:val="0"/>
        </w:rPr>
        <w:t xml:space="preserve"> M</w:t>
      </w:r>
      <w:r w:rsidR="00A073C5">
        <w:rPr>
          <w:b w:val="0"/>
        </w:rPr>
        <w:t>.</w:t>
      </w:r>
      <w:r w:rsidRPr="0003340F">
        <w:rPr>
          <w:b w:val="0"/>
        </w:rPr>
        <w:t>P</w:t>
      </w:r>
      <w:r w:rsidR="00A073C5">
        <w:rPr>
          <w:b w:val="0"/>
        </w:rPr>
        <w:t>.;</w:t>
      </w:r>
      <w:r w:rsidRPr="0003340F">
        <w:rPr>
          <w:b w:val="0"/>
        </w:rPr>
        <w:t xml:space="preserve"> Ho</w:t>
      </w:r>
      <w:r w:rsidR="00A073C5">
        <w:rPr>
          <w:b w:val="0"/>
        </w:rPr>
        <w:t>,</w:t>
      </w:r>
      <w:r w:rsidRPr="0003340F">
        <w:rPr>
          <w:b w:val="0"/>
        </w:rPr>
        <w:t xml:space="preserve"> L</w:t>
      </w:r>
      <w:r w:rsidR="00A073C5">
        <w:rPr>
          <w:b w:val="0"/>
        </w:rPr>
        <w:t>.</w:t>
      </w:r>
      <w:r w:rsidRPr="0003340F">
        <w:rPr>
          <w:b w:val="0"/>
        </w:rPr>
        <w:t>M</w:t>
      </w:r>
      <w:r w:rsidR="00A073C5">
        <w:rPr>
          <w:b w:val="0"/>
        </w:rPr>
        <w:t>.;</w:t>
      </w:r>
      <w:r w:rsidRPr="0003340F">
        <w:rPr>
          <w:b w:val="0"/>
        </w:rPr>
        <w:t xml:space="preserve"> Tsang</w:t>
      </w:r>
      <w:r w:rsidR="00A073C5">
        <w:rPr>
          <w:b w:val="0"/>
        </w:rPr>
        <w:t>,</w:t>
      </w:r>
      <w:r w:rsidRPr="0003340F">
        <w:rPr>
          <w:b w:val="0"/>
        </w:rPr>
        <w:t xml:space="preserve"> T</w:t>
      </w:r>
      <w:r w:rsidR="00A073C5">
        <w:rPr>
          <w:b w:val="0"/>
        </w:rPr>
        <w:t>.;</w:t>
      </w:r>
      <w:r w:rsidRPr="0003340F">
        <w:rPr>
          <w:b w:val="0"/>
        </w:rPr>
        <w:t xml:space="preserve"> Lo</w:t>
      </w:r>
      <w:r w:rsidR="00A073C5">
        <w:rPr>
          <w:b w:val="0"/>
        </w:rPr>
        <w:t>,</w:t>
      </w:r>
      <w:r w:rsidRPr="0003340F">
        <w:rPr>
          <w:b w:val="0"/>
        </w:rPr>
        <w:t xml:space="preserve"> S</w:t>
      </w:r>
      <w:r w:rsidR="00A073C5">
        <w:rPr>
          <w:b w:val="0"/>
        </w:rPr>
        <w:t>.</w:t>
      </w:r>
      <w:r w:rsidRPr="0003340F">
        <w:rPr>
          <w:b w:val="0"/>
        </w:rPr>
        <w:t>V</w:t>
      </w:r>
      <w:r w:rsidR="00A073C5">
        <w:rPr>
          <w:b w:val="0"/>
        </w:rPr>
        <w:t>.;</w:t>
      </w:r>
      <w:r w:rsidRPr="0003340F">
        <w:rPr>
          <w:b w:val="0"/>
        </w:rPr>
        <w:t xml:space="preserve"> </w:t>
      </w:r>
      <w:r w:rsidR="00271BA9">
        <w:rPr>
          <w:b w:val="0"/>
        </w:rPr>
        <w:t>L</w:t>
      </w:r>
      <w:r w:rsidR="00271BA9" w:rsidRPr="00271BA9">
        <w:rPr>
          <w:b w:val="0"/>
        </w:rPr>
        <w:t>ouie</w:t>
      </w:r>
      <w:r w:rsidR="00271BA9">
        <w:rPr>
          <w:b w:val="0"/>
        </w:rPr>
        <w:t>,</w:t>
      </w:r>
      <w:r w:rsidR="00271BA9" w:rsidRPr="00271BA9">
        <w:rPr>
          <w:b w:val="0"/>
        </w:rPr>
        <w:t xml:space="preserve"> M</w:t>
      </w:r>
      <w:r w:rsidR="00271BA9">
        <w:rPr>
          <w:b w:val="0"/>
        </w:rPr>
        <w:t>.;</w:t>
      </w:r>
      <w:r w:rsidR="00271BA9" w:rsidRPr="00271BA9">
        <w:rPr>
          <w:b w:val="0"/>
        </w:rPr>
        <w:t xml:space="preserve"> Leung</w:t>
      </w:r>
      <w:r w:rsidR="00271BA9">
        <w:rPr>
          <w:b w:val="0"/>
        </w:rPr>
        <w:t>,</w:t>
      </w:r>
      <w:r w:rsidR="00271BA9" w:rsidRPr="00271BA9">
        <w:rPr>
          <w:b w:val="0"/>
        </w:rPr>
        <w:t xml:space="preserve"> G</w:t>
      </w:r>
      <w:r w:rsidR="00271BA9">
        <w:rPr>
          <w:b w:val="0"/>
        </w:rPr>
        <w:t>.</w:t>
      </w:r>
      <w:r w:rsidR="00271BA9" w:rsidRPr="00271BA9">
        <w:rPr>
          <w:b w:val="0"/>
        </w:rPr>
        <w:t>M.</w:t>
      </w:r>
      <w:r w:rsidRPr="0003340F">
        <w:rPr>
          <w:b w:val="0"/>
        </w:rPr>
        <w:t xml:space="preserve"> Effectiveness of Ribavirin and Corticosteroids for Severe Acute Respiratory Syndrome. </w:t>
      </w:r>
      <w:r w:rsidRPr="00A02919">
        <w:rPr>
          <w:b w:val="0"/>
          <w:i/>
        </w:rPr>
        <w:t>Am J Med</w:t>
      </w:r>
      <w:r w:rsidR="00A02919">
        <w:rPr>
          <w:b w:val="0"/>
          <w:i/>
        </w:rPr>
        <w:t>.</w:t>
      </w:r>
      <w:r w:rsidRPr="0003340F">
        <w:rPr>
          <w:b w:val="0"/>
        </w:rPr>
        <w:t xml:space="preserve"> </w:t>
      </w:r>
      <w:r w:rsidRPr="00A02919">
        <w:t>2009</w:t>
      </w:r>
      <w:r w:rsidRPr="0003340F">
        <w:rPr>
          <w:b w:val="0"/>
        </w:rPr>
        <w:t xml:space="preserve">;122:1150.e11-21. </w:t>
      </w:r>
    </w:p>
    <w:p w:rsidR="0003340F" w:rsidRPr="0003340F" w:rsidRDefault="0003340F" w:rsidP="0003340F">
      <w:pPr>
        <w:pStyle w:val="MDPI21heading1"/>
        <w:spacing w:before="0" w:after="0"/>
        <w:ind w:left="200" w:hangingChars="100" w:hanging="200"/>
        <w:jc w:val="both"/>
        <w:rPr>
          <w:b w:val="0"/>
        </w:rPr>
      </w:pPr>
      <w:r w:rsidRPr="0003340F">
        <w:rPr>
          <w:b w:val="0"/>
        </w:rPr>
        <w:t>35. Arabi</w:t>
      </w:r>
      <w:r w:rsidR="00A073C5">
        <w:rPr>
          <w:b w:val="0"/>
        </w:rPr>
        <w:t>,</w:t>
      </w:r>
      <w:r w:rsidRPr="0003340F">
        <w:rPr>
          <w:b w:val="0"/>
        </w:rPr>
        <w:t xml:space="preserve"> Y</w:t>
      </w:r>
      <w:r w:rsidR="00A073C5">
        <w:rPr>
          <w:b w:val="0"/>
        </w:rPr>
        <w:t>.</w:t>
      </w:r>
      <w:r w:rsidRPr="0003340F">
        <w:rPr>
          <w:b w:val="0"/>
        </w:rPr>
        <w:t>M</w:t>
      </w:r>
      <w:r w:rsidR="00A073C5">
        <w:rPr>
          <w:b w:val="0"/>
        </w:rPr>
        <w:t>.;</w:t>
      </w:r>
      <w:r w:rsidRPr="0003340F">
        <w:rPr>
          <w:b w:val="0"/>
        </w:rPr>
        <w:t xml:space="preserve"> </w:t>
      </w:r>
      <w:proofErr w:type="spellStart"/>
      <w:r w:rsidRPr="0003340F">
        <w:rPr>
          <w:b w:val="0"/>
        </w:rPr>
        <w:t>Mandourah</w:t>
      </w:r>
      <w:proofErr w:type="spellEnd"/>
      <w:r w:rsidR="00A073C5">
        <w:rPr>
          <w:b w:val="0"/>
        </w:rPr>
        <w:t>,</w:t>
      </w:r>
      <w:r w:rsidRPr="0003340F">
        <w:rPr>
          <w:b w:val="0"/>
        </w:rPr>
        <w:t xml:space="preserve"> Y</w:t>
      </w:r>
      <w:r w:rsidR="00A073C5">
        <w:rPr>
          <w:b w:val="0"/>
        </w:rPr>
        <w:t xml:space="preserve">.; Al-Hameed, </w:t>
      </w:r>
      <w:r w:rsidRPr="0003340F">
        <w:rPr>
          <w:b w:val="0"/>
        </w:rPr>
        <w:t>F</w:t>
      </w:r>
      <w:r w:rsidR="00A073C5">
        <w:rPr>
          <w:b w:val="0"/>
        </w:rPr>
        <w:t>.;</w:t>
      </w:r>
      <w:r w:rsidRPr="0003340F">
        <w:rPr>
          <w:b w:val="0"/>
        </w:rPr>
        <w:t xml:space="preserve"> </w:t>
      </w:r>
      <w:proofErr w:type="spellStart"/>
      <w:r w:rsidRPr="0003340F">
        <w:rPr>
          <w:b w:val="0"/>
        </w:rPr>
        <w:t>Sindi</w:t>
      </w:r>
      <w:proofErr w:type="spellEnd"/>
      <w:r w:rsidR="00A073C5">
        <w:rPr>
          <w:b w:val="0"/>
        </w:rPr>
        <w:t>,</w:t>
      </w:r>
      <w:r w:rsidRPr="0003340F">
        <w:rPr>
          <w:b w:val="0"/>
        </w:rPr>
        <w:t xml:space="preserve"> A</w:t>
      </w:r>
      <w:r w:rsidR="00A073C5">
        <w:rPr>
          <w:b w:val="0"/>
        </w:rPr>
        <w:t>.</w:t>
      </w:r>
      <w:r w:rsidRPr="0003340F">
        <w:rPr>
          <w:b w:val="0"/>
        </w:rPr>
        <w:t>A</w:t>
      </w:r>
      <w:r w:rsidR="00A073C5">
        <w:rPr>
          <w:b w:val="0"/>
        </w:rPr>
        <w:t>.;</w:t>
      </w:r>
      <w:r w:rsidRPr="0003340F">
        <w:rPr>
          <w:b w:val="0"/>
        </w:rPr>
        <w:t xml:space="preserve"> </w:t>
      </w:r>
      <w:proofErr w:type="spellStart"/>
      <w:r w:rsidRPr="0003340F">
        <w:rPr>
          <w:b w:val="0"/>
        </w:rPr>
        <w:t>Almekhlafi</w:t>
      </w:r>
      <w:proofErr w:type="spellEnd"/>
      <w:r w:rsidR="00A073C5">
        <w:rPr>
          <w:b w:val="0"/>
        </w:rPr>
        <w:t>,</w:t>
      </w:r>
      <w:r w:rsidRPr="0003340F">
        <w:rPr>
          <w:b w:val="0"/>
        </w:rPr>
        <w:t xml:space="preserve"> G</w:t>
      </w:r>
      <w:r w:rsidR="00A073C5">
        <w:rPr>
          <w:b w:val="0"/>
        </w:rPr>
        <w:t>.</w:t>
      </w:r>
      <w:r w:rsidRPr="0003340F">
        <w:rPr>
          <w:b w:val="0"/>
        </w:rPr>
        <w:t>A</w:t>
      </w:r>
      <w:r w:rsidR="00A073C5">
        <w:rPr>
          <w:b w:val="0"/>
        </w:rPr>
        <w:t>.;</w:t>
      </w:r>
      <w:r w:rsidRPr="0003340F">
        <w:rPr>
          <w:b w:val="0"/>
        </w:rPr>
        <w:t xml:space="preserve"> Hussein</w:t>
      </w:r>
      <w:r w:rsidR="00A073C5">
        <w:rPr>
          <w:b w:val="0"/>
        </w:rPr>
        <w:t xml:space="preserve">, </w:t>
      </w:r>
      <w:r w:rsidRPr="0003340F">
        <w:rPr>
          <w:b w:val="0"/>
        </w:rPr>
        <w:t>M</w:t>
      </w:r>
      <w:r w:rsidR="00A073C5">
        <w:rPr>
          <w:b w:val="0"/>
        </w:rPr>
        <w:t>.</w:t>
      </w:r>
      <w:r w:rsidRPr="0003340F">
        <w:rPr>
          <w:b w:val="0"/>
        </w:rPr>
        <w:t>A</w:t>
      </w:r>
      <w:r w:rsidR="00A073C5">
        <w:rPr>
          <w:b w:val="0"/>
        </w:rPr>
        <w:t>.;</w:t>
      </w:r>
      <w:r w:rsidRPr="0003340F">
        <w:rPr>
          <w:b w:val="0"/>
        </w:rPr>
        <w:t xml:space="preserve"> </w:t>
      </w:r>
      <w:r w:rsidR="00271BA9" w:rsidRPr="00271BA9">
        <w:rPr>
          <w:b w:val="0"/>
        </w:rPr>
        <w:t>Jose</w:t>
      </w:r>
      <w:r w:rsidR="00271BA9">
        <w:rPr>
          <w:b w:val="0"/>
        </w:rPr>
        <w:t>,</w:t>
      </w:r>
      <w:r w:rsidR="00271BA9" w:rsidRPr="00271BA9">
        <w:rPr>
          <w:b w:val="0"/>
        </w:rPr>
        <w:t xml:space="preserve"> J</w:t>
      </w:r>
      <w:r w:rsidR="00271BA9">
        <w:rPr>
          <w:b w:val="0"/>
        </w:rPr>
        <w:t>.;</w:t>
      </w:r>
      <w:r w:rsidR="00271BA9" w:rsidRPr="00271BA9">
        <w:rPr>
          <w:b w:val="0"/>
        </w:rPr>
        <w:t xml:space="preserve"> Pinto</w:t>
      </w:r>
      <w:r w:rsidR="00271BA9">
        <w:rPr>
          <w:b w:val="0"/>
        </w:rPr>
        <w:t>,</w:t>
      </w:r>
      <w:r w:rsidR="00271BA9" w:rsidRPr="00271BA9">
        <w:rPr>
          <w:b w:val="0"/>
        </w:rPr>
        <w:t xml:space="preserve"> R</w:t>
      </w:r>
      <w:r w:rsidR="00271BA9">
        <w:rPr>
          <w:b w:val="0"/>
        </w:rPr>
        <w:t>.;</w:t>
      </w:r>
      <w:r w:rsidR="00271BA9" w:rsidRPr="00271BA9">
        <w:rPr>
          <w:b w:val="0"/>
        </w:rPr>
        <w:t xml:space="preserve"> Al-Omari</w:t>
      </w:r>
      <w:r w:rsidR="00271BA9">
        <w:rPr>
          <w:b w:val="0"/>
        </w:rPr>
        <w:t>,</w:t>
      </w:r>
      <w:r w:rsidR="00271BA9" w:rsidRPr="00271BA9">
        <w:rPr>
          <w:b w:val="0"/>
        </w:rPr>
        <w:t xml:space="preserve"> A</w:t>
      </w:r>
      <w:r w:rsidR="00271BA9">
        <w:rPr>
          <w:b w:val="0"/>
        </w:rPr>
        <w:t>.;</w:t>
      </w:r>
      <w:r w:rsidR="00271BA9" w:rsidRPr="00271BA9">
        <w:rPr>
          <w:b w:val="0"/>
        </w:rPr>
        <w:t xml:space="preserve"> </w:t>
      </w:r>
      <w:proofErr w:type="spellStart"/>
      <w:r w:rsidR="00271BA9" w:rsidRPr="00271BA9">
        <w:rPr>
          <w:b w:val="0"/>
        </w:rPr>
        <w:t>Kharaba</w:t>
      </w:r>
      <w:proofErr w:type="spellEnd"/>
      <w:r w:rsidR="00271BA9">
        <w:rPr>
          <w:b w:val="0"/>
        </w:rPr>
        <w:t>,</w:t>
      </w:r>
      <w:r w:rsidR="00271BA9" w:rsidRPr="00271BA9">
        <w:rPr>
          <w:b w:val="0"/>
        </w:rPr>
        <w:t xml:space="preserve"> A</w:t>
      </w:r>
      <w:r w:rsidR="00271BA9">
        <w:rPr>
          <w:b w:val="0"/>
        </w:rPr>
        <w:t xml:space="preserve">.; </w:t>
      </w:r>
      <w:r w:rsidRPr="0003340F">
        <w:rPr>
          <w:b w:val="0"/>
        </w:rPr>
        <w:t xml:space="preserve">et al. Corticosteroid Therapy for Critically Ill Patients with Middle East Respiratory Syndrome. </w:t>
      </w:r>
      <w:r w:rsidRPr="00A02919">
        <w:rPr>
          <w:b w:val="0"/>
          <w:i/>
        </w:rPr>
        <w:t xml:space="preserve">Am J Respir </w:t>
      </w:r>
      <w:proofErr w:type="spellStart"/>
      <w:r w:rsidRPr="00A02919">
        <w:rPr>
          <w:b w:val="0"/>
          <w:i/>
        </w:rPr>
        <w:t>Crit</w:t>
      </w:r>
      <w:proofErr w:type="spellEnd"/>
      <w:r w:rsidRPr="00A02919">
        <w:rPr>
          <w:b w:val="0"/>
          <w:i/>
        </w:rPr>
        <w:t xml:space="preserve"> Care Med</w:t>
      </w:r>
      <w:r w:rsidR="00A02919">
        <w:rPr>
          <w:b w:val="0"/>
          <w:i/>
        </w:rPr>
        <w:t>.</w:t>
      </w:r>
      <w:r w:rsidRPr="0003340F">
        <w:rPr>
          <w:b w:val="0"/>
        </w:rPr>
        <w:t xml:space="preserve"> </w:t>
      </w:r>
      <w:r w:rsidRPr="00A02919">
        <w:t>2018</w:t>
      </w:r>
      <w:r w:rsidRPr="0003340F">
        <w:rPr>
          <w:b w:val="0"/>
        </w:rPr>
        <w:t>; 197:757-</w:t>
      </w:r>
      <w:r w:rsidR="00A02919">
        <w:rPr>
          <w:b w:val="0"/>
        </w:rPr>
        <w:t>7</w:t>
      </w:r>
      <w:r w:rsidRPr="0003340F">
        <w:rPr>
          <w:b w:val="0"/>
        </w:rPr>
        <w:t xml:space="preserve">67. </w:t>
      </w:r>
    </w:p>
    <w:p w:rsidR="0003340F" w:rsidRPr="0003340F" w:rsidRDefault="0003340F" w:rsidP="0003340F">
      <w:pPr>
        <w:pStyle w:val="MDPI21heading1"/>
        <w:spacing w:before="0" w:after="0"/>
        <w:ind w:left="200" w:hangingChars="100" w:hanging="200"/>
        <w:jc w:val="both"/>
        <w:rPr>
          <w:b w:val="0"/>
          <w:lang w:val="fr-FR"/>
        </w:rPr>
      </w:pPr>
      <w:r w:rsidRPr="0003340F">
        <w:rPr>
          <w:b w:val="0"/>
        </w:rPr>
        <w:t>36. Chen</w:t>
      </w:r>
      <w:r w:rsidR="00271BA9">
        <w:rPr>
          <w:b w:val="0"/>
        </w:rPr>
        <w:t>,</w:t>
      </w:r>
      <w:r w:rsidRPr="0003340F">
        <w:rPr>
          <w:b w:val="0"/>
        </w:rPr>
        <w:t xml:space="preserve"> R</w:t>
      </w:r>
      <w:r w:rsidR="00271BA9">
        <w:rPr>
          <w:b w:val="0"/>
        </w:rPr>
        <w:t>.</w:t>
      </w:r>
      <w:r w:rsidRPr="0003340F">
        <w:rPr>
          <w:b w:val="0"/>
        </w:rPr>
        <w:t>C</w:t>
      </w:r>
      <w:r w:rsidR="00271BA9">
        <w:rPr>
          <w:b w:val="0"/>
        </w:rPr>
        <w:t>.;</w:t>
      </w:r>
      <w:r w:rsidRPr="0003340F">
        <w:rPr>
          <w:b w:val="0"/>
        </w:rPr>
        <w:t xml:space="preserve"> Tang</w:t>
      </w:r>
      <w:r w:rsidR="00271BA9">
        <w:rPr>
          <w:b w:val="0"/>
        </w:rPr>
        <w:t>,</w:t>
      </w:r>
      <w:r w:rsidRPr="0003340F">
        <w:rPr>
          <w:b w:val="0"/>
        </w:rPr>
        <w:t xml:space="preserve"> X</w:t>
      </w:r>
      <w:r w:rsidR="00271BA9">
        <w:rPr>
          <w:b w:val="0"/>
        </w:rPr>
        <w:t>.</w:t>
      </w:r>
      <w:r w:rsidRPr="0003340F">
        <w:rPr>
          <w:b w:val="0"/>
        </w:rPr>
        <w:t>P</w:t>
      </w:r>
      <w:r w:rsidR="00271BA9">
        <w:rPr>
          <w:b w:val="0"/>
        </w:rPr>
        <w:t>.;</w:t>
      </w:r>
      <w:r w:rsidRPr="0003340F">
        <w:rPr>
          <w:b w:val="0"/>
        </w:rPr>
        <w:t xml:space="preserve"> Tan</w:t>
      </w:r>
      <w:r w:rsidR="00271BA9">
        <w:rPr>
          <w:b w:val="0"/>
        </w:rPr>
        <w:t>,</w:t>
      </w:r>
      <w:r w:rsidRPr="0003340F">
        <w:rPr>
          <w:b w:val="0"/>
        </w:rPr>
        <w:t xml:space="preserve"> S</w:t>
      </w:r>
      <w:r w:rsidR="00271BA9">
        <w:rPr>
          <w:b w:val="0"/>
        </w:rPr>
        <w:t>.</w:t>
      </w:r>
      <w:r w:rsidRPr="0003340F">
        <w:rPr>
          <w:b w:val="0"/>
        </w:rPr>
        <w:t>Y</w:t>
      </w:r>
      <w:r w:rsidR="00271BA9">
        <w:rPr>
          <w:b w:val="0"/>
        </w:rPr>
        <w:t>.;</w:t>
      </w:r>
      <w:r w:rsidRPr="0003340F">
        <w:rPr>
          <w:b w:val="0"/>
        </w:rPr>
        <w:t xml:space="preserve"> Liang</w:t>
      </w:r>
      <w:r w:rsidR="00271BA9">
        <w:rPr>
          <w:b w:val="0"/>
        </w:rPr>
        <w:t>,</w:t>
      </w:r>
      <w:r w:rsidRPr="0003340F">
        <w:rPr>
          <w:b w:val="0"/>
        </w:rPr>
        <w:t xml:space="preserve"> B</w:t>
      </w:r>
      <w:r w:rsidR="00271BA9">
        <w:rPr>
          <w:b w:val="0"/>
        </w:rPr>
        <w:t>.</w:t>
      </w:r>
      <w:r w:rsidRPr="0003340F">
        <w:rPr>
          <w:b w:val="0"/>
        </w:rPr>
        <w:t>L</w:t>
      </w:r>
      <w:r w:rsidR="00271BA9">
        <w:rPr>
          <w:b w:val="0"/>
        </w:rPr>
        <w:t>.;</w:t>
      </w:r>
      <w:r w:rsidRPr="0003340F">
        <w:rPr>
          <w:b w:val="0"/>
        </w:rPr>
        <w:t xml:space="preserve"> Wan</w:t>
      </w:r>
      <w:r w:rsidR="00271BA9">
        <w:rPr>
          <w:b w:val="0"/>
        </w:rPr>
        <w:t>,</w:t>
      </w:r>
      <w:r w:rsidRPr="0003340F">
        <w:rPr>
          <w:b w:val="0"/>
        </w:rPr>
        <w:t xml:space="preserve"> Z</w:t>
      </w:r>
      <w:r w:rsidR="00271BA9">
        <w:rPr>
          <w:b w:val="0"/>
        </w:rPr>
        <w:t>.</w:t>
      </w:r>
      <w:r w:rsidRPr="0003340F">
        <w:rPr>
          <w:b w:val="0"/>
        </w:rPr>
        <w:t>Y</w:t>
      </w:r>
      <w:r w:rsidR="00271BA9">
        <w:rPr>
          <w:b w:val="0"/>
        </w:rPr>
        <w:t>.;</w:t>
      </w:r>
      <w:r w:rsidRPr="0003340F">
        <w:rPr>
          <w:b w:val="0"/>
        </w:rPr>
        <w:t xml:space="preserve"> Fang</w:t>
      </w:r>
      <w:r w:rsidR="00271BA9">
        <w:rPr>
          <w:b w:val="0"/>
        </w:rPr>
        <w:t>,</w:t>
      </w:r>
      <w:r w:rsidRPr="0003340F">
        <w:rPr>
          <w:b w:val="0"/>
        </w:rPr>
        <w:t xml:space="preserve"> J</w:t>
      </w:r>
      <w:r w:rsidR="00271BA9">
        <w:rPr>
          <w:b w:val="0"/>
        </w:rPr>
        <w:t>.</w:t>
      </w:r>
      <w:r w:rsidRPr="0003340F">
        <w:rPr>
          <w:b w:val="0"/>
        </w:rPr>
        <w:t>Q</w:t>
      </w:r>
      <w:r w:rsidR="00271BA9">
        <w:rPr>
          <w:b w:val="0"/>
        </w:rPr>
        <w:t>.;</w:t>
      </w:r>
      <w:r w:rsidRPr="0003340F">
        <w:rPr>
          <w:b w:val="0"/>
        </w:rPr>
        <w:t xml:space="preserve"> Zhong</w:t>
      </w:r>
      <w:r w:rsidR="00271BA9">
        <w:rPr>
          <w:b w:val="0"/>
        </w:rPr>
        <w:t>,</w:t>
      </w:r>
      <w:r w:rsidRPr="0003340F">
        <w:rPr>
          <w:b w:val="0"/>
        </w:rPr>
        <w:t xml:space="preserve"> N. Treatment of Severe Acute Respiratory Syndrome with </w:t>
      </w:r>
      <w:proofErr w:type="spellStart"/>
      <w:r w:rsidRPr="0003340F">
        <w:rPr>
          <w:b w:val="0"/>
        </w:rPr>
        <w:t>glucosteroids</w:t>
      </w:r>
      <w:proofErr w:type="spellEnd"/>
      <w:r w:rsidRPr="0003340F">
        <w:rPr>
          <w:b w:val="0"/>
        </w:rPr>
        <w:t xml:space="preserve">: The Guangzhou experience. </w:t>
      </w:r>
      <w:proofErr w:type="spellStart"/>
      <w:r w:rsidRPr="00A02919">
        <w:rPr>
          <w:b w:val="0"/>
          <w:i/>
          <w:lang w:val="fr-FR"/>
        </w:rPr>
        <w:t>Chest</w:t>
      </w:r>
      <w:proofErr w:type="spellEnd"/>
      <w:r w:rsidRPr="00A02919">
        <w:rPr>
          <w:b w:val="0"/>
          <w:i/>
          <w:lang w:val="fr-FR"/>
        </w:rPr>
        <w:t>.</w:t>
      </w:r>
      <w:r w:rsidRPr="0003340F">
        <w:rPr>
          <w:b w:val="0"/>
          <w:lang w:val="fr-FR"/>
        </w:rPr>
        <w:t xml:space="preserve"> </w:t>
      </w:r>
      <w:proofErr w:type="gramStart"/>
      <w:r w:rsidRPr="00A02919">
        <w:rPr>
          <w:lang w:val="fr-FR"/>
        </w:rPr>
        <w:t>2006</w:t>
      </w:r>
      <w:r w:rsidRPr="0003340F">
        <w:rPr>
          <w:b w:val="0"/>
          <w:lang w:val="fr-FR"/>
        </w:rPr>
        <w:t>;</w:t>
      </w:r>
      <w:proofErr w:type="gramEnd"/>
      <w:r w:rsidRPr="0003340F">
        <w:rPr>
          <w:b w:val="0"/>
          <w:lang w:val="fr-FR"/>
        </w:rPr>
        <w:t>129:1441-</w:t>
      </w:r>
      <w:r w:rsidR="00A02919">
        <w:rPr>
          <w:b w:val="0"/>
          <w:lang w:val="fr-FR"/>
        </w:rPr>
        <w:t>14</w:t>
      </w:r>
      <w:r w:rsidRPr="0003340F">
        <w:rPr>
          <w:b w:val="0"/>
          <w:lang w:val="fr-FR"/>
        </w:rPr>
        <w:t xml:space="preserve">52. </w:t>
      </w:r>
    </w:p>
    <w:p w:rsidR="0003340F" w:rsidRPr="0003340F" w:rsidRDefault="0003340F" w:rsidP="0003340F">
      <w:pPr>
        <w:pStyle w:val="MDPI21heading1"/>
        <w:spacing w:before="0" w:after="0"/>
        <w:ind w:left="200" w:hangingChars="100" w:hanging="200"/>
        <w:jc w:val="both"/>
        <w:rPr>
          <w:b w:val="0"/>
        </w:rPr>
      </w:pPr>
      <w:r w:rsidRPr="0003340F">
        <w:rPr>
          <w:b w:val="0"/>
          <w:lang w:val="fr-FR"/>
        </w:rPr>
        <w:t>37. Wu</w:t>
      </w:r>
      <w:r w:rsidR="00271BA9">
        <w:rPr>
          <w:b w:val="0"/>
          <w:lang w:val="fr-FR"/>
        </w:rPr>
        <w:t>,</w:t>
      </w:r>
      <w:r w:rsidRPr="0003340F">
        <w:rPr>
          <w:b w:val="0"/>
          <w:lang w:val="fr-FR"/>
        </w:rPr>
        <w:t xml:space="preserve"> C</w:t>
      </w:r>
      <w:r w:rsidR="00271BA9">
        <w:rPr>
          <w:b w:val="0"/>
          <w:lang w:val="fr-FR"/>
        </w:rPr>
        <w:t>. ;</w:t>
      </w:r>
      <w:r w:rsidRPr="0003340F">
        <w:rPr>
          <w:b w:val="0"/>
          <w:lang w:val="fr-FR"/>
        </w:rPr>
        <w:t xml:space="preserve"> Chen</w:t>
      </w:r>
      <w:r w:rsidR="00C25677">
        <w:rPr>
          <w:b w:val="0"/>
          <w:lang w:val="fr-FR"/>
        </w:rPr>
        <w:t>,</w:t>
      </w:r>
      <w:r w:rsidRPr="0003340F">
        <w:rPr>
          <w:b w:val="0"/>
          <w:lang w:val="fr-FR"/>
        </w:rPr>
        <w:t xml:space="preserve"> X</w:t>
      </w:r>
      <w:r w:rsidR="00C25677">
        <w:rPr>
          <w:b w:val="0"/>
          <w:lang w:val="fr-FR"/>
        </w:rPr>
        <w:t>. ;</w:t>
      </w:r>
      <w:r w:rsidRPr="0003340F">
        <w:rPr>
          <w:b w:val="0"/>
          <w:lang w:val="fr-FR"/>
        </w:rPr>
        <w:t xml:space="preserve"> Cai</w:t>
      </w:r>
      <w:r w:rsidR="00C25677">
        <w:rPr>
          <w:b w:val="0"/>
          <w:lang w:val="fr-FR"/>
        </w:rPr>
        <w:t>,</w:t>
      </w:r>
      <w:r w:rsidRPr="0003340F">
        <w:rPr>
          <w:b w:val="0"/>
          <w:lang w:val="fr-FR"/>
        </w:rPr>
        <w:t xml:space="preserve"> Y</w:t>
      </w:r>
      <w:r w:rsidR="00C25677">
        <w:rPr>
          <w:b w:val="0"/>
          <w:lang w:val="fr-FR"/>
        </w:rPr>
        <w:t>. ;</w:t>
      </w:r>
      <w:r w:rsidRPr="0003340F">
        <w:rPr>
          <w:b w:val="0"/>
          <w:lang w:val="fr-FR"/>
        </w:rPr>
        <w:t xml:space="preserve"> Xia</w:t>
      </w:r>
      <w:r w:rsidR="00C25677">
        <w:rPr>
          <w:b w:val="0"/>
          <w:lang w:val="fr-FR"/>
        </w:rPr>
        <w:t>,</w:t>
      </w:r>
      <w:r w:rsidRPr="0003340F">
        <w:rPr>
          <w:b w:val="0"/>
          <w:lang w:val="fr-FR"/>
        </w:rPr>
        <w:t xml:space="preserve"> J</w:t>
      </w:r>
      <w:r w:rsidR="00C25677">
        <w:rPr>
          <w:b w:val="0"/>
          <w:lang w:val="fr-FR"/>
        </w:rPr>
        <w:t>. ;</w:t>
      </w:r>
      <w:r w:rsidRPr="0003340F">
        <w:rPr>
          <w:b w:val="0"/>
          <w:lang w:val="fr-FR"/>
        </w:rPr>
        <w:t xml:space="preserve"> Zhou</w:t>
      </w:r>
      <w:r w:rsidR="00C25677">
        <w:rPr>
          <w:b w:val="0"/>
          <w:lang w:val="fr-FR"/>
        </w:rPr>
        <w:t>,</w:t>
      </w:r>
      <w:r w:rsidRPr="0003340F">
        <w:rPr>
          <w:b w:val="0"/>
          <w:lang w:val="fr-FR"/>
        </w:rPr>
        <w:t xml:space="preserve"> X</w:t>
      </w:r>
      <w:r w:rsidR="00C25677">
        <w:rPr>
          <w:b w:val="0"/>
          <w:lang w:val="fr-FR"/>
        </w:rPr>
        <w:t>. ;</w:t>
      </w:r>
      <w:r w:rsidRPr="0003340F">
        <w:rPr>
          <w:b w:val="0"/>
          <w:lang w:val="fr-FR"/>
        </w:rPr>
        <w:t xml:space="preserve"> Xu</w:t>
      </w:r>
      <w:r w:rsidR="00C25677">
        <w:rPr>
          <w:b w:val="0"/>
          <w:lang w:val="fr-FR"/>
        </w:rPr>
        <w:t>,</w:t>
      </w:r>
      <w:r w:rsidRPr="0003340F">
        <w:rPr>
          <w:b w:val="0"/>
          <w:lang w:val="fr-FR"/>
        </w:rPr>
        <w:t xml:space="preserve"> S</w:t>
      </w:r>
      <w:r w:rsidR="00C25677">
        <w:rPr>
          <w:b w:val="0"/>
          <w:lang w:val="fr-FR"/>
        </w:rPr>
        <w:t>. ;</w:t>
      </w:r>
      <w:r w:rsidRPr="0003340F">
        <w:rPr>
          <w:b w:val="0"/>
          <w:lang w:val="fr-FR"/>
        </w:rPr>
        <w:t xml:space="preserve"> </w:t>
      </w:r>
      <w:r w:rsidR="00C25677" w:rsidRPr="00C25677">
        <w:rPr>
          <w:b w:val="0"/>
          <w:lang w:val="fr-FR"/>
        </w:rPr>
        <w:t>Huang</w:t>
      </w:r>
      <w:r w:rsidR="00C25677">
        <w:rPr>
          <w:b w:val="0"/>
          <w:lang w:val="fr-FR"/>
        </w:rPr>
        <w:t>,</w:t>
      </w:r>
      <w:r w:rsidR="00C25677" w:rsidRPr="00C25677">
        <w:rPr>
          <w:b w:val="0"/>
          <w:lang w:val="fr-FR"/>
        </w:rPr>
        <w:t xml:space="preserve"> H</w:t>
      </w:r>
      <w:r w:rsidR="00C25677">
        <w:rPr>
          <w:b w:val="0"/>
          <w:lang w:val="fr-FR"/>
        </w:rPr>
        <w:t>. ;</w:t>
      </w:r>
      <w:r w:rsidR="00C25677" w:rsidRPr="00C25677">
        <w:rPr>
          <w:b w:val="0"/>
          <w:lang w:val="fr-FR"/>
        </w:rPr>
        <w:t xml:space="preserve"> Zhang</w:t>
      </w:r>
      <w:r w:rsidR="00C25677">
        <w:rPr>
          <w:b w:val="0"/>
          <w:lang w:val="fr-FR"/>
        </w:rPr>
        <w:t>,</w:t>
      </w:r>
      <w:r w:rsidR="00C25677" w:rsidRPr="00C25677">
        <w:rPr>
          <w:b w:val="0"/>
          <w:lang w:val="fr-FR"/>
        </w:rPr>
        <w:t xml:space="preserve"> L</w:t>
      </w:r>
      <w:r w:rsidR="00C25677">
        <w:rPr>
          <w:b w:val="0"/>
          <w:lang w:val="fr-FR"/>
        </w:rPr>
        <w:t>. ;</w:t>
      </w:r>
      <w:r w:rsidR="00C25677" w:rsidRPr="00C25677">
        <w:rPr>
          <w:b w:val="0"/>
          <w:lang w:val="fr-FR"/>
        </w:rPr>
        <w:t xml:space="preserve"> Zhou</w:t>
      </w:r>
      <w:r w:rsidR="00C25677">
        <w:rPr>
          <w:b w:val="0"/>
          <w:lang w:val="fr-FR"/>
        </w:rPr>
        <w:t>,</w:t>
      </w:r>
      <w:r w:rsidR="00C25677" w:rsidRPr="00C25677">
        <w:rPr>
          <w:b w:val="0"/>
          <w:lang w:val="fr-FR"/>
        </w:rPr>
        <w:t xml:space="preserve"> X</w:t>
      </w:r>
      <w:r w:rsidR="00C25677">
        <w:rPr>
          <w:b w:val="0"/>
          <w:lang w:val="fr-FR"/>
        </w:rPr>
        <w:t>. ;</w:t>
      </w:r>
      <w:r w:rsidR="00C25677" w:rsidRPr="00C25677">
        <w:rPr>
          <w:b w:val="0"/>
          <w:lang w:val="fr-FR"/>
        </w:rPr>
        <w:t xml:space="preserve"> Du</w:t>
      </w:r>
      <w:r w:rsidR="00C25677">
        <w:rPr>
          <w:b w:val="0"/>
          <w:lang w:val="fr-FR"/>
        </w:rPr>
        <w:t>,</w:t>
      </w:r>
      <w:r w:rsidR="00C25677" w:rsidRPr="00C25677">
        <w:rPr>
          <w:b w:val="0"/>
          <w:lang w:val="fr-FR"/>
        </w:rPr>
        <w:t xml:space="preserve"> C</w:t>
      </w:r>
      <w:r w:rsidRPr="0003340F">
        <w:rPr>
          <w:b w:val="0"/>
          <w:lang w:val="fr-FR"/>
        </w:rPr>
        <w:t>et</w:t>
      </w:r>
      <w:r w:rsidR="00C25677">
        <w:rPr>
          <w:b w:val="0"/>
          <w:lang w:val="fr-FR"/>
        </w:rPr>
        <w:t>. ; et</w:t>
      </w:r>
      <w:r w:rsidRPr="0003340F">
        <w:rPr>
          <w:b w:val="0"/>
          <w:lang w:val="fr-FR"/>
        </w:rPr>
        <w:t xml:space="preserve"> al. </w:t>
      </w:r>
      <w:r w:rsidRPr="0003340F">
        <w:rPr>
          <w:b w:val="0"/>
        </w:rPr>
        <w:t xml:space="preserve">Risk Factors Associated </w:t>
      </w:r>
      <w:proofErr w:type="gramStart"/>
      <w:r w:rsidRPr="0003340F">
        <w:rPr>
          <w:b w:val="0"/>
        </w:rPr>
        <w:t>With</w:t>
      </w:r>
      <w:proofErr w:type="gramEnd"/>
      <w:r w:rsidRPr="0003340F">
        <w:rPr>
          <w:b w:val="0"/>
        </w:rPr>
        <w:t xml:space="preserve"> Acute Respiratory Distress Syndrome and Death in Patients With Coronavirus Disease 2019 Pneumonia in Wuhan, China. </w:t>
      </w:r>
      <w:r w:rsidRPr="00A02919">
        <w:rPr>
          <w:b w:val="0"/>
          <w:i/>
        </w:rPr>
        <w:t>JAMA</w:t>
      </w:r>
      <w:r w:rsidR="00A02919">
        <w:rPr>
          <w:b w:val="0"/>
          <w:i/>
        </w:rPr>
        <w:t>.</w:t>
      </w:r>
      <w:r w:rsidRPr="00A02919">
        <w:rPr>
          <w:b w:val="0"/>
          <w:i/>
        </w:rPr>
        <w:t xml:space="preserve"> Intern</w:t>
      </w:r>
      <w:r w:rsidR="00A02919">
        <w:rPr>
          <w:b w:val="0"/>
          <w:i/>
        </w:rPr>
        <w:t>.</w:t>
      </w:r>
      <w:r w:rsidRPr="00A02919">
        <w:rPr>
          <w:b w:val="0"/>
          <w:i/>
        </w:rPr>
        <w:t xml:space="preserve"> Med</w:t>
      </w:r>
      <w:r w:rsidR="00A02919">
        <w:rPr>
          <w:b w:val="0"/>
          <w:i/>
        </w:rPr>
        <w:t>.</w:t>
      </w:r>
      <w:r w:rsidRPr="0003340F">
        <w:rPr>
          <w:b w:val="0"/>
        </w:rPr>
        <w:t xml:space="preserve"> </w:t>
      </w:r>
      <w:r w:rsidRPr="00A02919">
        <w:t>2020</w:t>
      </w:r>
      <w:r w:rsidRPr="0003340F">
        <w:rPr>
          <w:b w:val="0"/>
        </w:rPr>
        <w:t xml:space="preserve">; published online Mar 13. </w:t>
      </w:r>
    </w:p>
    <w:p w:rsidR="0003340F" w:rsidRPr="0003340F" w:rsidRDefault="0003340F" w:rsidP="0003340F">
      <w:pPr>
        <w:pStyle w:val="MDPI21heading1"/>
        <w:spacing w:before="0" w:after="0"/>
        <w:ind w:left="200" w:hangingChars="100" w:hanging="200"/>
        <w:jc w:val="both"/>
        <w:rPr>
          <w:b w:val="0"/>
          <w:lang w:val="fr-FR"/>
        </w:rPr>
      </w:pPr>
      <w:r w:rsidRPr="0003340F">
        <w:rPr>
          <w:b w:val="0"/>
        </w:rPr>
        <w:t>38. Al</w:t>
      </w:r>
      <w:r w:rsidR="00C25677">
        <w:rPr>
          <w:b w:val="0"/>
        </w:rPr>
        <w:t>,</w:t>
      </w:r>
      <w:r w:rsidRPr="0003340F">
        <w:rPr>
          <w:b w:val="0"/>
        </w:rPr>
        <w:t xml:space="preserve"> </w:t>
      </w:r>
      <w:proofErr w:type="spellStart"/>
      <w:r w:rsidRPr="0003340F">
        <w:rPr>
          <w:b w:val="0"/>
        </w:rPr>
        <w:t>Ghamdi</w:t>
      </w:r>
      <w:proofErr w:type="spellEnd"/>
      <w:r w:rsidR="00C25677">
        <w:rPr>
          <w:b w:val="0"/>
        </w:rPr>
        <w:t>.</w:t>
      </w:r>
      <w:r w:rsidRPr="0003340F">
        <w:rPr>
          <w:b w:val="0"/>
        </w:rPr>
        <w:t xml:space="preserve"> M</w:t>
      </w:r>
      <w:r w:rsidR="00C25677">
        <w:rPr>
          <w:b w:val="0"/>
        </w:rPr>
        <w:t>.;</w:t>
      </w:r>
      <w:r w:rsidRPr="0003340F">
        <w:rPr>
          <w:b w:val="0"/>
        </w:rPr>
        <w:t xml:space="preserve"> Alghamdi</w:t>
      </w:r>
      <w:r w:rsidR="00C25677">
        <w:rPr>
          <w:b w:val="0"/>
        </w:rPr>
        <w:t>,</w:t>
      </w:r>
      <w:r w:rsidRPr="0003340F">
        <w:rPr>
          <w:b w:val="0"/>
        </w:rPr>
        <w:t xml:space="preserve"> K</w:t>
      </w:r>
      <w:r w:rsidR="00C25677">
        <w:rPr>
          <w:b w:val="0"/>
        </w:rPr>
        <w:t>.</w:t>
      </w:r>
      <w:r w:rsidRPr="0003340F">
        <w:rPr>
          <w:b w:val="0"/>
        </w:rPr>
        <w:t>M</w:t>
      </w:r>
      <w:r w:rsidR="00C25677">
        <w:rPr>
          <w:b w:val="0"/>
        </w:rPr>
        <w:t>.;</w:t>
      </w:r>
      <w:r w:rsidRPr="0003340F">
        <w:rPr>
          <w:b w:val="0"/>
        </w:rPr>
        <w:t xml:space="preserve"> </w:t>
      </w:r>
      <w:proofErr w:type="spellStart"/>
      <w:r w:rsidRPr="0003340F">
        <w:rPr>
          <w:b w:val="0"/>
        </w:rPr>
        <w:t>Ghandoora</w:t>
      </w:r>
      <w:proofErr w:type="spellEnd"/>
      <w:r w:rsidR="00C25677">
        <w:rPr>
          <w:b w:val="0"/>
        </w:rPr>
        <w:t>,</w:t>
      </w:r>
      <w:r w:rsidRPr="0003340F">
        <w:rPr>
          <w:b w:val="0"/>
        </w:rPr>
        <w:t xml:space="preserve"> Y</w:t>
      </w:r>
      <w:r w:rsidR="00C25677">
        <w:rPr>
          <w:b w:val="0"/>
        </w:rPr>
        <w:t>.;</w:t>
      </w:r>
      <w:r w:rsidRPr="0003340F">
        <w:rPr>
          <w:b w:val="0"/>
        </w:rPr>
        <w:t xml:space="preserve"> </w:t>
      </w:r>
      <w:proofErr w:type="spellStart"/>
      <w:r w:rsidRPr="0003340F">
        <w:rPr>
          <w:b w:val="0"/>
        </w:rPr>
        <w:t>Alzahrani</w:t>
      </w:r>
      <w:proofErr w:type="spellEnd"/>
      <w:r w:rsidR="00C25677">
        <w:rPr>
          <w:b w:val="0"/>
        </w:rPr>
        <w:t>,</w:t>
      </w:r>
      <w:r w:rsidRPr="0003340F">
        <w:rPr>
          <w:b w:val="0"/>
        </w:rPr>
        <w:t xml:space="preserve"> A</w:t>
      </w:r>
      <w:r w:rsidR="00C25677">
        <w:rPr>
          <w:b w:val="0"/>
        </w:rPr>
        <w:t>.;</w:t>
      </w:r>
      <w:r w:rsidRPr="0003340F">
        <w:rPr>
          <w:b w:val="0"/>
        </w:rPr>
        <w:t xml:space="preserve"> Salah</w:t>
      </w:r>
      <w:r w:rsidR="00C25677">
        <w:rPr>
          <w:b w:val="0"/>
        </w:rPr>
        <w:t>,</w:t>
      </w:r>
      <w:r w:rsidRPr="0003340F">
        <w:rPr>
          <w:b w:val="0"/>
        </w:rPr>
        <w:t xml:space="preserve"> F</w:t>
      </w:r>
      <w:r w:rsidR="00C25677">
        <w:rPr>
          <w:b w:val="0"/>
        </w:rPr>
        <w:t>.;</w:t>
      </w:r>
      <w:r w:rsidRPr="0003340F">
        <w:rPr>
          <w:b w:val="0"/>
        </w:rPr>
        <w:t xml:space="preserve"> </w:t>
      </w:r>
      <w:proofErr w:type="spellStart"/>
      <w:r w:rsidRPr="0003340F">
        <w:rPr>
          <w:b w:val="0"/>
        </w:rPr>
        <w:t>Alsulami</w:t>
      </w:r>
      <w:proofErr w:type="spellEnd"/>
      <w:r w:rsidR="00C25677">
        <w:rPr>
          <w:b w:val="0"/>
        </w:rPr>
        <w:t>,</w:t>
      </w:r>
      <w:r w:rsidRPr="0003340F">
        <w:rPr>
          <w:b w:val="0"/>
        </w:rPr>
        <w:t xml:space="preserve"> A</w:t>
      </w:r>
      <w:r w:rsidR="00C25677">
        <w:rPr>
          <w:b w:val="0"/>
        </w:rPr>
        <w:t>.;</w:t>
      </w:r>
      <w:r w:rsidRPr="0003340F">
        <w:rPr>
          <w:b w:val="0"/>
        </w:rPr>
        <w:t xml:space="preserve"> </w:t>
      </w:r>
      <w:proofErr w:type="spellStart"/>
      <w:r w:rsidR="00C25677" w:rsidRPr="00C25677">
        <w:rPr>
          <w:b w:val="0"/>
        </w:rPr>
        <w:t>Bawayan</w:t>
      </w:r>
      <w:proofErr w:type="spellEnd"/>
      <w:r w:rsidR="00C25677">
        <w:rPr>
          <w:b w:val="0"/>
        </w:rPr>
        <w:t>,</w:t>
      </w:r>
      <w:r w:rsidR="00C25677" w:rsidRPr="00C25677">
        <w:rPr>
          <w:b w:val="0"/>
        </w:rPr>
        <w:t xml:space="preserve"> M</w:t>
      </w:r>
      <w:r w:rsidR="00C25677">
        <w:rPr>
          <w:b w:val="0"/>
        </w:rPr>
        <w:t>.</w:t>
      </w:r>
      <w:r w:rsidR="00C25677" w:rsidRPr="00C25677">
        <w:rPr>
          <w:b w:val="0"/>
        </w:rPr>
        <w:t>F</w:t>
      </w:r>
      <w:r w:rsidR="00C25677">
        <w:rPr>
          <w:b w:val="0"/>
        </w:rPr>
        <w:t>.;</w:t>
      </w:r>
      <w:r w:rsidR="00C25677" w:rsidRPr="00C25677">
        <w:rPr>
          <w:b w:val="0"/>
        </w:rPr>
        <w:t xml:space="preserve"> Vaidya</w:t>
      </w:r>
      <w:r w:rsidR="00C25677">
        <w:rPr>
          <w:b w:val="0"/>
        </w:rPr>
        <w:t>,</w:t>
      </w:r>
      <w:r w:rsidR="00C25677" w:rsidRPr="00C25677">
        <w:rPr>
          <w:b w:val="0"/>
        </w:rPr>
        <w:t xml:space="preserve"> D</w:t>
      </w:r>
      <w:r w:rsidR="00C25677">
        <w:rPr>
          <w:b w:val="0"/>
        </w:rPr>
        <w:t>.;</w:t>
      </w:r>
      <w:r w:rsidR="00C25677" w:rsidRPr="00C25677">
        <w:rPr>
          <w:b w:val="0"/>
        </w:rPr>
        <w:t xml:space="preserve"> Perl</w:t>
      </w:r>
      <w:r w:rsidR="00C25677">
        <w:rPr>
          <w:b w:val="0"/>
        </w:rPr>
        <w:t xml:space="preserve">, T.M.; </w:t>
      </w:r>
      <w:proofErr w:type="spellStart"/>
      <w:r w:rsidR="00C25677">
        <w:rPr>
          <w:b w:val="0"/>
        </w:rPr>
        <w:t>Sood</w:t>
      </w:r>
      <w:proofErr w:type="spellEnd"/>
      <w:r w:rsidR="00C25677">
        <w:rPr>
          <w:b w:val="0"/>
        </w:rPr>
        <w:t xml:space="preserve">, G.; </w:t>
      </w:r>
      <w:r w:rsidRPr="0003340F">
        <w:rPr>
          <w:b w:val="0"/>
        </w:rPr>
        <w:t xml:space="preserve">et al. Treatment outcomes for patients with Middle Eastern Respiratory Syndrome Coronavirus (MERS </w:t>
      </w:r>
      <w:proofErr w:type="spellStart"/>
      <w:r w:rsidRPr="0003340F">
        <w:rPr>
          <w:b w:val="0"/>
        </w:rPr>
        <w:t>CoV</w:t>
      </w:r>
      <w:proofErr w:type="spellEnd"/>
      <w:r w:rsidRPr="0003340F">
        <w:rPr>
          <w:b w:val="0"/>
        </w:rPr>
        <w:t xml:space="preserve">) infection at a coronavirus referral center in the Kingdom of Saudi Arabia. </w:t>
      </w:r>
      <w:r w:rsidRPr="00A02919">
        <w:rPr>
          <w:b w:val="0"/>
          <w:i/>
          <w:lang w:val="fr-FR"/>
        </w:rPr>
        <w:t>BMC</w:t>
      </w:r>
      <w:r w:rsidR="00A02919">
        <w:rPr>
          <w:b w:val="0"/>
          <w:i/>
          <w:lang w:val="fr-FR"/>
        </w:rPr>
        <w:t>.</w:t>
      </w:r>
      <w:r w:rsidRPr="00A02919">
        <w:rPr>
          <w:b w:val="0"/>
          <w:i/>
          <w:lang w:val="fr-FR"/>
        </w:rPr>
        <w:t xml:space="preserve"> Infect</w:t>
      </w:r>
      <w:r w:rsidR="00A02919">
        <w:rPr>
          <w:b w:val="0"/>
          <w:i/>
          <w:lang w:val="fr-FR"/>
        </w:rPr>
        <w:t>.</w:t>
      </w:r>
      <w:r w:rsidRPr="00A02919">
        <w:rPr>
          <w:b w:val="0"/>
          <w:i/>
          <w:lang w:val="fr-FR"/>
        </w:rPr>
        <w:t xml:space="preserve"> Dis</w:t>
      </w:r>
      <w:r w:rsidR="00A02919">
        <w:rPr>
          <w:b w:val="0"/>
          <w:i/>
          <w:lang w:val="fr-FR"/>
        </w:rPr>
        <w:t>.</w:t>
      </w:r>
      <w:r w:rsidRPr="0003340F">
        <w:rPr>
          <w:b w:val="0"/>
          <w:lang w:val="fr-FR"/>
        </w:rPr>
        <w:t xml:space="preserve"> </w:t>
      </w:r>
      <w:proofErr w:type="gramStart"/>
      <w:r w:rsidRPr="00A02919">
        <w:rPr>
          <w:lang w:val="fr-FR"/>
        </w:rPr>
        <w:t>2016</w:t>
      </w:r>
      <w:r w:rsidRPr="0003340F">
        <w:rPr>
          <w:b w:val="0"/>
          <w:lang w:val="fr-FR"/>
        </w:rPr>
        <w:t>;</w:t>
      </w:r>
      <w:proofErr w:type="gramEnd"/>
      <w:r w:rsidRPr="0003340F">
        <w:rPr>
          <w:b w:val="0"/>
          <w:lang w:val="fr-FR"/>
        </w:rPr>
        <w:t xml:space="preserve"> 16:174. </w:t>
      </w:r>
    </w:p>
    <w:p w:rsidR="0003340F" w:rsidRDefault="0003340F" w:rsidP="0003340F">
      <w:pPr>
        <w:pStyle w:val="MDPI21heading1"/>
        <w:spacing w:before="0" w:after="0"/>
        <w:ind w:left="200" w:hangingChars="100" w:hanging="200"/>
        <w:jc w:val="both"/>
        <w:rPr>
          <w:b w:val="0"/>
        </w:rPr>
      </w:pPr>
      <w:r w:rsidRPr="0003340F">
        <w:rPr>
          <w:b w:val="0"/>
          <w:lang w:val="fr-FR"/>
        </w:rPr>
        <w:t>39. Zhou</w:t>
      </w:r>
      <w:r w:rsidR="00C25677">
        <w:rPr>
          <w:b w:val="0"/>
          <w:lang w:val="fr-FR"/>
        </w:rPr>
        <w:t>,</w:t>
      </w:r>
      <w:r w:rsidRPr="0003340F">
        <w:rPr>
          <w:b w:val="0"/>
          <w:lang w:val="fr-FR"/>
        </w:rPr>
        <w:t xml:space="preserve"> F</w:t>
      </w:r>
      <w:r w:rsidR="00C25677">
        <w:rPr>
          <w:b w:val="0"/>
          <w:lang w:val="fr-FR"/>
        </w:rPr>
        <w:t>. ;</w:t>
      </w:r>
      <w:r w:rsidRPr="0003340F">
        <w:rPr>
          <w:b w:val="0"/>
          <w:lang w:val="fr-FR"/>
        </w:rPr>
        <w:t xml:space="preserve"> Yu</w:t>
      </w:r>
      <w:r w:rsidR="00C25677">
        <w:rPr>
          <w:b w:val="0"/>
          <w:lang w:val="fr-FR"/>
        </w:rPr>
        <w:t>,</w:t>
      </w:r>
      <w:r w:rsidRPr="0003340F">
        <w:rPr>
          <w:b w:val="0"/>
          <w:lang w:val="fr-FR"/>
        </w:rPr>
        <w:t xml:space="preserve"> T</w:t>
      </w:r>
      <w:r w:rsidR="00C25677">
        <w:rPr>
          <w:b w:val="0"/>
          <w:lang w:val="fr-FR"/>
        </w:rPr>
        <w:t>. ;</w:t>
      </w:r>
      <w:r w:rsidRPr="0003340F">
        <w:rPr>
          <w:b w:val="0"/>
          <w:lang w:val="fr-FR"/>
        </w:rPr>
        <w:t xml:space="preserve"> Du</w:t>
      </w:r>
      <w:r w:rsidR="00C25677">
        <w:rPr>
          <w:b w:val="0"/>
          <w:lang w:val="fr-FR"/>
        </w:rPr>
        <w:t>,</w:t>
      </w:r>
      <w:r w:rsidRPr="0003340F">
        <w:rPr>
          <w:b w:val="0"/>
          <w:lang w:val="fr-FR"/>
        </w:rPr>
        <w:t xml:space="preserve"> R</w:t>
      </w:r>
      <w:r w:rsidR="00C25677">
        <w:rPr>
          <w:b w:val="0"/>
          <w:lang w:val="fr-FR"/>
        </w:rPr>
        <w:t>. ;</w:t>
      </w:r>
      <w:r w:rsidRPr="0003340F">
        <w:rPr>
          <w:b w:val="0"/>
          <w:lang w:val="fr-FR"/>
        </w:rPr>
        <w:t xml:space="preserve"> Fan</w:t>
      </w:r>
      <w:r w:rsidR="00C25677">
        <w:rPr>
          <w:b w:val="0"/>
          <w:lang w:val="fr-FR"/>
        </w:rPr>
        <w:t>,</w:t>
      </w:r>
      <w:r w:rsidRPr="0003340F">
        <w:rPr>
          <w:b w:val="0"/>
          <w:lang w:val="fr-FR"/>
        </w:rPr>
        <w:t xml:space="preserve"> G</w:t>
      </w:r>
      <w:r w:rsidR="00C25677">
        <w:rPr>
          <w:b w:val="0"/>
          <w:lang w:val="fr-FR"/>
        </w:rPr>
        <w:t>. ;</w:t>
      </w:r>
      <w:r w:rsidRPr="0003340F">
        <w:rPr>
          <w:b w:val="0"/>
          <w:lang w:val="fr-FR"/>
        </w:rPr>
        <w:t xml:space="preserve"> Liu</w:t>
      </w:r>
      <w:r w:rsidR="00C25677">
        <w:rPr>
          <w:b w:val="0"/>
          <w:lang w:val="fr-FR"/>
        </w:rPr>
        <w:t>,</w:t>
      </w:r>
      <w:r w:rsidRPr="0003340F">
        <w:rPr>
          <w:b w:val="0"/>
          <w:lang w:val="fr-FR"/>
        </w:rPr>
        <w:t xml:space="preserve"> Y</w:t>
      </w:r>
      <w:r w:rsidR="00C25677">
        <w:rPr>
          <w:b w:val="0"/>
          <w:lang w:val="fr-FR"/>
        </w:rPr>
        <w:t>. ;</w:t>
      </w:r>
      <w:r w:rsidRPr="0003340F">
        <w:rPr>
          <w:b w:val="0"/>
          <w:lang w:val="fr-FR"/>
        </w:rPr>
        <w:t xml:space="preserve"> Liu</w:t>
      </w:r>
      <w:r w:rsidR="00C25677">
        <w:rPr>
          <w:b w:val="0"/>
          <w:lang w:val="fr-FR"/>
        </w:rPr>
        <w:t>,</w:t>
      </w:r>
      <w:r w:rsidRPr="0003340F">
        <w:rPr>
          <w:b w:val="0"/>
          <w:lang w:val="fr-FR"/>
        </w:rPr>
        <w:t xml:space="preserve"> Z</w:t>
      </w:r>
      <w:r w:rsidR="00C25677">
        <w:rPr>
          <w:b w:val="0"/>
          <w:lang w:val="fr-FR"/>
        </w:rPr>
        <w:t>. ;</w:t>
      </w:r>
      <w:r w:rsidRPr="0003340F">
        <w:rPr>
          <w:b w:val="0"/>
          <w:lang w:val="fr-FR"/>
        </w:rPr>
        <w:t xml:space="preserve"> </w:t>
      </w:r>
      <w:r w:rsidR="00C25677" w:rsidRPr="00C25677">
        <w:rPr>
          <w:b w:val="0"/>
          <w:lang w:val="fr-FR"/>
        </w:rPr>
        <w:t>Xiang</w:t>
      </w:r>
      <w:r w:rsidR="00C25677">
        <w:rPr>
          <w:b w:val="0"/>
          <w:lang w:val="fr-FR"/>
        </w:rPr>
        <w:t>,</w:t>
      </w:r>
      <w:r w:rsidR="00C25677" w:rsidRPr="00C25677">
        <w:rPr>
          <w:b w:val="0"/>
          <w:lang w:val="fr-FR"/>
        </w:rPr>
        <w:t xml:space="preserve"> J</w:t>
      </w:r>
      <w:r w:rsidR="00C25677">
        <w:rPr>
          <w:b w:val="0"/>
          <w:lang w:val="fr-FR"/>
        </w:rPr>
        <w:t>. ;</w:t>
      </w:r>
      <w:r w:rsidR="00C25677" w:rsidRPr="00C25677">
        <w:rPr>
          <w:b w:val="0"/>
          <w:lang w:val="fr-FR"/>
        </w:rPr>
        <w:t xml:space="preserve"> Wang</w:t>
      </w:r>
      <w:r w:rsidR="00C25677">
        <w:rPr>
          <w:b w:val="0"/>
          <w:lang w:val="fr-FR"/>
        </w:rPr>
        <w:t>,</w:t>
      </w:r>
      <w:r w:rsidR="00C25677" w:rsidRPr="00C25677">
        <w:rPr>
          <w:b w:val="0"/>
          <w:lang w:val="fr-FR"/>
        </w:rPr>
        <w:t xml:space="preserve"> Y</w:t>
      </w:r>
      <w:r w:rsidR="00C25677">
        <w:rPr>
          <w:b w:val="0"/>
          <w:lang w:val="fr-FR"/>
        </w:rPr>
        <w:t>. ;</w:t>
      </w:r>
      <w:r w:rsidR="00C25677" w:rsidRPr="00C25677">
        <w:rPr>
          <w:b w:val="0"/>
          <w:lang w:val="fr-FR"/>
        </w:rPr>
        <w:t xml:space="preserve"> Song</w:t>
      </w:r>
      <w:r w:rsidR="00C25677">
        <w:rPr>
          <w:b w:val="0"/>
          <w:lang w:val="fr-FR"/>
        </w:rPr>
        <w:t>,</w:t>
      </w:r>
      <w:r w:rsidR="00C25677" w:rsidRPr="00C25677">
        <w:rPr>
          <w:b w:val="0"/>
          <w:lang w:val="fr-FR"/>
        </w:rPr>
        <w:t xml:space="preserve"> B</w:t>
      </w:r>
      <w:r w:rsidR="00C25677">
        <w:rPr>
          <w:b w:val="0"/>
          <w:lang w:val="fr-FR"/>
        </w:rPr>
        <w:t>. ;</w:t>
      </w:r>
      <w:r w:rsidR="00C25677" w:rsidRPr="00C25677">
        <w:rPr>
          <w:b w:val="0"/>
          <w:lang w:val="fr-FR"/>
        </w:rPr>
        <w:t xml:space="preserve"> </w:t>
      </w:r>
      <w:proofErr w:type="spellStart"/>
      <w:r w:rsidR="00C25677" w:rsidRPr="00C25677">
        <w:rPr>
          <w:b w:val="0"/>
          <w:lang w:val="fr-FR"/>
        </w:rPr>
        <w:t>Gu</w:t>
      </w:r>
      <w:proofErr w:type="spellEnd"/>
      <w:r w:rsidR="00C25677">
        <w:rPr>
          <w:b w:val="0"/>
          <w:lang w:val="fr-FR"/>
        </w:rPr>
        <w:t>,</w:t>
      </w:r>
      <w:r w:rsidR="00C25677" w:rsidRPr="00C25677">
        <w:rPr>
          <w:b w:val="0"/>
          <w:lang w:val="fr-FR"/>
        </w:rPr>
        <w:t xml:space="preserve"> X</w:t>
      </w:r>
      <w:r w:rsidR="00C25677">
        <w:rPr>
          <w:b w:val="0"/>
          <w:lang w:val="fr-FR"/>
        </w:rPr>
        <w:t xml:space="preserve">. ; </w:t>
      </w:r>
      <w:r w:rsidRPr="0003340F">
        <w:rPr>
          <w:b w:val="0"/>
          <w:lang w:val="fr-FR"/>
        </w:rPr>
        <w:t xml:space="preserve">et al. </w:t>
      </w:r>
      <w:r w:rsidRPr="0003340F">
        <w:rPr>
          <w:b w:val="0"/>
        </w:rPr>
        <w:t xml:space="preserve">Clinical course and risk factors for mortality of adult inpatients with COVID-19 in Wuhan, China: a retrospective cohort study. </w:t>
      </w:r>
      <w:r w:rsidRPr="00A02919">
        <w:rPr>
          <w:b w:val="0"/>
          <w:i/>
        </w:rPr>
        <w:t>Lancet</w:t>
      </w:r>
      <w:r w:rsidR="00A02919">
        <w:rPr>
          <w:b w:val="0"/>
          <w:i/>
        </w:rPr>
        <w:t>.</w:t>
      </w:r>
      <w:r w:rsidRPr="0003340F">
        <w:rPr>
          <w:b w:val="0"/>
        </w:rPr>
        <w:t xml:space="preserve"> </w:t>
      </w:r>
      <w:r w:rsidRPr="00A02919">
        <w:t>2020</w:t>
      </w:r>
      <w:r w:rsidRPr="0003340F">
        <w:rPr>
          <w:b w:val="0"/>
        </w:rPr>
        <w:t>; 395:1054-</w:t>
      </w:r>
      <w:r w:rsidR="00A02919">
        <w:rPr>
          <w:b w:val="0"/>
        </w:rPr>
        <w:t>10</w:t>
      </w:r>
      <w:r w:rsidRPr="0003340F">
        <w:rPr>
          <w:b w:val="0"/>
        </w:rPr>
        <w:t xml:space="preserve">62. </w:t>
      </w:r>
    </w:p>
    <w:p w:rsidR="003A48D2" w:rsidRPr="0003340F" w:rsidRDefault="003A48D2" w:rsidP="003A48D2">
      <w:pPr>
        <w:pStyle w:val="MDPI21heading1"/>
        <w:spacing w:before="0" w:after="0"/>
        <w:ind w:left="200" w:hangingChars="100" w:hanging="200"/>
        <w:jc w:val="both"/>
        <w:rPr>
          <w:b w:val="0"/>
        </w:rPr>
      </w:pPr>
      <w:r>
        <w:rPr>
          <w:b w:val="0"/>
        </w:rPr>
        <w:t>40</w:t>
      </w:r>
      <w:r w:rsidRPr="0003340F">
        <w:rPr>
          <w:b w:val="0"/>
        </w:rPr>
        <w:t>. Yang</w:t>
      </w:r>
      <w:r>
        <w:rPr>
          <w:b w:val="0"/>
        </w:rPr>
        <w:t>,</w:t>
      </w:r>
      <w:r w:rsidRPr="0003340F">
        <w:rPr>
          <w:b w:val="0"/>
        </w:rPr>
        <w:t xml:space="preserve"> Z</w:t>
      </w:r>
      <w:r>
        <w:rPr>
          <w:b w:val="0"/>
        </w:rPr>
        <w:t>.;</w:t>
      </w:r>
      <w:r w:rsidRPr="0003340F">
        <w:rPr>
          <w:b w:val="0"/>
        </w:rPr>
        <w:t xml:space="preserve"> Liu</w:t>
      </w:r>
      <w:r>
        <w:rPr>
          <w:b w:val="0"/>
        </w:rPr>
        <w:t>,</w:t>
      </w:r>
      <w:r w:rsidRPr="0003340F">
        <w:rPr>
          <w:b w:val="0"/>
        </w:rPr>
        <w:t xml:space="preserve"> J</w:t>
      </w:r>
      <w:r>
        <w:rPr>
          <w:b w:val="0"/>
        </w:rPr>
        <w:t>.;</w:t>
      </w:r>
      <w:r w:rsidRPr="0003340F">
        <w:rPr>
          <w:b w:val="0"/>
        </w:rPr>
        <w:t xml:space="preserve"> Zhou</w:t>
      </w:r>
      <w:r>
        <w:rPr>
          <w:b w:val="0"/>
        </w:rPr>
        <w:t>,</w:t>
      </w:r>
      <w:r w:rsidRPr="0003340F">
        <w:rPr>
          <w:b w:val="0"/>
        </w:rPr>
        <w:t xml:space="preserve"> Y</w:t>
      </w:r>
      <w:r>
        <w:rPr>
          <w:b w:val="0"/>
        </w:rPr>
        <w:t>.;</w:t>
      </w:r>
      <w:r w:rsidRPr="0003340F">
        <w:rPr>
          <w:b w:val="0"/>
        </w:rPr>
        <w:t xml:space="preserve"> Zhao</w:t>
      </w:r>
      <w:r>
        <w:rPr>
          <w:b w:val="0"/>
        </w:rPr>
        <w:t>,</w:t>
      </w:r>
      <w:r w:rsidRPr="0003340F">
        <w:rPr>
          <w:b w:val="0"/>
        </w:rPr>
        <w:t xml:space="preserve"> X</w:t>
      </w:r>
      <w:r>
        <w:rPr>
          <w:b w:val="0"/>
        </w:rPr>
        <w:t>.;</w:t>
      </w:r>
      <w:r w:rsidRPr="0003340F">
        <w:rPr>
          <w:b w:val="0"/>
        </w:rPr>
        <w:t xml:space="preserve"> Zhao</w:t>
      </w:r>
      <w:r>
        <w:rPr>
          <w:b w:val="0"/>
        </w:rPr>
        <w:t>,</w:t>
      </w:r>
      <w:r w:rsidRPr="0003340F">
        <w:rPr>
          <w:b w:val="0"/>
        </w:rPr>
        <w:t xml:space="preserve"> Q</w:t>
      </w:r>
      <w:r>
        <w:rPr>
          <w:b w:val="0"/>
        </w:rPr>
        <w:t>.;</w:t>
      </w:r>
      <w:r w:rsidRPr="0003340F">
        <w:rPr>
          <w:b w:val="0"/>
        </w:rPr>
        <w:t xml:space="preserve"> Liu</w:t>
      </w:r>
      <w:r>
        <w:rPr>
          <w:b w:val="0"/>
        </w:rPr>
        <w:t>,</w:t>
      </w:r>
      <w:r w:rsidRPr="0003340F">
        <w:rPr>
          <w:b w:val="0"/>
        </w:rPr>
        <w:t xml:space="preserve"> J. The effect of corticosteroid treatment on patients with coronavirus infection: a systematic review and meta-analysis. </w:t>
      </w:r>
      <w:r w:rsidRPr="00A02919">
        <w:rPr>
          <w:b w:val="0"/>
          <w:i/>
        </w:rPr>
        <w:t>J</w:t>
      </w:r>
      <w:r>
        <w:rPr>
          <w:b w:val="0"/>
          <w:i/>
        </w:rPr>
        <w:t>.</w:t>
      </w:r>
      <w:r w:rsidRPr="00A02919">
        <w:rPr>
          <w:b w:val="0"/>
          <w:i/>
        </w:rPr>
        <w:t xml:space="preserve"> Infect</w:t>
      </w:r>
      <w:r>
        <w:rPr>
          <w:b w:val="0"/>
          <w:i/>
        </w:rPr>
        <w:t>.</w:t>
      </w:r>
      <w:r w:rsidRPr="00A02919">
        <w:rPr>
          <w:b w:val="0"/>
          <w:i/>
        </w:rPr>
        <w:t xml:space="preserve"> </w:t>
      </w:r>
      <w:r w:rsidRPr="00A02919">
        <w:t>2020</w:t>
      </w:r>
      <w:r w:rsidRPr="0003340F">
        <w:rPr>
          <w:b w:val="0"/>
        </w:rPr>
        <w:t>: S0163-4453(20)30191-</w:t>
      </w:r>
      <w:r>
        <w:rPr>
          <w:b w:val="0"/>
        </w:rPr>
        <w:t>3019</w:t>
      </w:r>
      <w:r w:rsidRPr="0003340F">
        <w:rPr>
          <w:b w:val="0"/>
        </w:rPr>
        <w:t>2.</w:t>
      </w:r>
    </w:p>
    <w:p w:rsidR="003A48D2" w:rsidRDefault="003A48D2" w:rsidP="003A48D2">
      <w:pPr>
        <w:pStyle w:val="MDPI21heading1"/>
        <w:spacing w:before="0" w:after="0"/>
        <w:ind w:left="200" w:hangingChars="100" w:hanging="200"/>
        <w:jc w:val="both"/>
        <w:rPr>
          <w:b w:val="0"/>
        </w:rPr>
      </w:pPr>
      <w:r>
        <w:rPr>
          <w:b w:val="0"/>
        </w:rPr>
        <w:t>41</w:t>
      </w:r>
      <w:r w:rsidRPr="0003340F">
        <w:rPr>
          <w:b w:val="0"/>
        </w:rPr>
        <w:t>. Zhong</w:t>
      </w:r>
      <w:r>
        <w:rPr>
          <w:b w:val="0"/>
        </w:rPr>
        <w:t>,</w:t>
      </w:r>
      <w:r w:rsidRPr="0003340F">
        <w:rPr>
          <w:b w:val="0"/>
        </w:rPr>
        <w:t xml:space="preserve"> H</w:t>
      </w:r>
      <w:r>
        <w:rPr>
          <w:b w:val="0"/>
        </w:rPr>
        <w:t xml:space="preserve">.; </w:t>
      </w:r>
      <w:r w:rsidRPr="0003340F">
        <w:rPr>
          <w:b w:val="0"/>
        </w:rPr>
        <w:t>Wang</w:t>
      </w:r>
      <w:r>
        <w:rPr>
          <w:b w:val="0"/>
        </w:rPr>
        <w:t>,</w:t>
      </w:r>
      <w:r w:rsidRPr="0003340F">
        <w:rPr>
          <w:b w:val="0"/>
        </w:rPr>
        <w:t xml:space="preserve"> Y</w:t>
      </w:r>
      <w:r>
        <w:rPr>
          <w:b w:val="0"/>
        </w:rPr>
        <w:t>.;</w:t>
      </w:r>
      <w:r w:rsidRPr="0003340F">
        <w:rPr>
          <w:b w:val="0"/>
        </w:rPr>
        <w:t xml:space="preserve"> Zhang</w:t>
      </w:r>
      <w:r>
        <w:rPr>
          <w:b w:val="0"/>
        </w:rPr>
        <w:t>,</w:t>
      </w:r>
      <w:r w:rsidRPr="0003340F">
        <w:rPr>
          <w:b w:val="0"/>
        </w:rPr>
        <w:t xml:space="preserve"> ZL</w:t>
      </w:r>
      <w:r>
        <w:rPr>
          <w:b w:val="0"/>
        </w:rPr>
        <w:t>.;</w:t>
      </w:r>
      <w:r w:rsidRPr="0003340F">
        <w:rPr>
          <w:b w:val="0"/>
        </w:rPr>
        <w:t xml:space="preserve"> Liu</w:t>
      </w:r>
      <w:r>
        <w:rPr>
          <w:b w:val="0"/>
        </w:rPr>
        <w:t>,</w:t>
      </w:r>
      <w:r w:rsidRPr="0003340F">
        <w:rPr>
          <w:b w:val="0"/>
        </w:rPr>
        <w:t xml:space="preserve"> YX</w:t>
      </w:r>
      <w:r>
        <w:rPr>
          <w:b w:val="0"/>
        </w:rPr>
        <w:t>.;</w:t>
      </w:r>
      <w:r w:rsidRPr="0003340F">
        <w:rPr>
          <w:b w:val="0"/>
        </w:rPr>
        <w:t xml:space="preserve"> Le</w:t>
      </w:r>
      <w:r>
        <w:rPr>
          <w:b w:val="0"/>
        </w:rPr>
        <w:t>,</w:t>
      </w:r>
      <w:r w:rsidRPr="0003340F">
        <w:rPr>
          <w:b w:val="0"/>
        </w:rPr>
        <w:t xml:space="preserve"> KJ</w:t>
      </w:r>
      <w:r>
        <w:rPr>
          <w:b w:val="0"/>
        </w:rPr>
        <w:t>.;</w:t>
      </w:r>
      <w:r w:rsidRPr="0003340F">
        <w:rPr>
          <w:b w:val="0"/>
        </w:rPr>
        <w:t xml:space="preserve"> Cui</w:t>
      </w:r>
      <w:r>
        <w:rPr>
          <w:b w:val="0"/>
        </w:rPr>
        <w:t>,</w:t>
      </w:r>
      <w:r w:rsidRPr="0003340F">
        <w:rPr>
          <w:b w:val="0"/>
        </w:rPr>
        <w:t xml:space="preserve"> M</w:t>
      </w:r>
      <w:r>
        <w:rPr>
          <w:b w:val="0"/>
        </w:rPr>
        <w:t>.</w:t>
      </w:r>
      <w:r w:rsidRPr="0003340F">
        <w:rPr>
          <w:b w:val="0"/>
        </w:rPr>
        <w:t xml:space="preserve">, et al. Efficacy and safety of current therapeutic options for COVID-19 - lessons to be learnt from SARS and MERS epidemic: A systematic review and meta-analysis. </w:t>
      </w:r>
      <w:proofErr w:type="spellStart"/>
      <w:r w:rsidRPr="00A02919">
        <w:rPr>
          <w:b w:val="0"/>
          <w:i/>
        </w:rPr>
        <w:t>Pharmacol</w:t>
      </w:r>
      <w:proofErr w:type="spellEnd"/>
      <w:r>
        <w:rPr>
          <w:b w:val="0"/>
          <w:i/>
        </w:rPr>
        <w:t>.</w:t>
      </w:r>
      <w:r w:rsidRPr="00A02919">
        <w:rPr>
          <w:b w:val="0"/>
          <w:i/>
        </w:rPr>
        <w:t xml:space="preserve"> Res</w:t>
      </w:r>
      <w:r>
        <w:rPr>
          <w:b w:val="0"/>
          <w:i/>
        </w:rPr>
        <w:t>.</w:t>
      </w:r>
      <w:r w:rsidRPr="0003340F">
        <w:rPr>
          <w:b w:val="0"/>
        </w:rPr>
        <w:t xml:space="preserve"> 2020:104872.</w:t>
      </w:r>
    </w:p>
    <w:p w:rsidR="0003340F" w:rsidRPr="0003340F" w:rsidRDefault="0003340F" w:rsidP="0003340F">
      <w:pPr>
        <w:pStyle w:val="MDPI21heading1"/>
        <w:spacing w:before="0" w:after="0"/>
        <w:ind w:left="200" w:hangingChars="100" w:hanging="200"/>
        <w:jc w:val="both"/>
        <w:rPr>
          <w:b w:val="0"/>
          <w:lang w:val="fr-FR"/>
        </w:rPr>
      </w:pPr>
      <w:r w:rsidRPr="0003340F">
        <w:rPr>
          <w:b w:val="0"/>
        </w:rPr>
        <w:t>4</w:t>
      </w:r>
      <w:r w:rsidR="003A48D2">
        <w:rPr>
          <w:b w:val="0"/>
        </w:rPr>
        <w:t>2</w:t>
      </w:r>
      <w:r w:rsidRPr="0003340F">
        <w:rPr>
          <w:b w:val="0"/>
        </w:rPr>
        <w:t>. Lee</w:t>
      </w:r>
      <w:r w:rsidR="00C25677">
        <w:rPr>
          <w:b w:val="0"/>
        </w:rPr>
        <w:t>,</w:t>
      </w:r>
      <w:r w:rsidRPr="0003340F">
        <w:rPr>
          <w:b w:val="0"/>
        </w:rPr>
        <w:t xml:space="preserve"> D</w:t>
      </w:r>
      <w:r w:rsidR="00C25677">
        <w:rPr>
          <w:b w:val="0"/>
        </w:rPr>
        <w:t>.</w:t>
      </w:r>
      <w:r w:rsidRPr="0003340F">
        <w:rPr>
          <w:b w:val="0"/>
        </w:rPr>
        <w:t>T</w:t>
      </w:r>
      <w:r w:rsidR="00C25677">
        <w:rPr>
          <w:b w:val="0"/>
        </w:rPr>
        <w:t>.;</w:t>
      </w:r>
      <w:r w:rsidRPr="0003340F">
        <w:rPr>
          <w:b w:val="0"/>
        </w:rPr>
        <w:t xml:space="preserve"> Wing</w:t>
      </w:r>
      <w:r w:rsidR="00C25677">
        <w:rPr>
          <w:b w:val="0"/>
        </w:rPr>
        <w:t>,</w:t>
      </w:r>
      <w:r w:rsidRPr="0003340F">
        <w:rPr>
          <w:b w:val="0"/>
        </w:rPr>
        <w:t xml:space="preserve"> Y</w:t>
      </w:r>
      <w:r w:rsidR="00C25677">
        <w:rPr>
          <w:b w:val="0"/>
        </w:rPr>
        <w:t>.</w:t>
      </w:r>
      <w:r w:rsidRPr="0003340F">
        <w:rPr>
          <w:b w:val="0"/>
        </w:rPr>
        <w:t>K</w:t>
      </w:r>
      <w:r w:rsidR="00C25677">
        <w:rPr>
          <w:b w:val="0"/>
        </w:rPr>
        <w:t>.;</w:t>
      </w:r>
      <w:r w:rsidRPr="0003340F">
        <w:rPr>
          <w:b w:val="0"/>
        </w:rPr>
        <w:t xml:space="preserve"> Leung</w:t>
      </w:r>
      <w:r w:rsidR="00C25677">
        <w:rPr>
          <w:b w:val="0"/>
        </w:rPr>
        <w:t>,</w:t>
      </w:r>
      <w:r w:rsidRPr="0003340F">
        <w:rPr>
          <w:b w:val="0"/>
        </w:rPr>
        <w:t xml:space="preserve"> H</w:t>
      </w:r>
      <w:r w:rsidR="00C25677">
        <w:rPr>
          <w:b w:val="0"/>
        </w:rPr>
        <w:t>.</w:t>
      </w:r>
      <w:r w:rsidRPr="0003340F">
        <w:rPr>
          <w:b w:val="0"/>
        </w:rPr>
        <w:t>C</w:t>
      </w:r>
      <w:r w:rsidR="00C25677">
        <w:rPr>
          <w:b w:val="0"/>
        </w:rPr>
        <w:t>.;</w:t>
      </w:r>
      <w:r w:rsidRPr="0003340F">
        <w:rPr>
          <w:b w:val="0"/>
        </w:rPr>
        <w:t xml:space="preserve"> Sung</w:t>
      </w:r>
      <w:r w:rsidR="00C25677">
        <w:rPr>
          <w:b w:val="0"/>
        </w:rPr>
        <w:t>,</w:t>
      </w:r>
      <w:r w:rsidRPr="0003340F">
        <w:rPr>
          <w:b w:val="0"/>
        </w:rPr>
        <w:t xml:space="preserve"> J</w:t>
      </w:r>
      <w:r w:rsidR="00C25677">
        <w:rPr>
          <w:b w:val="0"/>
        </w:rPr>
        <w:t>.</w:t>
      </w:r>
      <w:r w:rsidRPr="0003340F">
        <w:rPr>
          <w:b w:val="0"/>
        </w:rPr>
        <w:t>J</w:t>
      </w:r>
      <w:r w:rsidR="00C25677">
        <w:rPr>
          <w:b w:val="0"/>
        </w:rPr>
        <w:t>.;</w:t>
      </w:r>
      <w:r w:rsidRPr="0003340F">
        <w:rPr>
          <w:b w:val="0"/>
        </w:rPr>
        <w:t xml:space="preserve"> Ng</w:t>
      </w:r>
      <w:r w:rsidR="00C25677">
        <w:rPr>
          <w:b w:val="0"/>
        </w:rPr>
        <w:t>,</w:t>
      </w:r>
      <w:r w:rsidRPr="0003340F">
        <w:rPr>
          <w:b w:val="0"/>
        </w:rPr>
        <w:t xml:space="preserve"> Y</w:t>
      </w:r>
      <w:r w:rsidR="00C25677">
        <w:rPr>
          <w:b w:val="0"/>
        </w:rPr>
        <w:t>.</w:t>
      </w:r>
      <w:r w:rsidRPr="0003340F">
        <w:rPr>
          <w:b w:val="0"/>
        </w:rPr>
        <w:t>K</w:t>
      </w:r>
      <w:r w:rsidR="00C25677">
        <w:rPr>
          <w:b w:val="0"/>
        </w:rPr>
        <w:t>.;</w:t>
      </w:r>
      <w:r w:rsidRPr="0003340F">
        <w:rPr>
          <w:b w:val="0"/>
        </w:rPr>
        <w:t xml:space="preserve"> </w:t>
      </w:r>
      <w:proofErr w:type="spellStart"/>
      <w:r w:rsidRPr="0003340F">
        <w:rPr>
          <w:b w:val="0"/>
        </w:rPr>
        <w:t>Yiu</w:t>
      </w:r>
      <w:proofErr w:type="spellEnd"/>
      <w:r w:rsidR="00C25677">
        <w:rPr>
          <w:b w:val="0"/>
        </w:rPr>
        <w:t>,</w:t>
      </w:r>
      <w:r w:rsidRPr="0003340F">
        <w:rPr>
          <w:b w:val="0"/>
        </w:rPr>
        <w:t xml:space="preserve"> G</w:t>
      </w:r>
      <w:r w:rsidR="00C25677">
        <w:rPr>
          <w:b w:val="0"/>
        </w:rPr>
        <w:t>.</w:t>
      </w:r>
      <w:r w:rsidRPr="0003340F">
        <w:rPr>
          <w:b w:val="0"/>
        </w:rPr>
        <w:t>C</w:t>
      </w:r>
      <w:r w:rsidR="00C25677">
        <w:rPr>
          <w:b w:val="0"/>
        </w:rPr>
        <w:t>.;</w:t>
      </w:r>
      <w:r w:rsidRPr="0003340F">
        <w:rPr>
          <w:b w:val="0"/>
        </w:rPr>
        <w:t xml:space="preserve"> </w:t>
      </w:r>
      <w:r w:rsidR="00C25677" w:rsidRPr="00C25677">
        <w:rPr>
          <w:b w:val="0"/>
        </w:rPr>
        <w:t>Chen</w:t>
      </w:r>
      <w:r w:rsidR="00C25677">
        <w:rPr>
          <w:b w:val="0"/>
        </w:rPr>
        <w:t>,</w:t>
      </w:r>
      <w:r w:rsidR="00C25677" w:rsidRPr="00C25677">
        <w:rPr>
          <w:b w:val="0"/>
        </w:rPr>
        <w:t xml:space="preserve"> R</w:t>
      </w:r>
      <w:r w:rsidR="00C25677">
        <w:rPr>
          <w:b w:val="0"/>
        </w:rPr>
        <w:t>.</w:t>
      </w:r>
      <w:r w:rsidR="00C25677" w:rsidRPr="00C25677">
        <w:rPr>
          <w:b w:val="0"/>
        </w:rPr>
        <w:t>Y</w:t>
      </w:r>
      <w:r w:rsidR="00C25677">
        <w:rPr>
          <w:b w:val="0"/>
        </w:rPr>
        <w:t>.;</w:t>
      </w:r>
      <w:r w:rsidR="00C25677" w:rsidRPr="00C25677">
        <w:rPr>
          <w:b w:val="0"/>
        </w:rPr>
        <w:t xml:space="preserve"> Chiu</w:t>
      </w:r>
      <w:r w:rsidR="00C25677">
        <w:rPr>
          <w:b w:val="0"/>
        </w:rPr>
        <w:t>,</w:t>
      </w:r>
      <w:r w:rsidR="00C25677" w:rsidRPr="00C25677">
        <w:rPr>
          <w:b w:val="0"/>
        </w:rPr>
        <w:t xml:space="preserve"> H</w:t>
      </w:r>
      <w:r w:rsidR="00C25677">
        <w:rPr>
          <w:b w:val="0"/>
        </w:rPr>
        <w:t>.</w:t>
      </w:r>
      <w:r w:rsidR="00C25677" w:rsidRPr="00C25677">
        <w:rPr>
          <w:b w:val="0"/>
        </w:rPr>
        <w:t>F.</w:t>
      </w:r>
      <w:r w:rsidRPr="0003340F">
        <w:rPr>
          <w:b w:val="0"/>
        </w:rPr>
        <w:t xml:space="preserve"> Factors associated with psychosis among patients with severe acute respiratory syndrome: a case-control study. </w:t>
      </w:r>
      <w:r w:rsidRPr="00A02919">
        <w:rPr>
          <w:b w:val="0"/>
          <w:i/>
          <w:lang w:val="fr-FR"/>
        </w:rPr>
        <w:t>Clin</w:t>
      </w:r>
      <w:r w:rsidR="00A02919">
        <w:rPr>
          <w:b w:val="0"/>
          <w:i/>
          <w:lang w:val="fr-FR"/>
        </w:rPr>
        <w:t xml:space="preserve">. Infect. </w:t>
      </w:r>
      <w:r w:rsidRPr="00A02919">
        <w:rPr>
          <w:b w:val="0"/>
          <w:i/>
          <w:lang w:val="fr-FR"/>
        </w:rPr>
        <w:t>Dis</w:t>
      </w:r>
      <w:r w:rsidR="00A02919">
        <w:rPr>
          <w:b w:val="0"/>
          <w:i/>
          <w:lang w:val="fr-FR"/>
        </w:rPr>
        <w:t>.</w:t>
      </w:r>
      <w:r w:rsidRPr="0003340F">
        <w:rPr>
          <w:b w:val="0"/>
          <w:lang w:val="fr-FR"/>
        </w:rPr>
        <w:t xml:space="preserve"> </w:t>
      </w:r>
      <w:proofErr w:type="gramStart"/>
      <w:r w:rsidRPr="00A02919">
        <w:rPr>
          <w:lang w:val="fr-FR"/>
        </w:rPr>
        <w:t>2004</w:t>
      </w:r>
      <w:r w:rsidRPr="0003340F">
        <w:rPr>
          <w:b w:val="0"/>
          <w:lang w:val="fr-FR"/>
        </w:rPr>
        <w:t>;</w:t>
      </w:r>
      <w:proofErr w:type="gramEnd"/>
      <w:r w:rsidRPr="0003340F">
        <w:rPr>
          <w:b w:val="0"/>
          <w:lang w:val="fr-FR"/>
        </w:rPr>
        <w:t xml:space="preserve"> 39: 1247–</w:t>
      </w:r>
      <w:r w:rsidR="00A02919">
        <w:rPr>
          <w:b w:val="0"/>
          <w:lang w:val="fr-FR"/>
        </w:rPr>
        <w:t>124</w:t>
      </w:r>
      <w:r w:rsidRPr="0003340F">
        <w:rPr>
          <w:b w:val="0"/>
          <w:lang w:val="fr-FR"/>
        </w:rPr>
        <w:t xml:space="preserve">9 (in </w:t>
      </w:r>
      <w:proofErr w:type="spellStart"/>
      <w:r w:rsidRPr="0003340F">
        <w:rPr>
          <w:b w:val="0"/>
          <w:lang w:val="fr-FR"/>
        </w:rPr>
        <w:t>Chinese</w:t>
      </w:r>
      <w:proofErr w:type="spellEnd"/>
      <w:r w:rsidRPr="0003340F">
        <w:rPr>
          <w:b w:val="0"/>
          <w:lang w:val="fr-FR"/>
        </w:rPr>
        <w:t xml:space="preserve">). </w:t>
      </w:r>
    </w:p>
    <w:p w:rsidR="002915AC" w:rsidRDefault="0003340F" w:rsidP="0003340F">
      <w:pPr>
        <w:pStyle w:val="MDPI21heading1"/>
        <w:spacing w:before="0" w:after="0"/>
        <w:ind w:left="200" w:hangingChars="100" w:hanging="200"/>
        <w:jc w:val="both"/>
        <w:rPr>
          <w:b w:val="0"/>
        </w:rPr>
      </w:pPr>
      <w:r w:rsidRPr="0003340F">
        <w:rPr>
          <w:b w:val="0"/>
          <w:lang w:val="fr-FR"/>
        </w:rPr>
        <w:t>4</w:t>
      </w:r>
      <w:r w:rsidR="003A48D2">
        <w:rPr>
          <w:b w:val="0"/>
          <w:lang w:val="fr-FR"/>
        </w:rPr>
        <w:t>3</w:t>
      </w:r>
      <w:r w:rsidRPr="0003340F">
        <w:rPr>
          <w:b w:val="0"/>
          <w:lang w:val="fr-FR"/>
        </w:rPr>
        <w:t>. Xiao</w:t>
      </w:r>
      <w:r w:rsidR="002915AC">
        <w:rPr>
          <w:b w:val="0"/>
          <w:lang w:val="fr-FR"/>
        </w:rPr>
        <w:t>,</w:t>
      </w:r>
      <w:r w:rsidRPr="0003340F">
        <w:rPr>
          <w:b w:val="0"/>
          <w:lang w:val="fr-FR"/>
        </w:rPr>
        <w:t xml:space="preserve"> J</w:t>
      </w:r>
      <w:r w:rsidR="002915AC">
        <w:rPr>
          <w:b w:val="0"/>
          <w:lang w:val="fr-FR"/>
        </w:rPr>
        <w:t>.</w:t>
      </w:r>
      <w:r w:rsidRPr="0003340F">
        <w:rPr>
          <w:b w:val="0"/>
          <w:lang w:val="fr-FR"/>
        </w:rPr>
        <w:t>Z</w:t>
      </w:r>
      <w:r w:rsidR="002915AC">
        <w:rPr>
          <w:b w:val="0"/>
          <w:lang w:val="fr-FR"/>
        </w:rPr>
        <w:t>. ;</w:t>
      </w:r>
      <w:r w:rsidRPr="0003340F">
        <w:rPr>
          <w:b w:val="0"/>
          <w:lang w:val="fr-FR"/>
        </w:rPr>
        <w:t xml:space="preserve"> Ma</w:t>
      </w:r>
      <w:r w:rsidR="002915AC">
        <w:rPr>
          <w:b w:val="0"/>
          <w:lang w:val="fr-FR"/>
        </w:rPr>
        <w:t>,</w:t>
      </w:r>
      <w:r w:rsidRPr="0003340F">
        <w:rPr>
          <w:b w:val="0"/>
          <w:lang w:val="fr-FR"/>
        </w:rPr>
        <w:t xml:space="preserve"> L</w:t>
      </w:r>
      <w:r w:rsidR="002915AC">
        <w:rPr>
          <w:b w:val="0"/>
          <w:lang w:val="fr-FR"/>
        </w:rPr>
        <w:t>. ;</w:t>
      </w:r>
      <w:r w:rsidRPr="0003340F">
        <w:rPr>
          <w:b w:val="0"/>
          <w:lang w:val="fr-FR"/>
        </w:rPr>
        <w:t xml:space="preserve"> Gao</w:t>
      </w:r>
      <w:r w:rsidR="002915AC">
        <w:rPr>
          <w:b w:val="0"/>
          <w:lang w:val="fr-FR"/>
        </w:rPr>
        <w:t>,</w:t>
      </w:r>
      <w:r w:rsidRPr="0003340F">
        <w:rPr>
          <w:b w:val="0"/>
          <w:lang w:val="fr-FR"/>
        </w:rPr>
        <w:t xml:space="preserve"> J</w:t>
      </w:r>
      <w:r w:rsidR="002915AC">
        <w:rPr>
          <w:b w:val="0"/>
          <w:lang w:val="fr-FR"/>
        </w:rPr>
        <w:t>. ;</w:t>
      </w:r>
      <w:r w:rsidRPr="0003340F">
        <w:rPr>
          <w:b w:val="0"/>
          <w:lang w:val="fr-FR"/>
        </w:rPr>
        <w:t xml:space="preserve"> Yang</w:t>
      </w:r>
      <w:r w:rsidR="002915AC">
        <w:rPr>
          <w:b w:val="0"/>
          <w:lang w:val="fr-FR"/>
        </w:rPr>
        <w:t>,</w:t>
      </w:r>
      <w:r w:rsidRPr="0003340F">
        <w:rPr>
          <w:b w:val="0"/>
          <w:lang w:val="fr-FR"/>
        </w:rPr>
        <w:t xml:space="preserve"> Z</w:t>
      </w:r>
      <w:r w:rsidR="002915AC">
        <w:rPr>
          <w:b w:val="0"/>
          <w:lang w:val="fr-FR"/>
        </w:rPr>
        <w:t>.</w:t>
      </w:r>
      <w:r w:rsidRPr="0003340F">
        <w:rPr>
          <w:b w:val="0"/>
          <w:lang w:val="fr-FR"/>
        </w:rPr>
        <w:t>J</w:t>
      </w:r>
      <w:r w:rsidR="002915AC">
        <w:rPr>
          <w:b w:val="0"/>
          <w:lang w:val="fr-FR"/>
        </w:rPr>
        <w:t>. ;</w:t>
      </w:r>
      <w:r w:rsidRPr="0003340F">
        <w:rPr>
          <w:b w:val="0"/>
          <w:lang w:val="fr-FR"/>
        </w:rPr>
        <w:t xml:space="preserve"> Xing</w:t>
      </w:r>
      <w:r w:rsidR="002915AC">
        <w:rPr>
          <w:b w:val="0"/>
          <w:lang w:val="fr-FR"/>
        </w:rPr>
        <w:t>,</w:t>
      </w:r>
      <w:r w:rsidRPr="0003340F">
        <w:rPr>
          <w:b w:val="0"/>
          <w:lang w:val="fr-FR"/>
        </w:rPr>
        <w:t xml:space="preserve"> X</w:t>
      </w:r>
      <w:r w:rsidR="002915AC">
        <w:rPr>
          <w:b w:val="0"/>
          <w:lang w:val="fr-FR"/>
        </w:rPr>
        <w:t>.</w:t>
      </w:r>
      <w:r w:rsidRPr="0003340F">
        <w:rPr>
          <w:b w:val="0"/>
          <w:lang w:val="fr-FR"/>
        </w:rPr>
        <w:t>Y</w:t>
      </w:r>
      <w:r w:rsidR="002915AC">
        <w:rPr>
          <w:b w:val="0"/>
          <w:lang w:val="fr-FR"/>
        </w:rPr>
        <w:t xml:space="preserve">. ; </w:t>
      </w:r>
      <w:r w:rsidRPr="0003340F">
        <w:rPr>
          <w:b w:val="0"/>
          <w:lang w:val="fr-FR"/>
        </w:rPr>
        <w:t>Zhao</w:t>
      </w:r>
      <w:r w:rsidR="002915AC">
        <w:rPr>
          <w:b w:val="0"/>
          <w:lang w:val="fr-FR"/>
        </w:rPr>
        <w:t>,</w:t>
      </w:r>
      <w:r w:rsidRPr="0003340F">
        <w:rPr>
          <w:b w:val="0"/>
          <w:lang w:val="fr-FR"/>
        </w:rPr>
        <w:t xml:space="preserve"> H</w:t>
      </w:r>
      <w:r w:rsidR="002915AC">
        <w:rPr>
          <w:b w:val="0"/>
          <w:lang w:val="fr-FR"/>
        </w:rPr>
        <w:t>.</w:t>
      </w:r>
      <w:r w:rsidRPr="0003340F">
        <w:rPr>
          <w:b w:val="0"/>
          <w:lang w:val="fr-FR"/>
        </w:rPr>
        <w:t>C</w:t>
      </w:r>
      <w:r w:rsidR="002915AC">
        <w:rPr>
          <w:b w:val="0"/>
          <w:lang w:val="fr-FR"/>
        </w:rPr>
        <w:t>. ;</w:t>
      </w:r>
      <w:r w:rsidRPr="0003340F">
        <w:rPr>
          <w:b w:val="0"/>
          <w:lang w:val="fr-FR"/>
        </w:rPr>
        <w:t xml:space="preserve"> </w:t>
      </w:r>
      <w:proofErr w:type="spellStart"/>
      <w:r w:rsidR="002915AC" w:rsidRPr="002915AC">
        <w:rPr>
          <w:b w:val="0"/>
          <w:lang w:val="fr-FR"/>
        </w:rPr>
        <w:t>Jiao</w:t>
      </w:r>
      <w:proofErr w:type="spellEnd"/>
      <w:r w:rsidR="002915AC">
        <w:rPr>
          <w:b w:val="0"/>
          <w:lang w:val="fr-FR"/>
        </w:rPr>
        <w:t>,</w:t>
      </w:r>
      <w:r w:rsidR="002915AC" w:rsidRPr="002915AC">
        <w:rPr>
          <w:b w:val="0"/>
          <w:lang w:val="fr-FR"/>
        </w:rPr>
        <w:t xml:space="preserve"> J</w:t>
      </w:r>
      <w:r w:rsidR="002915AC">
        <w:rPr>
          <w:b w:val="0"/>
          <w:lang w:val="fr-FR"/>
        </w:rPr>
        <w:t>.</w:t>
      </w:r>
      <w:r w:rsidR="002915AC" w:rsidRPr="002915AC">
        <w:rPr>
          <w:b w:val="0"/>
          <w:lang w:val="fr-FR"/>
        </w:rPr>
        <w:t>S</w:t>
      </w:r>
      <w:r w:rsidR="002915AC">
        <w:rPr>
          <w:b w:val="0"/>
          <w:lang w:val="fr-FR"/>
        </w:rPr>
        <w:t>. ;</w:t>
      </w:r>
      <w:r w:rsidR="002915AC" w:rsidRPr="002915AC">
        <w:rPr>
          <w:b w:val="0"/>
          <w:lang w:val="fr-FR"/>
        </w:rPr>
        <w:t xml:space="preserve"> Li</w:t>
      </w:r>
      <w:r w:rsidR="002915AC">
        <w:rPr>
          <w:b w:val="0"/>
          <w:lang w:val="fr-FR"/>
        </w:rPr>
        <w:t>,</w:t>
      </w:r>
      <w:r w:rsidR="002915AC" w:rsidRPr="002915AC">
        <w:rPr>
          <w:b w:val="0"/>
          <w:lang w:val="fr-FR"/>
        </w:rPr>
        <w:t xml:space="preserve"> G</w:t>
      </w:r>
      <w:r w:rsidR="002915AC">
        <w:rPr>
          <w:b w:val="0"/>
          <w:lang w:val="fr-FR"/>
        </w:rPr>
        <w:t>.</w:t>
      </w:r>
      <w:r w:rsidR="002915AC" w:rsidRPr="002915AC">
        <w:rPr>
          <w:b w:val="0"/>
          <w:lang w:val="fr-FR"/>
        </w:rPr>
        <w:t>W.</w:t>
      </w:r>
      <w:r w:rsidRPr="0003340F">
        <w:rPr>
          <w:b w:val="0"/>
          <w:lang w:val="fr-FR"/>
        </w:rPr>
        <w:t xml:space="preserve"> </w:t>
      </w:r>
      <w:r w:rsidRPr="0003340F">
        <w:rPr>
          <w:b w:val="0"/>
        </w:rPr>
        <w:t xml:space="preserve">[Glucocorticoid-induced diabetes in severe acute respiratory </w:t>
      </w:r>
      <w:proofErr w:type="gramStart"/>
      <w:r w:rsidRPr="0003340F">
        <w:rPr>
          <w:b w:val="0"/>
        </w:rPr>
        <w:t>syndrome:</w:t>
      </w:r>
      <w:proofErr w:type="gramEnd"/>
      <w:r w:rsidRPr="0003340F">
        <w:rPr>
          <w:b w:val="0"/>
        </w:rPr>
        <w:t xml:space="preserve"> the impact of high dosage and duration of methylprednisolone therapy]. </w:t>
      </w:r>
      <w:proofErr w:type="spellStart"/>
      <w:r w:rsidRPr="0003340F">
        <w:rPr>
          <w:b w:val="0"/>
        </w:rPr>
        <w:t>Zhonghua</w:t>
      </w:r>
      <w:proofErr w:type="spellEnd"/>
      <w:r w:rsidRPr="0003340F">
        <w:rPr>
          <w:b w:val="0"/>
        </w:rPr>
        <w:t xml:space="preserve"> </w:t>
      </w:r>
      <w:proofErr w:type="spellStart"/>
      <w:r w:rsidRPr="0003340F">
        <w:rPr>
          <w:b w:val="0"/>
        </w:rPr>
        <w:t>Nei</w:t>
      </w:r>
      <w:proofErr w:type="spellEnd"/>
      <w:r w:rsidRPr="0003340F">
        <w:rPr>
          <w:b w:val="0"/>
        </w:rPr>
        <w:t xml:space="preserve"> </w:t>
      </w:r>
      <w:proofErr w:type="spellStart"/>
      <w:r w:rsidRPr="0003340F">
        <w:rPr>
          <w:b w:val="0"/>
        </w:rPr>
        <w:t>Ke</w:t>
      </w:r>
      <w:proofErr w:type="spellEnd"/>
      <w:r w:rsidRPr="0003340F">
        <w:rPr>
          <w:b w:val="0"/>
        </w:rPr>
        <w:t xml:space="preserve"> Za </w:t>
      </w:r>
      <w:proofErr w:type="spellStart"/>
      <w:r w:rsidRPr="0003340F">
        <w:rPr>
          <w:b w:val="0"/>
        </w:rPr>
        <w:t>Zhi</w:t>
      </w:r>
      <w:proofErr w:type="spellEnd"/>
      <w:r w:rsidRPr="0003340F">
        <w:rPr>
          <w:b w:val="0"/>
        </w:rPr>
        <w:t xml:space="preserve">. 2004;43:179-82 (in Chinese). </w:t>
      </w:r>
    </w:p>
    <w:p w:rsidR="0003340F" w:rsidRPr="0003340F" w:rsidRDefault="0003340F" w:rsidP="0003340F">
      <w:pPr>
        <w:pStyle w:val="MDPI21heading1"/>
        <w:spacing w:before="0" w:after="0"/>
        <w:ind w:left="200" w:hangingChars="100" w:hanging="200"/>
        <w:jc w:val="both"/>
        <w:rPr>
          <w:b w:val="0"/>
          <w:lang w:val="fr-FR"/>
        </w:rPr>
      </w:pPr>
      <w:r w:rsidRPr="0003340F">
        <w:rPr>
          <w:b w:val="0"/>
        </w:rPr>
        <w:lastRenderedPageBreak/>
        <w:t>4</w:t>
      </w:r>
      <w:r w:rsidR="003A48D2">
        <w:rPr>
          <w:b w:val="0"/>
        </w:rPr>
        <w:t>4</w:t>
      </w:r>
      <w:r w:rsidRPr="0003340F">
        <w:rPr>
          <w:b w:val="0"/>
        </w:rPr>
        <w:t>. Li</w:t>
      </w:r>
      <w:r w:rsidR="002915AC">
        <w:rPr>
          <w:b w:val="0"/>
        </w:rPr>
        <w:t>,</w:t>
      </w:r>
      <w:r w:rsidRPr="0003340F">
        <w:rPr>
          <w:b w:val="0"/>
        </w:rPr>
        <w:t xml:space="preserve"> YM</w:t>
      </w:r>
      <w:r w:rsidR="002915AC">
        <w:rPr>
          <w:b w:val="0"/>
        </w:rPr>
        <w:t>.;</w:t>
      </w:r>
      <w:r w:rsidRPr="0003340F">
        <w:rPr>
          <w:b w:val="0"/>
        </w:rPr>
        <w:t xml:space="preserve"> Wang</w:t>
      </w:r>
      <w:r w:rsidR="002915AC">
        <w:rPr>
          <w:b w:val="0"/>
        </w:rPr>
        <w:t>,</w:t>
      </w:r>
      <w:r w:rsidRPr="0003340F">
        <w:rPr>
          <w:b w:val="0"/>
        </w:rPr>
        <w:t xml:space="preserve"> S</w:t>
      </w:r>
      <w:r w:rsidR="002915AC">
        <w:rPr>
          <w:b w:val="0"/>
        </w:rPr>
        <w:t>.</w:t>
      </w:r>
      <w:r w:rsidRPr="0003340F">
        <w:rPr>
          <w:b w:val="0"/>
        </w:rPr>
        <w:t>X</w:t>
      </w:r>
      <w:r w:rsidR="002915AC">
        <w:rPr>
          <w:b w:val="0"/>
        </w:rPr>
        <w:t>.;</w:t>
      </w:r>
      <w:r w:rsidRPr="0003340F">
        <w:rPr>
          <w:b w:val="0"/>
        </w:rPr>
        <w:t xml:space="preserve"> Gao</w:t>
      </w:r>
      <w:r w:rsidR="002915AC">
        <w:rPr>
          <w:b w:val="0"/>
        </w:rPr>
        <w:t>,</w:t>
      </w:r>
      <w:r w:rsidRPr="0003340F">
        <w:rPr>
          <w:b w:val="0"/>
        </w:rPr>
        <w:t xml:space="preserve"> H</w:t>
      </w:r>
      <w:r w:rsidR="002915AC">
        <w:rPr>
          <w:b w:val="0"/>
        </w:rPr>
        <w:t>.</w:t>
      </w:r>
      <w:r w:rsidRPr="0003340F">
        <w:rPr>
          <w:b w:val="0"/>
        </w:rPr>
        <w:t>S</w:t>
      </w:r>
      <w:r w:rsidR="002915AC">
        <w:rPr>
          <w:b w:val="0"/>
        </w:rPr>
        <w:t>.;</w:t>
      </w:r>
      <w:r w:rsidRPr="0003340F">
        <w:rPr>
          <w:b w:val="0"/>
        </w:rPr>
        <w:t xml:space="preserve"> Wang</w:t>
      </w:r>
      <w:r w:rsidR="002915AC">
        <w:rPr>
          <w:b w:val="0"/>
        </w:rPr>
        <w:t>,</w:t>
      </w:r>
      <w:r w:rsidRPr="0003340F">
        <w:rPr>
          <w:b w:val="0"/>
        </w:rPr>
        <w:t xml:space="preserve"> J</w:t>
      </w:r>
      <w:r w:rsidR="002915AC">
        <w:rPr>
          <w:b w:val="0"/>
        </w:rPr>
        <w:t>.</w:t>
      </w:r>
      <w:r w:rsidRPr="0003340F">
        <w:rPr>
          <w:b w:val="0"/>
        </w:rPr>
        <w:t>G</w:t>
      </w:r>
      <w:r w:rsidR="002915AC">
        <w:rPr>
          <w:b w:val="0"/>
        </w:rPr>
        <w:t>.;</w:t>
      </w:r>
      <w:r w:rsidRPr="0003340F">
        <w:rPr>
          <w:b w:val="0"/>
        </w:rPr>
        <w:t xml:space="preserve"> Wei</w:t>
      </w:r>
      <w:r w:rsidR="002915AC">
        <w:rPr>
          <w:b w:val="0"/>
        </w:rPr>
        <w:t>,</w:t>
      </w:r>
      <w:r w:rsidRPr="0003340F">
        <w:rPr>
          <w:b w:val="0"/>
        </w:rPr>
        <w:t xml:space="preserve"> C</w:t>
      </w:r>
      <w:r w:rsidR="002915AC">
        <w:rPr>
          <w:b w:val="0"/>
        </w:rPr>
        <w:t>.</w:t>
      </w:r>
      <w:r w:rsidRPr="0003340F">
        <w:rPr>
          <w:b w:val="0"/>
        </w:rPr>
        <w:t>S</w:t>
      </w:r>
      <w:r w:rsidR="002915AC">
        <w:rPr>
          <w:b w:val="0"/>
        </w:rPr>
        <w:t>.;</w:t>
      </w:r>
      <w:r w:rsidRPr="0003340F">
        <w:rPr>
          <w:b w:val="0"/>
        </w:rPr>
        <w:t xml:space="preserve"> Chen</w:t>
      </w:r>
      <w:r w:rsidR="002915AC">
        <w:rPr>
          <w:b w:val="0"/>
        </w:rPr>
        <w:t>,</w:t>
      </w:r>
      <w:r w:rsidRPr="0003340F">
        <w:rPr>
          <w:b w:val="0"/>
        </w:rPr>
        <w:t xml:space="preserve"> L</w:t>
      </w:r>
      <w:r w:rsidR="002915AC">
        <w:rPr>
          <w:b w:val="0"/>
        </w:rPr>
        <w:t>.</w:t>
      </w:r>
      <w:r w:rsidRPr="0003340F">
        <w:rPr>
          <w:b w:val="0"/>
        </w:rPr>
        <w:t>M</w:t>
      </w:r>
      <w:r w:rsidR="002915AC">
        <w:rPr>
          <w:b w:val="0"/>
        </w:rPr>
        <w:t>.;</w:t>
      </w:r>
      <w:r w:rsidRPr="0003340F">
        <w:rPr>
          <w:b w:val="0"/>
        </w:rPr>
        <w:t xml:space="preserve"> </w:t>
      </w:r>
      <w:r w:rsidR="002915AC" w:rsidRPr="002915AC">
        <w:rPr>
          <w:b w:val="0"/>
        </w:rPr>
        <w:t>Hui</w:t>
      </w:r>
      <w:r w:rsidR="002915AC">
        <w:rPr>
          <w:b w:val="0"/>
        </w:rPr>
        <w:t>,</w:t>
      </w:r>
      <w:r w:rsidR="002915AC" w:rsidRPr="002915AC">
        <w:rPr>
          <w:b w:val="0"/>
        </w:rPr>
        <w:t xml:space="preserve"> W</w:t>
      </w:r>
      <w:r w:rsidR="002915AC">
        <w:rPr>
          <w:b w:val="0"/>
        </w:rPr>
        <w:t>.</w:t>
      </w:r>
      <w:r w:rsidR="002915AC" w:rsidRPr="002915AC">
        <w:rPr>
          <w:b w:val="0"/>
        </w:rPr>
        <w:t>L</w:t>
      </w:r>
      <w:r w:rsidR="002915AC">
        <w:rPr>
          <w:b w:val="0"/>
        </w:rPr>
        <w:t>.;</w:t>
      </w:r>
      <w:r w:rsidR="002915AC" w:rsidRPr="002915AC">
        <w:rPr>
          <w:b w:val="0"/>
        </w:rPr>
        <w:t xml:space="preserve"> Yuan</w:t>
      </w:r>
      <w:r w:rsidR="002915AC">
        <w:rPr>
          <w:b w:val="0"/>
        </w:rPr>
        <w:t>,</w:t>
      </w:r>
      <w:r w:rsidR="002915AC" w:rsidRPr="002915AC">
        <w:rPr>
          <w:b w:val="0"/>
        </w:rPr>
        <w:t xml:space="preserve"> S</w:t>
      </w:r>
      <w:r w:rsidR="002915AC">
        <w:rPr>
          <w:b w:val="0"/>
        </w:rPr>
        <w:t>.</w:t>
      </w:r>
      <w:r w:rsidR="002915AC" w:rsidRPr="002915AC">
        <w:rPr>
          <w:b w:val="0"/>
        </w:rPr>
        <w:t>L</w:t>
      </w:r>
      <w:r w:rsidR="002915AC">
        <w:rPr>
          <w:b w:val="0"/>
        </w:rPr>
        <w:t xml:space="preserve">.; </w:t>
      </w:r>
      <w:r w:rsidR="002915AC" w:rsidRPr="002915AC">
        <w:rPr>
          <w:b w:val="0"/>
        </w:rPr>
        <w:t>Jiao</w:t>
      </w:r>
      <w:r w:rsidR="002915AC">
        <w:rPr>
          <w:b w:val="0"/>
        </w:rPr>
        <w:t>,</w:t>
      </w:r>
      <w:r w:rsidR="002915AC" w:rsidRPr="002915AC">
        <w:rPr>
          <w:b w:val="0"/>
        </w:rPr>
        <w:t xml:space="preserve"> Z</w:t>
      </w:r>
      <w:r w:rsidR="002915AC">
        <w:rPr>
          <w:b w:val="0"/>
        </w:rPr>
        <w:t>.</w:t>
      </w:r>
      <w:r w:rsidR="002915AC" w:rsidRPr="002915AC">
        <w:rPr>
          <w:b w:val="0"/>
        </w:rPr>
        <w:t>S</w:t>
      </w:r>
      <w:r w:rsidR="002915AC">
        <w:rPr>
          <w:b w:val="0"/>
        </w:rPr>
        <w:t>.;</w:t>
      </w:r>
      <w:r w:rsidR="002915AC" w:rsidRPr="002915AC">
        <w:rPr>
          <w:b w:val="0"/>
        </w:rPr>
        <w:t xml:space="preserve"> Yang</w:t>
      </w:r>
      <w:r w:rsidR="002915AC">
        <w:rPr>
          <w:b w:val="0"/>
        </w:rPr>
        <w:t>,</w:t>
      </w:r>
      <w:r w:rsidR="002915AC" w:rsidRPr="002915AC">
        <w:rPr>
          <w:b w:val="0"/>
        </w:rPr>
        <w:t xml:space="preserve"> Z</w:t>
      </w:r>
      <w:r w:rsidR="002915AC">
        <w:rPr>
          <w:b w:val="0"/>
        </w:rPr>
        <w:t xml:space="preserve">.; </w:t>
      </w:r>
      <w:r w:rsidRPr="0003340F">
        <w:rPr>
          <w:b w:val="0"/>
        </w:rPr>
        <w:t xml:space="preserve">et al. Factors of avascular necrosis of femoral head and osteoporosis in SARS patients’ convalescence. </w:t>
      </w:r>
      <w:proofErr w:type="spellStart"/>
      <w:r w:rsidRPr="00A02919">
        <w:rPr>
          <w:b w:val="0"/>
          <w:i/>
          <w:lang w:val="fr-FR"/>
        </w:rPr>
        <w:t>Zhonghua</w:t>
      </w:r>
      <w:proofErr w:type="spellEnd"/>
      <w:r w:rsidR="00A02919">
        <w:rPr>
          <w:b w:val="0"/>
          <w:i/>
          <w:lang w:val="fr-FR"/>
        </w:rPr>
        <w:t>.</w:t>
      </w:r>
      <w:r w:rsidRPr="00A02919">
        <w:rPr>
          <w:b w:val="0"/>
          <w:i/>
          <w:lang w:val="fr-FR"/>
        </w:rPr>
        <w:t xml:space="preserve"> Yi</w:t>
      </w:r>
      <w:r w:rsidR="00A02919">
        <w:rPr>
          <w:b w:val="0"/>
          <w:i/>
          <w:lang w:val="fr-FR"/>
        </w:rPr>
        <w:t>.</w:t>
      </w:r>
      <w:r w:rsidRPr="00A02919">
        <w:rPr>
          <w:b w:val="0"/>
          <w:i/>
          <w:lang w:val="fr-FR"/>
        </w:rPr>
        <w:t xml:space="preserve"> Xue</w:t>
      </w:r>
      <w:r w:rsidR="00A02919">
        <w:rPr>
          <w:b w:val="0"/>
          <w:i/>
          <w:lang w:val="fr-FR"/>
        </w:rPr>
        <w:t>.</w:t>
      </w:r>
      <w:r w:rsidRPr="00A02919">
        <w:rPr>
          <w:b w:val="0"/>
          <w:i/>
          <w:lang w:val="fr-FR"/>
        </w:rPr>
        <w:t xml:space="preserve"> Za</w:t>
      </w:r>
      <w:r w:rsidR="00A02919">
        <w:rPr>
          <w:b w:val="0"/>
          <w:i/>
          <w:lang w:val="fr-FR"/>
        </w:rPr>
        <w:t>.</w:t>
      </w:r>
      <w:r w:rsidRPr="00A02919">
        <w:rPr>
          <w:b w:val="0"/>
          <w:i/>
          <w:lang w:val="fr-FR"/>
        </w:rPr>
        <w:t xml:space="preserve"> </w:t>
      </w:r>
      <w:proofErr w:type="spellStart"/>
      <w:r w:rsidRPr="00A02919">
        <w:rPr>
          <w:b w:val="0"/>
          <w:i/>
          <w:lang w:val="fr-FR"/>
        </w:rPr>
        <w:t>Zhi</w:t>
      </w:r>
      <w:proofErr w:type="spellEnd"/>
      <w:r w:rsidR="00A02919">
        <w:rPr>
          <w:b w:val="0"/>
          <w:i/>
          <w:lang w:val="fr-FR"/>
        </w:rPr>
        <w:t>.</w:t>
      </w:r>
      <w:r w:rsidRPr="00A02919">
        <w:rPr>
          <w:b w:val="0"/>
          <w:i/>
          <w:lang w:val="fr-FR"/>
        </w:rPr>
        <w:t xml:space="preserve"> </w:t>
      </w:r>
      <w:proofErr w:type="gramStart"/>
      <w:r w:rsidRPr="00A02919">
        <w:rPr>
          <w:lang w:val="fr-FR"/>
        </w:rPr>
        <w:t>2004</w:t>
      </w:r>
      <w:r w:rsidRPr="0003340F">
        <w:rPr>
          <w:b w:val="0"/>
          <w:lang w:val="fr-FR"/>
        </w:rPr>
        <w:t>;</w:t>
      </w:r>
      <w:proofErr w:type="gramEnd"/>
      <w:r w:rsidRPr="0003340F">
        <w:rPr>
          <w:b w:val="0"/>
          <w:lang w:val="fr-FR"/>
        </w:rPr>
        <w:t xml:space="preserve"> 84:1348-</w:t>
      </w:r>
      <w:r w:rsidR="00A02919">
        <w:rPr>
          <w:b w:val="0"/>
          <w:lang w:val="fr-FR"/>
        </w:rPr>
        <w:t>13</w:t>
      </w:r>
      <w:r w:rsidRPr="0003340F">
        <w:rPr>
          <w:b w:val="0"/>
          <w:lang w:val="fr-FR"/>
        </w:rPr>
        <w:t xml:space="preserve">53 (in </w:t>
      </w:r>
      <w:proofErr w:type="spellStart"/>
      <w:r w:rsidRPr="0003340F">
        <w:rPr>
          <w:b w:val="0"/>
          <w:lang w:val="fr-FR"/>
        </w:rPr>
        <w:t>Chinese</w:t>
      </w:r>
      <w:proofErr w:type="spellEnd"/>
      <w:r w:rsidRPr="0003340F">
        <w:rPr>
          <w:b w:val="0"/>
          <w:lang w:val="fr-FR"/>
        </w:rPr>
        <w:t>).</w:t>
      </w:r>
    </w:p>
    <w:p w:rsidR="0003340F" w:rsidRPr="0003340F" w:rsidRDefault="0003340F" w:rsidP="0003340F">
      <w:pPr>
        <w:pStyle w:val="MDPI21heading1"/>
        <w:spacing w:before="0" w:after="0"/>
        <w:ind w:left="200" w:hangingChars="100" w:hanging="200"/>
        <w:jc w:val="both"/>
        <w:rPr>
          <w:b w:val="0"/>
        </w:rPr>
      </w:pPr>
      <w:r w:rsidRPr="0003340F">
        <w:rPr>
          <w:b w:val="0"/>
          <w:lang w:val="fr-FR"/>
        </w:rPr>
        <w:t>4</w:t>
      </w:r>
      <w:r w:rsidR="003A48D2">
        <w:rPr>
          <w:b w:val="0"/>
          <w:lang w:val="fr-FR"/>
        </w:rPr>
        <w:t>5</w:t>
      </w:r>
      <w:r w:rsidRPr="0003340F">
        <w:rPr>
          <w:b w:val="0"/>
          <w:lang w:val="fr-FR"/>
        </w:rPr>
        <w:t>. Ni</w:t>
      </w:r>
      <w:r w:rsidR="002915AC">
        <w:rPr>
          <w:b w:val="0"/>
          <w:lang w:val="fr-FR"/>
        </w:rPr>
        <w:t>,</w:t>
      </w:r>
      <w:r w:rsidRPr="0003340F">
        <w:rPr>
          <w:b w:val="0"/>
          <w:lang w:val="fr-FR"/>
        </w:rPr>
        <w:t xml:space="preserve"> Y</w:t>
      </w:r>
      <w:r w:rsidR="002915AC">
        <w:rPr>
          <w:b w:val="0"/>
          <w:lang w:val="fr-FR"/>
        </w:rPr>
        <w:t>.</w:t>
      </w:r>
      <w:r w:rsidRPr="0003340F">
        <w:rPr>
          <w:b w:val="0"/>
          <w:lang w:val="fr-FR"/>
        </w:rPr>
        <w:t>N</w:t>
      </w:r>
      <w:r w:rsidR="002915AC">
        <w:rPr>
          <w:b w:val="0"/>
          <w:lang w:val="fr-FR"/>
        </w:rPr>
        <w:t>. ;</w:t>
      </w:r>
      <w:r w:rsidRPr="0003340F">
        <w:rPr>
          <w:b w:val="0"/>
          <w:lang w:val="fr-FR"/>
        </w:rPr>
        <w:t xml:space="preserve"> Chen</w:t>
      </w:r>
      <w:r w:rsidR="002915AC">
        <w:rPr>
          <w:b w:val="0"/>
          <w:lang w:val="fr-FR"/>
        </w:rPr>
        <w:t>,</w:t>
      </w:r>
      <w:r w:rsidRPr="0003340F">
        <w:rPr>
          <w:b w:val="0"/>
          <w:lang w:val="fr-FR"/>
        </w:rPr>
        <w:t xml:space="preserve"> G</w:t>
      </w:r>
      <w:r w:rsidR="002915AC">
        <w:rPr>
          <w:b w:val="0"/>
          <w:lang w:val="fr-FR"/>
        </w:rPr>
        <w:t>. ;</w:t>
      </w:r>
      <w:r w:rsidRPr="0003340F">
        <w:rPr>
          <w:b w:val="0"/>
          <w:lang w:val="fr-FR"/>
        </w:rPr>
        <w:t xml:space="preserve"> Sun</w:t>
      </w:r>
      <w:r w:rsidR="002915AC">
        <w:rPr>
          <w:b w:val="0"/>
          <w:lang w:val="fr-FR"/>
        </w:rPr>
        <w:t>,</w:t>
      </w:r>
      <w:r w:rsidRPr="0003340F">
        <w:rPr>
          <w:b w:val="0"/>
          <w:lang w:val="fr-FR"/>
        </w:rPr>
        <w:t xml:space="preserve"> J</w:t>
      </w:r>
      <w:r w:rsidR="002915AC">
        <w:rPr>
          <w:b w:val="0"/>
          <w:lang w:val="fr-FR"/>
        </w:rPr>
        <w:t>. ;</w:t>
      </w:r>
      <w:r w:rsidRPr="0003340F">
        <w:rPr>
          <w:b w:val="0"/>
          <w:lang w:val="fr-FR"/>
        </w:rPr>
        <w:t xml:space="preserve"> Liang</w:t>
      </w:r>
      <w:r w:rsidR="002915AC">
        <w:rPr>
          <w:b w:val="0"/>
          <w:lang w:val="fr-FR"/>
        </w:rPr>
        <w:t>,</w:t>
      </w:r>
      <w:r w:rsidRPr="0003340F">
        <w:rPr>
          <w:b w:val="0"/>
          <w:lang w:val="fr-FR"/>
        </w:rPr>
        <w:t xml:space="preserve"> B</w:t>
      </w:r>
      <w:r w:rsidR="002915AC">
        <w:rPr>
          <w:b w:val="0"/>
          <w:lang w:val="fr-FR"/>
        </w:rPr>
        <w:t>.</w:t>
      </w:r>
      <w:r w:rsidRPr="0003340F">
        <w:rPr>
          <w:b w:val="0"/>
          <w:lang w:val="fr-FR"/>
        </w:rPr>
        <w:t>M</w:t>
      </w:r>
      <w:r w:rsidR="002915AC">
        <w:rPr>
          <w:b w:val="0"/>
          <w:lang w:val="fr-FR"/>
        </w:rPr>
        <w:t>. ;</w:t>
      </w:r>
      <w:r w:rsidRPr="0003340F">
        <w:rPr>
          <w:b w:val="0"/>
          <w:lang w:val="fr-FR"/>
        </w:rPr>
        <w:t xml:space="preserve"> Liang</w:t>
      </w:r>
      <w:r w:rsidR="002915AC">
        <w:rPr>
          <w:b w:val="0"/>
          <w:lang w:val="fr-FR"/>
        </w:rPr>
        <w:t>,</w:t>
      </w:r>
      <w:r w:rsidRPr="0003340F">
        <w:rPr>
          <w:b w:val="0"/>
          <w:lang w:val="fr-FR"/>
        </w:rPr>
        <w:t xml:space="preserve"> Z</w:t>
      </w:r>
      <w:r w:rsidR="002915AC">
        <w:rPr>
          <w:b w:val="0"/>
          <w:lang w:val="fr-FR"/>
        </w:rPr>
        <w:t>.</w:t>
      </w:r>
      <w:r w:rsidRPr="0003340F">
        <w:rPr>
          <w:b w:val="0"/>
          <w:lang w:val="fr-FR"/>
        </w:rPr>
        <w:t xml:space="preserve">A. </w:t>
      </w:r>
      <w:r w:rsidRPr="0003340F">
        <w:rPr>
          <w:b w:val="0"/>
        </w:rPr>
        <w:t xml:space="preserve">The effect of corticosteroids on mortality of patients with influenza </w:t>
      </w:r>
      <w:proofErr w:type="gramStart"/>
      <w:r w:rsidRPr="0003340F">
        <w:rPr>
          <w:b w:val="0"/>
        </w:rPr>
        <w:t>pneumonia:</w:t>
      </w:r>
      <w:proofErr w:type="gramEnd"/>
      <w:r w:rsidRPr="0003340F">
        <w:rPr>
          <w:b w:val="0"/>
        </w:rPr>
        <w:t xml:space="preserve"> a systematic review and meta-analysis. </w:t>
      </w:r>
      <w:r w:rsidRPr="00A02919">
        <w:rPr>
          <w:b w:val="0"/>
          <w:i/>
        </w:rPr>
        <w:t>Crit</w:t>
      </w:r>
      <w:r w:rsidR="00A02919">
        <w:rPr>
          <w:b w:val="0"/>
          <w:i/>
        </w:rPr>
        <w:t>.</w:t>
      </w:r>
      <w:r w:rsidRPr="00A02919">
        <w:rPr>
          <w:b w:val="0"/>
          <w:i/>
        </w:rPr>
        <w:t xml:space="preserve"> Care</w:t>
      </w:r>
      <w:r w:rsidRPr="0003340F">
        <w:rPr>
          <w:b w:val="0"/>
        </w:rPr>
        <w:t xml:space="preserve">. </w:t>
      </w:r>
      <w:r w:rsidRPr="00A02919">
        <w:t>2019</w:t>
      </w:r>
      <w:r w:rsidRPr="0003340F">
        <w:rPr>
          <w:b w:val="0"/>
        </w:rPr>
        <w:t xml:space="preserve">; 23: 99. </w:t>
      </w:r>
    </w:p>
    <w:p w:rsidR="0003340F" w:rsidRPr="0003340F" w:rsidRDefault="0003340F" w:rsidP="0003340F">
      <w:pPr>
        <w:pStyle w:val="MDPI21heading1"/>
        <w:spacing w:before="0" w:after="0"/>
        <w:ind w:left="200" w:hangingChars="100" w:hanging="200"/>
        <w:jc w:val="both"/>
        <w:rPr>
          <w:b w:val="0"/>
        </w:rPr>
      </w:pPr>
      <w:r w:rsidRPr="0003340F">
        <w:rPr>
          <w:b w:val="0"/>
        </w:rPr>
        <w:t>4</w:t>
      </w:r>
      <w:r w:rsidR="003A48D2">
        <w:rPr>
          <w:b w:val="0"/>
        </w:rPr>
        <w:t>6</w:t>
      </w:r>
      <w:r w:rsidRPr="0003340F">
        <w:rPr>
          <w:b w:val="0"/>
        </w:rPr>
        <w:t>. McGee</w:t>
      </w:r>
      <w:r w:rsidR="002915AC">
        <w:rPr>
          <w:b w:val="0"/>
        </w:rPr>
        <w:t>,</w:t>
      </w:r>
      <w:r w:rsidRPr="0003340F">
        <w:rPr>
          <w:b w:val="0"/>
        </w:rPr>
        <w:t xml:space="preserve"> S</w:t>
      </w:r>
      <w:r w:rsidR="002915AC">
        <w:rPr>
          <w:b w:val="0"/>
        </w:rPr>
        <w:t>.;</w:t>
      </w:r>
      <w:r w:rsidRPr="0003340F">
        <w:rPr>
          <w:b w:val="0"/>
        </w:rPr>
        <w:t xml:space="preserve"> </w:t>
      </w:r>
      <w:proofErr w:type="spellStart"/>
      <w:r w:rsidRPr="0003340F">
        <w:rPr>
          <w:b w:val="0"/>
        </w:rPr>
        <w:t>Hirschmann</w:t>
      </w:r>
      <w:proofErr w:type="spellEnd"/>
      <w:r w:rsidR="002915AC">
        <w:rPr>
          <w:b w:val="0"/>
        </w:rPr>
        <w:t>,</w:t>
      </w:r>
      <w:r w:rsidRPr="0003340F">
        <w:rPr>
          <w:b w:val="0"/>
        </w:rPr>
        <w:t xml:space="preserve"> J. Use of corticosteroids in treating infectious diseases. </w:t>
      </w:r>
      <w:r w:rsidRPr="00A02919">
        <w:rPr>
          <w:b w:val="0"/>
          <w:i/>
        </w:rPr>
        <w:t>Arch</w:t>
      </w:r>
      <w:r w:rsidR="00A02919">
        <w:rPr>
          <w:b w:val="0"/>
          <w:i/>
        </w:rPr>
        <w:t>.</w:t>
      </w:r>
      <w:r w:rsidRPr="00A02919">
        <w:rPr>
          <w:b w:val="0"/>
          <w:i/>
        </w:rPr>
        <w:t xml:space="preserve"> Intern</w:t>
      </w:r>
      <w:r w:rsidR="00A02919">
        <w:rPr>
          <w:b w:val="0"/>
          <w:i/>
        </w:rPr>
        <w:t>.</w:t>
      </w:r>
      <w:r w:rsidRPr="00A02919">
        <w:rPr>
          <w:b w:val="0"/>
          <w:i/>
        </w:rPr>
        <w:t xml:space="preserve"> Med</w:t>
      </w:r>
      <w:r w:rsidR="00A02919" w:rsidRPr="00A02919">
        <w:rPr>
          <w:b w:val="0"/>
        </w:rPr>
        <w:t>.</w:t>
      </w:r>
      <w:r w:rsidRPr="00A02919">
        <w:rPr>
          <w:b w:val="0"/>
        </w:rPr>
        <w:t xml:space="preserve"> </w:t>
      </w:r>
      <w:r w:rsidRPr="00A02919">
        <w:t>2008</w:t>
      </w:r>
      <w:r w:rsidRPr="0003340F">
        <w:rPr>
          <w:b w:val="0"/>
        </w:rPr>
        <w:t>; 168:1034-</w:t>
      </w:r>
      <w:r w:rsidR="00A02919">
        <w:rPr>
          <w:b w:val="0"/>
        </w:rPr>
        <w:t>10</w:t>
      </w:r>
      <w:r w:rsidRPr="0003340F">
        <w:rPr>
          <w:b w:val="0"/>
        </w:rPr>
        <w:t xml:space="preserve">46. </w:t>
      </w:r>
    </w:p>
    <w:p w:rsidR="0003340F" w:rsidRPr="0003340F" w:rsidRDefault="0003340F" w:rsidP="0003340F">
      <w:pPr>
        <w:pStyle w:val="MDPI21heading1"/>
        <w:spacing w:before="0" w:after="0"/>
        <w:ind w:left="200" w:hangingChars="100" w:hanging="200"/>
        <w:jc w:val="both"/>
        <w:rPr>
          <w:b w:val="0"/>
        </w:rPr>
      </w:pPr>
      <w:r w:rsidRPr="0003340F">
        <w:rPr>
          <w:b w:val="0"/>
        </w:rPr>
        <w:t>4</w:t>
      </w:r>
      <w:r w:rsidR="003A48D2">
        <w:rPr>
          <w:b w:val="0"/>
        </w:rPr>
        <w:t>7</w:t>
      </w:r>
      <w:r w:rsidRPr="0003340F">
        <w:rPr>
          <w:b w:val="0"/>
        </w:rPr>
        <w:t xml:space="preserve">. </w:t>
      </w:r>
      <w:proofErr w:type="spellStart"/>
      <w:r w:rsidRPr="0003340F">
        <w:rPr>
          <w:b w:val="0"/>
        </w:rPr>
        <w:t>Corneli</w:t>
      </w:r>
      <w:proofErr w:type="spellEnd"/>
      <w:r w:rsidR="002915AC">
        <w:rPr>
          <w:b w:val="0"/>
        </w:rPr>
        <w:t>,</w:t>
      </w:r>
      <w:r w:rsidRPr="0003340F">
        <w:rPr>
          <w:b w:val="0"/>
        </w:rPr>
        <w:t xml:space="preserve"> H</w:t>
      </w:r>
      <w:r w:rsidR="002915AC">
        <w:rPr>
          <w:b w:val="0"/>
        </w:rPr>
        <w:t>.</w:t>
      </w:r>
      <w:r w:rsidRPr="0003340F">
        <w:rPr>
          <w:b w:val="0"/>
        </w:rPr>
        <w:t>M</w:t>
      </w:r>
      <w:r w:rsidR="002915AC">
        <w:rPr>
          <w:b w:val="0"/>
        </w:rPr>
        <w:t>.;</w:t>
      </w:r>
      <w:r w:rsidRPr="0003340F">
        <w:rPr>
          <w:b w:val="0"/>
        </w:rPr>
        <w:t xml:space="preserve"> </w:t>
      </w:r>
      <w:proofErr w:type="spellStart"/>
      <w:r w:rsidRPr="0003340F">
        <w:rPr>
          <w:b w:val="0"/>
        </w:rPr>
        <w:t>Zorc</w:t>
      </w:r>
      <w:proofErr w:type="spellEnd"/>
      <w:r w:rsidR="002915AC">
        <w:rPr>
          <w:b w:val="0"/>
        </w:rPr>
        <w:t>,</w:t>
      </w:r>
      <w:r w:rsidRPr="0003340F">
        <w:rPr>
          <w:b w:val="0"/>
        </w:rPr>
        <w:t xml:space="preserve"> J</w:t>
      </w:r>
      <w:r w:rsidR="002915AC">
        <w:rPr>
          <w:b w:val="0"/>
        </w:rPr>
        <w:t>.</w:t>
      </w:r>
      <w:r w:rsidRPr="0003340F">
        <w:rPr>
          <w:b w:val="0"/>
        </w:rPr>
        <w:t>J</w:t>
      </w:r>
      <w:r w:rsidR="002915AC">
        <w:rPr>
          <w:b w:val="0"/>
        </w:rPr>
        <w:t>.;</w:t>
      </w:r>
      <w:r w:rsidRPr="0003340F">
        <w:rPr>
          <w:b w:val="0"/>
        </w:rPr>
        <w:t xml:space="preserve"> Mahajan</w:t>
      </w:r>
      <w:r w:rsidR="002915AC">
        <w:rPr>
          <w:b w:val="0"/>
        </w:rPr>
        <w:t>,</w:t>
      </w:r>
      <w:r w:rsidRPr="0003340F">
        <w:rPr>
          <w:b w:val="0"/>
        </w:rPr>
        <w:t xml:space="preserve"> P</w:t>
      </w:r>
      <w:r w:rsidR="002915AC">
        <w:rPr>
          <w:b w:val="0"/>
        </w:rPr>
        <w:t>.;</w:t>
      </w:r>
      <w:r w:rsidRPr="0003340F">
        <w:rPr>
          <w:b w:val="0"/>
        </w:rPr>
        <w:t xml:space="preserve"> Shaw</w:t>
      </w:r>
      <w:r w:rsidR="002915AC">
        <w:rPr>
          <w:b w:val="0"/>
        </w:rPr>
        <w:t>,</w:t>
      </w:r>
      <w:r w:rsidRPr="0003340F">
        <w:rPr>
          <w:b w:val="0"/>
        </w:rPr>
        <w:t xml:space="preserve"> K</w:t>
      </w:r>
      <w:r w:rsidR="002915AC">
        <w:rPr>
          <w:b w:val="0"/>
        </w:rPr>
        <w:t>.</w:t>
      </w:r>
      <w:r w:rsidRPr="0003340F">
        <w:rPr>
          <w:b w:val="0"/>
        </w:rPr>
        <w:t>N</w:t>
      </w:r>
      <w:r w:rsidR="002915AC">
        <w:rPr>
          <w:b w:val="0"/>
        </w:rPr>
        <w:t>.;</w:t>
      </w:r>
      <w:r w:rsidRPr="0003340F">
        <w:rPr>
          <w:b w:val="0"/>
        </w:rPr>
        <w:t xml:space="preserve"> </w:t>
      </w:r>
      <w:proofErr w:type="spellStart"/>
      <w:r w:rsidRPr="0003340F">
        <w:rPr>
          <w:b w:val="0"/>
        </w:rPr>
        <w:t>Holubkov</w:t>
      </w:r>
      <w:proofErr w:type="spellEnd"/>
      <w:r w:rsidR="002915AC">
        <w:rPr>
          <w:b w:val="0"/>
        </w:rPr>
        <w:t>,</w:t>
      </w:r>
      <w:r w:rsidRPr="0003340F">
        <w:rPr>
          <w:b w:val="0"/>
        </w:rPr>
        <w:t xml:space="preserve"> R</w:t>
      </w:r>
      <w:r w:rsidR="002915AC">
        <w:rPr>
          <w:b w:val="0"/>
        </w:rPr>
        <w:t>.;</w:t>
      </w:r>
      <w:r w:rsidRPr="0003340F">
        <w:rPr>
          <w:b w:val="0"/>
        </w:rPr>
        <w:t xml:space="preserve"> Reeves</w:t>
      </w:r>
      <w:r w:rsidR="002915AC">
        <w:rPr>
          <w:b w:val="0"/>
        </w:rPr>
        <w:t>,</w:t>
      </w:r>
      <w:r w:rsidRPr="0003340F">
        <w:rPr>
          <w:b w:val="0"/>
        </w:rPr>
        <w:t xml:space="preserve"> S</w:t>
      </w:r>
      <w:r w:rsidR="002915AC">
        <w:rPr>
          <w:b w:val="0"/>
        </w:rPr>
        <w:t>.</w:t>
      </w:r>
      <w:r w:rsidRPr="0003340F">
        <w:rPr>
          <w:b w:val="0"/>
        </w:rPr>
        <w:t>D</w:t>
      </w:r>
      <w:r w:rsidR="002915AC">
        <w:rPr>
          <w:b w:val="0"/>
        </w:rPr>
        <w:t>.;</w:t>
      </w:r>
      <w:r w:rsidRPr="0003340F">
        <w:rPr>
          <w:b w:val="0"/>
        </w:rPr>
        <w:t xml:space="preserve"> </w:t>
      </w:r>
      <w:r w:rsidR="002915AC" w:rsidRPr="002915AC">
        <w:rPr>
          <w:b w:val="0"/>
        </w:rPr>
        <w:t>Ruddy</w:t>
      </w:r>
      <w:r w:rsidR="002915AC">
        <w:rPr>
          <w:b w:val="0"/>
        </w:rPr>
        <w:t>,</w:t>
      </w:r>
      <w:r w:rsidR="002915AC" w:rsidRPr="002915AC">
        <w:rPr>
          <w:b w:val="0"/>
        </w:rPr>
        <w:t xml:space="preserve"> R</w:t>
      </w:r>
      <w:r w:rsidR="002915AC">
        <w:rPr>
          <w:b w:val="0"/>
        </w:rPr>
        <w:t>.</w:t>
      </w:r>
      <w:r w:rsidR="002915AC" w:rsidRPr="002915AC">
        <w:rPr>
          <w:b w:val="0"/>
        </w:rPr>
        <w:t>M</w:t>
      </w:r>
      <w:r w:rsidR="002915AC">
        <w:rPr>
          <w:b w:val="0"/>
        </w:rPr>
        <w:t>.;</w:t>
      </w:r>
      <w:r w:rsidR="002915AC" w:rsidRPr="002915AC">
        <w:rPr>
          <w:b w:val="0"/>
        </w:rPr>
        <w:t xml:space="preserve"> Malik</w:t>
      </w:r>
      <w:r w:rsidR="002915AC">
        <w:rPr>
          <w:b w:val="0"/>
        </w:rPr>
        <w:t>,</w:t>
      </w:r>
      <w:r w:rsidR="002915AC" w:rsidRPr="002915AC">
        <w:rPr>
          <w:b w:val="0"/>
        </w:rPr>
        <w:t xml:space="preserve"> B</w:t>
      </w:r>
      <w:r w:rsidR="002915AC">
        <w:rPr>
          <w:b w:val="0"/>
        </w:rPr>
        <w:t>.;</w:t>
      </w:r>
      <w:r w:rsidR="002915AC" w:rsidRPr="002915AC">
        <w:rPr>
          <w:b w:val="0"/>
        </w:rPr>
        <w:t xml:space="preserve"> Nelson</w:t>
      </w:r>
      <w:r w:rsidR="002915AC">
        <w:rPr>
          <w:b w:val="0"/>
        </w:rPr>
        <w:t>,</w:t>
      </w:r>
      <w:r w:rsidR="002915AC" w:rsidRPr="002915AC">
        <w:rPr>
          <w:b w:val="0"/>
        </w:rPr>
        <w:t xml:space="preserve"> K</w:t>
      </w:r>
      <w:r w:rsidR="002915AC">
        <w:rPr>
          <w:b w:val="0"/>
        </w:rPr>
        <w:t>.</w:t>
      </w:r>
      <w:r w:rsidR="002915AC" w:rsidRPr="002915AC">
        <w:rPr>
          <w:b w:val="0"/>
        </w:rPr>
        <w:t>A</w:t>
      </w:r>
      <w:r w:rsidR="002915AC">
        <w:rPr>
          <w:b w:val="0"/>
        </w:rPr>
        <w:t>.;</w:t>
      </w:r>
      <w:r w:rsidR="002915AC" w:rsidRPr="002915AC">
        <w:rPr>
          <w:b w:val="0"/>
        </w:rPr>
        <w:t xml:space="preserve"> </w:t>
      </w:r>
      <w:proofErr w:type="spellStart"/>
      <w:r w:rsidR="002915AC" w:rsidRPr="002915AC">
        <w:rPr>
          <w:b w:val="0"/>
        </w:rPr>
        <w:t>Bregstein</w:t>
      </w:r>
      <w:proofErr w:type="spellEnd"/>
      <w:r w:rsidR="002915AC">
        <w:rPr>
          <w:b w:val="0"/>
        </w:rPr>
        <w:t>,</w:t>
      </w:r>
      <w:r w:rsidR="002915AC" w:rsidRPr="002915AC">
        <w:rPr>
          <w:b w:val="0"/>
        </w:rPr>
        <w:t xml:space="preserve"> J</w:t>
      </w:r>
      <w:r w:rsidR="002915AC">
        <w:rPr>
          <w:b w:val="0"/>
        </w:rPr>
        <w:t>.</w:t>
      </w:r>
      <w:r w:rsidR="002915AC" w:rsidRPr="002915AC">
        <w:rPr>
          <w:b w:val="0"/>
        </w:rPr>
        <w:t>S</w:t>
      </w:r>
      <w:r w:rsidR="002915AC">
        <w:rPr>
          <w:b w:val="0"/>
        </w:rPr>
        <w:t xml:space="preserve">.; </w:t>
      </w:r>
      <w:r w:rsidRPr="0003340F">
        <w:rPr>
          <w:b w:val="0"/>
        </w:rPr>
        <w:t xml:space="preserve">et al. A multicenter, randomized, controlled trial of dexamethasone for bronchiolitis. </w:t>
      </w:r>
      <w:r w:rsidRPr="00A02919">
        <w:rPr>
          <w:b w:val="0"/>
          <w:i/>
        </w:rPr>
        <w:t>N</w:t>
      </w:r>
      <w:r w:rsidR="00A02919">
        <w:rPr>
          <w:b w:val="0"/>
          <w:i/>
        </w:rPr>
        <w:t>.</w:t>
      </w:r>
      <w:r w:rsidRPr="00A02919">
        <w:rPr>
          <w:b w:val="0"/>
          <w:i/>
        </w:rPr>
        <w:t xml:space="preserve"> Engl</w:t>
      </w:r>
      <w:r w:rsidR="00A02919">
        <w:rPr>
          <w:b w:val="0"/>
          <w:i/>
        </w:rPr>
        <w:t>.</w:t>
      </w:r>
      <w:r w:rsidRPr="00A02919">
        <w:rPr>
          <w:b w:val="0"/>
          <w:i/>
        </w:rPr>
        <w:t xml:space="preserve"> J</w:t>
      </w:r>
      <w:r w:rsidR="00A02919">
        <w:rPr>
          <w:b w:val="0"/>
          <w:i/>
        </w:rPr>
        <w:t>.</w:t>
      </w:r>
      <w:r w:rsidRPr="00A02919">
        <w:rPr>
          <w:b w:val="0"/>
          <w:i/>
        </w:rPr>
        <w:t xml:space="preserve"> Med.</w:t>
      </w:r>
      <w:r w:rsidRPr="0003340F">
        <w:rPr>
          <w:b w:val="0"/>
        </w:rPr>
        <w:t xml:space="preserve"> </w:t>
      </w:r>
      <w:r w:rsidRPr="00A02919">
        <w:t>2007</w:t>
      </w:r>
      <w:r w:rsidRPr="0003340F">
        <w:rPr>
          <w:b w:val="0"/>
        </w:rPr>
        <w:t>; 357:331-</w:t>
      </w:r>
      <w:r w:rsidR="00A02919">
        <w:rPr>
          <w:b w:val="0"/>
        </w:rPr>
        <w:t>33</w:t>
      </w:r>
      <w:r w:rsidRPr="0003340F">
        <w:rPr>
          <w:b w:val="0"/>
        </w:rPr>
        <w:t xml:space="preserve">9. </w:t>
      </w:r>
    </w:p>
    <w:p w:rsidR="0003340F" w:rsidRPr="0003340F" w:rsidRDefault="0003340F" w:rsidP="0003340F">
      <w:pPr>
        <w:pStyle w:val="MDPI21heading1"/>
        <w:spacing w:before="0" w:after="0"/>
        <w:ind w:left="200" w:hangingChars="100" w:hanging="200"/>
        <w:jc w:val="both"/>
        <w:rPr>
          <w:b w:val="0"/>
          <w:lang w:val="fr-FR"/>
        </w:rPr>
      </w:pPr>
      <w:r w:rsidRPr="0003340F">
        <w:rPr>
          <w:b w:val="0"/>
        </w:rPr>
        <w:t>4</w:t>
      </w:r>
      <w:r w:rsidR="003A48D2">
        <w:rPr>
          <w:b w:val="0"/>
        </w:rPr>
        <w:t>8</w:t>
      </w:r>
      <w:r w:rsidRPr="0003340F">
        <w:rPr>
          <w:b w:val="0"/>
        </w:rPr>
        <w:t>. Ioannidis</w:t>
      </w:r>
      <w:r w:rsidR="002915AC">
        <w:rPr>
          <w:b w:val="0"/>
        </w:rPr>
        <w:t>,</w:t>
      </w:r>
      <w:r w:rsidRPr="0003340F">
        <w:rPr>
          <w:b w:val="0"/>
        </w:rPr>
        <w:t xml:space="preserve"> J</w:t>
      </w:r>
      <w:r w:rsidR="002915AC">
        <w:rPr>
          <w:b w:val="0"/>
        </w:rPr>
        <w:t>.</w:t>
      </w:r>
      <w:r w:rsidRPr="0003340F">
        <w:rPr>
          <w:b w:val="0"/>
        </w:rPr>
        <w:t xml:space="preserve">P. The Mass Production of Redundant, Misleading, and Conflicted Systematic Reviews and Meta-analyses. </w:t>
      </w:r>
      <w:proofErr w:type="spellStart"/>
      <w:r w:rsidRPr="00A02919">
        <w:rPr>
          <w:b w:val="0"/>
          <w:i/>
          <w:lang w:val="fr-FR"/>
        </w:rPr>
        <w:t>Milbank</w:t>
      </w:r>
      <w:proofErr w:type="spellEnd"/>
      <w:r w:rsidR="00A02919">
        <w:rPr>
          <w:b w:val="0"/>
          <w:i/>
          <w:lang w:val="fr-FR"/>
        </w:rPr>
        <w:t>.</w:t>
      </w:r>
      <w:r w:rsidRPr="00A02919">
        <w:rPr>
          <w:b w:val="0"/>
          <w:i/>
          <w:lang w:val="fr-FR"/>
        </w:rPr>
        <w:t xml:space="preserve"> Q</w:t>
      </w:r>
      <w:r w:rsidR="00A02919" w:rsidRPr="00A02919">
        <w:rPr>
          <w:b w:val="0"/>
          <w:i/>
          <w:lang w:val="fr-FR"/>
        </w:rPr>
        <w:t>.</w:t>
      </w:r>
      <w:r w:rsidRPr="0003340F">
        <w:rPr>
          <w:b w:val="0"/>
          <w:lang w:val="fr-FR"/>
        </w:rPr>
        <w:t xml:space="preserve"> </w:t>
      </w:r>
      <w:proofErr w:type="gramStart"/>
      <w:r w:rsidRPr="00A02919">
        <w:rPr>
          <w:lang w:val="fr-FR"/>
        </w:rPr>
        <w:t>2016</w:t>
      </w:r>
      <w:r w:rsidRPr="0003340F">
        <w:rPr>
          <w:b w:val="0"/>
          <w:lang w:val="fr-FR"/>
        </w:rPr>
        <w:t>;</w:t>
      </w:r>
      <w:proofErr w:type="gramEnd"/>
      <w:r w:rsidRPr="0003340F">
        <w:rPr>
          <w:b w:val="0"/>
          <w:lang w:val="fr-FR"/>
        </w:rPr>
        <w:t xml:space="preserve">94:485-514. </w:t>
      </w:r>
    </w:p>
    <w:p w:rsidR="0003340F" w:rsidRPr="0003340F" w:rsidRDefault="0003340F" w:rsidP="0003340F">
      <w:pPr>
        <w:pStyle w:val="MDPI21heading1"/>
        <w:spacing w:before="0" w:after="0"/>
        <w:ind w:left="200" w:hangingChars="100" w:hanging="200"/>
        <w:jc w:val="both"/>
        <w:rPr>
          <w:b w:val="0"/>
          <w:lang w:val="fr-FR"/>
        </w:rPr>
      </w:pPr>
      <w:r w:rsidRPr="0003340F">
        <w:rPr>
          <w:b w:val="0"/>
          <w:lang w:val="fr-FR"/>
        </w:rPr>
        <w:t>4</w:t>
      </w:r>
      <w:r w:rsidR="003A48D2">
        <w:rPr>
          <w:b w:val="0"/>
          <w:lang w:val="fr-FR"/>
        </w:rPr>
        <w:t>9</w:t>
      </w:r>
      <w:r w:rsidRPr="0003340F">
        <w:rPr>
          <w:b w:val="0"/>
          <w:lang w:val="fr-FR"/>
        </w:rPr>
        <w:t>. Lee</w:t>
      </w:r>
      <w:r w:rsidR="005B0879">
        <w:rPr>
          <w:b w:val="0"/>
          <w:lang w:val="fr-FR"/>
        </w:rPr>
        <w:t>,</w:t>
      </w:r>
      <w:r w:rsidRPr="0003340F">
        <w:rPr>
          <w:b w:val="0"/>
          <w:lang w:val="fr-FR"/>
        </w:rPr>
        <w:t xml:space="preserve"> N</w:t>
      </w:r>
      <w:r w:rsidR="005B0879">
        <w:rPr>
          <w:b w:val="0"/>
          <w:lang w:val="fr-FR"/>
        </w:rPr>
        <w:t>. ;</w:t>
      </w:r>
      <w:r w:rsidRPr="0003340F">
        <w:rPr>
          <w:b w:val="0"/>
          <w:lang w:val="fr-FR"/>
        </w:rPr>
        <w:t xml:space="preserve"> Allen</w:t>
      </w:r>
      <w:r w:rsidR="005B0879">
        <w:rPr>
          <w:b w:val="0"/>
          <w:lang w:val="fr-FR"/>
        </w:rPr>
        <w:t>,</w:t>
      </w:r>
      <w:r w:rsidRPr="0003340F">
        <w:rPr>
          <w:b w:val="0"/>
          <w:lang w:val="fr-FR"/>
        </w:rPr>
        <w:t xml:space="preserve"> Chan</w:t>
      </w:r>
      <w:r w:rsidR="005B0879">
        <w:rPr>
          <w:b w:val="0"/>
          <w:lang w:val="fr-FR"/>
        </w:rPr>
        <w:t>,</w:t>
      </w:r>
      <w:r w:rsidRPr="0003340F">
        <w:rPr>
          <w:b w:val="0"/>
          <w:lang w:val="fr-FR"/>
        </w:rPr>
        <w:t xml:space="preserve"> K</w:t>
      </w:r>
      <w:r w:rsidR="005B0879">
        <w:rPr>
          <w:b w:val="0"/>
          <w:lang w:val="fr-FR"/>
        </w:rPr>
        <w:t>.</w:t>
      </w:r>
      <w:r w:rsidRPr="0003340F">
        <w:rPr>
          <w:b w:val="0"/>
          <w:lang w:val="fr-FR"/>
        </w:rPr>
        <w:t>C</w:t>
      </w:r>
      <w:r w:rsidR="005B0879">
        <w:rPr>
          <w:b w:val="0"/>
          <w:lang w:val="fr-FR"/>
        </w:rPr>
        <w:t>. ;</w:t>
      </w:r>
      <w:r w:rsidRPr="0003340F">
        <w:rPr>
          <w:b w:val="0"/>
          <w:lang w:val="fr-FR"/>
        </w:rPr>
        <w:t xml:space="preserve"> Hui</w:t>
      </w:r>
      <w:r w:rsidR="005B0879">
        <w:rPr>
          <w:b w:val="0"/>
          <w:lang w:val="fr-FR"/>
        </w:rPr>
        <w:t>,</w:t>
      </w:r>
      <w:r w:rsidRPr="0003340F">
        <w:rPr>
          <w:b w:val="0"/>
          <w:lang w:val="fr-FR"/>
        </w:rPr>
        <w:t xml:space="preserve"> D</w:t>
      </w:r>
      <w:r w:rsidR="005B0879">
        <w:rPr>
          <w:b w:val="0"/>
          <w:lang w:val="fr-FR"/>
        </w:rPr>
        <w:t>.</w:t>
      </w:r>
      <w:r w:rsidRPr="0003340F">
        <w:rPr>
          <w:b w:val="0"/>
          <w:lang w:val="fr-FR"/>
        </w:rPr>
        <w:t>S</w:t>
      </w:r>
      <w:r w:rsidR="005B0879">
        <w:rPr>
          <w:b w:val="0"/>
          <w:lang w:val="fr-FR"/>
        </w:rPr>
        <w:t>. ;</w:t>
      </w:r>
      <w:r w:rsidRPr="0003340F">
        <w:rPr>
          <w:b w:val="0"/>
          <w:lang w:val="fr-FR"/>
        </w:rPr>
        <w:t xml:space="preserve"> </w:t>
      </w:r>
      <w:proofErr w:type="spellStart"/>
      <w:r w:rsidRPr="0003340F">
        <w:rPr>
          <w:b w:val="0"/>
          <w:lang w:val="fr-FR"/>
        </w:rPr>
        <w:t>Ng</w:t>
      </w:r>
      <w:proofErr w:type="spellEnd"/>
      <w:r w:rsidR="005B0879">
        <w:rPr>
          <w:b w:val="0"/>
          <w:lang w:val="fr-FR"/>
        </w:rPr>
        <w:t>,</w:t>
      </w:r>
      <w:r w:rsidRPr="0003340F">
        <w:rPr>
          <w:b w:val="0"/>
          <w:lang w:val="fr-FR"/>
        </w:rPr>
        <w:t xml:space="preserve"> E</w:t>
      </w:r>
      <w:r w:rsidR="005B0879">
        <w:rPr>
          <w:b w:val="0"/>
          <w:lang w:val="fr-FR"/>
        </w:rPr>
        <w:t>.</w:t>
      </w:r>
      <w:r w:rsidRPr="0003340F">
        <w:rPr>
          <w:b w:val="0"/>
          <w:lang w:val="fr-FR"/>
        </w:rPr>
        <w:t>K</w:t>
      </w:r>
      <w:r w:rsidR="005B0879">
        <w:rPr>
          <w:b w:val="0"/>
          <w:lang w:val="fr-FR"/>
        </w:rPr>
        <w:t>. ;</w:t>
      </w:r>
      <w:r w:rsidRPr="0003340F">
        <w:rPr>
          <w:b w:val="0"/>
          <w:lang w:val="fr-FR"/>
        </w:rPr>
        <w:t xml:space="preserve"> Wu</w:t>
      </w:r>
      <w:r w:rsidR="005B0879">
        <w:rPr>
          <w:b w:val="0"/>
          <w:lang w:val="fr-FR"/>
        </w:rPr>
        <w:t>,</w:t>
      </w:r>
      <w:r w:rsidRPr="0003340F">
        <w:rPr>
          <w:b w:val="0"/>
          <w:lang w:val="fr-FR"/>
        </w:rPr>
        <w:t xml:space="preserve"> A</w:t>
      </w:r>
      <w:r w:rsidR="005B0879">
        <w:rPr>
          <w:b w:val="0"/>
          <w:lang w:val="fr-FR"/>
        </w:rPr>
        <w:t>. ;</w:t>
      </w:r>
      <w:r w:rsidRPr="0003340F">
        <w:rPr>
          <w:b w:val="0"/>
          <w:lang w:val="fr-FR"/>
        </w:rPr>
        <w:t xml:space="preserve"> </w:t>
      </w:r>
      <w:r w:rsidR="005B0879" w:rsidRPr="005B0879">
        <w:rPr>
          <w:b w:val="0"/>
          <w:lang w:val="fr-FR"/>
        </w:rPr>
        <w:t>Wong</w:t>
      </w:r>
      <w:r w:rsidR="005B0879">
        <w:rPr>
          <w:b w:val="0"/>
          <w:lang w:val="fr-FR"/>
        </w:rPr>
        <w:t>,</w:t>
      </w:r>
      <w:r w:rsidR="005B0879" w:rsidRPr="005B0879">
        <w:rPr>
          <w:b w:val="0"/>
          <w:lang w:val="fr-FR"/>
        </w:rPr>
        <w:t xml:space="preserve"> V</w:t>
      </w:r>
      <w:r w:rsidR="005B0879">
        <w:rPr>
          <w:b w:val="0"/>
          <w:lang w:val="fr-FR"/>
        </w:rPr>
        <w:t>.</w:t>
      </w:r>
      <w:r w:rsidR="005B0879" w:rsidRPr="005B0879">
        <w:rPr>
          <w:b w:val="0"/>
          <w:lang w:val="fr-FR"/>
        </w:rPr>
        <w:t>W</w:t>
      </w:r>
      <w:r w:rsidR="005B0879">
        <w:rPr>
          <w:b w:val="0"/>
          <w:lang w:val="fr-FR"/>
        </w:rPr>
        <w:t>. ;</w:t>
      </w:r>
      <w:r w:rsidR="005B0879" w:rsidRPr="005B0879">
        <w:rPr>
          <w:b w:val="0"/>
          <w:lang w:val="fr-FR"/>
        </w:rPr>
        <w:t xml:space="preserve"> Chan</w:t>
      </w:r>
      <w:r w:rsidR="005B0879">
        <w:rPr>
          <w:b w:val="0"/>
          <w:lang w:val="fr-FR"/>
        </w:rPr>
        <w:t>,</w:t>
      </w:r>
      <w:r w:rsidR="005B0879" w:rsidRPr="005B0879">
        <w:rPr>
          <w:b w:val="0"/>
          <w:lang w:val="fr-FR"/>
        </w:rPr>
        <w:t xml:space="preserve"> P</w:t>
      </w:r>
      <w:r w:rsidR="005B0879">
        <w:rPr>
          <w:b w:val="0"/>
          <w:lang w:val="fr-FR"/>
        </w:rPr>
        <w:t>.</w:t>
      </w:r>
      <w:r w:rsidR="005B0879" w:rsidRPr="005B0879">
        <w:rPr>
          <w:b w:val="0"/>
          <w:lang w:val="fr-FR"/>
        </w:rPr>
        <w:t>K</w:t>
      </w:r>
      <w:r w:rsidR="005B0879">
        <w:rPr>
          <w:b w:val="0"/>
          <w:lang w:val="fr-FR"/>
        </w:rPr>
        <w:t>. ;</w:t>
      </w:r>
      <w:r w:rsidR="005B0879" w:rsidRPr="005B0879">
        <w:rPr>
          <w:b w:val="0"/>
          <w:lang w:val="fr-FR"/>
        </w:rPr>
        <w:t xml:space="preserve"> Wong</w:t>
      </w:r>
      <w:r w:rsidR="005B0879">
        <w:rPr>
          <w:b w:val="0"/>
          <w:lang w:val="fr-FR"/>
        </w:rPr>
        <w:t>,</w:t>
      </w:r>
      <w:r w:rsidR="005B0879" w:rsidRPr="005B0879">
        <w:rPr>
          <w:b w:val="0"/>
          <w:lang w:val="fr-FR"/>
        </w:rPr>
        <w:t xml:space="preserve"> K</w:t>
      </w:r>
      <w:r w:rsidR="005B0879">
        <w:rPr>
          <w:b w:val="0"/>
          <w:lang w:val="fr-FR"/>
        </w:rPr>
        <w:t>.</w:t>
      </w:r>
      <w:r w:rsidR="005B0879" w:rsidRPr="005B0879">
        <w:rPr>
          <w:b w:val="0"/>
          <w:lang w:val="fr-FR"/>
        </w:rPr>
        <w:t>T</w:t>
      </w:r>
      <w:r w:rsidR="005B0879">
        <w:rPr>
          <w:b w:val="0"/>
          <w:lang w:val="fr-FR"/>
        </w:rPr>
        <w:t>. ;</w:t>
      </w:r>
      <w:r w:rsidR="005B0879" w:rsidRPr="005B0879">
        <w:rPr>
          <w:b w:val="0"/>
          <w:lang w:val="fr-FR"/>
        </w:rPr>
        <w:t xml:space="preserve"> Wong</w:t>
      </w:r>
      <w:r w:rsidR="005B0879">
        <w:rPr>
          <w:b w:val="0"/>
          <w:lang w:val="fr-FR"/>
        </w:rPr>
        <w:t>,</w:t>
      </w:r>
      <w:r w:rsidR="005B0879" w:rsidRPr="005B0879">
        <w:rPr>
          <w:b w:val="0"/>
          <w:lang w:val="fr-FR"/>
        </w:rPr>
        <w:t xml:space="preserve"> E</w:t>
      </w:r>
      <w:r w:rsidR="005B0879">
        <w:rPr>
          <w:b w:val="0"/>
          <w:lang w:val="fr-FR"/>
        </w:rPr>
        <w:t xml:space="preserve">. ; </w:t>
      </w:r>
      <w:r w:rsidRPr="0003340F">
        <w:rPr>
          <w:b w:val="0"/>
          <w:lang w:val="fr-FR"/>
        </w:rPr>
        <w:t xml:space="preserve">et al. </w:t>
      </w:r>
      <w:proofErr w:type="spellStart"/>
      <w:r w:rsidRPr="0003340F">
        <w:rPr>
          <w:b w:val="0"/>
          <w:lang w:val="fr-FR"/>
        </w:rPr>
        <w:t>Effects</w:t>
      </w:r>
      <w:proofErr w:type="spellEnd"/>
      <w:r w:rsidRPr="0003340F">
        <w:rPr>
          <w:b w:val="0"/>
          <w:lang w:val="fr-FR"/>
        </w:rPr>
        <w:t xml:space="preserve"> of </w:t>
      </w:r>
      <w:proofErr w:type="spellStart"/>
      <w:r w:rsidRPr="0003340F">
        <w:rPr>
          <w:b w:val="0"/>
          <w:lang w:val="fr-FR"/>
        </w:rPr>
        <w:t>early</w:t>
      </w:r>
      <w:proofErr w:type="spellEnd"/>
      <w:r w:rsidRPr="0003340F">
        <w:rPr>
          <w:b w:val="0"/>
          <w:lang w:val="fr-FR"/>
        </w:rPr>
        <w:t xml:space="preserve"> </w:t>
      </w:r>
      <w:proofErr w:type="spellStart"/>
      <w:r w:rsidRPr="0003340F">
        <w:rPr>
          <w:b w:val="0"/>
          <w:lang w:val="fr-FR"/>
        </w:rPr>
        <w:t>corticosteroid</w:t>
      </w:r>
      <w:proofErr w:type="spellEnd"/>
      <w:r w:rsidRPr="0003340F">
        <w:rPr>
          <w:b w:val="0"/>
          <w:lang w:val="fr-FR"/>
        </w:rPr>
        <w:t xml:space="preserve"> </w:t>
      </w:r>
      <w:proofErr w:type="spellStart"/>
      <w:r w:rsidRPr="0003340F">
        <w:rPr>
          <w:b w:val="0"/>
          <w:lang w:val="fr-FR"/>
        </w:rPr>
        <w:t>treatment</w:t>
      </w:r>
      <w:proofErr w:type="spellEnd"/>
      <w:r w:rsidRPr="0003340F">
        <w:rPr>
          <w:b w:val="0"/>
          <w:lang w:val="fr-FR"/>
        </w:rPr>
        <w:t xml:space="preserve"> on plasma SARS-</w:t>
      </w:r>
      <w:proofErr w:type="spellStart"/>
      <w:r w:rsidRPr="0003340F">
        <w:rPr>
          <w:b w:val="0"/>
          <w:lang w:val="fr-FR"/>
        </w:rPr>
        <w:t>associated</w:t>
      </w:r>
      <w:proofErr w:type="spellEnd"/>
      <w:r w:rsidRPr="0003340F">
        <w:rPr>
          <w:b w:val="0"/>
          <w:lang w:val="fr-FR"/>
        </w:rPr>
        <w:t xml:space="preserve"> Coronavirus RNA concentrations in </w:t>
      </w:r>
      <w:proofErr w:type="spellStart"/>
      <w:r w:rsidRPr="0003340F">
        <w:rPr>
          <w:b w:val="0"/>
          <w:lang w:val="fr-FR"/>
        </w:rPr>
        <w:t>adult</w:t>
      </w:r>
      <w:proofErr w:type="spellEnd"/>
      <w:r w:rsidRPr="0003340F">
        <w:rPr>
          <w:b w:val="0"/>
          <w:lang w:val="fr-FR"/>
        </w:rPr>
        <w:t xml:space="preserve"> patients. </w:t>
      </w:r>
      <w:r w:rsidRPr="00A02919">
        <w:rPr>
          <w:b w:val="0"/>
          <w:i/>
          <w:lang w:val="fr-FR"/>
        </w:rPr>
        <w:t>J</w:t>
      </w:r>
      <w:r w:rsidR="00A02919">
        <w:rPr>
          <w:b w:val="0"/>
          <w:i/>
          <w:lang w:val="fr-FR"/>
        </w:rPr>
        <w:t>.</w:t>
      </w:r>
      <w:r w:rsidRPr="00A02919">
        <w:rPr>
          <w:b w:val="0"/>
          <w:i/>
          <w:lang w:val="fr-FR"/>
        </w:rPr>
        <w:t xml:space="preserve"> Clin</w:t>
      </w:r>
      <w:r w:rsidR="00A02919">
        <w:rPr>
          <w:b w:val="0"/>
          <w:i/>
          <w:lang w:val="fr-FR"/>
        </w:rPr>
        <w:t>.</w:t>
      </w:r>
      <w:r w:rsidRPr="00A02919">
        <w:rPr>
          <w:b w:val="0"/>
          <w:i/>
          <w:lang w:val="fr-FR"/>
        </w:rPr>
        <w:t xml:space="preserve"> </w:t>
      </w:r>
      <w:proofErr w:type="spellStart"/>
      <w:r w:rsidRPr="00A02919">
        <w:rPr>
          <w:b w:val="0"/>
          <w:i/>
          <w:lang w:val="fr-FR"/>
        </w:rPr>
        <w:t>Virol</w:t>
      </w:r>
      <w:proofErr w:type="spellEnd"/>
      <w:r w:rsidR="00A02919">
        <w:rPr>
          <w:b w:val="0"/>
          <w:i/>
          <w:lang w:val="fr-FR"/>
        </w:rPr>
        <w:t>.</w:t>
      </w:r>
      <w:r w:rsidRPr="0003340F">
        <w:rPr>
          <w:b w:val="0"/>
          <w:lang w:val="fr-FR"/>
        </w:rPr>
        <w:t xml:space="preserve"> </w:t>
      </w:r>
      <w:proofErr w:type="gramStart"/>
      <w:r w:rsidRPr="00A02919">
        <w:rPr>
          <w:lang w:val="fr-FR"/>
        </w:rPr>
        <w:t>2004</w:t>
      </w:r>
      <w:r w:rsidRPr="0003340F">
        <w:rPr>
          <w:b w:val="0"/>
          <w:lang w:val="fr-FR"/>
        </w:rPr>
        <w:t>;</w:t>
      </w:r>
      <w:proofErr w:type="gramEnd"/>
      <w:r w:rsidRPr="0003340F">
        <w:rPr>
          <w:b w:val="0"/>
          <w:lang w:val="fr-FR"/>
        </w:rPr>
        <w:t xml:space="preserve"> 31: 304–</w:t>
      </w:r>
      <w:r w:rsidR="00A02919">
        <w:rPr>
          <w:b w:val="0"/>
          <w:lang w:val="fr-FR"/>
        </w:rPr>
        <w:t>30</w:t>
      </w:r>
      <w:r w:rsidRPr="0003340F">
        <w:rPr>
          <w:b w:val="0"/>
          <w:lang w:val="fr-FR"/>
        </w:rPr>
        <w:t xml:space="preserve">9. </w:t>
      </w:r>
    </w:p>
    <w:p w:rsidR="0003340F" w:rsidRPr="0003340F" w:rsidRDefault="003A48D2" w:rsidP="0003340F">
      <w:pPr>
        <w:pStyle w:val="MDPI21heading1"/>
        <w:spacing w:before="0" w:after="0"/>
        <w:ind w:left="200" w:hangingChars="100" w:hanging="200"/>
        <w:jc w:val="both"/>
        <w:rPr>
          <w:b w:val="0"/>
        </w:rPr>
      </w:pPr>
      <w:r>
        <w:rPr>
          <w:b w:val="0"/>
          <w:lang w:val="fr-FR"/>
        </w:rPr>
        <w:t>50</w:t>
      </w:r>
      <w:r w:rsidR="0003340F" w:rsidRPr="0003340F">
        <w:rPr>
          <w:b w:val="0"/>
          <w:lang w:val="fr-FR"/>
        </w:rPr>
        <w:t>. Shang</w:t>
      </w:r>
      <w:r w:rsidR="005B0879">
        <w:rPr>
          <w:b w:val="0"/>
          <w:lang w:val="fr-FR"/>
        </w:rPr>
        <w:t>,</w:t>
      </w:r>
      <w:r w:rsidR="0003340F" w:rsidRPr="0003340F">
        <w:rPr>
          <w:b w:val="0"/>
          <w:lang w:val="fr-FR"/>
        </w:rPr>
        <w:t xml:space="preserve"> L</w:t>
      </w:r>
      <w:r w:rsidR="005B0879">
        <w:rPr>
          <w:b w:val="0"/>
          <w:lang w:val="fr-FR"/>
        </w:rPr>
        <w:t>. ;</w:t>
      </w:r>
      <w:r w:rsidR="0003340F" w:rsidRPr="0003340F">
        <w:rPr>
          <w:b w:val="0"/>
          <w:lang w:val="fr-FR"/>
        </w:rPr>
        <w:t xml:space="preserve"> Zhao</w:t>
      </w:r>
      <w:r w:rsidR="005B0879">
        <w:rPr>
          <w:b w:val="0"/>
          <w:lang w:val="fr-FR"/>
        </w:rPr>
        <w:t>,</w:t>
      </w:r>
      <w:r w:rsidR="0003340F" w:rsidRPr="0003340F">
        <w:rPr>
          <w:b w:val="0"/>
          <w:lang w:val="fr-FR"/>
        </w:rPr>
        <w:t xml:space="preserve"> J</w:t>
      </w:r>
      <w:r w:rsidR="005B0879">
        <w:rPr>
          <w:b w:val="0"/>
          <w:lang w:val="fr-FR"/>
        </w:rPr>
        <w:t>. ;</w:t>
      </w:r>
      <w:r w:rsidR="0003340F" w:rsidRPr="0003340F">
        <w:rPr>
          <w:b w:val="0"/>
          <w:lang w:val="fr-FR"/>
        </w:rPr>
        <w:t xml:space="preserve"> Hu</w:t>
      </w:r>
      <w:r w:rsidR="005B0879">
        <w:rPr>
          <w:b w:val="0"/>
          <w:lang w:val="fr-FR"/>
        </w:rPr>
        <w:t>,</w:t>
      </w:r>
      <w:r w:rsidR="0003340F" w:rsidRPr="0003340F">
        <w:rPr>
          <w:b w:val="0"/>
          <w:lang w:val="fr-FR"/>
        </w:rPr>
        <w:t xml:space="preserve"> Y</w:t>
      </w:r>
      <w:r w:rsidR="005B0879">
        <w:rPr>
          <w:b w:val="0"/>
          <w:lang w:val="fr-FR"/>
        </w:rPr>
        <w:t>. ;</w:t>
      </w:r>
      <w:r w:rsidR="0003340F" w:rsidRPr="0003340F">
        <w:rPr>
          <w:b w:val="0"/>
          <w:lang w:val="fr-FR"/>
        </w:rPr>
        <w:t xml:space="preserve"> Du</w:t>
      </w:r>
      <w:r w:rsidR="005B0879">
        <w:rPr>
          <w:b w:val="0"/>
          <w:lang w:val="fr-FR"/>
        </w:rPr>
        <w:t>,</w:t>
      </w:r>
      <w:r w:rsidR="0003340F" w:rsidRPr="0003340F">
        <w:rPr>
          <w:b w:val="0"/>
          <w:lang w:val="fr-FR"/>
        </w:rPr>
        <w:t xml:space="preserve"> R</w:t>
      </w:r>
      <w:r w:rsidR="005B0879">
        <w:rPr>
          <w:b w:val="0"/>
          <w:lang w:val="fr-FR"/>
        </w:rPr>
        <w:t>. ;</w:t>
      </w:r>
      <w:r w:rsidR="0003340F" w:rsidRPr="0003340F">
        <w:rPr>
          <w:b w:val="0"/>
          <w:lang w:val="fr-FR"/>
        </w:rPr>
        <w:t xml:space="preserve"> Cao</w:t>
      </w:r>
      <w:r w:rsidR="005B0879">
        <w:rPr>
          <w:b w:val="0"/>
          <w:lang w:val="fr-FR"/>
        </w:rPr>
        <w:t>,</w:t>
      </w:r>
      <w:r w:rsidR="0003340F" w:rsidRPr="0003340F">
        <w:rPr>
          <w:b w:val="0"/>
          <w:lang w:val="fr-FR"/>
        </w:rPr>
        <w:t xml:space="preserve"> B. </w:t>
      </w:r>
      <w:r w:rsidR="0003340F" w:rsidRPr="0003340F">
        <w:rPr>
          <w:b w:val="0"/>
        </w:rPr>
        <w:t xml:space="preserve">On the use of corticosteroids for 2019-nCoV pneumonia. </w:t>
      </w:r>
      <w:r w:rsidR="0003340F" w:rsidRPr="00A02919">
        <w:rPr>
          <w:b w:val="0"/>
          <w:i/>
        </w:rPr>
        <w:t>Lancet</w:t>
      </w:r>
      <w:r w:rsidR="00A02919">
        <w:rPr>
          <w:b w:val="0"/>
          <w:i/>
        </w:rPr>
        <w:t>.</w:t>
      </w:r>
      <w:r w:rsidR="0003340F" w:rsidRPr="0003340F">
        <w:rPr>
          <w:b w:val="0"/>
        </w:rPr>
        <w:t xml:space="preserve"> </w:t>
      </w:r>
      <w:r w:rsidR="0003340F" w:rsidRPr="00A02919">
        <w:t>2020</w:t>
      </w:r>
      <w:r w:rsidR="0003340F" w:rsidRPr="0003340F">
        <w:rPr>
          <w:b w:val="0"/>
        </w:rPr>
        <w:t>; 395:683-</w:t>
      </w:r>
      <w:r w:rsidR="00A02919">
        <w:rPr>
          <w:b w:val="0"/>
        </w:rPr>
        <w:t>68</w:t>
      </w:r>
      <w:r w:rsidR="0003340F" w:rsidRPr="0003340F">
        <w:rPr>
          <w:b w:val="0"/>
        </w:rPr>
        <w:t xml:space="preserve">4. </w:t>
      </w:r>
    </w:p>
    <w:p w:rsidR="0003340F" w:rsidRPr="0003340F" w:rsidRDefault="003A48D2" w:rsidP="0003340F">
      <w:pPr>
        <w:pStyle w:val="MDPI21heading1"/>
        <w:spacing w:before="0" w:after="0"/>
        <w:ind w:left="200" w:hangingChars="100" w:hanging="200"/>
        <w:jc w:val="both"/>
        <w:rPr>
          <w:b w:val="0"/>
        </w:rPr>
      </w:pPr>
      <w:r>
        <w:rPr>
          <w:b w:val="0"/>
        </w:rPr>
        <w:t>51</w:t>
      </w:r>
      <w:r w:rsidR="0003340F" w:rsidRPr="0003340F">
        <w:rPr>
          <w:b w:val="0"/>
        </w:rPr>
        <w:t>. Russell</w:t>
      </w:r>
      <w:r w:rsidR="005B0879">
        <w:rPr>
          <w:b w:val="0"/>
        </w:rPr>
        <w:t>,</w:t>
      </w:r>
      <w:r w:rsidR="0003340F" w:rsidRPr="0003340F">
        <w:rPr>
          <w:b w:val="0"/>
        </w:rPr>
        <w:t xml:space="preserve"> B</w:t>
      </w:r>
      <w:r w:rsidR="005B0879">
        <w:rPr>
          <w:b w:val="0"/>
        </w:rPr>
        <w:t>.;</w:t>
      </w:r>
      <w:r w:rsidR="0003340F" w:rsidRPr="0003340F">
        <w:rPr>
          <w:b w:val="0"/>
        </w:rPr>
        <w:t xml:space="preserve"> Moss</w:t>
      </w:r>
      <w:r w:rsidR="005B0879">
        <w:rPr>
          <w:b w:val="0"/>
        </w:rPr>
        <w:t>,</w:t>
      </w:r>
      <w:r w:rsidR="0003340F" w:rsidRPr="0003340F">
        <w:rPr>
          <w:b w:val="0"/>
        </w:rPr>
        <w:t xml:space="preserve"> C</w:t>
      </w:r>
      <w:r w:rsidR="005B0879">
        <w:rPr>
          <w:b w:val="0"/>
        </w:rPr>
        <w:t>.;</w:t>
      </w:r>
      <w:r w:rsidR="0003340F" w:rsidRPr="0003340F">
        <w:rPr>
          <w:b w:val="0"/>
        </w:rPr>
        <w:t xml:space="preserve"> George</w:t>
      </w:r>
      <w:r w:rsidR="005B0879">
        <w:rPr>
          <w:b w:val="0"/>
        </w:rPr>
        <w:t>,</w:t>
      </w:r>
      <w:r w:rsidR="0003340F" w:rsidRPr="0003340F">
        <w:rPr>
          <w:b w:val="0"/>
        </w:rPr>
        <w:t xml:space="preserve"> G</w:t>
      </w:r>
      <w:r w:rsidR="005B0879">
        <w:rPr>
          <w:b w:val="0"/>
        </w:rPr>
        <w:t>.;</w:t>
      </w:r>
      <w:r w:rsidR="0003340F" w:rsidRPr="0003340F">
        <w:rPr>
          <w:b w:val="0"/>
        </w:rPr>
        <w:t xml:space="preserve"> </w:t>
      </w:r>
      <w:proofErr w:type="spellStart"/>
      <w:r w:rsidR="0003340F" w:rsidRPr="0003340F">
        <w:rPr>
          <w:b w:val="0"/>
        </w:rPr>
        <w:t>Santaolalla</w:t>
      </w:r>
      <w:proofErr w:type="spellEnd"/>
      <w:r w:rsidR="005B0879">
        <w:rPr>
          <w:b w:val="0"/>
        </w:rPr>
        <w:t>,</w:t>
      </w:r>
      <w:r w:rsidR="0003340F" w:rsidRPr="0003340F">
        <w:rPr>
          <w:b w:val="0"/>
        </w:rPr>
        <w:t xml:space="preserve"> A</w:t>
      </w:r>
      <w:r w:rsidR="005B0879">
        <w:rPr>
          <w:b w:val="0"/>
        </w:rPr>
        <w:t>.;</w:t>
      </w:r>
      <w:r w:rsidR="0003340F" w:rsidRPr="0003340F">
        <w:rPr>
          <w:b w:val="0"/>
        </w:rPr>
        <w:t xml:space="preserve"> Cope</w:t>
      </w:r>
      <w:r w:rsidR="005B0879">
        <w:rPr>
          <w:b w:val="0"/>
        </w:rPr>
        <w:t>,</w:t>
      </w:r>
      <w:r w:rsidR="0003340F" w:rsidRPr="0003340F">
        <w:rPr>
          <w:b w:val="0"/>
        </w:rPr>
        <w:t xml:space="preserve"> A</w:t>
      </w:r>
      <w:r w:rsidR="005B0879">
        <w:rPr>
          <w:b w:val="0"/>
        </w:rPr>
        <w:t>.;</w:t>
      </w:r>
      <w:r w:rsidR="0003340F" w:rsidRPr="0003340F">
        <w:rPr>
          <w:b w:val="0"/>
        </w:rPr>
        <w:t xml:space="preserve"> Papa</w:t>
      </w:r>
      <w:r w:rsidR="005B0879">
        <w:rPr>
          <w:b w:val="0"/>
        </w:rPr>
        <w:t>,</w:t>
      </w:r>
      <w:r w:rsidR="0003340F" w:rsidRPr="0003340F">
        <w:rPr>
          <w:b w:val="0"/>
        </w:rPr>
        <w:t xml:space="preserve"> S</w:t>
      </w:r>
      <w:r w:rsidR="005B0879">
        <w:rPr>
          <w:b w:val="0"/>
        </w:rPr>
        <w:t>.;</w:t>
      </w:r>
      <w:r w:rsidR="0003340F" w:rsidRPr="0003340F">
        <w:rPr>
          <w:b w:val="0"/>
        </w:rPr>
        <w:t xml:space="preserve"> </w:t>
      </w:r>
      <w:r w:rsidR="005B0879">
        <w:rPr>
          <w:b w:val="0"/>
        </w:rPr>
        <w:t xml:space="preserve">Van, </w:t>
      </w:r>
      <w:proofErr w:type="spellStart"/>
      <w:r w:rsidR="005B0879">
        <w:rPr>
          <w:b w:val="0"/>
        </w:rPr>
        <w:t>Hemelrijck</w:t>
      </w:r>
      <w:proofErr w:type="spellEnd"/>
      <w:r w:rsidR="005B0879">
        <w:rPr>
          <w:b w:val="0"/>
        </w:rPr>
        <w:t>, M</w:t>
      </w:r>
      <w:r w:rsidR="0003340F" w:rsidRPr="0003340F">
        <w:rPr>
          <w:b w:val="0"/>
        </w:rPr>
        <w:t xml:space="preserve">. Associations between immune-suppressive and stimulating drugs and novel Covid-19 – a systematic review of current evidence. </w:t>
      </w:r>
      <w:proofErr w:type="spellStart"/>
      <w:r w:rsidR="0003340F" w:rsidRPr="00A02919">
        <w:rPr>
          <w:b w:val="0"/>
          <w:i/>
        </w:rPr>
        <w:t>Ecancermedicalscience</w:t>
      </w:r>
      <w:proofErr w:type="spellEnd"/>
      <w:r w:rsidR="00A02919">
        <w:rPr>
          <w:b w:val="0"/>
          <w:i/>
        </w:rPr>
        <w:t>.</w:t>
      </w:r>
      <w:r w:rsidR="0003340F" w:rsidRPr="0003340F">
        <w:rPr>
          <w:b w:val="0"/>
        </w:rPr>
        <w:t xml:space="preserve"> </w:t>
      </w:r>
      <w:r w:rsidR="0003340F" w:rsidRPr="00A02919">
        <w:t>2020</w:t>
      </w:r>
      <w:r w:rsidR="0003340F" w:rsidRPr="0003340F">
        <w:rPr>
          <w:b w:val="0"/>
        </w:rPr>
        <w:t xml:space="preserve">;14:1022. </w:t>
      </w:r>
    </w:p>
    <w:p w:rsidR="0003340F" w:rsidRPr="0003340F" w:rsidRDefault="0003340F" w:rsidP="0003340F">
      <w:pPr>
        <w:pStyle w:val="MDPI21heading1"/>
        <w:spacing w:before="0" w:after="0"/>
        <w:ind w:left="200" w:hangingChars="100" w:hanging="200"/>
        <w:jc w:val="both"/>
        <w:rPr>
          <w:b w:val="0"/>
        </w:rPr>
      </w:pPr>
      <w:r w:rsidRPr="0003340F">
        <w:rPr>
          <w:b w:val="0"/>
        </w:rPr>
        <w:t>5</w:t>
      </w:r>
      <w:r w:rsidR="003A48D2">
        <w:rPr>
          <w:b w:val="0"/>
        </w:rPr>
        <w:t>2</w:t>
      </w:r>
      <w:r w:rsidRPr="0003340F">
        <w:rPr>
          <w:b w:val="0"/>
        </w:rPr>
        <w:t>. Russell</w:t>
      </w:r>
      <w:r w:rsidR="005B0879">
        <w:rPr>
          <w:b w:val="0"/>
        </w:rPr>
        <w:t>,</w:t>
      </w:r>
      <w:r w:rsidRPr="0003340F">
        <w:rPr>
          <w:b w:val="0"/>
        </w:rPr>
        <w:t xml:space="preserve"> B</w:t>
      </w:r>
      <w:r w:rsidR="005B0879">
        <w:rPr>
          <w:b w:val="0"/>
        </w:rPr>
        <w:t>.;</w:t>
      </w:r>
      <w:r w:rsidRPr="0003340F">
        <w:rPr>
          <w:b w:val="0"/>
        </w:rPr>
        <w:t xml:space="preserve"> Moss</w:t>
      </w:r>
      <w:r w:rsidR="005B0879">
        <w:rPr>
          <w:b w:val="0"/>
        </w:rPr>
        <w:t>,</w:t>
      </w:r>
      <w:r w:rsidRPr="0003340F">
        <w:rPr>
          <w:b w:val="0"/>
        </w:rPr>
        <w:t xml:space="preserve"> C</w:t>
      </w:r>
      <w:r w:rsidR="005B0879">
        <w:rPr>
          <w:b w:val="0"/>
        </w:rPr>
        <w:t>.;</w:t>
      </w:r>
      <w:r w:rsidRPr="0003340F">
        <w:rPr>
          <w:b w:val="0"/>
        </w:rPr>
        <w:t xml:space="preserve"> Rigg</w:t>
      </w:r>
      <w:r w:rsidR="005B0879">
        <w:rPr>
          <w:b w:val="0"/>
        </w:rPr>
        <w:t>,</w:t>
      </w:r>
      <w:r w:rsidRPr="0003340F">
        <w:rPr>
          <w:b w:val="0"/>
        </w:rPr>
        <w:t xml:space="preserve"> A</w:t>
      </w:r>
      <w:r w:rsidR="005B0879">
        <w:rPr>
          <w:b w:val="0"/>
        </w:rPr>
        <w:t>.;</w:t>
      </w:r>
      <w:r w:rsidRPr="0003340F">
        <w:rPr>
          <w:b w:val="0"/>
        </w:rPr>
        <w:t xml:space="preserve"> Van</w:t>
      </w:r>
      <w:r w:rsidR="005B0879">
        <w:rPr>
          <w:b w:val="0"/>
        </w:rPr>
        <w:t>,</w:t>
      </w:r>
      <w:r w:rsidRPr="0003340F">
        <w:rPr>
          <w:b w:val="0"/>
        </w:rPr>
        <w:t xml:space="preserve"> </w:t>
      </w:r>
      <w:proofErr w:type="spellStart"/>
      <w:r w:rsidRPr="0003340F">
        <w:rPr>
          <w:b w:val="0"/>
        </w:rPr>
        <w:t>Hemelrijck</w:t>
      </w:r>
      <w:proofErr w:type="spellEnd"/>
      <w:r w:rsidR="005B0879">
        <w:rPr>
          <w:b w:val="0"/>
        </w:rPr>
        <w:t>,</w:t>
      </w:r>
      <w:r w:rsidRPr="0003340F">
        <w:rPr>
          <w:b w:val="0"/>
        </w:rPr>
        <w:t xml:space="preserve"> M. COVID-19 and treatment with NSAIDs and corticosteroids: should we be limiting their use in the clinical setting? </w:t>
      </w:r>
      <w:proofErr w:type="spellStart"/>
      <w:r w:rsidRPr="00A02919">
        <w:rPr>
          <w:b w:val="0"/>
          <w:i/>
        </w:rPr>
        <w:t>Ecancermedicalscience</w:t>
      </w:r>
      <w:proofErr w:type="spellEnd"/>
      <w:r w:rsidR="00A02919">
        <w:rPr>
          <w:b w:val="0"/>
          <w:i/>
        </w:rPr>
        <w:t>.</w:t>
      </w:r>
      <w:r w:rsidRPr="00A02919">
        <w:rPr>
          <w:b w:val="0"/>
          <w:i/>
        </w:rPr>
        <w:t xml:space="preserve"> </w:t>
      </w:r>
      <w:r w:rsidRPr="00A02919">
        <w:t>2020</w:t>
      </w:r>
      <w:r w:rsidRPr="0003340F">
        <w:rPr>
          <w:b w:val="0"/>
        </w:rPr>
        <w:t xml:space="preserve">;14:1023. </w:t>
      </w:r>
    </w:p>
    <w:p w:rsidR="0003340F" w:rsidRPr="0003340F" w:rsidRDefault="0003340F" w:rsidP="0003340F">
      <w:pPr>
        <w:pStyle w:val="MDPI21heading1"/>
        <w:spacing w:before="0" w:after="0"/>
        <w:ind w:left="200" w:hangingChars="100" w:hanging="200"/>
        <w:jc w:val="both"/>
        <w:rPr>
          <w:b w:val="0"/>
        </w:rPr>
      </w:pPr>
      <w:r w:rsidRPr="0003340F">
        <w:rPr>
          <w:b w:val="0"/>
        </w:rPr>
        <w:t>5</w:t>
      </w:r>
      <w:r w:rsidR="003A48D2">
        <w:rPr>
          <w:b w:val="0"/>
        </w:rPr>
        <w:t>3</w:t>
      </w:r>
      <w:r w:rsidRPr="0003340F">
        <w:rPr>
          <w:b w:val="0"/>
        </w:rPr>
        <w:t>. National Health Commission of the People’s Republic of China. The 5th trial version of Diagnosis and Treatment Scheme for Pneumonitis with 2019-nCoV Infection (In Chinese). http://www.nhc.gov.cn/yzygj/s7653p/202002/d4b895337e19445f8d728fcaf1e3e13a.shtml (accessed Mar 25, 2020).</w:t>
      </w:r>
    </w:p>
    <w:p w:rsidR="00EB6CD5" w:rsidRDefault="003A48D2" w:rsidP="00AF6B5F">
      <w:pPr>
        <w:pStyle w:val="MDPI21heading1"/>
        <w:spacing w:before="0" w:after="0"/>
        <w:ind w:left="200" w:hangingChars="100" w:hanging="200"/>
        <w:jc w:val="both"/>
        <w:rPr>
          <w:b w:val="0"/>
        </w:rPr>
      </w:pPr>
      <w:r>
        <w:rPr>
          <w:b w:val="0"/>
        </w:rPr>
        <w:t>54</w:t>
      </w:r>
      <w:r w:rsidR="00CA47D3">
        <w:rPr>
          <w:b w:val="0"/>
        </w:rPr>
        <w:t xml:space="preserve">. </w:t>
      </w:r>
      <w:proofErr w:type="spellStart"/>
      <w:r w:rsidR="00757569" w:rsidRPr="00757569">
        <w:rPr>
          <w:b w:val="0"/>
        </w:rPr>
        <w:t>Horby</w:t>
      </w:r>
      <w:proofErr w:type="spellEnd"/>
      <w:r w:rsidR="00757569">
        <w:rPr>
          <w:b w:val="0"/>
        </w:rPr>
        <w:t xml:space="preserve">, P.; </w:t>
      </w:r>
      <w:r w:rsidR="00757569" w:rsidRPr="00757569">
        <w:rPr>
          <w:b w:val="0"/>
        </w:rPr>
        <w:t>Lim</w:t>
      </w:r>
      <w:r w:rsidR="00757569">
        <w:rPr>
          <w:b w:val="0"/>
        </w:rPr>
        <w:t xml:space="preserve">, WS.; </w:t>
      </w:r>
      <w:proofErr w:type="spellStart"/>
      <w:r w:rsidR="00757569" w:rsidRPr="00757569">
        <w:rPr>
          <w:b w:val="0"/>
        </w:rPr>
        <w:t>Emberson</w:t>
      </w:r>
      <w:proofErr w:type="spellEnd"/>
      <w:r w:rsidR="00757569">
        <w:rPr>
          <w:b w:val="0"/>
        </w:rPr>
        <w:t xml:space="preserve">, J.; </w:t>
      </w:r>
      <w:proofErr w:type="spellStart"/>
      <w:r w:rsidR="00757569" w:rsidRPr="00757569">
        <w:rPr>
          <w:b w:val="0"/>
        </w:rPr>
        <w:t>Mafham</w:t>
      </w:r>
      <w:proofErr w:type="spellEnd"/>
      <w:r w:rsidR="00757569">
        <w:rPr>
          <w:b w:val="0"/>
        </w:rPr>
        <w:t>, MM.;</w:t>
      </w:r>
      <w:r w:rsidR="00757569" w:rsidRPr="00757569">
        <w:rPr>
          <w:b w:val="0"/>
        </w:rPr>
        <w:t xml:space="preserve"> Bell,</w:t>
      </w:r>
      <w:r w:rsidR="00757569">
        <w:rPr>
          <w:b w:val="0"/>
        </w:rPr>
        <w:t xml:space="preserve"> J.; </w:t>
      </w:r>
      <w:proofErr w:type="spellStart"/>
      <w:r w:rsidR="00757569" w:rsidRPr="00757569">
        <w:rPr>
          <w:b w:val="0"/>
        </w:rPr>
        <w:t>Linsell</w:t>
      </w:r>
      <w:proofErr w:type="spellEnd"/>
      <w:r w:rsidR="00757569" w:rsidRPr="00757569">
        <w:rPr>
          <w:b w:val="0"/>
        </w:rPr>
        <w:t>,</w:t>
      </w:r>
      <w:r w:rsidR="00757569">
        <w:rPr>
          <w:b w:val="0"/>
        </w:rPr>
        <w:t xml:space="preserve"> L., </w:t>
      </w:r>
      <w:r w:rsidR="00757569" w:rsidRPr="00757569">
        <w:rPr>
          <w:b w:val="0"/>
        </w:rPr>
        <w:t>RECOVERY Collaborative Group</w:t>
      </w:r>
      <w:r w:rsidR="00757569">
        <w:rPr>
          <w:b w:val="0"/>
        </w:rPr>
        <w:t xml:space="preserve">, et al. </w:t>
      </w:r>
      <w:r w:rsidR="00757569" w:rsidRPr="00757569">
        <w:rPr>
          <w:b w:val="0"/>
        </w:rPr>
        <w:t>Effect of Dexamethasone in Hospitalized Patients with COVID-19: Preliminary Report</w:t>
      </w:r>
      <w:r w:rsidR="00757569">
        <w:rPr>
          <w:b w:val="0"/>
        </w:rPr>
        <w:t xml:space="preserve">. </w:t>
      </w:r>
      <w:r w:rsidR="00757569" w:rsidRPr="00757569">
        <w:rPr>
          <w:b w:val="0"/>
        </w:rPr>
        <w:t xml:space="preserve">Preprint at </w:t>
      </w:r>
      <w:proofErr w:type="spellStart"/>
      <w:r w:rsidR="00757569" w:rsidRPr="00AF6B5F">
        <w:rPr>
          <w:b w:val="0"/>
          <w:i/>
        </w:rPr>
        <w:t>medRxiv</w:t>
      </w:r>
      <w:proofErr w:type="spellEnd"/>
      <w:r w:rsidR="00757569" w:rsidRPr="00AF6B5F">
        <w:rPr>
          <w:b w:val="0"/>
          <w:i/>
        </w:rPr>
        <w:t>.</w:t>
      </w:r>
      <w:r w:rsidR="00757569">
        <w:rPr>
          <w:b w:val="0"/>
        </w:rPr>
        <w:t xml:space="preserve"> 2020: </w:t>
      </w:r>
      <w:r w:rsidR="00EB6CD5" w:rsidRPr="00AF6B5F">
        <w:t>https://doi.org/10.1101/2020.06.22.20137273</w:t>
      </w:r>
      <w:r w:rsidR="00757569" w:rsidRPr="00757569">
        <w:rPr>
          <w:b w:val="0"/>
        </w:rPr>
        <w:t>.</w:t>
      </w:r>
    </w:p>
    <w:p w:rsidR="00EB6CD5" w:rsidRPr="0003340F" w:rsidRDefault="00EB6CD5" w:rsidP="00EB6CD5">
      <w:pPr>
        <w:pStyle w:val="MDPI21heading1"/>
        <w:spacing w:before="0" w:after="0"/>
        <w:ind w:left="200" w:hangingChars="100" w:hanging="200"/>
        <w:jc w:val="both"/>
        <w:rPr>
          <w:b w:val="0"/>
        </w:rPr>
      </w:pPr>
      <w:r>
        <w:rPr>
          <w:b w:val="0"/>
        </w:rPr>
        <w:t xml:space="preserve">55. Villa, J.; </w:t>
      </w:r>
      <w:proofErr w:type="spellStart"/>
      <w:r>
        <w:rPr>
          <w:b w:val="0"/>
        </w:rPr>
        <w:t>Ferrando</w:t>
      </w:r>
      <w:proofErr w:type="spellEnd"/>
      <w:r>
        <w:rPr>
          <w:b w:val="0"/>
        </w:rPr>
        <w:t xml:space="preserve">, C.; </w:t>
      </w:r>
      <w:r w:rsidRPr="00EB6CD5">
        <w:rPr>
          <w:b w:val="0"/>
        </w:rPr>
        <w:t>Martínez</w:t>
      </w:r>
      <w:r>
        <w:rPr>
          <w:b w:val="0"/>
        </w:rPr>
        <w:t xml:space="preserve">, D.; </w:t>
      </w:r>
      <w:proofErr w:type="spellStart"/>
      <w:r w:rsidRPr="00EB6CD5">
        <w:rPr>
          <w:b w:val="0"/>
        </w:rPr>
        <w:t>Ambrós</w:t>
      </w:r>
      <w:proofErr w:type="spellEnd"/>
      <w:r>
        <w:rPr>
          <w:b w:val="0"/>
        </w:rPr>
        <w:t>,</w:t>
      </w:r>
      <w:r w:rsidRPr="00EB6CD5">
        <w:rPr>
          <w:b w:val="0"/>
        </w:rPr>
        <w:t xml:space="preserve"> </w:t>
      </w:r>
      <w:r>
        <w:rPr>
          <w:b w:val="0"/>
        </w:rPr>
        <w:t xml:space="preserve">A.; </w:t>
      </w:r>
      <w:r w:rsidRPr="00EB6CD5">
        <w:rPr>
          <w:b w:val="0"/>
        </w:rPr>
        <w:t>Muñoz</w:t>
      </w:r>
      <w:r>
        <w:rPr>
          <w:b w:val="0"/>
        </w:rPr>
        <w:t>, T.;</w:t>
      </w:r>
      <w:r w:rsidRPr="00EB6CD5">
        <w:rPr>
          <w:b w:val="0"/>
        </w:rPr>
        <w:t xml:space="preserve"> Soler</w:t>
      </w:r>
      <w:r>
        <w:rPr>
          <w:b w:val="0"/>
        </w:rPr>
        <w:t xml:space="preserve">, J., et al. </w:t>
      </w:r>
      <w:r w:rsidRPr="00EB6CD5">
        <w:rPr>
          <w:b w:val="0"/>
        </w:rPr>
        <w:t xml:space="preserve">Dexamethasone Treatment for the Acute Respiratory Distress Syndrome: A </w:t>
      </w:r>
      <w:proofErr w:type="spellStart"/>
      <w:r w:rsidRPr="00EB6CD5">
        <w:rPr>
          <w:b w:val="0"/>
        </w:rPr>
        <w:t>Multicentre</w:t>
      </w:r>
      <w:proofErr w:type="spellEnd"/>
      <w:r w:rsidRPr="00EB6CD5">
        <w:rPr>
          <w:b w:val="0"/>
        </w:rPr>
        <w:t xml:space="preserve">, </w:t>
      </w:r>
      <w:proofErr w:type="spellStart"/>
      <w:r w:rsidRPr="00EB6CD5">
        <w:rPr>
          <w:b w:val="0"/>
        </w:rPr>
        <w:t>Randomised</w:t>
      </w:r>
      <w:proofErr w:type="spellEnd"/>
      <w:r w:rsidRPr="00EB6CD5">
        <w:rPr>
          <w:b w:val="0"/>
        </w:rPr>
        <w:t xml:space="preserve"> Controlled Trial</w:t>
      </w:r>
      <w:r>
        <w:rPr>
          <w:b w:val="0"/>
        </w:rPr>
        <w:t xml:space="preserve">. </w:t>
      </w:r>
      <w:r w:rsidRPr="00AF6B5F">
        <w:rPr>
          <w:b w:val="0"/>
          <w:i/>
        </w:rPr>
        <w:t>Lancet</w:t>
      </w:r>
      <w:r>
        <w:rPr>
          <w:b w:val="0"/>
          <w:i/>
        </w:rPr>
        <w:t>.</w:t>
      </w:r>
      <w:r w:rsidRPr="00AF6B5F">
        <w:rPr>
          <w:b w:val="0"/>
          <w:i/>
        </w:rPr>
        <w:t xml:space="preserve"> Respir</w:t>
      </w:r>
      <w:r>
        <w:rPr>
          <w:b w:val="0"/>
          <w:i/>
        </w:rPr>
        <w:t>.</w:t>
      </w:r>
      <w:r w:rsidRPr="00AF6B5F">
        <w:rPr>
          <w:b w:val="0"/>
          <w:i/>
        </w:rPr>
        <w:t xml:space="preserve"> Med</w:t>
      </w:r>
      <w:r>
        <w:rPr>
          <w:b w:val="0"/>
          <w:i/>
        </w:rPr>
        <w:t>.</w:t>
      </w:r>
      <w:r>
        <w:rPr>
          <w:b w:val="0"/>
        </w:rPr>
        <w:t>2020</w:t>
      </w:r>
      <w:r w:rsidRPr="00EB6CD5">
        <w:rPr>
          <w:b w:val="0"/>
        </w:rPr>
        <w:t>;8:267-276.</w:t>
      </w:r>
    </w:p>
    <w:tbl>
      <w:tblPr>
        <w:tblW w:w="0" w:type="auto"/>
        <w:jc w:val="center"/>
        <w:tblLook w:val="04A0" w:firstRow="1" w:lastRow="0" w:firstColumn="1" w:lastColumn="0" w:noHBand="0" w:noVBand="1"/>
      </w:tblPr>
      <w:tblGrid>
        <w:gridCol w:w="1702"/>
        <w:gridCol w:w="7142"/>
      </w:tblGrid>
      <w:tr w:rsidR="00853B85" w:rsidRPr="00C17D2C" w:rsidTr="0003340F">
        <w:trPr>
          <w:jc w:val="center"/>
        </w:trPr>
        <w:tc>
          <w:tcPr>
            <w:tcW w:w="0" w:type="auto"/>
            <w:shd w:val="clear" w:color="auto" w:fill="auto"/>
            <w:vAlign w:val="center"/>
          </w:tcPr>
          <w:p w:rsidR="00853B85" w:rsidRPr="00C17D2C" w:rsidRDefault="00A96C20" w:rsidP="008D0B41">
            <w:pPr>
              <w:pStyle w:val="MDPI71References"/>
              <w:numPr>
                <w:ilvl w:val="0"/>
                <w:numId w:val="0"/>
              </w:numPr>
              <w:ind w:left="-85"/>
              <w:rPr>
                <w:rFonts w:eastAsia="SimSun"/>
                <w:bCs/>
              </w:rPr>
            </w:pPr>
            <w:r w:rsidRPr="00C17D2C">
              <w:rPr>
                <w:rFonts w:eastAsia="SimSun"/>
                <w:bCs/>
                <w:noProof/>
                <w:lang w:eastAsia="ko-KR" w:bidi="ar-SA"/>
              </w:rPr>
              <w:drawing>
                <wp:inline distT="0" distB="0" distL="0" distR="0">
                  <wp:extent cx="997585" cy="356235"/>
                  <wp:effectExtent l="0" t="0" r="0" b="5715"/>
                  <wp:docPr id="3" name="그림 3" descr="copy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pyRigh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97585" cy="356235"/>
                          </a:xfrm>
                          <a:prstGeom prst="rect">
                            <a:avLst/>
                          </a:prstGeom>
                          <a:noFill/>
                          <a:ln>
                            <a:noFill/>
                          </a:ln>
                        </pic:spPr>
                      </pic:pic>
                    </a:graphicData>
                  </a:graphic>
                </wp:inline>
              </w:drawing>
            </w:r>
          </w:p>
        </w:tc>
        <w:tc>
          <w:tcPr>
            <w:tcW w:w="7142" w:type="dxa"/>
            <w:shd w:val="clear" w:color="auto" w:fill="auto"/>
            <w:vAlign w:val="center"/>
          </w:tcPr>
          <w:p w:rsidR="00853B85" w:rsidRPr="00C17D2C" w:rsidRDefault="00705D61" w:rsidP="000C0FC2">
            <w:pPr>
              <w:pStyle w:val="MDPI71References"/>
              <w:numPr>
                <w:ilvl w:val="0"/>
                <w:numId w:val="0"/>
              </w:numPr>
              <w:ind w:left="-85"/>
              <w:rPr>
                <w:rFonts w:eastAsia="SimSun"/>
                <w:bCs/>
              </w:rPr>
            </w:pPr>
            <w:r>
              <w:rPr>
                <w:rFonts w:eastAsia="SimSun"/>
                <w:bCs/>
              </w:rPr>
              <w:t>© 20</w:t>
            </w:r>
            <w:r w:rsidR="000C0FC2">
              <w:rPr>
                <w:rFonts w:eastAsia="SimSun"/>
                <w:bCs/>
              </w:rPr>
              <w:t>20</w:t>
            </w:r>
            <w:r w:rsidR="00853B85" w:rsidRPr="00C17D2C">
              <w:rPr>
                <w:rFonts w:eastAsia="SimSun"/>
                <w:bCs/>
              </w:rPr>
              <w:t xml:space="preserve"> by the authors. Submitted for possible open access publication under the terms and conditions of the Creative Commons Attribution (CC BY) license (http://creativecommons.org/licenses/by/4.0/).</w:t>
            </w:r>
          </w:p>
        </w:tc>
      </w:tr>
    </w:tbl>
    <w:p w:rsidR="00996419" w:rsidRPr="00A27720" w:rsidRDefault="00996419" w:rsidP="00853B85">
      <w:pPr>
        <w:pStyle w:val="MDPI71References"/>
        <w:numPr>
          <w:ilvl w:val="0"/>
          <w:numId w:val="0"/>
        </w:numPr>
        <w:spacing w:after="240"/>
        <w:rPr>
          <w:rFonts w:eastAsia="SimSun"/>
        </w:rPr>
      </w:pPr>
    </w:p>
    <w:sectPr w:rsidR="00996419" w:rsidRPr="00A27720" w:rsidSect="00996419">
      <w:headerReference w:type="even" r:id="rId20"/>
      <w:headerReference w:type="default" r:id="rId21"/>
      <w:footerReference w:type="default" r:id="rId22"/>
      <w:headerReference w:type="first" r:id="rId23"/>
      <w:footerReference w:type="first" r:id="rId24"/>
      <w:pgSz w:w="11906" w:h="16838" w:code="9"/>
      <w:pgMar w:top="1417" w:right="1531" w:bottom="1077" w:left="1531" w:header="1020" w:footer="850" w:gutter="0"/>
      <w:lnNumType w:countBy="1" w:restart="continuous"/>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2B09" w:rsidRDefault="00502B09">
      <w:pPr>
        <w:spacing w:line="240" w:lineRule="auto"/>
      </w:pPr>
      <w:r>
        <w:separator/>
      </w:r>
    </w:p>
  </w:endnote>
  <w:endnote w:type="continuationSeparator" w:id="0">
    <w:p w:rsidR="00502B09" w:rsidRDefault="00502B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tangChe">
    <w:altName w:val="바탕체"/>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9477349"/>
      <w:docPartObj>
        <w:docPartGallery w:val="Page Numbers (Bottom of Page)"/>
        <w:docPartUnique/>
      </w:docPartObj>
    </w:sdtPr>
    <w:sdtEndPr/>
    <w:sdtContent>
      <w:p w:rsidR="006C3B85" w:rsidRDefault="00502B09">
        <w:pPr>
          <w:pStyle w:val="Footer"/>
          <w:jc w:val="center"/>
        </w:pPr>
      </w:p>
    </w:sdtContent>
  </w:sdt>
  <w:p w:rsidR="006C3B85" w:rsidRDefault="006C3B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875777"/>
      <w:docPartObj>
        <w:docPartGallery w:val="Page Numbers (Bottom of Page)"/>
        <w:docPartUnique/>
      </w:docPartObj>
    </w:sdtPr>
    <w:sdtEndPr/>
    <w:sdtContent>
      <w:p w:rsidR="006C3B85" w:rsidRDefault="006C3B85">
        <w:pPr>
          <w:pStyle w:val="Footer"/>
          <w:jc w:val="center"/>
        </w:pPr>
        <w:r>
          <w:fldChar w:fldCharType="begin"/>
        </w:r>
        <w:r>
          <w:instrText>PAGE   \* MERGEFORMAT</w:instrText>
        </w:r>
        <w:r>
          <w:fldChar w:fldCharType="separate"/>
        </w:r>
        <w:r w:rsidRPr="001B4D5C">
          <w:rPr>
            <w:noProof/>
            <w:lang w:val="ko-KR" w:eastAsia="ko-KR"/>
          </w:rPr>
          <w:t>1</w:t>
        </w:r>
        <w:r>
          <w:fldChar w:fldCharType="end"/>
        </w:r>
      </w:p>
    </w:sdtContent>
  </w:sdt>
  <w:p w:rsidR="006C3B85" w:rsidRDefault="006C3B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B85" w:rsidRPr="006F5888" w:rsidRDefault="006C3B85">
    <w:pPr>
      <w:pStyle w:val="Footer"/>
      <w:jc w:val="center"/>
      <w:rPr>
        <w:rFonts w:eastAsiaTheme="minorEastAsia"/>
        <w:lang w:eastAsia="ko-KR"/>
      </w:rPr>
    </w:pPr>
  </w:p>
  <w:p w:rsidR="006C3B85" w:rsidRDefault="006C3B8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5508109"/>
      <w:docPartObj>
        <w:docPartGallery w:val="Page Numbers (Bottom of Page)"/>
        <w:docPartUnique/>
      </w:docPartObj>
    </w:sdtPr>
    <w:sdtEndPr/>
    <w:sdtContent>
      <w:p w:rsidR="006C3B85" w:rsidRDefault="006C3B85">
        <w:pPr>
          <w:pStyle w:val="Footer"/>
          <w:jc w:val="center"/>
        </w:pPr>
        <w:r>
          <w:t>14</w:t>
        </w:r>
      </w:p>
    </w:sdtContent>
  </w:sdt>
  <w:p w:rsidR="006C3B85" w:rsidRDefault="006C3B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B85" w:rsidRDefault="006C3B85">
    <w:pPr>
      <w:pStyle w:val="Footer"/>
      <w:jc w:val="center"/>
    </w:pPr>
  </w:p>
  <w:p w:rsidR="006C3B85" w:rsidRDefault="006C3B8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B85" w:rsidRPr="00032917" w:rsidRDefault="006C3B85" w:rsidP="00357C8D">
    <w:pPr>
      <w:pStyle w:val="Footer"/>
      <w:spacing w:line="240" w:lineRule="auto"/>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B85" w:rsidRPr="008B308E" w:rsidRDefault="006C3B85" w:rsidP="000C0FC2">
    <w:pPr>
      <w:pStyle w:val="MDPIfooterfirstpage"/>
      <w:spacing w:line="240" w:lineRule="auto"/>
      <w:jc w:val="both"/>
      <w:rPr>
        <w:lang w:val="fr-CH"/>
      </w:rPr>
    </w:pPr>
    <w:r w:rsidRPr="00BB0268">
      <w:rPr>
        <w:i/>
        <w:szCs w:val="16"/>
      </w:rPr>
      <w:t>J. Clin. Med.</w:t>
    </w:r>
    <w:r w:rsidRPr="00BB0268">
      <w:rPr>
        <w:szCs w:val="16"/>
      </w:rPr>
      <w:t xml:space="preserve"> </w:t>
    </w:r>
    <w:r w:rsidRPr="00853B85">
      <w:rPr>
        <w:b/>
        <w:szCs w:val="16"/>
      </w:rPr>
      <w:t>20</w:t>
    </w:r>
    <w:r>
      <w:rPr>
        <w:b/>
        <w:szCs w:val="16"/>
      </w:rPr>
      <w:t>20</w:t>
    </w:r>
    <w:r w:rsidRPr="00853B85">
      <w:rPr>
        <w:szCs w:val="16"/>
      </w:rPr>
      <w:t xml:space="preserve">, </w:t>
    </w:r>
    <w:r>
      <w:rPr>
        <w:i/>
        <w:szCs w:val="16"/>
      </w:rPr>
      <w:t>9</w:t>
    </w:r>
    <w:r w:rsidRPr="00853B85">
      <w:rPr>
        <w:szCs w:val="16"/>
      </w:rPr>
      <w:t xml:space="preserve">, </w:t>
    </w:r>
    <w:r>
      <w:rPr>
        <w:szCs w:val="16"/>
      </w:rPr>
      <w:t xml:space="preserve">x; </w:t>
    </w:r>
    <w:proofErr w:type="spellStart"/>
    <w:r>
      <w:rPr>
        <w:szCs w:val="16"/>
      </w:rPr>
      <w:t>doi</w:t>
    </w:r>
    <w:proofErr w:type="spellEnd"/>
    <w:r>
      <w:rPr>
        <w:szCs w:val="16"/>
      </w:rPr>
      <w:t>: FOR PEER REVIEW</w:t>
    </w:r>
    <w:r w:rsidRPr="008B308E">
      <w:rPr>
        <w:lang w:val="fr-CH"/>
      </w:rPr>
      <w:tab/>
      <w:t>www.mdpi.com/journal/</w:t>
    </w:r>
    <w:proofErr w:type="spellStart"/>
    <w:r>
      <w:t>jcm</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2B09" w:rsidRDefault="00502B09">
      <w:pPr>
        <w:spacing w:line="240" w:lineRule="auto"/>
      </w:pPr>
      <w:r>
        <w:separator/>
      </w:r>
    </w:p>
  </w:footnote>
  <w:footnote w:type="continuationSeparator" w:id="0">
    <w:p w:rsidR="00502B09" w:rsidRDefault="00502B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B85" w:rsidRDefault="006C3B85" w:rsidP="00357C8D">
    <w:pPr>
      <w:pStyle w:val="Header"/>
      <w:pBdr>
        <w:bottom w:val="none" w:sz="0" w:space="0" w:color="auto"/>
      </w:pBdr>
    </w:pPr>
  </w:p>
  <w:p w:rsidR="006C3B85" w:rsidRDefault="006C3B85"/>
  <w:p w:rsidR="006C3B85" w:rsidRDefault="006C3B8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B85" w:rsidRPr="007A5CE1" w:rsidRDefault="006C3B85" w:rsidP="000C0FC2">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J. Clin. Med. </w:t>
    </w:r>
    <w:r w:rsidRPr="00853B85">
      <w:rPr>
        <w:rFonts w:ascii="Palatino Linotype" w:hAnsi="Palatino Linotype"/>
        <w:b/>
        <w:sz w:val="16"/>
      </w:rPr>
      <w:t>20</w:t>
    </w:r>
    <w:r>
      <w:rPr>
        <w:rFonts w:ascii="Palatino Linotype" w:hAnsi="Palatino Linotype"/>
        <w:b/>
        <w:sz w:val="16"/>
      </w:rPr>
      <w:t>20</w:t>
    </w:r>
    <w:r w:rsidRPr="00853B85">
      <w:rPr>
        <w:rFonts w:ascii="Palatino Linotype" w:hAnsi="Palatino Linotype"/>
        <w:sz w:val="16"/>
      </w:rPr>
      <w:t xml:space="preserve">, </w:t>
    </w:r>
    <w:r>
      <w:rPr>
        <w:rFonts w:ascii="Palatino Linotype" w:hAnsi="Palatino Linotype"/>
        <w:i/>
        <w:sz w:val="16"/>
      </w:rPr>
      <w:t>9</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E62CD9">
      <w:rPr>
        <w:rFonts w:ascii="Palatino Linotype" w:hAnsi="Palatino Linotype"/>
        <w:noProof/>
        <w:sz w:val="16"/>
      </w:rPr>
      <w:t>8</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E62CD9">
      <w:rPr>
        <w:rFonts w:ascii="Palatino Linotype" w:hAnsi="Palatino Linotype"/>
        <w:noProof/>
        <w:sz w:val="16"/>
      </w:rPr>
      <w:t>18</w:t>
    </w:r>
    <w:r>
      <w:rPr>
        <w:rFonts w:ascii="Palatino Linotype" w:hAnsi="Palatino Linotype"/>
        <w:sz w:val="16"/>
      </w:rPr>
      <w:fldChar w:fldCharType="end"/>
    </w:r>
  </w:p>
  <w:p w:rsidR="006C3B85" w:rsidRDefault="006C3B85"/>
  <w:p w:rsidR="006C3B85" w:rsidRDefault="006C3B8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B85" w:rsidRDefault="006C3B85" w:rsidP="00357C8D">
    <w:pPr>
      <w:pStyle w:val="MDPIheaderjournallogo"/>
    </w:pPr>
    <w:r>
      <w:rPr>
        <w:noProof/>
        <w:lang w:eastAsia="ko-KR"/>
      </w:rPr>
      <mc:AlternateContent>
        <mc:Choice Requires="wps">
          <w:drawing>
            <wp:anchor distT="45720" distB="45720" distL="114300" distR="114300" simplePos="0" relativeHeight="251657728" behindDoc="1" locked="0" layoutInCell="1" allowOverlap="1">
              <wp:simplePos x="0" y="0"/>
              <wp:positionH relativeFrom="page">
                <wp:posOffset>6029960</wp:posOffset>
              </wp:positionH>
              <wp:positionV relativeFrom="page">
                <wp:posOffset>647700</wp:posOffset>
              </wp:positionV>
              <wp:extent cx="540385" cy="708660"/>
              <wp:effectExtent l="0" t="0" r="317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8660"/>
                      </a:xfrm>
                      <a:prstGeom prst="rect">
                        <a:avLst/>
                      </a:prstGeom>
                      <a:solidFill>
                        <a:srgbClr val="FFFFFF"/>
                      </a:solidFill>
                      <a:ln w="9525">
                        <a:noFill/>
                        <a:miter lim="800000"/>
                        <a:headEnd/>
                        <a:tailEnd/>
                      </a:ln>
                    </wps:spPr>
                    <wps:txbx>
                      <w:txbxContent>
                        <w:p w:rsidR="006C3B85" w:rsidRDefault="006C3B85" w:rsidP="00357C8D">
                          <w:pPr>
                            <w:pStyle w:val="MDPIheaderjournallogo"/>
                            <w:jc w:val="center"/>
                            <w:textboxTightWrap w:val="allLines"/>
                            <w:rPr>
                              <w:i w:val="0"/>
                              <w:szCs w:val="16"/>
                            </w:rPr>
                          </w:pPr>
                          <w:r w:rsidRPr="00996419">
                            <w:rPr>
                              <w:i w:val="0"/>
                              <w:noProof/>
                              <w:szCs w:val="16"/>
                              <w:lang w:eastAsia="ko-KR"/>
                            </w:rPr>
                            <w:drawing>
                              <wp:inline distT="0" distB="0" distL="0" distR="0">
                                <wp:extent cx="540385" cy="356235"/>
                                <wp:effectExtent l="0" t="0" r="0" b="5715"/>
                                <wp:docPr id="10"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385" cy="35623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74.8pt;margin-top:51pt;width:42.55pt;height:55.8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" stroked="f">
              <v:textbox inset="0,0,0,0">
                <w:txbxContent>
                  <w:p w:rsidR="006C3B85" w:rsidRDefault="006C3B85" w:rsidP="00357C8D">
                    <w:pPr>
                      <w:pStyle w:val="MDPIheaderjournallogo"/>
                      <w:jc w:val="center"/>
                      <w:textboxTightWrap w:val="allLines"/>
                      <w:rPr>
                        <w:i w:val="0"/>
                        <w:szCs w:val="16"/>
                      </w:rPr>
                    </w:pPr>
                    <w:r w:rsidRPr="00996419">
                      <w:rPr>
                        <w:i w:val="0"/>
                        <w:noProof/>
                        <w:szCs w:val="16"/>
                        <w:lang w:eastAsia="ko-KR"/>
                      </w:rPr>
                      <w:drawing>
                        <wp:inline distT="0" distB="0" distL="0" distR="0">
                          <wp:extent cx="540385" cy="356235"/>
                          <wp:effectExtent l="0" t="0" r="0" b="5715"/>
                          <wp:docPr id="10"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385" cy="356235"/>
                                  </a:xfrm>
                                  <a:prstGeom prst="rect">
                                    <a:avLst/>
                                  </a:prstGeom>
                                  <a:noFill/>
                                  <a:ln>
                                    <a:noFill/>
                                  </a:ln>
                                </pic:spPr>
                              </pic:pic>
                            </a:graphicData>
                          </a:graphic>
                        </wp:inline>
                      </w:drawing>
                    </w:r>
                  </w:p>
                </w:txbxContent>
              </v:textbox>
              <w10:wrap anchorx="page" anchory="page"/>
            </v:shape>
          </w:pict>
        </mc:Fallback>
      </mc:AlternateContent>
    </w:r>
    <w:r w:rsidRPr="00A04686">
      <w:rPr>
        <w:noProof/>
        <w:lang w:eastAsia="ko-KR"/>
      </w:rPr>
      <w:drawing>
        <wp:inline distT="0" distB="0" distL="0" distR="0">
          <wp:extent cx="1674495" cy="427355"/>
          <wp:effectExtent l="0" t="0" r="1905" b="0"/>
          <wp:docPr id="5" name="Picture 5" descr="C:\Users\home\Desktop\logos\png\jcm-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png\jcm-log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74495" cy="4273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C20"/>
    <w:rsid w:val="000019D8"/>
    <w:rsid w:val="00006F9A"/>
    <w:rsid w:val="00014C54"/>
    <w:rsid w:val="00030A33"/>
    <w:rsid w:val="0003340F"/>
    <w:rsid w:val="00041D95"/>
    <w:rsid w:val="000960F5"/>
    <w:rsid w:val="000973B6"/>
    <w:rsid w:val="000C0FC2"/>
    <w:rsid w:val="00110CEB"/>
    <w:rsid w:val="00171AB4"/>
    <w:rsid w:val="001B4D5C"/>
    <w:rsid w:val="001C445F"/>
    <w:rsid w:val="001C4EF2"/>
    <w:rsid w:val="001D1C27"/>
    <w:rsid w:val="001D25D3"/>
    <w:rsid w:val="001E2AEB"/>
    <w:rsid w:val="001F462D"/>
    <w:rsid w:val="00216D24"/>
    <w:rsid w:val="002227B2"/>
    <w:rsid w:val="00271BA9"/>
    <w:rsid w:val="00274D95"/>
    <w:rsid w:val="00280F25"/>
    <w:rsid w:val="002912A8"/>
    <w:rsid w:val="002915AC"/>
    <w:rsid w:val="0029303F"/>
    <w:rsid w:val="002B46F1"/>
    <w:rsid w:val="002C5B08"/>
    <w:rsid w:val="003120C3"/>
    <w:rsid w:val="00325CF8"/>
    <w:rsid w:val="00326141"/>
    <w:rsid w:val="0034278A"/>
    <w:rsid w:val="0034365E"/>
    <w:rsid w:val="00357C8D"/>
    <w:rsid w:val="0038104A"/>
    <w:rsid w:val="003977A3"/>
    <w:rsid w:val="003A082C"/>
    <w:rsid w:val="003A48D2"/>
    <w:rsid w:val="003D4857"/>
    <w:rsid w:val="003D55AB"/>
    <w:rsid w:val="003E4374"/>
    <w:rsid w:val="003F2DA1"/>
    <w:rsid w:val="00401D30"/>
    <w:rsid w:val="004142C7"/>
    <w:rsid w:val="004225B0"/>
    <w:rsid w:val="00470C7F"/>
    <w:rsid w:val="004B59FB"/>
    <w:rsid w:val="004B7429"/>
    <w:rsid w:val="004C0B85"/>
    <w:rsid w:val="004D5F4D"/>
    <w:rsid w:val="004E5A28"/>
    <w:rsid w:val="004F7DFC"/>
    <w:rsid w:val="00502B09"/>
    <w:rsid w:val="00521EA3"/>
    <w:rsid w:val="00547A54"/>
    <w:rsid w:val="005577F2"/>
    <w:rsid w:val="005832C3"/>
    <w:rsid w:val="005963C5"/>
    <w:rsid w:val="005A3C82"/>
    <w:rsid w:val="005B0879"/>
    <w:rsid w:val="005E34ED"/>
    <w:rsid w:val="00622838"/>
    <w:rsid w:val="00631A75"/>
    <w:rsid w:val="00637CD2"/>
    <w:rsid w:val="00667913"/>
    <w:rsid w:val="00685F96"/>
    <w:rsid w:val="00692393"/>
    <w:rsid w:val="006A5D76"/>
    <w:rsid w:val="006C3990"/>
    <w:rsid w:val="006C3B85"/>
    <w:rsid w:val="006F5888"/>
    <w:rsid w:val="007018DC"/>
    <w:rsid w:val="00705D61"/>
    <w:rsid w:val="00706D77"/>
    <w:rsid w:val="00713C2F"/>
    <w:rsid w:val="00757569"/>
    <w:rsid w:val="00773D62"/>
    <w:rsid w:val="007D33B2"/>
    <w:rsid w:val="00816BBE"/>
    <w:rsid w:val="00836361"/>
    <w:rsid w:val="00851192"/>
    <w:rsid w:val="00853B85"/>
    <w:rsid w:val="00884C95"/>
    <w:rsid w:val="00891B0E"/>
    <w:rsid w:val="008D0B41"/>
    <w:rsid w:val="008E2418"/>
    <w:rsid w:val="008F6E8C"/>
    <w:rsid w:val="009035B8"/>
    <w:rsid w:val="00914275"/>
    <w:rsid w:val="009278A4"/>
    <w:rsid w:val="00927DA9"/>
    <w:rsid w:val="0095443A"/>
    <w:rsid w:val="00955D3E"/>
    <w:rsid w:val="00970559"/>
    <w:rsid w:val="00970888"/>
    <w:rsid w:val="00995F53"/>
    <w:rsid w:val="00996419"/>
    <w:rsid w:val="009C5893"/>
    <w:rsid w:val="009E6B0E"/>
    <w:rsid w:val="009F70E6"/>
    <w:rsid w:val="00A02919"/>
    <w:rsid w:val="00A073C5"/>
    <w:rsid w:val="00A73B50"/>
    <w:rsid w:val="00A96C20"/>
    <w:rsid w:val="00AB0E09"/>
    <w:rsid w:val="00AD3640"/>
    <w:rsid w:val="00AD3929"/>
    <w:rsid w:val="00AD4E9B"/>
    <w:rsid w:val="00AF63F6"/>
    <w:rsid w:val="00AF6B5F"/>
    <w:rsid w:val="00B067A3"/>
    <w:rsid w:val="00B27BDC"/>
    <w:rsid w:val="00B40F29"/>
    <w:rsid w:val="00B847E9"/>
    <w:rsid w:val="00B84BC1"/>
    <w:rsid w:val="00BA4F46"/>
    <w:rsid w:val="00BC2D10"/>
    <w:rsid w:val="00BC57F8"/>
    <w:rsid w:val="00BD22AA"/>
    <w:rsid w:val="00BF5D96"/>
    <w:rsid w:val="00C1439D"/>
    <w:rsid w:val="00C17D2C"/>
    <w:rsid w:val="00C25677"/>
    <w:rsid w:val="00C321EF"/>
    <w:rsid w:val="00C749A6"/>
    <w:rsid w:val="00C76749"/>
    <w:rsid w:val="00CA47D3"/>
    <w:rsid w:val="00CA6FBF"/>
    <w:rsid w:val="00CB26F1"/>
    <w:rsid w:val="00CB5986"/>
    <w:rsid w:val="00CD47EA"/>
    <w:rsid w:val="00D0452F"/>
    <w:rsid w:val="00D06DB4"/>
    <w:rsid w:val="00D15FBD"/>
    <w:rsid w:val="00D72E82"/>
    <w:rsid w:val="00D76EFE"/>
    <w:rsid w:val="00D93C95"/>
    <w:rsid w:val="00DB65CB"/>
    <w:rsid w:val="00DC44E5"/>
    <w:rsid w:val="00E43802"/>
    <w:rsid w:val="00E51619"/>
    <w:rsid w:val="00E548E8"/>
    <w:rsid w:val="00E62CD9"/>
    <w:rsid w:val="00E73165"/>
    <w:rsid w:val="00E9171C"/>
    <w:rsid w:val="00EB6CD5"/>
    <w:rsid w:val="00EB730D"/>
    <w:rsid w:val="00EC2CB7"/>
    <w:rsid w:val="00ED3BC5"/>
    <w:rsid w:val="00EF1787"/>
    <w:rsid w:val="00F159D6"/>
    <w:rsid w:val="00F21504"/>
    <w:rsid w:val="00F41D77"/>
    <w:rsid w:val="00F41DB6"/>
    <w:rsid w:val="00F61547"/>
    <w:rsid w:val="00FA2DB6"/>
    <w:rsid w:val="00FA4695"/>
    <w:rsid w:val="00FC1F73"/>
    <w:rsid w:val="00FD478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8BFCCC7-76E8-4020-A4B1-9EBCC417E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US" w:eastAsia="ko-K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96419"/>
    <w:pPr>
      <w:spacing w:line="340" w:lineRule="atLeast"/>
      <w:jc w:val="both"/>
    </w:pPr>
    <w:rPr>
      <w:rFonts w:ascii="Times New Roman" w:eastAsia="Times New Roman" w:hAnsi="Times New Roman"/>
      <w:color w:val="000000"/>
      <w:sz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996419"/>
    <w:pPr>
      <w:spacing w:before="240" w:line="240" w:lineRule="auto"/>
      <w:ind w:firstLine="0"/>
      <w:jc w:val="left"/>
    </w:pPr>
    <w:rPr>
      <w:i/>
    </w:rPr>
  </w:style>
  <w:style w:type="paragraph" w:customStyle="1" w:styleId="MDPI12title">
    <w:name w:val="MDPI_1.2_title"/>
    <w:next w:val="MDPI13authornames"/>
    <w:qFormat/>
    <w:rsid w:val="00996419"/>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996419"/>
    <w:pPr>
      <w:spacing w:after="120"/>
      <w:ind w:firstLine="0"/>
      <w:jc w:val="left"/>
    </w:pPr>
    <w:rPr>
      <w:b/>
      <w:snapToGrid/>
    </w:rPr>
  </w:style>
  <w:style w:type="paragraph" w:customStyle="1" w:styleId="MDPI14history">
    <w:name w:val="MDPI_1.4_history"/>
    <w:basedOn w:val="MDPI62Acknowledgments"/>
    <w:next w:val="Normal"/>
    <w:qFormat/>
    <w:rsid w:val="00996419"/>
    <w:pPr>
      <w:ind w:left="113"/>
      <w:jc w:val="left"/>
    </w:pPr>
    <w:rPr>
      <w:snapToGrid/>
    </w:rPr>
  </w:style>
  <w:style w:type="paragraph" w:customStyle="1" w:styleId="MDPI16affiliation">
    <w:name w:val="MDPI_1.6_affiliation"/>
    <w:basedOn w:val="MDPI62Acknowledgments"/>
    <w:qFormat/>
    <w:rsid w:val="00996419"/>
    <w:pPr>
      <w:spacing w:before="0"/>
      <w:ind w:left="311" w:hanging="198"/>
      <w:jc w:val="left"/>
    </w:pPr>
    <w:rPr>
      <w:snapToGrid/>
      <w:szCs w:val="18"/>
    </w:rPr>
  </w:style>
  <w:style w:type="paragraph" w:customStyle="1" w:styleId="MDPI17abstract">
    <w:name w:val="MDPI_1.7_abstract"/>
    <w:basedOn w:val="MDPI31text"/>
    <w:next w:val="MDPI18keywords"/>
    <w:qFormat/>
    <w:rsid w:val="00996419"/>
    <w:pPr>
      <w:spacing w:before="240"/>
      <w:ind w:left="113" w:firstLine="0"/>
    </w:pPr>
    <w:rPr>
      <w:snapToGrid/>
    </w:rPr>
  </w:style>
  <w:style w:type="paragraph" w:customStyle="1" w:styleId="MDPI18keywords">
    <w:name w:val="MDPI_1.8_keywords"/>
    <w:basedOn w:val="MDPI31text"/>
    <w:next w:val="Normal"/>
    <w:qFormat/>
    <w:rsid w:val="00996419"/>
    <w:pPr>
      <w:spacing w:before="240"/>
      <w:ind w:left="113" w:firstLine="0"/>
    </w:pPr>
  </w:style>
  <w:style w:type="paragraph" w:customStyle="1" w:styleId="MDPI19line">
    <w:name w:val="MDPI_1.9_line"/>
    <w:basedOn w:val="MDPI31text"/>
    <w:qFormat/>
    <w:rsid w:val="00996419"/>
    <w:pPr>
      <w:pBdr>
        <w:bottom w:val="single" w:sz="6" w:space="1" w:color="auto"/>
      </w:pBdr>
      <w:ind w:firstLine="0"/>
    </w:pPr>
    <w:rPr>
      <w:snapToGrid/>
      <w:szCs w:val="24"/>
    </w:rPr>
  </w:style>
  <w:style w:type="paragraph" w:styleId="Footer">
    <w:name w:val="footer"/>
    <w:basedOn w:val="Normal"/>
    <w:link w:val="FooterChar"/>
    <w:uiPriority w:val="99"/>
    <w:rsid w:val="00996419"/>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996419"/>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99641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996419"/>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996419"/>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996419"/>
    <w:pPr>
      <w:ind w:firstLine="0"/>
    </w:pPr>
  </w:style>
  <w:style w:type="paragraph" w:customStyle="1" w:styleId="MDPI33textspaceafter">
    <w:name w:val="MDPI_3.3_text_space_after"/>
    <w:basedOn w:val="MDPI31text"/>
    <w:qFormat/>
    <w:rsid w:val="00996419"/>
    <w:pPr>
      <w:spacing w:after="240"/>
    </w:pPr>
  </w:style>
  <w:style w:type="paragraph" w:customStyle="1" w:styleId="MDPI34textspacebefore">
    <w:name w:val="MDPI_3.4_text_space_before"/>
    <w:basedOn w:val="MDPI31text"/>
    <w:qFormat/>
    <w:rsid w:val="00996419"/>
    <w:pPr>
      <w:spacing w:before="240"/>
    </w:pPr>
  </w:style>
  <w:style w:type="paragraph" w:customStyle="1" w:styleId="MDPI35textbeforelist">
    <w:name w:val="MDPI_3.5_text_before_list"/>
    <w:basedOn w:val="MDPI31text"/>
    <w:qFormat/>
    <w:rsid w:val="00996419"/>
    <w:pPr>
      <w:spacing w:after="120"/>
    </w:pPr>
  </w:style>
  <w:style w:type="paragraph" w:customStyle="1" w:styleId="MDPI36textafterlist">
    <w:name w:val="MDPI_3.6_text_after_list"/>
    <w:basedOn w:val="MDPI31text"/>
    <w:qFormat/>
    <w:rsid w:val="00996419"/>
    <w:pPr>
      <w:spacing w:before="120"/>
    </w:pPr>
  </w:style>
  <w:style w:type="paragraph" w:customStyle="1" w:styleId="MDPI37itemize">
    <w:name w:val="MDPI_3.7_itemize"/>
    <w:basedOn w:val="MDPI31text"/>
    <w:qFormat/>
    <w:rsid w:val="00996419"/>
    <w:pPr>
      <w:numPr>
        <w:numId w:val="1"/>
      </w:numPr>
      <w:ind w:left="425" w:hanging="425"/>
    </w:pPr>
  </w:style>
  <w:style w:type="paragraph" w:customStyle="1" w:styleId="MDPI38bullet">
    <w:name w:val="MDPI_3.8_bullet"/>
    <w:basedOn w:val="MDPI31text"/>
    <w:qFormat/>
    <w:rsid w:val="00996419"/>
    <w:pPr>
      <w:numPr>
        <w:numId w:val="2"/>
      </w:numPr>
      <w:ind w:left="425" w:hanging="425"/>
    </w:pPr>
  </w:style>
  <w:style w:type="paragraph" w:customStyle="1" w:styleId="MDPI39equation">
    <w:name w:val="MDPI_3.9_equation"/>
    <w:basedOn w:val="MDPI31text"/>
    <w:qFormat/>
    <w:rsid w:val="00996419"/>
    <w:pPr>
      <w:spacing w:before="120" w:after="120"/>
      <w:ind w:left="709" w:firstLine="0"/>
      <w:jc w:val="center"/>
    </w:pPr>
  </w:style>
  <w:style w:type="paragraph" w:customStyle="1" w:styleId="MDPI3aequationnumber">
    <w:name w:val="MDPI_3.a_equation_number"/>
    <w:basedOn w:val="MDPI31text"/>
    <w:qFormat/>
    <w:rsid w:val="00996419"/>
    <w:pPr>
      <w:spacing w:before="120" w:after="120" w:line="240" w:lineRule="auto"/>
      <w:ind w:firstLine="0"/>
      <w:jc w:val="right"/>
    </w:pPr>
  </w:style>
  <w:style w:type="paragraph" w:customStyle="1" w:styleId="MDPI62Acknowledgments">
    <w:name w:val="MDPI_6.2_Acknowledgments"/>
    <w:qFormat/>
    <w:rsid w:val="00996419"/>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996419"/>
    <w:pPr>
      <w:spacing w:before="240" w:after="120" w:line="260" w:lineRule="atLeast"/>
      <w:ind w:left="425" w:right="425"/>
    </w:pPr>
    <w:rPr>
      <w:snapToGrid/>
      <w:szCs w:val="22"/>
    </w:rPr>
  </w:style>
  <w:style w:type="paragraph" w:customStyle="1" w:styleId="MDPI42tablebody">
    <w:name w:val="MDPI_4.2_table_body"/>
    <w:qFormat/>
    <w:rsid w:val="004B7429"/>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996419"/>
    <w:pPr>
      <w:spacing w:before="0"/>
      <w:ind w:left="0" w:right="0"/>
    </w:pPr>
  </w:style>
  <w:style w:type="paragraph" w:customStyle="1" w:styleId="MDPI51figurecaption">
    <w:name w:val="MDPI_5.1_figure_caption"/>
    <w:basedOn w:val="MDPI62Acknowledgments"/>
    <w:qFormat/>
    <w:rsid w:val="00996419"/>
    <w:pPr>
      <w:spacing w:after="240" w:line="260" w:lineRule="atLeast"/>
      <w:ind w:left="425" w:right="425"/>
    </w:pPr>
    <w:rPr>
      <w:snapToGrid/>
    </w:rPr>
  </w:style>
  <w:style w:type="paragraph" w:customStyle="1" w:styleId="MDPI52figure">
    <w:name w:val="MDPI_5.2_figure"/>
    <w:qFormat/>
    <w:rsid w:val="00996419"/>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996419"/>
    <w:pPr>
      <w:spacing w:before="240"/>
    </w:pPr>
    <w:rPr>
      <w:lang w:eastAsia="en-US"/>
    </w:rPr>
  </w:style>
  <w:style w:type="paragraph" w:customStyle="1" w:styleId="MDPI63AuthorContributions">
    <w:name w:val="MDPI_6.3_AuthorContributions"/>
    <w:basedOn w:val="MDPI62Acknowledgments"/>
    <w:qFormat/>
    <w:rsid w:val="00996419"/>
    <w:rPr>
      <w:rFonts w:eastAsia="SimSun"/>
      <w:color w:val="auto"/>
      <w:lang w:eastAsia="en-US"/>
    </w:rPr>
  </w:style>
  <w:style w:type="paragraph" w:customStyle="1" w:styleId="MDPI64CoI">
    <w:name w:val="MDPI_6.4_CoI"/>
    <w:basedOn w:val="MDPI62Acknowledgments"/>
    <w:qFormat/>
    <w:rsid w:val="00996419"/>
  </w:style>
  <w:style w:type="paragraph" w:customStyle="1" w:styleId="MDPI81theorem">
    <w:name w:val="MDPI_8.1_theorem"/>
    <w:basedOn w:val="MDPI32textnoindent"/>
    <w:qFormat/>
    <w:rsid w:val="00996419"/>
    <w:rPr>
      <w:i/>
    </w:rPr>
  </w:style>
  <w:style w:type="paragraph" w:customStyle="1" w:styleId="MDPI82proof">
    <w:name w:val="MDPI_8.2_proof"/>
    <w:basedOn w:val="MDPI32textnoindent"/>
    <w:qFormat/>
    <w:rsid w:val="00996419"/>
  </w:style>
  <w:style w:type="paragraph" w:customStyle="1" w:styleId="MDPIfooterfirstpage">
    <w:name w:val="MDPI_footer_firstpage"/>
    <w:basedOn w:val="Normal"/>
    <w:qFormat/>
    <w:rsid w:val="00996419"/>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996419"/>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996419"/>
    <w:pPr>
      <w:spacing w:before="240" w:after="120"/>
      <w:ind w:firstLine="0"/>
      <w:jc w:val="left"/>
      <w:outlineLvl w:val="2"/>
    </w:pPr>
  </w:style>
  <w:style w:type="paragraph" w:customStyle="1" w:styleId="MDPI21heading1">
    <w:name w:val="MDPI_2.1_heading1"/>
    <w:basedOn w:val="MDPI23heading3"/>
    <w:qFormat/>
    <w:rsid w:val="00996419"/>
    <w:pPr>
      <w:outlineLvl w:val="0"/>
    </w:pPr>
    <w:rPr>
      <w:b/>
    </w:rPr>
  </w:style>
  <w:style w:type="paragraph" w:customStyle="1" w:styleId="MDPI22heading2">
    <w:name w:val="MDPI_2.2_heading2"/>
    <w:basedOn w:val="Normal"/>
    <w:qFormat/>
    <w:rsid w:val="00996419"/>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996419"/>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996419"/>
    <w:pPr>
      <w:spacing w:line="240" w:lineRule="auto"/>
    </w:pPr>
    <w:rPr>
      <w:sz w:val="18"/>
      <w:szCs w:val="18"/>
    </w:rPr>
  </w:style>
  <w:style w:type="character" w:customStyle="1" w:styleId="BalloonTextChar">
    <w:name w:val="Balloon Text Char"/>
    <w:link w:val="BalloonText"/>
    <w:uiPriority w:val="99"/>
    <w:semiHidden/>
    <w:rsid w:val="00996419"/>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996419"/>
  </w:style>
  <w:style w:type="table" w:customStyle="1" w:styleId="MDPI41threelinetable">
    <w:name w:val="MDPI_4.1_three_line_table"/>
    <w:basedOn w:val="TableNormal"/>
    <w:uiPriority w:val="99"/>
    <w:rsid w:val="004B7429"/>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w:hAnsi="Calibri"/>
        <w:b/>
        <w:i w:val="0"/>
        <w:sz w:val="20"/>
      </w:rPr>
      <w:tblPr/>
      <w:tcPr>
        <w:tcBorders>
          <w:bottom w:val="single" w:sz="4" w:space="0" w:color="auto"/>
        </w:tcBorders>
      </w:tcPr>
    </w:tblStylePr>
  </w:style>
  <w:style w:type="character" w:styleId="Hyperlink">
    <w:name w:val="Hyperlink"/>
    <w:uiPriority w:val="99"/>
    <w:unhideWhenUsed/>
    <w:rsid w:val="00BF5D96"/>
    <w:rPr>
      <w:color w:val="0563C1"/>
      <w:u w:val="single"/>
    </w:rPr>
  </w:style>
  <w:style w:type="character" w:customStyle="1" w:styleId="UnresolvedMention1">
    <w:name w:val="Unresolved Mention1"/>
    <w:uiPriority w:val="99"/>
    <w:semiHidden/>
    <w:unhideWhenUsed/>
    <w:rsid w:val="0034278A"/>
    <w:rPr>
      <w:color w:val="605E5C"/>
      <w:shd w:val="clear" w:color="auto" w:fill="E1DFDD"/>
    </w:rPr>
  </w:style>
  <w:style w:type="table" w:styleId="TableGrid">
    <w:name w:val="Table Grid"/>
    <w:basedOn w:val="TableNormal"/>
    <w:uiPriority w:val="59"/>
    <w:rsid w:val="00853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853B8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1">
    <w:name w:val="일반 표 21"/>
    <w:basedOn w:val="TableNormal"/>
    <w:uiPriority w:val="42"/>
    <w:rsid w:val="002227B2"/>
    <w:pPr>
      <w:jc w:val="both"/>
    </w:pPr>
    <w:rPr>
      <w:rFonts w:ascii="Malgun Gothic" w:eastAsia="Malgun Gothic" w:hAnsi="Malgun Gothic" w:cs="Arial"/>
      <w:kern w:val="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211">
    <w:name w:val="일반 표 211"/>
    <w:basedOn w:val="TableNormal"/>
    <w:uiPriority w:val="42"/>
    <w:rsid w:val="002227B2"/>
    <w:pPr>
      <w:jc w:val="both"/>
    </w:pPr>
    <w:rPr>
      <w:rFonts w:ascii="Malgun Gothic" w:eastAsia="Malgun Gothic" w:hAnsi="Malgun Gothic" w:cs="Arial"/>
      <w:kern w:val="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212">
    <w:name w:val="일반 표 212"/>
    <w:basedOn w:val="TableNormal"/>
    <w:uiPriority w:val="42"/>
    <w:rsid w:val="002227B2"/>
    <w:pPr>
      <w:jc w:val="both"/>
    </w:pPr>
    <w:rPr>
      <w:rFonts w:ascii="Malgun Gothic" w:eastAsia="Malgun Gothic" w:hAnsi="Malgun Gothic" w:cs="Arial"/>
      <w:kern w:val="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4.xml"/><Relationship Id="rId22" Type="http://schemas.openxmlformats.org/officeDocument/2006/relationships/footer" Target="footer6.xml"/></Relationships>
</file>

<file path=word/_rels/header3.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90.png"/><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jcm-template.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DC695-D390-46B4-8594-2CA634CB7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jcm-template</Template>
  <TotalTime>1</TotalTime>
  <Pages>18</Pages>
  <Words>7984</Words>
  <Characters>45510</Characters>
  <Application>Microsoft Office Word</Application>
  <DocSecurity>0</DocSecurity>
  <Lines>379</Lines>
  <Paragraphs>106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53388</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Keum Hwa Lee</dc:creator>
  <cp:keywords/>
  <dc:description/>
  <cp:lastModifiedBy>Smith, Lee</cp:lastModifiedBy>
  <cp:revision>2</cp:revision>
  <dcterms:created xsi:type="dcterms:W3CDTF">2020-06-29T09:54:00Z</dcterms:created>
  <dcterms:modified xsi:type="dcterms:W3CDTF">2020-06-29T09:54:00Z</dcterms:modified>
</cp:coreProperties>
</file>