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2A8AF" w14:textId="7A862451" w:rsidR="0070289B" w:rsidRPr="00F020AC" w:rsidRDefault="00A800C9" w:rsidP="00BA4F12">
      <w:pPr>
        <w:spacing w:after="160" w:line="480" w:lineRule="auto"/>
        <w:jc w:val="both"/>
        <w:rPr>
          <w:rFonts w:eastAsia="Calibri"/>
          <w:b/>
          <w:sz w:val="28"/>
          <w:szCs w:val="28"/>
          <w:lang w:val="en-GB" w:eastAsia="en-US"/>
        </w:rPr>
      </w:pPr>
      <w:bookmarkStart w:id="0" w:name="_GoBack"/>
      <w:bookmarkEnd w:id="0"/>
      <w:r w:rsidRPr="00A800C9">
        <w:t xml:space="preserve"> </w:t>
      </w:r>
      <w:r w:rsidRPr="00A800C9">
        <w:rPr>
          <w:rFonts w:eastAsia="Calibri"/>
          <w:b/>
          <w:sz w:val="28"/>
          <w:szCs w:val="28"/>
          <w:lang w:val="en-GB" w:eastAsia="en-US"/>
        </w:rPr>
        <w:t xml:space="preserve">Lower physical activity is associated with higher odds of chronic </w:t>
      </w:r>
      <w:r w:rsidR="00605F27">
        <w:rPr>
          <w:rFonts w:eastAsia="Calibri"/>
          <w:b/>
          <w:sz w:val="28"/>
          <w:szCs w:val="28"/>
          <w:lang w:val="en-GB" w:eastAsia="en-US"/>
        </w:rPr>
        <w:t>conditions</w:t>
      </w:r>
      <w:r w:rsidRPr="00A800C9">
        <w:rPr>
          <w:rFonts w:eastAsia="Calibri"/>
          <w:b/>
          <w:sz w:val="28"/>
          <w:szCs w:val="28"/>
          <w:lang w:val="en-GB" w:eastAsia="en-US"/>
        </w:rPr>
        <w:t xml:space="preserve"> among the Spanish workforce</w:t>
      </w:r>
    </w:p>
    <w:p w14:paraId="736230B2" w14:textId="77777777" w:rsidR="00BA4F12" w:rsidRPr="001E5217" w:rsidRDefault="00BA4F12" w:rsidP="00BA4F12">
      <w:pPr>
        <w:spacing w:after="160" w:line="480" w:lineRule="auto"/>
        <w:jc w:val="both"/>
        <w:rPr>
          <w:rFonts w:eastAsiaTheme="minorHAnsi"/>
          <w:i/>
          <w:vertAlign w:val="superscript"/>
          <w:lang w:val="en-US" w:eastAsia="en-US"/>
        </w:rPr>
      </w:pPr>
      <w:r w:rsidRPr="001E5217">
        <w:rPr>
          <w:rFonts w:eastAsiaTheme="minorHAnsi"/>
          <w:i/>
          <w:lang w:val="en-GB" w:eastAsia="en-US"/>
        </w:rPr>
        <w:t>R</w:t>
      </w:r>
      <w:proofErr w:type="spellStart"/>
      <w:r>
        <w:rPr>
          <w:rFonts w:eastAsiaTheme="minorHAnsi"/>
          <w:i/>
          <w:lang w:val="en-US" w:eastAsia="en-US"/>
        </w:rPr>
        <w:t>ubén</w:t>
      </w:r>
      <w:proofErr w:type="spellEnd"/>
      <w:r>
        <w:rPr>
          <w:rFonts w:eastAsiaTheme="minorHAnsi"/>
          <w:i/>
          <w:lang w:val="en-US" w:eastAsia="en-US"/>
        </w:rPr>
        <w:t xml:space="preserve"> López-Bueno, MSc</w:t>
      </w:r>
      <w:r w:rsidRPr="001E5217">
        <w:rPr>
          <w:rFonts w:eastAsiaTheme="minorHAnsi"/>
          <w:i/>
          <w:vertAlign w:val="superscript"/>
          <w:lang w:val="en-US" w:eastAsia="en-US"/>
        </w:rPr>
        <w:t>1,2</w:t>
      </w:r>
      <w:r>
        <w:rPr>
          <w:rFonts w:eastAsiaTheme="minorHAnsi"/>
          <w:i/>
          <w:vertAlign w:val="superscript"/>
          <w:lang w:val="en-US" w:eastAsia="en-US"/>
        </w:rPr>
        <w:t>;</w:t>
      </w:r>
      <w:r w:rsidRPr="001E5217">
        <w:rPr>
          <w:rFonts w:eastAsiaTheme="minorHAnsi"/>
          <w:i/>
          <w:lang w:val="en-US" w:eastAsia="en-US"/>
        </w:rPr>
        <w:t xml:space="preserve"> Rúni Bláfoss, MSc,</w:t>
      </w:r>
      <w:r w:rsidRPr="001E5217">
        <w:rPr>
          <w:rFonts w:eastAsiaTheme="minorHAnsi"/>
          <w:i/>
          <w:vertAlign w:val="superscript"/>
          <w:lang w:val="en-US" w:eastAsia="en-US"/>
        </w:rPr>
        <w:t>2,3</w:t>
      </w:r>
      <w:r w:rsidRPr="0008745F">
        <w:rPr>
          <w:rFonts w:eastAsiaTheme="minorHAnsi"/>
          <w:i/>
          <w:lang w:val="en-US" w:eastAsia="en-US"/>
        </w:rPr>
        <w:t xml:space="preserve">; </w:t>
      </w:r>
      <w:r>
        <w:rPr>
          <w:rFonts w:eastAsiaTheme="minorHAnsi"/>
          <w:i/>
          <w:lang w:val="en-US" w:eastAsia="en-US"/>
        </w:rPr>
        <w:t>Joaquín Calatayud, PhD</w:t>
      </w:r>
      <w:r w:rsidRPr="001E5217">
        <w:rPr>
          <w:rFonts w:eastAsiaTheme="minorHAnsi"/>
          <w:i/>
          <w:vertAlign w:val="superscript"/>
          <w:lang w:val="en-US" w:eastAsia="en-US"/>
        </w:rPr>
        <w:t>2,4</w:t>
      </w:r>
      <w:r w:rsidRPr="0008745F">
        <w:rPr>
          <w:rFonts w:eastAsiaTheme="minorHAnsi"/>
          <w:i/>
          <w:lang w:val="en-US" w:eastAsia="en-US"/>
        </w:rPr>
        <w:t xml:space="preserve">; </w:t>
      </w:r>
      <w:r>
        <w:rPr>
          <w:rFonts w:eastAsiaTheme="minorHAnsi"/>
          <w:i/>
          <w:lang w:val="en-US" w:eastAsia="en-US"/>
        </w:rPr>
        <w:t>Guillermo F. López-Sánchez, PhD</w:t>
      </w:r>
      <w:r w:rsidRPr="001E5217">
        <w:rPr>
          <w:rFonts w:eastAsiaTheme="minorHAnsi"/>
          <w:i/>
          <w:vertAlign w:val="superscript"/>
          <w:lang w:val="en-US" w:eastAsia="en-US"/>
        </w:rPr>
        <w:t>5</w:t>
      </w:r>
      <w:r>
        <w:rPr>
          <w:rFonts w:eastAsiaTheme="minorHAnsi"/>
          <w:i/>
          <w:lang w:val="en-US" w:eastAsia="en-US"/>
        </w:rPr>
        <w:t>;Lee Smith, PhD</w:t>
      </w:r>
      <w:r w:rsidRPr="001E5217">
        <w:rPr>
          <w:rFonts w:eastAsiaTheme="minorHAnsi"/>
          <w:i/>
          <w:vertAlign w:val="superscript"/>
          <w:lang w:val="en-US" w:eastAsia="en-US"/>
        </w:rPr>
        <w:t>6</w:t>
      </w:r>
      <w:r>
        <w:rPr>
          <w:rFonts w:eastAsiaTheme="minorHAnsi"/>
          <w:i/>
          <w:lang w:val="en-US" w:eastAsia="en-US"/>
        </w:rPr>
        <w:t>; Lars L. Andersen, PhD</w:t>
      </w:r>
      <w:r w:rsidRPr="001E5217">
        <w:rPr>
          <w:rFonts w:eastAsiaTheme="minorHAnsi"/>
          <w:i/>
          <w:vertAlign w:val="superscript"/>
          <w:lang w:val="en-US" w:eastAsia="en-US"/>
        </w:rPr>
        <w:t>2,7</w:t>
      </w:r>
      <w:r w:rsidRPr="0008745F">
        <w:rPr>
          <w:rFonts w:eastAsiaTheme="minorHAnsi"/>
          <w:i/>
          <w:lang w:val="en-US" w:eastAsia="en-US"/>
        </w:rPr>
        <w:t>;J</w:t>
      </w:r>
      <w:r w:rsidRPr="001E5217">
        <w:rPr>
          <w:rFonts w:eastAsiaTheme="minorHAnsi"/>
          <w:i/>
          <w:lang w:val="en-US" w:eastAsia="en-US"/>
        </w:rPr>
        <w:t xml:space="preserve">osé A. </w:t>
      </w:r>
      <w:proofErr w:type="spellStart"/>
      <w:r w:rsidRPr="001E5217">
        <w:rPr>
          <w:rFonts w:eastAsiaTheme="minorHAnsi"/>
          <w:i/>
          <w:lang w:val="en-US" w:eastAsia="en-US"/>
        </w:rPr>
        <w:t>Casajús</w:t>
      </w:r>
      <w:proofErr w:type="spellEnd"/>
      <w:r w:rsidRPr="001E5217">
        <w:rPr>
          <w:rFonts w:eastAsiaTheme="minorHAnsi"/>
          <w:i/>
          <w:lang w:val="en-US" w:eastAsia="en-US"/>
        </w:rPr>
        <w:t>, PhD</w:t>
      </w:r>
      <w:r w:rsidRPr="001E5217">
        <w:rPr>
          <w:rFonts w:eastAsiaTheme="minorHAnsi"/>
          <w:i/>
          <w:vertAlign w:val="superscript"/>
          <w:lang w:val="en-US" w:eastAsia="en-US"/>
        </w:rPr>
        <w:t>8,9,10</w:t>
      </w:r>
    </w:p>
    <w:p w14:paraId="18F31CB8" w14:textId="77777777" w:rsidR="00BA4F12" w:rsidRDefault="00BA4F12" w:rsidP="00BA4F12">
      <w:pPr>
        <w:spacing w:after="160" w:line="480" w:lineRule="auto"/>
        <w:jc w:val="both"/>
        <w:rPr>
          <w:rFonts w:eastAsiaTheme="minorHAnsi"/>
          <w:lang w:val="en-US" w:eastAsia="en-US"/>
        </w:rPr>
      </w:pPr>
      <w:r w:rsidRPr="001E5217">
        <w:rPr>
          <w:rFonts w:eastAsiaTheme="minorHAnsi"/>
          <w:vertAlign w:val="superscript"/>
          <w:lang w:val="en-US" w:eastAsia="en-US"/>
        </w:rPr>
        <w:t>1</w:t>
      </w:r>
      <w:r w:rsidRPr="001E5217">
        <w:rPr>
          <w:rFonts w:eastAsiaTheme="minorHAnsi"/>
          <w:lang w:val="en-US" w:eastAsia="en-US"/>
        </w:rPr>
        <w:t xml:space="preserve">Department of Physical Medicine and Nursing, University of Zaragoza, Zaragoza, Spain, </w:t>
      </w:r>
      <w:r w:rsidRPr="001E5217">
        <w:rPr>
          <w:rFonts w:eastAsiaTheme="minorHAnsi"/>
          <w:vertAlign w:val="superscript"/>
          <w:lang w:val="en-US" w:eastAsia="en-US"/>
        </w:rPr>
        <w:t>2</w:t>
      </w:r>
      <w:r w:rsidRPr="001E5217">
        <w:rPr>
          <w:rFonts w:eastAsiaTheme="minorHAnsi"/>
          <w:lang w:val="en-US" w:eastAsia="en-US"/>
        </w:rPr>
        <w:t xml:space="preserve">Musculoskeletal Disorders and Physical Workload, National Research Centre for the Working Environment, Copenhagen, Denmark, </w:t>
      </w:r>
      <w:r w:rsidRPr="001E5217">
        <w:rPr>
          <w:rFonts w:eastAsiaTheme="minorHAnsi"/>
          <w:vertAlign w:val="superscript"/>
          <w:lang w:val="en-US" w:eastAsia="en-US"/>
        </w:rPr>
        <w:t>3</w:t>
      </w:r>
      <w:r w:rsidRPr="001E5217">
        <w:rPr>
          <w:rFonts w:eastAsiaTheme="minorHAnsi"/>
          <w:lang w:val="en-US" w:eastAsia="en-US"/>
        </w:rPr>
        <w:t xml:space="preserve">Department of Sports Science and Clinical Biomechanics, SDU Muscle Research Cluster (SMRC), University of Southern Denmark, Odense, Denmark, </w:t>
      </w:r>
      <w:r w:rsidRPr="001E5217">
        <w:rPr>
          <w:rFonts w:eastAsiaTheme="minorHAnsi"/>
          <w:vertAlign w:val="superscript"/>
          <w:lang w:val="en-US" w:eastAsia="en-US"/>
        </w:rPr>
        <w:t>4</w:t>
      </w:r>
      <w:r w:rsidRPr="001E5217">
        <w:rPr>
          <w:rFonts w:eastAsiaTheme="minorHAnsi"/>
          <w:lang w:val="en-US" w:eastAsia="en-US"/>
        </w:rPr>
        <w:t xml:space="preserve">Exercise Intervention for Health Research Group (EXINH-RG), Department of Physiotherapy, University of Valencia, Spain, </w:t>
      </w:r>
      <w:r w:rsidRPr="001E5217">
        <w:rPr>
          <w:rFonts w:eastAsiaTheme="minorHAnsi"/>
          <w:vertAlign w:val="superscript"/>
          <w:lang w:val="en-US" w:eastAsia="en-US"/>
        </w:rPr>
        <w:t>5</w:t>
      </w:r>
      <w:r w:rsidRPr="001E5217">
        <w:rPr>
          <w:rFonts w:eastAsiaTheme="minorHAnsi"/>
          <w:lang w:val="en-US" w:eastAsia="en-US"/>
        </w:rPr>
        <w:t xml:space="preserve">Faculty of Sport Sciences, University of Murcia, Murcia, Spain, </w:t>
      </w:r>
      <w:r w:rsidRPr="001E5217">
        <w:rPr>
          <w:rFonts w:eastAsiaTheme="minorHAnsi"/>
          <w:vertAlign w:val="superscript"/>
          <w:lang w:val="en-US" w:eastAsia="en-US"/>
        </w:rPr>
        <w:t>6</w:t>
      </w:r>
      <w:r w:rsidRPr="001E5217">
        <w:rPr>
          <w:rFonts w:eastAsiaTheme="minorHAnsi"/>
          <w:lang w:val="en-US" w:eastAsia="en-US"/>
        </w:rPr>
        <w:t xml:space="preserve">The Cambridge Centre for Sports &amp; Exercise Sciences, Anglia Ruskin University, Cambridge, UK, </w:t>
      </w:r>
      <w:r w:rsidRPr="001E5217">
        <w:rPr>
          <w:rFonts w:eastAsiaTheme="minorHAnsi"/>
          <w:vertAlign w:val="superscript"/>
          <w:lang w:val="en-US" w:eastAsia="en-US"/>
        </w:rPr>
        <w:t>7</w:t>
      </w:r>
      <w:r w:rsidRPr="001E5217">
        <w:rPr>
          <w:rFonts w:eastAsiaTheme="minorHAnsi"/>
          <w:lang w:val="en-US" w:eastAsia="en-US"/>
        </w:rPr>
        <w:t>Department of Health Science and Technology, Aalborg University, Aalborg, Denmark,</w:t>
      </w:r>
      <w:r w:rsidRPr="001E5217">
        <w:rPr>
          <w:rFonts w:eastAsiaTheme="minorHAnsi"/>
          <w:vertAlign w:val="superscript"/>
          <w:lang w:val="en-US" w:eastAsia="en-US"/>
        </w:rPr>
        <w:t xml:space="preserve"> 8</w:t>
      </w:r>
      <w:r w:rsidRPr="001E5217">
        <w:rPr>
          <w:rFonts w:eastAsiaTheme="minorHAnsi"/>
          <w:lang w:val="en-US" w:eastAsia="en-US"/>
        </w:rPr>
        <w:t xml:space="preserve">Faculty of Health Sciences, Zaragoza, Spain, </w:t>
      </w:r>
      <w:r w:rsidRPr="001E5217">
        <w:rPr>
          <w:rFonts w:eastAsiaTheme="minorHAnsi"/>
          <w:vertAlign w:val="superscript"/>
          <w:lang w:val="en-US" w:eastAsia="en-US"/>
        </w:rPr>
        <w:t>9</w:t>
      </w:r>
      <w:r w:rsidRPr="001E5217">
        <w:rPr>
          <w:rFonts w:eastAsiaTheme="minorHAnsi"/>
          <w:lang w:val="en-US" w:eastAsia="en-US"/>
        </w:rPr>
        <w:t xml:space="preserve">GENUD (Growth, Exercise, Nutrition and Development) Research Group, University of Zaragoza, Zaragoza, Spain, </w:t>
      </w:r>
      <w:r w:rsidRPr="001E5217">
        <w:rPr>
          <w:rFonts w:eastAsiaTheme="minorHAnsi"/>
          <w:vertAlign w:val="superscript"/>
          <w:lang w:val="en-US" w:eastAsia="en-US"/>
        </w:rPr>
        <w:t>10</w:t>
      </w:r>
      <w:r w:rsidRPr="001E5217">
        <w:rPr>
          <w:rFonts w:eastAsiaTheme="minorHAnsi"/>
          <w:lang w:val="en-US" w:eastAsia="en-US"/>
        </w:rPr>
        <w:t>Biomedical Research Networking Centre about Nutrition and Obesity Physiopathology (CIBER-OBN), Madrid, Spain</w:t>
      </w:r>
    </w:p>
    <w:p w14:paraId="41A182A7" w14:textId="77777777" w:rsidR="00BA4F12" w:rsidRPr="001E5217" w:rsidRDefault="00BA4F12" w:rsidP="00BA4F12">
      <w:pPr>
        <w:spacing w:after="160" w:line="480" w:lineRule="auto"/>
        <w:jc w:val="both"/>
        <w:rPr>
          <w:rFonts w:eastAsiaTheme="minorHAnsi"/>
          <w:lang w:val="en-US" w:eastAsia="en-US"/>
        </w:rPr>
      </w:pPr>
      <w:r w:rsidRPr="001E5217">
        <w:rPr>
          <w:rFonts w:eastAsiaTheme="minorHAnsi"/>
          <w:lang w:val="en-US" w:eastAsia="en-US"/>
        </w:rPr>
        <w:t xml:space="preserve">Correspondence to: Rubén López-Bueno, Department of Physical Medicine and Nursing, University of Zaragoza, no number Domingo </w:t>
      </w:r>
      <w:proofErr w:type="spellStart"/>
      <w:r w:rsidRPr="001E5217">
        <w:rPr>
          <w:rFonts w:eastAsiaTheme="minorHAnsi"/>
          <w:lang w:val="en-US" w:eastAsia="en-US"/>
        </w:rPr>
        <w:t>Miral</w:t>
      </w:r>
      <w:proofErr w:type="spellEnd"/>
      <w:r w:rsidRPr="001E5217">
        <w:rPr>
          <w:rFonts w:eastAsiaTheme="minorHAnsi"/>
          <w:lang w:val="en-US" w:eastAsia="en-US"/>
        </w:rPr>
        <w:t>, Zaragoza, 50009, Spain. [E-mail: rlopezbu@unizar.es]</w:t>
      </w:r>
    </w:p>
    <w:p w14:paraId="6C1E2944" w14:textId="072C2C8B" w:rsidR="00BA4F12" w:rsidRDefault="00BA4F12" w:rsidP="00BA4F12">
      <w:pPr>
        <w:spacing w:after="160" w:line="480" w:lineRule="auto"/>
        <w:jc w:val="both"/>
        <w:rPr>
          <w:rFonts w:eastAsiaTheme="minorHAnsi"/>
          <w:lang w:val="en-US" w:eastAsia="en-US"/>
        </w:rPr>
      </w:pPr>
      <w:r w:rsidRPr="001E5217">
        <w:rPr>
          <w:rFonts w:eastAsiaTheme="minorHAnsi"/>
          <w:b/>
          <w:lang w:val="en-US" w:eastAsia="en-US"/>
        </w:rPr>
        <w:t>Word count</w:t>
      </w:r>
      <w:r w:rsidRPr="001E5217">
        <w:rPr>
          <w:rFonts w:eastAsiaTheme="minorHAnsi"/>
          <w:lang w:val="en-US" w:eastAsia="en-US"/>
        </w:rPr>
        <w:t xml:space="preserve">: </w:t>
      </w:r>
      <w:r>
        <w:rPr>
          <w:rFonts w:eastAsiaTheme="minorHAnsi"/>
          <w:lang w:val="en-US" w:eastAsia="en-US"/>
        </w:rPr>
        <w:t>2</w:t>
      </w:r>
      <w:r w:rsidRPr="001E5217">
        <w:rPr>
          <w:rFonts w:eastAsiaTheme="minorHAnsi"/>
          <w:lang w:val="en-US" w:eastAsia="en-US"/>
        </w:rPr>
        <w:t>,</w:t>
      </w:r>
      <w:r w:rsidR="005C6C98">
        <w:rPr>
          <w:rFonts w:eastAsiaTheme="minorHAnsi"/>
          <w:lang w:val="en-US" w:eastAsia="en-US"/>
        </w:rPr>
        <w:t>764</w:t>
      </w:r>
    </w:p>
    <w:p w14:paraId="5C22056B" w14:textId="44B58060" w:rsidR="00BA4F12" w:rsidRPr="001E5217" w:rsidRDefault="00BA4F12" w:rsidP="00BA4F12">
      <w:pPr>
        <w:spacing w:after="160" w:line="480" w:lineRule="auto"/>
        <w:jc w:val="both"/>
        <w:rPr>
          <w:rFonts w:eastAsiaTheme="minorHAnsi"/>
          <w:lang w:val="en-US" w:eastAsia="en-US"/>
        </w:rPr>
      </w:pPr>
      <w:r w:rsidRPr="00767E40">
        <w:rPr>
          <w:rFonts w:eastAsiaTheme="minorHAnsi"/>
          <w:b/>
          <w:lang w:val="en-US" w:eastAsia="en-US"/>
        </w:rPr>
        <w:t xml:space="preserve">Abstract word count: </w:t>
      </w:r>
      <w:r>
        <w:rPr>
          <w:rFonts w:eastAsiaTheme="minorHAnsi"/>
          <w:lang w:val="en-US" w:eastAsia="en-US"/>
        </w:rPr>
        <w:t>2</w:t>
      </w:r>
      <w:r w:rsidR="004B717C">
        <w:rPr>
          <w:rFonts w:eastAsiaTheme="minorHAnsi"/>
          <w:lang w:val="en-US" w:eastAsia="en-US"/>
        </w:rPr>
        <w:t>50</w:t>
      </w:r>
    </w:p>
    <w:p w14:paraId="2036D37B" w14:textId="020ABF57" w:rsidR="00BA4F12" w:rsidRPr="001E5217" w:rsidRDefault="00BA4F12" w:rsidP="00BA4F12">
      <w:pPr>
        <w:spacing w:after="160" w:line="480" w:lineRule="auto"/>
        <w:jc w:val="both"/>
        <w:rPr>
          <w:rFonts w:eastAsiaTheme="minorHAnsi"/>
          <w:b/>
          <w:lang w:val="en-US" w:eastAsia="en-US"/>
        </w:rPr>
      </w:pPr>
      <w:r w:rsidRPr="001E5217">
        <w:rPr>
          <w:rFonts w:eastAsiaTheme="minorHAnsi"/>
          <w:b/>
          <w:lang w:val="en-US" w:eastAsia="en-US"/>
        </w:rPr>
        <w:lastRenderedPageBreak/>
        <w:t xml:space="preserve">References: </w:t>
      </w:r>
      <w:r>
        <w:rPr>
          <w:rFonts w:eastAsiaTheme="minorHAnsi"/>
          <w:lang w:val="en-US" w:eastAsia="en-US"/>
        </w:rPr>
        <w:t>3</w:t>
      </w:r>
      <w:r w:rsidR="00B94CCC">
        <w:rPr>
          <w:rFonts w:eastAsiaTheme="minorHAnsi"/>
          <w:lang w:val="en-US" w:eastAsia="en-US"/>
        </w:rPr>
        <w:t>5</w:t>
      </w:r>
    </w:p>
    <w:p w14:paraId="725BE7F4" w14:textId="715B25A0" w:rsidR="00BA4F12" w:rsidRPr="001E5217" w:rsidRDefault="00BA4F12" w:rsidP="00BA4F12">
      <w:pPr>
        <w:spacing w:after="160" w:line="480" w:lineRule="auto"/>
        <w:jc w:val="both"/>
        <w:rPr>
          <w:rFonts w:eastAsiaTheme="minorHAnsi"/>
          <w:lang w:val="en-US" w:eastAsia="en-US"/>
        </w:rPr>
      </w:pPr>
      <w:r w:rsidRPr="001E5217">
        <w:rPr>
          <w:rFonts w:eastAsiaTheme="minorHAnsi"/>
          <w:b/>
          <w:lang w:val="en-US" w:eastAsia="en-US"/>
        </w:rPr>
        <w:t xml:space="preserve">Number of tables: </w:t>
      </w:r>
      <w:r w:rsidR="00B94CCC">
        <w:rPr>
          <w:rFonts w:eastAsiaTheme="minorHAnsi"/>
          <w:lang w:val="en-US" w:eastAsia="en-US"/>
        </w:rPr>
        <w:t>4</w:t>
      </w:r>
    </w:p>
    <w:p w14:paraId="4ADE666A" w14:textId="77777777" w:rsidR="00BA4F12" w:rsidRPr="001E5217" w:rsidRDefault="00BA4F12" w:rsidP="00BA4F12">
      <w:pPr>
        <w:spacing w:after="160" w:line="480" w:lineRule="auto"/>
        <w:jc w:val="both"/>
        <w:rPr>
          <w:rFonts w:eastAsiaTheme="minorHAnsi"/>
          <w:lang w:val="en-US" w:eastAsia="en-US"/>
        </w:rPr>
      </w:pPr>
      <w:r w:rsidRPr="001E5217">
        <w:rPr>
          <w:rFonts w:eastAsiaTheme="minorHAnsi"/>
          <w:b/>
          <w:lang w:val="en-US" w:eastAsia="en-US"/>
        </w:rPr>
        <w:t>Number of figures:</w:t>
      </w:r>
      <w:r w:rsidRPr="001E5217">
        <w:rPr>
          <w:rFonts w:eastAsiaTheme="minorHAnsi"/>
          <w:lang w:val="en-US" w:eastAsia="en-US"/>
        </w:rPr>
        <w:t xml:space="preserve"> 0</w:t>
      </w:r>
    </w:p>
    <w:p w14:paraId="510BC434" w14:textId="77777777" w:rsidR="00BA4F12" w:rsidRDefault="00BA4F12" w:rsidP="00BA4F12">
      <w:pPr>
        <w:spacing w:line="480" w:lineRule="auto"/>
        <w:jc w:val="both"/>
        <w:rPr>
          <w:b/>
          <w:lang w:val="en-US"/>
        </w:rPr>
      </w:pPr>
      <w:r w:rsidRPr="001E5217">
        <w:rPr>
          <w:b/>
          <w:lang w:val="en-US"/>
        </w:rPr>
        <w:t>Author contributions</w:t>
      </w:r>
    </w:p>
    <w:p w14:paraId="4B72D49C" w14:textId="77777777" w:rsidR="00BA4F12" w:rsidRDefault="00BA4F12" w:rsidP="00BA4F12">
      <w:pPr>
        <w:spacing w:line="480" w:lineRule="auto"/>
        <w:jc w:val="both"/>
        <w:rPr>
          <w:lang w:val="en-US"/>
        </w:rPr>
      </w:pPr>
      <w:r w:rsidRPr="00DF68D5">
        <w:rPr>
          <w:lang w:val="en-US"/>
        </w:rPr>
        <w:t>Author contributions LLA, JAC, JC, LS, RB, GLS and RLB designed the study. RLB and GLS performed statistical analyses. RLB drafted the manuscript and LLA, JAC, JC, LS, RB, GLS provided feedback. All authors approved the final article.</w:t>
      </w:r>
    </w:p>
    <w:p w14:paraId="0F5336B9" w14:textId="77777777" w:rsidR="00BA4F12" w:rsidRDefault="00BA4F12" w:rsidP="00BA4F12">
      <w:pPr>
        <w:spacing w:line="480" w:lineRule="auto"/>
        <w:jc w:val="both"/>
        <w:rPr>
          <w:b/>
          <w:lang w:val="en-US"/>
        </w:rPr>
      </w:pPr>
      <w:r w:rsidRPr="001E5217">
        <w:rPr>
          <w:b/>
          <w:lang w:val="en-US"/>
        </w:rPr>
        <w:t>Ava</w:t>
      </w:r>
      <w:r>
        <w:rPr>
          <w:b/>
          <w:lang w:val="en-US"/>
        </w:rPr>
        <w:t>ilability of data and materials</w:t>
      </w:r>
    </w:p>
    <w:p w14:paraId="066706B7" w14:textId="77777777" w:rsidR="00BA4F12" w:rsidRPr="00A75702" w:rsidRDefault="00BA4F12" w:rsidP="00BA4F12">
      <w:pPr>
        <w:spacing w:line="480" w:lineRule="auto"/>
        <w:rPr>
          <w:b/>
          <w:lang w:val="en-US"/>
        </w:rPr>
      </w:pPr>
      <w:r>
        <w:rPr>
          <w:lang w:val="en-US"/>
        </w:rPr>
        <w:t xml:space="preserve">Data are free available from </w:t>
      </w:r>
      <w:r w:rsidRPr="00D1262D">
        <w:rPr>
          <w:lang w:val="en-US"/>
        </w:rPr>
        <w:t>https://www.mscbs.gob.es/estadEstudios/estadisticas/encuestaNacional/home.htm</w:t>
      </w:r>
    </w:p>
    <w:p w14:paraId="125D3A0E" w14:textId="77777777" w:rsidR="00BA4F12" w:rsidRPr="00BA4F12" w:rsidRDefault="00BA4F12" w:rsidP="006B3578">
      <w:pPr>
        <w:spacing w:after="160" w:line="480" w:lineRule="auto"/>
        <w:jc w:val="both"/>
        <w:rPr>
          <w:rFonts w:eastAsia="Calibri"/>
          <w:b/>
          <w:sz w:val="28"/>
          <w:szCs w:val="28"/>
          <w:lang w:val="en-US" w:eastAsia="en-US"/>
        </w:rPr>
      </w:pPr>
    </w:p>
    <w:p w14:paraId="1D88E9A7" w14:textId="77777777" w:rsidR="00BA4F12" w:rsidRDefault="00BA4F12" w:rsidP="006B3578">
      <w:pPr>
        <w:spacing w:after="160" w:line="480" w:lineRule="auto"/>
        <w:jc w:val="both"/>
        <w:rPr>
          <w:rFonts w:eastAsia="Calibri"/>
          <w:b/>
          <w:sz w:val="28"/>
          <w:szCs w:val="28"/>
          <w:lang w:val="en-GB" w:eastAsia="en-US"/>
        </w:rPr>
      </w:pPr>
    </w:p>
    <w:p w14:paraId="287878D9" w14:textId="77777777" w:rsidR="00BA4F12" w:rsidRDefault="00BA4F12" w:rsidP="006B3578">
      <w:pPr>
        <w:spacing w:after="160" w:line="480" w:lineRule="auto"/>
        <w:jc w:val="both"/>
        <w:rPr>
          <w:rFonts w:eastAsia="Calibri"/>
          <w:b/>
          <w:sz w:val="28"/>
          <w:szCs w:val="28"/>
          <w:lang w:val="en-GB" w:eastAsia="en-US"/>
        </w:rPr>
      </w:pPr>
    </w:p>
    <w:p w14:paraId="30C0D3C1" w14:textId="77777777" w:rsidR="00BA4F12" w:rsidRDefault="00BA4F12" w:rsidP="006B3578">
      <w:pPr>
        <w:spacing w:after="160" w:line="480" w:lineRule="auto"/>
        <w:jc w:val="both"/>
        <w:rPr>
          <w:rFonts w:eastAsia="Calibri"/>
          <w:b/>
          <w:sz w:val="28"/>
          <w:szCs w:val="28"/>
          <w:lang w:val="en-GB" w:eastAsia="en-US"/>
        </w:rPr>
      </w:pPr>
    </w:p>
    <w:p w14:paraId="7088726B" w14:textId="77777777" w:rsidR="00BA4F12" w:rsidRDefault="00BA4F12" w:rsidP="006B3578">
      <w:pPr>
        <w:spacing w:after="160" w:line="480" w:lineRule="auto"/>
        <w:jc w:val="both"/>
        <w:rPr>
          <w:rFonts w:eastAsia="Calibri"/>
          <w:b/>
          <w:sz w:val="28"/>
          <w:szCs w:val="28"/>
          <w:lang w:val="en-GB" w:eastAsia="en-US"/>
        </w:rPr>
      </w:pPr>
    </w:p>
    <w:p w14:paraId="3D9A74DF" w14:textId="77777777" w:rsidR="00BA4F12" w:rsidRDefault="00BA4F12" w:rsidP="006B3578">
      <w:pPr>
        <w:spacing w:after="160" w:line="480" w:lineRule="auto"/>
        <w:jc w:val="both"/>
        <w:rPr>
          <w:rFonts w:eastAsia="Calibri"/>
          <w:b/>
          <w:sz w:val="28"/>
          <w:szCs w:val="28"/>
          <w:lang w:val="en-GB" w:eastAsia="en-US"/>
        </w:rPr>
      </w:pPr>
    </w:p>
    <w:p w14:paraId="69826E8B" w14:textId="77777777" w:rsidR="00BA4F12" w:rsidRDefault="00BA4F12" w:rsidP="006B3578">
      <w:pPr>
        <w:spacing w:after="160" w:line="480" w:lineRule="auto"/>
        <w:jc w:val="both"/>
        <w:rPr>
          <w:rFonts w:eastAsia="Calibri"/>
          <w:b/>
          <w:sz w:val="28"/>
          <w:szCs w:val="28"/>
          <w:lang w:val="en-GB" w:eastAsia="en-US"/>
        </w:rPr>
      </w:pPr>
    </w:p>
    <w:p w14:paraId="043D920B" w14:textId="77777777" w:rsidR="00BA4F12" w:rsidRDefault="00BA4F12" w:rsidP="006B3578">
      <w:pPr>
        <w:spacing w:after="160" w:line="480" w:lineRule="auto"/>
        <w:jc w:val="both"/>
        <w:rPr>
          <w:rFonts w:eastAsia="Calibri"/>
          <w:b/>
          <w:sz w:val="28"/>
          <w:szCs w:val="28"/>
          <w:lang w:val="en-GB" w:eastAsia="en-US"/>
        </w:rPr>
      </w:pPr>
    </w:p>
    <w:p w14:paraId="0A2C3D29" w14:textId="77777777" w:rsidR="00AA65E5" w:rsidRDefault="00AA65E5" w:rsidP="006B3578">
      <w:pPr>
        <w:spacing w:after="160" w:line="480" w:lineRule="auto"/>
        <w:jc w:val="both"/>
        <w:rPr>
          <w:rFonts w:eastAsia="Calibri"/>
          <w:b/>
          <w:sz w:val="28"/>
          <w:szCs w:val="28"/>
          <w:lang w:val="en-GB" w:eastAsia="en-US"/>
        </w:rPr>
      </w:pPr>
    </w:p>
    <w:p w14:paraId="49186891" w14:textId="77777777" w:rsidR="00BA4F12" w:rsidRDefault="00BA4F12" w:rsidP="006B3578">
      <w:pPr>
        <w:spacing w:after="160" w:line="480" w:lineRule="auto"/>
        <w:jc w:val="both"/>
        <w:rPr>
          <w:rFonts w:eastAsia="Calibri"/>
          <w:b/>
          <w:sz w:val="28"/>
          <w:szCs w:val="28"/>
          <w:lang w:val="en-GB" w:eastAsia="en-US"/>
        </w:rPr>
      </w:pPr>
    </w:p>
    <w:p w14:paraId="74EC6433" w14:textId="5615F159" w:rsidR="00D23784" w:rsidRDefault="004D29E6" w:rsidP="006B3578">
      <w:pPr>
        <w:spacing w:after="160" w:line="480" w:lineRule="auto"/>
        <w:jc w:val="both"/>
        <w:rPr>
          <w:rFonts w:eastAsia="Calibri"/>
          <w:b/>
          <w:sz w:val="28"/>
          <w:szCs w:val="28"/>
          <w:lang w:val="en-GB" w:eastAsia="en-US"/>
        </w:rPr>
      </w:pPr>
      <w:r w:rsidRPr="004D29E6">
        <w:rPr>
          <w:rFonts w:eastAsia="Calibri"/>
          <w:b/>
          <w:sz w:val="28"/>
          <w:szCs w:val="28"/>
          <w:lang w:val="en-GB" w:eastAsia="en-US"/>
        </w:rPr>
        <w:lastRenderedPageBreak/>
        <w:t xml:space="preserve">Lower physical activity is associated with higher odds of chronic </w:t>
      </w:r>
      <w:r w:rsidR="00605F27">
        <w:rPr>
          <w:rFonts w:eastAsia="Calibri"/>
          <w:b/>
          <w:sz w:val="28"/>
          <w:szCs w:val="28"/>
          <w:lang w:val="en-GB" w:eastAsia="en-US"/>
        </w:rPr>
        <w:t>condition</w:t>
      </w:r>
      <w:r w:rsidR="00E8016F">
        <w:rPr>
          <w:rFonts w:eastAsia="Calibri"/>
          <w:b/>
          <w:sz w:val="28"/>
          <w:szCs w:val="28"/>
          <w:lang w:val="en-GB" w:eastAsia="en-US"/>
        </w:rPr>
        <w:t>s</w:t>
      </w:r>
      <w:r w:rsidRPr="004D29E6">
        <w:rPr>
          <w:rFonts w:eastAsia="Calibri"/>
          <w:b/>
          <w:sz w:val="28"/>
          <w:szCs w:val="28"/>
          <w:lang w:val="en-GB" w:eastAsia="en-US"/>
        </w:rPr>
        <w:t xml:space="preserve"> among the Spanish workforce</w:t>
      </w:r>
      <w:r w:rsidRPr="004D29E6" w:rsidDel="004D29E6">
        <w:rPr>
          <w:rFonts w:eastAsia="Calibri"/>
          <w:b/>
          <w:sz w:val="28"/>
          <w:szCs w:val="28"/>
          <w:lang w:val="en-GB" w:eastAsia="en-US"/>
        </w:rPr>
        <w:t xml:space="preserve"> </w:t>
      </w:r>
    </w:p>
    <w:p w14:paraId="67A43055" w14:textId="3C5C2CD6" w:rsidR="00B1644D" w:rsidRPr="00475EEE" w:rsidRDefault="00733C2C" w:rsidP="006B3578">
      <w:pPr>
        <w:spacing w:after="160" w:line="480" w:lineRule="auto"/>
        <w:jc w:val="both"/>
        <w:rPr>
          <w:rFonts w:eastAsia="Calibri"/>
          <w:b/>
          <w:sz w:val="28"/>
          <w:szCs w:val="28"/>
          <w:lang w:val="en-GB" w:eastAsia="en-US"/>
        </w:rPr>
      </w:pPr>
      <w:r w:rsidRPr="00475EEE">
        <w:rPr>
          <w:rFonts w:eastAsia="Calibri"/>
          <w:b/>
          <w:sz w:val="28"/>
          <w:szCs w:val="28"/>
          <w:lang w:val="en-GB" w:eastAsia="en-US"/>
        </w:rPr>
        <w:t>Abstract</w:t>
      </w:r>
    </w:p>
    <w:p w14:paraId="04011EE9" w14:textId="3C35E361" w:rsidR="00475EEE" w:rsidRDefault="00540DF1" w:rsidP="006B3578">
      <w:pPr>
        <w:spacing w:after="160" w:line="480" w:lineRule="auto"/>
        <w:jc w:val="both"/>
        <w:rPr>
          <w:rFonts w:eastAsiaTheme="minorHAnsi"/>
          <w:b/>
          <w:lang w:val="en-US" w:eastAsia="en-US"/>
        </w:rPr>
      </w:pPr>
      <w:r>
        <w:rPr>
          <w:rFonts w:eastAsiaTheme="minorHAnsi"/>
          <w:b/>
          <w:lang w:val="en-US" w:eastAsia="en-US"/>
        </w:rPr>
        <w:t>Introduction</w:t>
      </w:r>
    </w:p>
    <w:p w14:paraId="0F215460" w14:textId="036DD5A6" w:rsidR="00733C2C" w:rsidRPr="00475EEE" w:rsidRDefault="00C15659" w:rsidP="006B3578">
      <w:pPr>
        <w:spacing w:after="160" w:line="480" w:lineRule="auto"/>
        <w:jc w:val="both"/>
        <w:rPr>
          <w:rFonts w:eastAsiaTheme="minorHAnsi"/>
          <w:lang w:val="en-US" w:eastAsia="en-US"/>
        </w:rPr>
      </w:pPr>
      <w:r w:rsidRPr="00475EEE">
        <w:rPr>
          <w:rFonts w:eastAsiaTheme="minorHAnsi"/>
          <w:lang w:val="en-US" w:eastAsia="en-US"/>
        </w:rPr>
        <w:t xml:space="preserve">Prevention of chronic </w:t>
      </w:r>
      <w:r w:rsidR="00E8016F">
        <w:rPr>
          <w:rFonts w:eastAsiaTheme="minorHAnsi"/>
          <w:lang w:val="en-US" w:eastAsia="en-US"/>
        </w:rPr>
        <w:t>conditions</w:t>
      </w:r>
      <w:r w:rsidR="00E8016F" w:rsidRPr="00475EEE">
        <w:rPr>
          <w:rFonts w:eastAsiaTheme="minorHAnsi"/>
          <w:lang w:val="en-US" w:eastAsia="en-US"/>
        </w:rPr>
        <w:t xml:space="preserve"> </w:t>
      </w:r>
      <w:r w:rsidRPr="00475EEE">
        <w:rPr>
          <w:rFonts w:eastAsiaTheme="minorHAnsi"/>
          <w:lang w:val="en-US" w:eastAsia="en-US"/>
        </w:rPr>
        <w:t xml:space="preserve">among the workforce is a major public health challenge, and achieving minimum </w:t>
      </w:r>
      <w:r w:rsidR="00681DB5" w:rsidRPr="00475EEE">
        <w:rPr>
          <w:rFonts w:eastAsiaTheme="minorHAnsi"/>
          <w:lang w:val="en-US" w:eastAsia="en-US"/>
        </w:rPr>
        <w:t xml:space="preserve">recommended </w:t>
      </w:r>
      <w:r w:rsidRPr="00475EEE">
        <w:rPr>
          <w:rFonts w:eastAsiaTheme="minorHAnsi"/>
          <w:lang w:val="en-US" w:eastAsia="en-US"/>
        </w:rPr>
        <w:t xml:space="preserve">levels of physical activity (PA) </w:t>
      </w:r>
      <w:r w:rsidR="00681DB5" w:rsidRPr="00475EEE">
        <w:rPr>
          <w:rFonts w:eastAsiaTheme="minorHAnsi"/>
          <w:lang w:val="en-US" w:eastAsia="en-US"/>
        </w:rPr>
        <w:t xml:space="preserve">aids </w:t>
      </w:r>
      <w:r w:rsidR="00E8016F">
        <w:rPr>
          <w:rFonts w:eastAsiaTheme="minorHAnsi"/>
          <w:lang w:val="en-US" w:eastAsia="en-US"/>
        </w:rPr>
        <w:t>in this objective</w:t>
      </w:r>
      <w:r w:rsidR="00681DB5" w:rsidRPr="00475EEE">
        <w:rPr>
          <w:rFonts w:eastAsiaTheme="minorHAnsi"/>
          <w:lang w:val="en-US" w:eastAsia="en-US"/>
        </w:rPr>
        <w:t>.</w:t>
      </w:r>
      <w:r w:rsidRPr="00475EEE">
        <w:rPr>
          <w:rFonts w:eastAsiaTheme="minorHAnsi"/>
          <w:lang w:val="en-US" w:eastAsia="en-US"/>
        </w:rPr>
        <w:t xml:space="preserve"> </w:t>
      </w:r>
      <w:r w:rsidR="00075E5D" w:rsidRPr="00475EEE">
        <w:rPr>
          <w:rFonts w:eastAsiaTheme="minorHAnsi"/>
          <w:lang w:val="en-US" w:eastAsia="en-US"/>
        </w:rPr>
        <w:t>The</w:t>
      </w:r>
      <w:r w:rsidR="00AF0276" w:rsidRPr="00475EEE">
        <w:rPr>
          <w:rFonts w:eastAsiaTheme="minorHAnsi"/>
          <w:lang w:val="en-US" w:eastAsia="en-US"/>
        </w:rPr>
        <w:t xml:space="preserve"> aim </w:t>
      </w:r>
      <w:r w:rsidR="00075E5D" w:rsidRPr="00475EEE">
        <w:rPr>
          <w:rFonts w:eastAsiaTheme="minorHAnsi"/>
          <w:lang w:val="en-US" w:eastAsia="en-US"/>
        </w:rPr>
        <w:t xml:space="preserve">of the present study </w:t>
      </w:r>
      <w:r w:rsidR="00AF0276" w:rsidRPr="00475EEE">
        <w:rPr>
          <w:rFonts w:eastAsiaTheme="minorHAnsi"/>
          <w:lang w:val="en-US" w:eastAsia="en-US"/>
        </w:rPr>
        <w:t xml:space="preserve">was to investigate </w:t>
      </w:r>
      <w:r w:rsidR="004B717C">
        <w:rPr>
          <w:rFonts w:eastAsiaTheme="minorHAnsi"/>
          <w:lang w:val="en-US" w:eastAsia="en-US"/>
        </w:rPr>
        <w:t>if</w:t>
      </w:r>
      <w:r w:rsidR="0070289B">
        <w:rPr>
          <w:rFonts w:eastAsiaTheme="minorHAnsi"/>
          <w:lang w:val="en-US" w:eastAsia="en-US"/>
        </w:rPr>
        <w:t xml:space="preserve"> </w:t>
      </w:r>
      <w:r w:rsidR="00AF0276" w:rsidRPr="00475EEE">
        <w:rPr>
          <w:rFonts w:eastAsiaTheme="minorHAnsi"/>
          <w:lang w:val="en-US" w:eastAsia="en-US"/>
        </w:rPr>
        <w:t xml:space="preserve">levels of PA were associated with </w:t>
      </w:r>
      <w:r w:rsidR="00204034">
        <w:rPr>
          <w:rFonts w:eastAsiaTheme="minorHAnsi"/>
          <w:lang w:val="en-US" w:eastAsia="en-US"/>
        </w:rPr>
        <w:t xml:space="preserve">the </w:t>
      </w:r>
      <w:r w:rsidR="001C2811" w:rsidRPr="00475EEE">
        <w:rPr>
          <w:rFonts w:eastAsiaTheme="minorHAnsi"/>
          <w:lang w:val="en-US" w:eastAsia="en-US"/>
        </w:rPr>
        <w:t xml:space="preserve">prevalence of common </w:t>
      </w:r>
      <w:r w:rsidR="00AF0276" w:rsidRPr="00475EEE">
        <w:rPr>
          <w:rFonts w:eastAsiaTheme="minorHAnsi"/>
          <w:lang w:val="en-US" w:eastAsia="en-US"/>
        </w:rPr>
        <w:t xml:space="preserve">chronic </w:t>
      </w:r>
      <w:r w:rsidR="00E8016F">
        <w:rPr>
          <w:rFonts w:eastAsiaTheme="minorHAnsi"/>
          <w:lang w:val="en-US" w:eastAsia="en-US"/>
        </w:rPr>
        <w:t>conditions</w:t>
      </w:r>
      <w:r w:rsidR="00E8016F" w:rsidRPr="00475EEE">
        <w:rPr>
          <w:rFonts w:eastAsiaTheme="minorHAnsi"/>
          <w:lang w:val="en-US" w:eastAsia="en-US"/>
        </w:rPr>
        <w:t xml:space="preserve"> </w:t>
      </w:r>
      <w:r w:rsidR="00AF0276" w:rsidRPr="00475EEE">
        <w:rPr>
          <w:rFonts w:eastAsiaTheme="minorHAnsi"/>
          <w:lang w:val="en-US" w:eastAsia="en-US"/>
        </w:rPr>
        <w:t>among the</w:t>
      </w:r>
      <w:r w:rsidR="001C2811" w:rsidRPr="00475EEE">
        <w:rPr>
          <w:rFonts w:eastAsiaTheme="minorHAnsi"/>
          <w:lang w:val="en-US" w:eastAsia="en-US"/>
        </w:rPr>
        <w:t xml:space="preserve"> </w:t>
      </w:r>
      <w:r w:rsidR="00733C2C" w:rsidRPr="00475EEE">
        <w:rPr>
          <w:rFonts w:eastAsiaTheme="minorHAnsi"/>
          <w:lang w:val="en-US" w:eastAsia="en-US"/>
        </w:rPr>
        <w:t xml:space="preserve">workforce. </w:t>
      </w:r>
    </w:p>
    <w:p w14:paraId="5D7ADB19" w14:textId="77777777" w:rsidR="00475EEE" w:rsidRDefault="00976200" w:rsidP="006B3578">
      <w:pPr>
        <w:spacing w:after="160" w:line="480" w:lineRule="auto"/>
        <w:jc w:val="both"/>
        <w:rPr>
          <w:rFonts w:eastAsiaTheme="minorHAnsi"/>
          <w:lang w:val="en-US" w:eastAsia="en-US"/>
        </w:rPr>
      </w:pPr>
      <w:r w:rsidRPr="00475EEE">
        <w:rPr>
          <w:rFonts w:eastAsiaTheme="minorHAnsi"/>
          <w:b/>
          <w:lang w:val="en-US" w:eastAsia="en-US"/>
        </w:rPr>
        <w:t>Methods</w:t>
      </w:r>
    </w:p>
    <w:p w14:paraId="770F7933" w14:textId="7F423534" w:rsidR="00733C2C" w:rsidRPr="00D15C3A" w:rsidRDefault="00C15659" w:rsidP="006B3578">
      <w:pPr>
        <w:spacing w:after="160" w:line="480" w:lineRule="auto"/>
        <w:jc w:val="both"/>
        <w:rPr>
          <w:rFonts w:eastAsiaTheme="minorHAnsi"/>
          <w:shd w:val="clear" w:color="auto" w:fill="FFFFFF"/>
          <w:lang w:val="en-US" w:eastAsia="en-US"/>
        </w:rPr>
      </w:pPr>
      <w:r w:rsidRPr="00D15C3A">
        <w:rPr>
          <w:rFonts w:eastAsiaTheme="minorHAnsi"/>
          <w:shd w:val="clear" w:color="auto" w:fill="FFFFFF"/>
          <w:lang w:val="en-US" w:eastAsia="en-US"/>
        </w:rPr>
        <w:t xml:space="preserve">We </w:t>
      </w:r>
      <w:r w:rsidR="00CA6524" w:rsidRPr="00D15C3A">
        <w:rPr>
          <w:rFonts w:eastAsiaTheme="minorHAnsi"/>
          <w:shd w:val="clear" w:color="auto" w:fill="FFFFFF"/>
          <w:lang w:val="en-US" w:eastAsia="en-US"/>
        </w:rPr>
        <w:t>retrieved</w:t>
      </w:r>
      <w:r w:rsidRPr="00D15C3A">
        <w:rPr>
          <w:rFonts w:eastAsiaTheme="minorHAnsi"/>
          <w:shd w:val="clear" w:color="auto" w:fill="FFFFFF"/>
          <w:lang w:val="en-US" w:eastAsia="en-US"/>
        </w:rPr>
        <w:t xml:space="preserve"> data from the Spanish National Health Survey 2017 (n = 9</w:t>
      </w:r>
      <w:r w:rsidR="00611A0C">
        <w:rPr>
          <w:rFonts w:eastAsiaTheme="minorHAnsi"/>
          <w:shd w:val="clear" w:color="auto" w:fill="FFFFFF"/>
          <w:lang w:val="en-US" w:eastAsia="en-US"/>
        </w:rPr>
        <w:t>695</w:t>
      </w:r>
      <w:r w:rsidRPr="00D15C3A">
        <w:rPr>
          <w:rFonts w:eastAsiaTheme="minorHAnsi"/>
          <w:shd w:val="clear" w:color="auto" w:fill="FFFFFF"/>
          <w:lang w:val="en-US" w:eastAsia="en-US"/>
        </w:rPr>
        <w:t xml:space="preserve">) </w:t>
      </w:r>
      <w:r w:rsidR="00CA6524" w:rsidRPr="00D15C3A">
        <w:rPr>
          <w:rFonts w:eastAsiaTheme="minorHAnsi"/>
          <w:shd w:val="clear" w:color="auto" w:fill="FFFFFF"/>
          <w:lang w:val="en-US" w:eastAsia="en-US"/>
        </w:rPr>
        <w:t>in which</w:t>
      </w:r>
      <w:r w:rsidR="001118D0" w:rsidRPr="00D15C3A">
        <w:rPr>
          <w:rFonts w:eastAsiaTheme="minorHAnsi"/>
          <w:shd w:val="clear" w:color="auto" w:fill="FFFFFF"/>
          <w:lang w:val="en-US" w:eastAsia="en-US"/>
        </w:rPr>
        <w:t xml:space="preserve"> mean</w:t>
      </w:r>
      <w:r w:rsidR="00CA6524" w:rsidRPr="00D15C3A">
        <w:rPr>
          <w:rFonts w:eastAsiaTheme="minorHAnsi"/>
          <w:shd w:val="clear" w:color="auto" w:fill="FFFFFF"/>
          <w:lang w:val="en-US" w:eastAsia="en-US"/>
        </w:rPr>
        <w:t xml:space="preserve"> age</w:t>
      </w:r>
      <w:r w:rsidR="001118D0" w:rsidRPr="00D15C3A">
        <w:rPr>
          <w:rFonts w:eastAsiaTheme="minorHAnsi"/>
          <w:shd w:val="clear" w:color="auto" w:fill="FFFFFF"/>
          <w:lang w:val="en-US" w:eastAsia="en-US"/>
        </w:rPr>
        <w:t xml:space="preserve"> </w:t>
      </w:r>
      <w:r w:rsidR="00F26FA5" w:rsidRPr="00D15C3A">
        <w:rPr>
          <w:rFonts w:eastAsiaTheme="minorHAnsi"/>
          <w:shd w:val="clear" w:color="auto" w:fill="FFFFFF"/>
          <w:lang w:val="en-US" w:eastAsia="en-US"/>
        </w:rPr>
        <w:t xml:space="preserve">of participants </w:t>
      </w:r>
      <w:r w:rsidR="001118D0" w:rsidRPr="00D15C3A">
        <w:rPr>
          <w:rFonts w:eastAsiaTheme="minorHAnsi"/>
          <w:shd w:val="clear" w:color="auto" w:fill="FFFFFF"/>
          <w:lang w:val="en-US" w:eastAsia="en-US"/>
        </w:rPr>
        <w:t>was</w:t>
      </w:r>
      <w:r w:rsidR="00CA6524" w:rsidRPr="00D15C3A">
        <w:rPr>
          <w:rFonts w:eastAsiaTheme="minorHAnsi"/>
          <w:shd w:val="clear" w:color="auto" w:fill="FFFFFF"/>
          <w:lang w:val="en-US" w:eastAsia="en-US"/>
        </w:rPr>
        <w:t xml:space="preserve"> 44.4 (</w:t>
      </w:r>
      <w:r w:rsidR="00750B5D">
        <w:rPr>
          <w:rFonts w:eastAsiaTheme="minorHAnsi"/>
          <w:shd w:val="clear" w:color="auto" w:fill="FFFFFF"/>
          <w:lang w:val="en-US" w:eastAsia="en-US"/>
        </w:rPr>
        <w:t>SD</w:t>
      </w:r>
      <w:r w:rsidR="0031189F">
        <w:rPr>
          <w:rFonts w:eastAsiaTheme="minorHAnsi"/>
          <w:shd w:val="clear" w:color="auto" w:fill="FFFFFF"/>
          <w:lang w:val="en-US" w:eastAsia="en-US"/>
        </w:rPr>
        <w:t>,</w:t>
      </w:r>
      <w:r w:rsidR="00750B5D">
        <w:rPr>
          <w:rFonts w:eastAsiaTheme="minorHAnsi"/>
          <w:shd w:val="clear" w:color="auto" w:fill="FFFFFF"/>
          <w:lang w:val="en-US" w:eastAsia="en-US"/>
        </w:rPr>
        <w:t xml:space="preserve"> </w:t>
      </w:r>
      <w:r w:rsidRPr="00D15C3A">
        <w:rPr>
          <w:rFonts w:eastAsiaTheme="minorHAnsi"/>
          <w:shd w:val="clear" w:color="auto" w:fill="FFFFFF"/>
          <w:lang w:val="en-US" w:eastAsia="en-US"/>
        </w:rPr>
        <w:t>10.4</w:t>
      </w:r>
      <w:r w:rsidR="00CA6524" w:rsidRPr="00D15C3A">
        <w:rPr>
          <w:rFonts w:eastAsiaTheme="minorHAnsi"/>
          <w:shd w:val="clear" w:color="auto" w:fill="FFFFFF"/>
          <w:lang w:val="en-US" w:eastAsia="en-US"/>
        </w:rPr>
        <w:t>) years and</w:t>
      </w:r>
      <w:r w:rsidRPr="00D15C3A">
        <w:rPr>
          <w:rFonts w:eastAsiaTheme="minorHAnsi"/>
          <w:shd w:val="clear" w:color="auto" w:fill="FFFFFF"/>
          <w:lang w:val="en-US" w:eastAsia="en-US"/>
        </w:rPr>
        <w:t xml:space="preserve"> 47.4% </w:t>
      </w:r>
      <w:r w:rsidR="00CA6524" w:rsidRPr="00D15C3A">
        <w:rPr>
          <w:rFonts w:eastAsiaTheme="minorHAnsi"/>
          <w:shd w:val="clear" w:color="auto" w:fill="FFFFFF"/>
          <w:lang w:val="en-US" w:eastAsia="en-US"/>
        </w:rPr>
        <w:t xml:space="preserve">were </w:t>
      </w:r>
      <w:r w:rsidRPr="00D15C3A">
        <w:rPr>
          <w:rFonts w:eastAsiaTheme="minorHAnsi"/>
          <w:shd w:val="clear" w:color="auto" w:fill="FFFFFF"/>
          <w:lang w:val="en-US" w:eastAsia="en-US"/>
        </w:rPr>
        <w:t xml:space="preserve">women. Workers self-reported </w:t>
      </w:r>
      <w:r w:rsidR="00CA6524" w:rsidRPr="00D15C3A">
        <w:rPr>
          <w:rFonts w:eastAsiaTheme="minorHAnsi"/>
          <w:shd w:val="clear" w:color="auto" w:fill="FFFFFF"/>
          <w:lang w:val="en-US" w:eastAsia="en-US"/>
        </w:rPr>
        <w:t>a s</w:t>
      </w:r>
      <w:r w:rsidR="00AE71CE" w:rsidRPr="00D15C3A">
        <w:rPr>
          <w:rFonts w:eastAsiaTheme="minorHAnsi"/>
          <w:shd w:val="clear" w:color="auto" w:fill="FFFFFF"/>
          <w:lang w:val="en-US" w:eastAsia="en-US"/>
        </w:rPr>
        <w:t xml:space="preserve">et of six </w:t>
      </w:r>
      <w:r w:rsidR="00AF0276" w:rsidRPr="00D15C3A">
        <w:rPr>
          <w:rFonts w:eastAsiaTheme="minorHAnsi"/>
          <w:shd w:val="clear" w:color="auto" w:fill="FFFFFF"/>
          <w:lang w:val="en-US" w:eastAsia="en-US"/>
        </w:rPr>
        <w:t xml:space="preserve">chronic </w:t>
      </w:r>
      <w:r w:rsidR="00E8016F">
        <w:rPr>
          <w:rFonts w:eastAsiaTheme="minorHAnsi"/>
          <w:shd w:val="clear" w:color="auto" w:fill="FFFFFF"/>
          <w:lang w:val="en-US" w:eastAsia="en-US"/>
        </w:rPr>
        <w:t xml:space="preserve">conditions </w:t>
      </w:r>
      <w:r w:rsidR="00AE71CE" w:rsidRPr="00D15C3A">
        <w:rPr>
          <w:rFonts w:eastAsiaTheme="minorHAnsi"/>
          <w:shd w:val="clear" w:color="auto" w:fill="FFFFFF"/>
          <w:lang w:val="en-US" w:eastAsia="en-US"/>
        </w:rPr>
        <w:t xml:space="preserve">(i.e. </w:t>
      </w:r>
      <w:r w:rsidR="00AF0276" w:rsidRPr="00D15C3A">
        <w:rPr>
          <w:rFonts w:eastAsiaTheme="minorHAnsi"/>
          <w:shd w:val="clear" w:color="auto" w:fill="FFFFFF"/>
          <w:lang w:val="en-US" w:eastAsia="en-US"/>
        </w:rPr>
        <w:t xml:space="preserve">chronic </w:t>
      </w:r>
      <w:r w:rsidR="00AE71CE" w:rsidRPr="00D15C3A">
        <w:rPr>
          <w:rFonts w:eastAsiaTheme="minorHAnsi"/>
          <w:shd w:val="clear" w:color="auto" w:fill="FFFFFF"/>
          <w:lang w:val="en-US" w:eastAsia="en-US"/>
        </w:rPr>
        <w:t xml:space="preserve">low-back pain, </w:t>
      </w:r>
      <w:r w:rsidR="00AF0276" w:rsidRPr="00D15C3A">
        <w:rPr>
          <w:rFonts w:eastAsiaTheme="minorHAnsi"/>
          <w:shd w:val="clear" w:color="auto" w:fill="FFFFFF"/>
          <w:lang w:val="en-US" w:eastAsia="en-US"/>
        </w:rPr>
        <w:t xml:space="preserve">chronic </w:t>
      </w:r>
      <w:r w:rsidR="00CA6524" w:rsidRPr="00D15C3A">
        <w:rPr>
          <w:rFonts w:eastAsiaTheme="minorHAnsi"/>
          <w:shd w:val="clear" w:color="auto" w:fill="FFFFFF"/>
          <w:lang w:val="en-US" w:eastAsia="en-US"/>
        </w:rPr>
        <w:t>neck pain, diabetes, hypertension, depression</w:t>
      </w:r>
      <w:r w:rsidR="00F26FA5" w:rsidRPr="00D15C3A">
        <w:rPr>
          <w:rFonts w:eastAsiaTheme="minorHAnsi"/>
          <w:shd w:val="clear" w:color="auto" w:fill="FFFFFF"/>
          <w:lang w:val="en-US" w:eastAsia="en-US"/>
        </w:rPr>
        <w:t>,</w:t>
      </w:r>
      <w:r w:rsidR="00CA6524" w:rsidRPr="00D15C3A">
        <w:rPr>
          <w:rFonts w:eastAsiaTheme="minorHAnsi"/>
          <w:shd w:val="clear" w:color="auto" w:fill="FFFFFF"/>
          <w:lang w:val="en-US" w:eastAsia="en-US"/>
        </w:rPr>
        <w:t xml:space="preserve"> and anxiety), whereas </w:t>
      </w:r>
      <w:r w:rsidRPr="00D15C3A">
        <w:rPr>
          <w:rFonts w:eastAsiaTheme="minorHAnsi"/>
          <w:shd w:val="clear" w:color="auto" w:fill="FFFFFF"/>
          <w:lang w:val="en-US" w:eastAsia="en-US"/>
        </w:rPr>
        <w:t xml:space="preserve">the International Physical Activity Questionnaire (IPAQ) </w:t>
      </w:r>
      <w:r w:rsidR="00AE71CE" w:rsidRPr="00D15C3A">
        <w:rPr>
          <w:rFonts w:eastAsiaTheme="minorHAnsi"/>
          <w:shd w:val="clear" w:color="auto" w:fill="FFFFFF"/>
          <w:lang w:val="en-US" w:eastAsia="en-US"/>
        </w:rPr>
        <w:t>short</w:t>
      </w:r>
      <w:r w:rsidRPr="00D15C3A">
        <w:rPr>
          <w:rFonts w:eastAsiaTheme="minorHAnsi"/>
          <w:shd w:val="clear" w:color="auto" w:fill="FFFFFF"/>
          <w:lang w:val="en-US" w:eastAsia="en-US"/>
        </w:rPr>
        <w:t xml:space="preserve"> form </w:t>
      </w:r>
      <w:r w:rsidR="00CA6524" w:rsidRPr="00D15C3A">
        <w:rPr>
          <w:rFonts w:eastAsiaTheme="minorHAnsi"/>
          <w:shd w:val="clear" w:color="auto" w:fill="FFFFFF"/>
          <w:lang w:val="en-US" w:eastAsia="en-US"/>
        </w:rPr>
        <w:t>served</w:t>
      </w:r>
      <w:r w:rsidRPr="00D15C3A">
        <w:rPr>
          <w:rFonts w:eastAsiaTheme="minorHAnsi"/>
          <w:shd w:val="clear" w:color="auto" w:fill="FFFFFF"/>
          <w:lang w:val="en-US" w:eastAsia="en-US"/>
        </w:rPr>
        <w:t xml:space="preserve"> to </w:t>
      </w:r>
      <w:r w:rsidR="00AE71CE" w:rsidRPr="00D15C3A">
        <w:rPr>
          <w:rFonts w:eastAsiaTheme="minorHAnsi"/>
          <w:shd w:val="clear" w:color="auto" w:fill="FFFFFF"/>
          <w:lang w:val="en-US" w:eastAsia="en-US"/>
        </w:rPr>
        <w:t>estimate</w:t>
      </w:r>
      <w:r w:rsidRPr="00D15C3A">
        <w:rPr>
          <w:rFonts w:eastAsiaTheme="minorHAnsi"/>
          <w:shd w:val="clear" w:color="auto" w:fill="FFFFFF"/>
          <w:lang w:val="en-US" w:eastAsia="en-US"/>
        </w:rPr>
        <w:t xml:space="preserve"> </w:t>
      </w:r>
      <w:r w:rsidR="00CA6524" w:rsidRPr="00D15C3A">
        <w:rPr>
          <w:rFonts w:eastAsiaTheme="minorHAnsi"/>
          <w:shd w:val="clear" w:color="auto" w:fill="FFFFFF"/>
          <w:lang w:val="en-US" w:eastAsia="en-US"/>
        </w:rPr>
        <w:t>PA</w:t>
      </w:r>
      <w:r w:rsidRPr="00D15C3A">
        <w:rPr>
          <w:rFonts w:eastAsiaTheme="minorHAnsi"/>
          <w:shd w:val="clear" w:color="auto" w:fill="FFFFFF"/>
          <w:lang w:val="en-US" w:eastAsia="en-US"/>
        </w:rPr>
        <w:t xml:space="preserve">. </w:t>
      </w:r>
      <w:r w:rsidR="001721C3" w:rsidRPr="00D15C3A">
        <w:rPr>
          <w:rFonts w:eastAsiaTheme="minorHAnsi"/>
          <w:shd w:val="clear" w:color="auto" w:fill="FFFFFF"/>
          <w:lang w:val="en-US" w:eastAsia="en-US"/>
        </w:rPr>
        <w:t>M</w:t>
      </w:r>
      <w:r w:rsidRPr="00D15C3A">
        <w:rPr>
          <w:rFonts w:eastAsiaTheme="minorHAnsi"/>
          <w:shd w:val="clear" w:color="auto" w:fill="FFFFFF"/>
          <w:lang w:val="en-US" w:eastAsia="en-US"/>
        </w:rPr>
        <w:t>ultivariable logistic regression</w:t>
      </w:r>
      <w:r w:rsidR="00CA6524" w:rsidRPr="00D15C3A">
        <w:rPr>
          <w:rFonts w:eastAsiaTheme="minorHAnsi"/>
          <w:shd w:val="clear" w:color="auto" w:fill="FFFFFF"/>
          <w:lang w:val="en-US" w:eastAsia="en-US"/>
        </w:rPr>
        <w:t xml:space="preserve"> </w:t>
      </w:r>
      <w:r w:rsidR="00EA2476" w:rsidRPr="00D15C3A">
        <w:rPr>
          <w:rFonts w:eastAsiaTheme="minorHAnsi"/>
          <w:shd w:val="clear" w:color="auto" w:fill="FFFFFF"/>
          <w:lang w:val="en-US" w:eastAsia="en-US"/>
        </w:rPr>
        <w:t xml:space="preserve">adjusted for </w:t>
      </w:r>
      <w:r w:rsidR="00B558D7" w:rsidRPr="00D15C3A">
        <w:rPr>
          <w:rFonts w:eastAsiaTheme="minorHAnsi"/>
          <w:shd w:val="clear" w:color="auto" w:fill="FFFFFF"/>
          <w:lang w:val="en-US" w:eastAsia="en-US"/>
        </w:rPr>
        <w:t>possible</w:t>
      </w:r>
      <w:r w:rsidR="00EA2476" w:rsidRPr="00D15C3A">
        <w:rPr>
          <w:rFonts w:eastAsiaTheme="minorHAnsi"/>
          <w:shd w:val="clear" w:color="auto" w:fill="FFFFFF"/>
          <w:lang w:val="en-US" w:eastAsia="en-US"/>
        </w:rPr>
        <w:t xml:space="preserve"> confounders </w:t>
      </w:r>
      <w:r w:rsidR="00CA6524" w:rsidRPr="00D15C3A">
        <w:rPr>
          <w:rFonts w:eastAsiaTheme="minorHAnsi"/>
          <w:shd w:val="clear" w:color="auto" w:fill="FFFFFF"/>
          <w:lang w:val="en-US" w:eastAsia="en-US"/>
        </w:rPr>
        <w:t xml:space="preserve">was </w:t>
      </w:r>
      <w:r w:rsidR="00F72821" w:rsidRPr="00D15C3A">
        <w:rPr>
          <w:rFonts w:eastAsiaTheme="minorHAnsi"/>
          <w:shd w:val="clear" w:color="auto" w:fill="FFFFFF"/>
          <w:lang w:val="en-US" w:eastAsia="en-US"/>
        </w:rPr>
        <w:t xml:space="preserve">performed </w:t>
      </w:r>
      <w:r w:rsidRPr="00D15C3A">
        <w:rPr>
          <w:rFonts w:eastAsiaTheme="minorHAnsi"/>
          <w:shd w:val="clear" w:color="auto" w:fill="FFFFFF"/>
          <w:lang w:val="en-US" w:eastAsia="en-US"/>
        </w:rPr>
        <w:t>to assess association</w:t>
      </w:r>
      <w:r w:rsidR="001118D0" w:rsidRPr="00D15C3A">
        <w:rPr>
          <w:rFonts w:eastAsiaTheme="minorHAnsi"/>
          <w:shd w:val="clear" w:color="auto" w:fill="FFFFFF"/>
          <w:lang w:val="en-US" w:eastAsia="en-US"/>
        </w:rPr>
        <w:t>s</w:t>
      </w:r>
      <w:r w:rsidRPr="00D15C3A">
        <w:rPr>
          <w:rFonts w:eastAsiaTheme="minorHAnsi"/>
          <w:shd w:val="clear" w:color="auto" w:fill="FFFFFF"/>
          <w:lang w:val="en-US" w:eastAsia="en-US"/>
        </w:rPr>
        <w:t xml:space="preserve"> between PA and </w:t>
      </w:r>
      <w:r w:rsidR="00AF0276" w:rsidRPr="00D15C3A">
        <w:rPr>
          <w:rFonts w:eastAsiaTheme="minorHAnsi"/>
          <w:shd w:val="clear" w:color="auto" w:fill="FFFFFF"/>
          <w:lang w:val="en-US" w:eastAsia="en-US"/>
        </w:rPr>
        <w:t xml:space="preserve">chronic </w:t>
      </w:r>
      <w:r w:rsidR="00E8016F">
        <w:rPr>
          <w:rFonts w:eastAsiaTheme="minorHAnsi"/>
          <w:shd w:val="clear" w:color="auto" w:fill="FFFFFF"/>
          <w:lang w:val="en-US" w:eastAsia="en-US"/>
        </w:rPr>
        <w:t>conditions</w:t>
      </w:r>
      <w:r w:rsidRPr="00D15C3A">
        <w:rPr>
          <w:rFonts w:eastAsiaTheme="minorHAnsi"/>
          <w:shd w:val="clear" w:color="auto" w:fill="FFFFFF"/>
          <w:lang w:val="en-US" w:eastAsia="en-US"/>
        </w:rPr>
        <w:t xml:space="preserve">. </w:t>
      </w:r>
    </w:p>
    <w:p w14:paraId="6C7F98B3" w14:textId="77777777" w:rsidR="00475EEE" w:rsidRPr="00D15C3A" w:rsidRDefault="00AE71CE" w:rsidP="006B3578">
      <w:pPr>
        <w:spacing w:after="160" w:line="480" w:lineRule="auto"/>
        <w:jc w:val="both"/>
        <w:rPr>
          <w:rFonts w:eastAsiaTheme="minorHAnsi"/>
          <w:b/>
          <w:shd w:val="clear" w:color="auto" w:fill="FFFFFF"/>
          <w:lang w:val="en-US" w:eastAsia="en-US"/>
        </w:rPr>
      </w:pPr>
      <w:r w:rsidRPr="00D15C3A">
        <w:rPr>
          <w:rFonts w:eastAsiaTheme="minorHAnsi"/>
          <w:b/>
          <w:shd w:val="clear" w:color="auto" w:fill="FFFFFF"/>
          <w:lang w:val="en-US" w:eastAsia="en-US"/>
        </w:rPr>
        <w:t>Results</w:t>
      </w:r>
    </w:p>
    <w:p w14:paraId="1CC683B9" w14:textId="5E36E6F4" w:rsidR="00733C2C" w:rsidRPr="00D15C3A" w:rsidRDefault="00CA6524" w:rsidP="006B3578">
      <w:pPr>
        <w:spacing w:after="160" w:line="480" w:lineRule="auto"/>
        <w:jc w:val="both"/>
        <w:rPr>
          <w:rFonts w:eastAsiaTheme="minorHAnsi"/>
          <w:shd w:val="clear" w:color="auto" w:fill="FFFFFF"/>
          <w:lang w:val="en-US" w:eastAsia="en-US"/>
        </w:rPr>
      </w:pPr>
      <w:r w:rsidRPr="00D15C3A">
        <w:rPr>
          <w:rFonts w:eastAsiaTheme="minorHAnsi"/>
          <w:shd w:val="clear" w:color="auto" w:fill="FFFFFF"/>
          <w:lang w:val="en-US" w:eastAsia="en-US"/>
        </w:rPr>
        <w:t xml:space="preserve">The </w:t>
      </w:r>
      <w:r w:rsidR="00681DB5" w:rsidRPr="00D15C3A">
        <w:rPr>
          <w:rFonts w:eastAsiaTheme="minorHAnsi"/>
          <w:shd w:val="clear" w:color="auto" w:fill="FFFFFF"/>
          <w:lang w:val="en-US" w:eastAsia="en-US"/>
        </w:rPr>
        <w:t>final</w:t>
      </w:r>
      <w:r w:rsidR="00C15659" w:rsidRPr="00D15C3A">
        <w:rPr>
          <w:rFonts w:eastAsiaTheme="minorHAnsi"/>
          <w:shd w:val="clear" w:color="auto" w:fill="FFFFFF"/>
          <w:lang w:val="en-US" w:eastAsia="en-US"/>
        </w:rPr>
        <w:t xml:space="preserve"> adjusted model</w:t>
      </w:r>
      <w:r w:rsidRPr="00D15C3A">
        <w:rPr>
          <w:rFonts w:eastAsiaTheme="minorHAnsi"/>
          <w:shd w:val="clear" w:color="auto" w:fill="FFFFFF"/>
          <w:lang w:val="en-US" w:eastAsia="en-US"/>
        </w:rPr>
        <w:t xml:space="preserve"> showed that</w:t>
      </w:r>
      <w:r w:rsidR="00C15659" w:rsidRPr="00D15C3A">
        <w:rPr>
          <w:rFonts w:eastAsiaTheme="minorHAnsi"/>
          <w:shd w:val="clear" w:color="auto" w:fill="FFFFFF"/>
          <w:lang w:val="en-US" w:eastAsia="en-US"/>
        </w:rPr>
        <w:t xml:space="preserve"> performing less than 600 MET-minutes/week of PA was associated with significantly higher odds for </w:t>
      </w:r>
      <w:r w:rsidR="00AF0276" w:rsidRPr="00D15C3A">
        <w:rPr>
          <w:rFonts w:eastAsiaTheme="minorHAnsi"/>
          <w:shd w:val="clear" w:color="auto" w:fill="FFFFFF"/>
          <w:lang w:val="en-US" w:eastAsia="en-US"/>
        </w:rPr>
        <w:t xml:space="preserve">chronic </w:t>
      </w:r>
      <w:r w:rsidR="00E8016F">
        <w:rPr>
          <w:rFonts w:eastAsiaTheme="minorHAnsi"/>
          <w:shd w:val="clear" w:color="auto" w:fill="FFFFFF"/>
          <w:lang w:val="en-US" w:eastAsia="en-US"/>
        </w:rPr>
        <w:t>conditions</w:t>
      </w:r>
      <w:r w:rsidR="00E8016F" w:rsidRPr="00D15C3A">
        <w:rPr>
          <w:rFonts w:eastAsiaTheme="minorHAnsi"/>
          <w:shd w:val="clear" w:color="auto" w:fill="FFFFFF"/>
          <w:lang w:val="en-US" w:eastAsia="en-US"/>
        </w:rPr>
        <w:t xml:space="preserve"> </w:t>
      </w:r>
      <w:r w:rsidR="00A75702" w:rsidRPr="00D15C3A">
        <w:rPr>
          <w:rFonts w:eastAsiaTheme="minorHAnsi"/>
          <w:shd w:val="clear" w:color="auto" w:fill="FFFFFF"/>
          <w:lang w:val="en-US" w:eastAsia="en-US"/>
        </w:rPr>
        <w:t>(</w:t>
      </w:r>
      <w:proofErr w:type="spellStart"/>
      <w:r w:rsidR="00B94CCC">
        <w:rPr>
          <w:rFonts w:eastAsiaTheme="minorHAnsi"/>
          <w:shd w:val="clear" w:color="auto" w:fill="FFFFFF"/>
          <w:lang w:val="en-US" w:eastAsia="en-US"/>
        </w:rPr>
        <w:t>a</w:t>
      </w:r>
      <w:r w:rsidR="00C15659" w:rsidRPr="00D15C3A">
        <w:rPr>
          <w:rFonts w:eastAsiaTheme="minorHAnsi"/>
          <w:shd w:val="clear" w:color="auto" w:fill="FFFFFF"/>
          <w:lang w:val="en-US" w:eastAsia="en-US"/>
        </w:rPr>
        <w:t>OR</w:t>
      </w:r>
      <w:proofErr w:type="spellEnd"/>
      <w:r w:rsidR="00A75702" w:rsidRPr="00D15C3A">
        <w:rPr>
          <w:rFonts w:eastAsiaTheme="minorHAnsi"/>
          <w:shd w:val="clear" w:color="auto" w:fill="FFFFFF"/>
          <w:lang w:val="en-US" w:eastAsia="en-US"/>
        </w:rPr>
        <w:t xml:space="preserve"> </w:t>
      </w:r>
      <w:r w:rsidR="004D29E6">
        <w:rPr>
          <w:rFonts w:eastAsiaTheme="minorHAnsi"/>
          <w:shd w:val="clear" w:color="auto" w:fill="FFFFFF"/>
          <w:lang w:val="en-US" w:eastAsia="en-US"/>
        </w:rPr>
        <w:t xml:space="preserve">= </w:t>
      </w:r>
      <w:r w:rsidRPr="00D15C3A">
        <w:rPr>
          <w:rFonts w:eastAsiaTheme="minorHAnsi"/>
          <w:shd w:val="clear" w:color="auto" w:fill="FFFFFF"/>
          <w:lang w:val="en-US" w:eastAsia="en-US"/>
        </w:rPr>
        <w:t>1.18</w:t>
      </w:r>
      <w:r w:rsidR="00D11EB7">
        <w:rPr>
          <w:rFonts w:eastAsiaTheme="minorHAnsi"/>
          <w:shd w:val="clear" w:color="auto" w:fill="FFFFFF"/>
          <w:lang w:val="en-US" w:eastAsia="en-US"/>
        </w:rPr>
        <w:t xml:space="preserve">; </w:t>
      </w:r>
      <w:r w:rsidR="00A75702" w:rsidRPr="00D15C3A">
        <w:rPr>
          <w:rFonts w:eastAsiaTheme="minorHAnsi"/>
          <w:shd w:val="clear" w:color="auto" w:fill="FFFFFF"/>
          <w:lang w:val="en-US" w:eastAsia="en-US"/>
        </w:rPr>
        <w:t xml:space="preserve"> </w:t>
      </w:r>
      <w:r w:rsidR="00A01905" w:rsidRPr="00D15C3A">
        <w:rPr>
          <w:rFonts w:eastAsiaTheme="minorHAnsi"/>
          <w:shd w:val="clear" w:color="auto" w:fill="FFFFFF"/>
          <w:lang w:val="en-US" w:eastAsia="en-US"/>
        </w:rPr>
        <w:t>95% CI</w:t>
      </w:r>
      <w:r w:rsidR="00D11EB7">
        <w:rPr>
          <w:rFonts w:eastAsiaTheme="minorHAnsi"/>
          <w:shd w:val="clear" w:color="auto" w:fill="FFFFFF"/>
          <w:lang w:val="en-US" w:eastAsia="en-US"/>
        </w:rPr>
        <w:t>,</w:t>
      </w:r>
      <w:r w:rsidR="00C15659" w:rsidRPr="00D15C3A">
        <w:rPr>
          <w:rFonts w:eastAsiaTheme="minorHAnsi"/>
          <w:shd w:val="clear" w:color="auto" w:fill="FFFFFF"/>
          <w:lang w:val="en-US" w:eastAsia="en-US"/>
        </w:rPr>
        <w:t xml:space="preserve"> </w:t>
      </w:r>
      <w:r w:rsidR="00A75702" w:rsidRPr="00D15C3A">
        <w:rPr>
          <w:rFonts w:eastAsia="Calibri"/>
          <w:lang w:val="en-US" w:eastAsia="en-US"/>
        </w:rPr>
        <w:t>1.07-</w:t>
      </w:r>
      <w:r w:rsidRPr="00D15C3A">
        <w:rPr>
          <w:rFonts w:eastAsia="Calibri"/>
          <w:lang w:val="en-US" w:eastAsia="en-US"/>
        </w:rPr>
        <w:t>1.30</w:t>
      </w:r>
      <w:r w:rsidR="00C15659" w:rsidRPr="00D15C3A">
        <w:rPr>
          <w:rFonts w:eastAsiaTheme="minorHAnsi"/>
          <w:shd w:val="clear" w:color="auto" w:fill="FFFFFF"/>
          <w:lang w:val="en-US" w:eastAsia="en-US"/>
        </w:rPr>
        <w:t xml:space="preserve">). </w:t>
      </w:r>
      <w:r w:rsidR="00657EBB" w:rsidRPr="00657EBB">
        <w:rPr>
          <w:rFonts w:eastAsiaTheme="minorHAnsi"/>
          <w:shd w:val="clear" w:color="auto" w:fill="FFFFFF"/>
          <w:lang w:val="en-US" w:eastAsia="en-US"/>
        </w:rPr>
        <w:t xml:space="preserve">Of the sex and age subgroups analyzed, this association was significant in </w:t>
      </w:r>
      <w:r w:rsidR="004D29E6">
        <w:rPr>
          <w:rFonts w:eastAsiaTheme="minorHAnsi"/>
          <w:shd w:val="clear" w:color="auto" w:fill="FFFFFF"/>
          <w:lang w:val="en-US" w:eastAsia="en-US"/>
        </w:rPr>
        <w:t>men aged 17 to 44 years (</w:t>
      </w:r>
      <w:proofErr w:type="spellStart"/>
      <w:r w:rsidR="00B94CCC">
        <w:rPr>
          <w:rFonts w:eastAsiaTheme="minorHAnsi"/>
          <w:shd w:val="clear" w:color="auto" w:fill="FFFFFF"/>
          <w:lang w:val="en-US" w:eastAsia="en-US"/>
        </w:rPr>
        <w:t>a</w:t>
      </w:r>
      <w:r w:rsidR="004D29E6">
        <w:rPr>
          <w:rFonts w:eastAsiaTheme="minorHAnsi"/>
          <w:shd w:val="clear" w:color="auto" w:fill="FFFFFF"/>
          <w:lang w:val="en-US" w:eastAsia="en-US"/>
        </w:rPr>
        <w:t>OR</w:t>
      </w:r>
      <w:proofErr w:type="spellEnd"/>
      <w:r w:rsidR="004D29E6">
        <w:rPr>
          <w:rFonts w:eastAsiaTheme="minorHAnsi"/>
          <w:shd w:val="clear" w:color="auto" w:fill="FFFFFF"/>
          <w:lang w:val="en-US" w:eastAsia="en-US"/>
        </w:rPr>
        <w:t xml:space="preserve"> = </w:t>
      </w:r>
      <w:r w:rsidR="00657EBB" w:rsidRPr="00657EBB">
        <w:rPr>
          <w:rFonts w:eastAsiaTheme="minorHAnsi"/>
          <w:shd w:val="clear" w:color="auto" w:fill="FFFFFF"/>
          <w:lang w:val="en-US" w:eastAsia="en-US"/>
        </w:rPr>
        <w:t>1.21</w:t>
      </w:r>
      <w:r w:rsidR="00D11EB7">
        <w:rPr>
          <w:rFonts w:eastAsiaTheme="minorHAnsi"/>
          <w:shd w:val="clear" w:color="auto" w:fill="FFFFFF"/>
          <w:lang w:val="en-US" w:eastAsia="en-US"/>
        </w:rPr>
        <w:t>;</w:t>
      </w:r>
      <w:r w:rsidR="00657EBB" w:rsidRPr="00657EBB">
        <w:rPr>
          <w:rFonts w:eastAsiaTheme="minorHAnsi"/>
          <w:shd w:val="clear" w:color="auto" w:fill="FFFFFF"/>
          <w:lang w:val="en-US" w:eastAsia="en-US"/>
        </w:rPr>
        <w:t xml:space="preserve"> 95% CI</w:t>
      </w:r>
      <w:r w:rsidR="004D29E6">
        <w:rPr>
          <w:rFonts w:eastAsiaTheme="minorHAnsi"/>
          <w:shd w:val="clear" w:color="auto" w:fill="FFFFFF"/>
          <w:lang w:val="en-US" w:eastAsia="en-US"/>
        </w:rPr>
        <w:t>,</w:t>
      </w:r>
      <w:r w:rsidR="00657EBB" w:rsidRPr="00657EBB">
        <w:rPr>
          <w:rFonts w:eastAsiaTheme="minorHAnsi"/>
          <w:shd w:val="clear" w:color="auto" w:fill="FFFFFF"/>
          <w:lang w:val="en-US" w:eastAsia="en-US"/>
        </w:rPr>
        <w:t xml:space="preserve"> 1.00-1.46)</w:t>
      </w:r>
      <w:r w:rsidR="004D29E6">
        <w:rPr>
          <w:rFonts w:eastAsiaTheme="minorHAnsi"/>
          <w:shd w:val="clear" w:color="auto" w:fill="FFFFFF"/>
          <w:lang w:val="en-US" w:eastAsia="en-US"/>
        </w:rPr>
        <w:t>.</w:t>
      </w:r>
      <w:r w:rsidRPr="00D15C3A">
        <w:rPr>
          <w:rFonts w:eastAsiaTheme="minorHAnsi"/>
          <w:shd w:val="clear" w:color="auto" w:fill="FFFFFF"/>
          <w:lang w:val="en-US" w:eastAsia="en-US"/>
        </w:rPr>
        <w:t xml:space="preserve"> Among </w:t>
      </w:r>
      <w:r w:rsidR="00AF0276" w:rsidRPr="00D15C3A">
        <w:rPr>
          <w:rFonts w:eastAsiaTheme="minorHAnsi"/>
          <w:shd w:val="clear" w:color="auto" w:fill="FFFFFF"/>
          <w:lang w:val="en-US" w:eastAsia="en-US"/>
        </w:rPr>
        <w:t xml:space="preserve">chronic </w:t>
      </w:r>
      <w:r w:rsidR="006F2CFC">
        <w:rPr>
          <w:rFonts w:eastAsiaTheme="minorHAnsi"/>
          <w:shd w:val="clear" w:color="auto" w:fill="FFFFFF"/>
          <w:lang w:val="en-US" w:eastAsia="en-US"/>
        </w:rPr>
        <w:t>conditions</w:t>
      </w:r>
      <w:r w:rsidRPr="00D15C3A">
        <w:rPr>
          <w:rFonts w:eastAsiaTheme="minorHAnsi"/>
          <w:shd w:val="clear" w:color="auto" w:fill="FFFFFF"/>
          <w:lang w:val="en-US" w:eastAsia="en-US"/>
        </w:rPr>
        <w:t xml:space="preserve">, low-back pain and anxiety </w:t>
      </w:r>
      <w:r w:rsidR="009E1AD3" w:rsidRPr="00D15C3A">
        <w:rPr>
          <w:rFonts w:eastAsiaTheme="minorHAnsi"/>
          <w:shd w:val="clear" w:color="auto" w:fill="FFFFFF"/>
          <w:lang w:val="en-US" w:eastAsia="en-US"/>
        </w:rPr>
        <w:t xml:space="preserve">were </w:t>
      </w:r>
      <w:r w:rsidRPr="00D15C3A">
        <w:rPr>
          <w:rFonts w:eastAsiaTheme="minorHAnsi"/>
          <w:shd w:val="clear" w:color="auto" w:fill="FFFFFF"/>
          <w:lang w:val="en-US" w:eastAsia="en-US"/>
        </w:rPr>
        <w:t xml:space="preserve">associated with </w:t>
      </w:r>
      <w:r w:rsidR="009E1AD3" w:rsidRPr="00D15C3A">
        <w:rPr>
          <w:rFonts w:eastAsiaTheme="minorHAnsi"/>
          <w:shd w:val="clear" w:color="auto" w:fill="FFFFFF"/>
          <w:lang w:val="en-US" w:eastAsia="en-US"/>
        </w:rPr>
        <w:t xml:space="preserve">lower levels of </w:t>
      </w:r>
      <w:r w:rsidRPr="00D15C3A">
        <w:rPr>
          <w:rFonts w:eastAsiaTheme="minorHAnsi"/>
          <w:shd w:val="clear" w:color="auto" w:fill="FFFFFF"/>
          <w:lang w:val="en-US" w:eastAsia="en-US"/>
        </w:rPr>
        <w:t xml:space="preserve">PA, whereas </w:t>
      </w:r>
      <w:r w:rsidR="00733C2C" w:rsidRPr="00D15C3A">
        <w:rPr>
          <w:rFonts w:eastAsiaTheme="minorHAnsi"/>
          <w:shd w:val="clear" w:color="auto" w:fill="FFFFFF"/>
          <w:lang w:val="en-US" w:eastAsia="en-US"/>
        </w:rPr>
        <w:lastRenderedPageBreak/>
        <w:t xml:space="preserve">covariates such as </w:t>
      </w:r>
      <w:r w:rsidRPr="00D15C3A">
        <w:rPr>
          <w:rFonts w:eastAsiaTheme="minorHAnsi"/>
          <w:shd w:val="clear" w:color="auto" w:fill="FFFFFF"/>
          <w:lang w:val="en-US" w:eastAsia="en-US"/>
        </w:rPr>
        <w:t xml:space="preserve">body mass index, </w:t>
      </w:r>
      <w:r w:rsidR="00AE71CE" w:rsidRPr="00D15C3A">
        <w:rPr>
          <w:rFonts w:eastAsiaTheme="minorHAnsi"/>
          <w:shd w:val="clear" w:color="auto" w:fill="FFFFFF"/>
          <w:lang w:val="en-US" w:eastAsia="en-US"/>
        </w:rPr>
        <w:t xml:space="preserve">smoking habits, </w:t>
      </w:r>
      <w:r w:rsidRPr="00D15C3A">
        <w:rPr>
          <w:rFonts w:eastAsiaTheme="minorHAnsi"/>
          <w:shd w:val="clear" w:color="auto" w:fill="FFFFFF"/>
          <w:lang w:val="en-US" w:eastAsia="en-US"/>
        </w:rPr>
        <w:t>educational level</w:t>
      </w:r>
      <w:r w:rsidR="00F26FA5" w:rsidRPr="00D15C3A">
        <w:rPr>
          <w:rFonts w:eastAsiaTheme="minorHAnsi"/>
          <w:shd w:val="clear" w:color="auto" w:fill="FFFFFF"/>
          <w:lang w:val="en-US" w:eastAsia="en-US"/>
        </w:rPr>
        <w:t>,</w:t>
      </w:r>
      <w:r w:rsidRPr="00D15C3A">
        <w:rPr>
          <w:rFonts w:eastAsiaTheme="minorHAnsi"/>
          <w:shd w:val="clear" w:color="auto" w:fill="FFFFFF"/>
          <w:lang w:val="en-US" w:eastAsia="en-US"/>
        </w:rPr>
        <w:t xml:space="preserve"> </w:t>
      </w:r>
      <w:r w:rsidR="00AE71CE" w:rsidRPr="00D15C3A">
        <w:rPr>
          <w:rFonts w:eastAsiaTheme="minorHAnsi"/>
          <w:shd w:val="clear" w:color="auto" w:fill="FFFFFF"/>
          <w:lang w:val="en-US" w:eastAsia="en-US"/>
        </w:rPr>
        <w:t xml:space="preserve">and occupational class </w:t>
      </w:r>
      <w:r w:rsidR="001118D0" w:rsidRPr="00D15C3A">
        <w:rPr>
          <w:rFonts w:eastAsiaTheme="minorHAnsi"/>
          <w:shd w:val="clear" w:color="auto" w:fill="FFFFFF"/>
          <w:lang w:val="en-US" w:eastAsia="en-US"/>
        </w:rPr>
        <w:t xml:space="preserve">had </w:t>
      </w:r>
      <w:r w:rsidR="00075E5D" w:rsidRPr="00D15C3A">
        <w:rPr>
          <w:rFonts w:eastAsiaTheme="minorHAnsi"/>
          <w:shd w:val="clear" w:color="auto" w:fill="FFFFFF"/>
          <w:lang w:val="en-US" w:eastAsia="en-US"/>
        </w:rPr>
        <w:t xml:space="preserve">an important influence </w:t>
      </w:r>
      <w:r w:rsidR="00681DB5" w:rsidRPr="00D15C3A">
        <w:rPr>
          <w:rFonts w:eastAsiaTheme="minorHAnsi"/>
          <w:shd w:val="clear" w:color="auto" w:fill="FFFFFF"/>
          <w:lang w:val="en-US" w:eastAsia="en-US"/>
        </w:rPr>
        <w:t>o</w:t>
      </w:r>
      <w:r w:rsidR="00075E5D" w:rsidRPr="00D15C3A">
        <w:rPr>
          <w:rFonts w:eastAsiaTheme="minorHAnsi"/>
          <w:shd w:val="clear" w:color="auto" w:fill="FFFFFF"/>
          <w:lang w:val="en-US" w:eastAsia="en-US"/>
        </w:rPr>
        <w:t>n the association between</w:t>
      </w:r>
      <w:r w:rsidRPr="00D15C3A">
        <w:rPr>
          <w:rFonts w:eastAsiaTheme="minorHAnsi"/>
          <w:shd w:val="clear" w:color="auto" w:fill="FFFFFF"/>
          <w:lang w:val="en-US" w:eastAsia="en-US"/>
        </w:rPr>
        <w:t xml:space="preserve"> PA and </w:t>
      </w:r>
      <w:r w:rsidR="00AF0276" w:rsidRPr="00D15C3A">
        <w:rPr>
          <w:rFonts w:eastAsiaTheme="minorHAnsi"/>
          <w:shd w:val="clear" w:color="auto" w:fill="FFFFFF"/>
          <w:lang w:val="en-US" w:eastAsia="en-US"/>
        </w:rPr>
        <w:t xml:space="preserve">chronic </w:t>
      </w:r>
      <w:r w:rsidR="00E8016F">
        <w:rPr>
          <w:rFonts w:eastAsiaTheme="minorHAnsi"/>
          <w:shd w:val="clear" w:color="auto" w:fill="FFFFFF"/>
          <w:lang w:val="en-US" w:eastAsia="en-US"/>
        </w:rPr>
        <w:t>condition</w:t>
      </w:r>
      <w:r w:rsidR="00AF0276" w:rsidRPr="00D15C3A">
        <w:rPr>
          <w:rFonts w:eastAsiaTheme="minorHAnsi"/>
          <w:shd w:val="clear" w:color="auto" w:fill="FFFFFF"/>
          <w:lang w:val="en-US" w:eastAsia="en-US"/>
        </w:rPr>
        <w:t xml:space="preserve">. </w:t>
      </w:r>
    </w:p>
    <w:p w14:paraId="0C502B61" w14:textId="7B471001" w:rsidR="00475EEE" w:rsidRPr="00D15C3A" w:rsidRDefault="00AE71CE" w:rsidP="006B3578">
      <w:pPr>
        <w:spacing w:after="160" w:line="480" w:lineRule="auto"/>
        <w:jc w:val="both"/>
        <w:rPr>
          <w:rFonts w:eastAsiaTheme="minorHAnsi"/>
          <w:b/>
          <w:shd w:val="clear" w:color="auto" w:fill="FFFFFF"/>
          <w:lang w:val="en-US" w:eastAsia="en-US"/>
        </w:rPr>
      </w:pPr>
      <w:r w:rsidRPr="00D15C3A">
        <w:rPr>
          <w:rFonts w:eastAsiaTheme="minorHAnsi"/>
          <w:b/>
          <w:shd w:val="clear" w:color="auto" w:fill="FFFFFF"/>
          <w:lang w:val="en-US" w:eastAsia="en-US"/>
        </w:rPr>
        <w:t>Conclusion</w:t>
      </w:r>
    </w:p>
    <w:p w14:paraId="2EF65E1C" w14:textId="764C3CF5" w:rsidR="00AE4E56" w:rsidRDefault="00AE4E56" w:rsidP="006B3578">
      <w:pPr>
        <w:spacing w:line="480" w:lineRule="auto"/>
        <w:jc w:val="both"/>
        <w:rPr>
          <w:rFonts w:eastAsiaTheme="minorHAnsi"/>
          <w:shd w:val="clear" w:color="auto" w:fill="FFFFFF"/>
          <w:lang w:val="en-US" w:eastAsia="en-US"/>
        </w:rPr>
      </w:pPr>
      <w:r>
        <w:rPr>
          <w:rFonts w:eastAsiaTheme="minorHAnsi"/>
          <w:shd w:val="clear" w:color="auto" w:fill="FFFFFF"/>
          <w:lang w:val="en-US" w:eastAsia="en-US"/>
        </w:rPr>
        <w:t>T</w:t>
      </w:r>
      <w:r w:rsidRPr="00AE4E56">
        <w:rPr>
          <w:rFonts w:eastAsiaTheme="minorHAnsi"/>
          <w:shd w:val="clear" w:color="auto" w:fill="FFFFFF"/>
          <w:lang w:val="en-US" w:eastAsia="en-US"/>
        </w:rPr>
        <w:t xml:space="preserve">he results suggest that achieving </w:t>
      </w:r>
      <w:r>
        <w:rPr>
          <w:rFonts w:eastAsiaTheme="minorHAnsi"/>
          <w:shd w:val="clear" w:color="auto" w:fill="FFFFFF"/>
          <w:lang w:val="en-US" w:eastAsia="en-US"/>
        </w:rPr>
        <w:t>sufficient</w:t>
      </w:r>
      <w:r w:rsidRPr="00AE4E56">
        <w:rPr>
          <w:rFonts w:eastAsiaTheme="minorHAnsi"/>
          <w:shd w:val="clear" w:color="auto" w:fill="FFFFFF"/>
          <w:lang w:val="en-US" w:eastAsia="en-US"/>
        </w:rPr>
        <w:t xml:space="preserve"> PA </w:t>
      </w:r>
      <w:r>
        <w:rPr>
          <w:rFonts w:eastAsiaTheme="minorHAnsi"/>
          <w:shd w:val="clear" w:color="auto" w:fill="FFFFFF"/>
          <w:lang w:val="en-US" w:eastAsia="en-US"/>
        </w:rPr>
        <w:t xml:space="preserve">could play an important role to prevent </w:t>
      </w:r>
      <w:r w:rsidRPr="00AE4E56">
        <w:rPr>
          <w:rFonts w:eastAsiaTheme="minorHAnsi"/>
          <w:shd w:val="clear" w:color="auto" w:fill="FFFFFF"/>
          <w:lang w:val="en-US" w:eastAsia="en-US"/>
        </w:rPr>
        <w:t xml:space="preserve">lower chronic conditions </w:t>
      </w:r>
      <w:r>
        <w:rPr>
          <w:rFonts w:eastAsiaTheme="minorHAnsi"/>
          <w:shd w:val="clear" w:color="auto" w:fill="FFFFFF"/>
          <w:lang w:val="en-US" w:eastAsia="en-US"/>
        </w:rPr>
        <w:t>among a Spanish population of workers</w:t>
      </w:r>
      <w:r w:rsidRPr="00AE4E56">
        <w:rPr>
          <w:rFonts w:eastAsiaTheme="minorHAnsi"/>
          <w:shd w:val="clear" w:color="auto" w:fill="FFFFFF"/>
          <w:lang w:val="en-US" w:eastAsia="en-US"/>
        </w:rPr>
        <w:t xml:space="preserve">. </w:t>
      </w:r>
    </w:p>
    <w:p w14:paraId="08F82BF4" w14:textId="77777777" w:rsidR="004B717C" w:rsidRDefault="004B717C" w:rsidP="006B3578">
      <w:pPr>
        <w:spacing w:line="480" w:lineRule="auto"/>
        <w:jc w:val="both"/>
        <w:rPr>
          <w:rFonts w:eastAsiaTheme="minorHAnsi"/>
          <w:shd w:val="clear" w:color="auto" w:fill="FFFFFF"/>
          <w:lang w:val="en-US" w:eastAsia="en-US"/>
        </w:rPr>
      </w:pPr>
    </w:p>
    <w:p w14:paraId="286A8300" w14:textId="6E69CC9F" w:rsidR="00AE71CE" w:rsidRPr="00475EEE" w:rsidRDefault="00976200" w:rsidP="006B3578">
      <w:pPr>
        <w:spacing w:line="480" w:lineRule="auto"/>
        <w:jc w:val="both"/>
        <w:rPr>
          <w:rFonts w:eastAsiaTheme="minorHAnsi"/>
          <w:color w:val="2A2A2A"/>
          <w:shd w:val="clear" w:color="auto" w:fill="FFFFFF"/>
          <w:lang w:val="en-US" w:eastAsia="en-US"/>
        </w:rPr>
      </w:pPr>
      <w:r w:rsidRPr="00475EEE">
        <w:rPr>
          <w:rFonts w:eastAsiaTheme="minorHAnsi"/>
          <w:b/>
          <w:sz w:val="28"/>
          <w:szCs w:val="28"/>
          <w:lang w:val="en-US" w:eastAsia="en-US"/>
        </w:rPr>
        <w:t>KEYWORDS</w:t>
      </w:r>
      <w:r w:rsidR="00AE71CE" w:rsidRPr="00475EEE">
        <w:rPr>
          <w:rFonts w:eastAsiaTheme="minorHAnsi"/>
          <w:b/>
          <w:lang w:val="en-US" w:eastAsia="en-US"/>
        </w:rPr>
        <w:t xml:space="preserve"> </w:t>
      </w:r>
      <w:r w:rsidR="00A75702" w:rsidRPr="00475EEE">
        <w:rPr>
          <w:rFonts w:eastAsiaTheme="minorHAnsi"/>
          <w:lang w:val="en-US" w:eastAsia="en-US"/>
        </w:rPr>
        <w:t>o</w:t>
      </w:r>
      <w:r w:rsidR="00F767DD">
        <w:rPr>
          <w:rFonts w:eastAsiaTheme="minorHAnsi"/>
          <w:lang w:val="en-US" w:eastAsia="en-US"/>
        </w:rPr>
        <w:t>ccupational health</w:t>
      </w:r>
      <w:r w:rsidRPr="00475EEE">
        <w:rPr>
          <w:rFonts w:eastAsiaTheme="minorHAnsi"/>
          <w:lang w:val="en-US" w:eastAsia="en-US"/>
        </w:rPr>
        <w:t>,</w:t>
      </w:r>
      <w:r w:rsidR="00AE71CE" w:rsidRPr="00475EEE">
        <w:rPr>
          <w:rFonts w:eastAsiaTheme="minorHAnsi"/>
          <w:lang w:val="en-US" w:eastAsia="en-US"/>
        </w:rPr>
        <w:t xml:space="preserve"> </w:t>
      </w:r>
      <w:r w:rsidRPr="00475EEE">
        <w:rPr>
          <w:rFonts w:eastAsiaTheme="minorHAnsi"/>
          <w:lang w:val="en-US" w:eastAsia="en-US"/>
        </w:rPr>
        <w:t>workplace,</w:t>
      </w:r>
      <w:r w:rsidR="00AE71CE" w:rsidRPr="00475EEE">
        <w:rPr>
          <w:rFonts w:eastAsiaTheme="minorHAnsi"/>
          <w:lang w:val="en-US" w:eastAsia="en-US"/>
        </w:rPr>
        <w:t xml:space="preserve"> </w:t>
      </w:r>
      <w:r w:rsidRPr="00475EEE">
        <w:rPr>
          <w:rFonts w:eastAsiaTheme="minorHAnsi"/>
          <w:lang w:val="en-US" w:eastAsia="en-US"/>
        </w:rPr>
        <w:t>physical activity,</w:t>
      </w:r>
      <w:r w:rsidR="00F767DD">
        <w:rPr>
          <w:rFonts w:eastAsiaTheme="minorHAnsi"/>
          <w:lang w:val="en-US" w:eastAsia="en-US"/>
        </w:rPr>
        <w:t xml:space="preserve"> </w:t>
      </w:r>
      <w:r w:rsidR="00A75702" w:rsidRPr="00475EEE">
        <w:rPr>
          <w:rFonts w:eastAsiaTheme="minorHAnsi"/>
          <w:lang w:val="en-US" w:eastAsia="en-US"/>
        </w:rPr>
        <w:t>p</w:t>
      </w:r>
      <w:r w:rsidR="00AE71CE" w:rsidRPr="00475EEE">
        <w:rPr>
          <w:rFonts w:eastAsiaTheme="minorHAnsi"/>
          <w:lang w:val="en-US" w:eastAsia="en-US"/>
        </w:rPr>
        <w:t>ublic health</w:t>
      </w:r>
      <w:r w:rsidRPr="00475EEE">
        <w:rPr>
          <w:rFonts w:eastAsiaTheme="minorHAnsi"/>
          <w:lang w:val="en-US" w:eastAsia="en-US"/>
        </w:rPr>
        <w:t xml:space="preserve">, </w:t>
      </w:r>
      <w:r w:rsidR="00F767DD">
        <w:rPr>
          <w:rFonts w:eastAsiaTheme="minorHAnsi"/>
          <w:lang w:val="en-US" w:eastAsia="en-US"/>
        </w:rPr>
        <w:t>non-communicable disease</w:t>
      </w:r>
    </w:p>
    <w:p w14:paraId="2A2CB66F" w14:textId="77777777" w:rsidR="001C2811" w:rsidRPr="00475EEE" w:rsidRDefault="001C2811" w:rsidP="006B3578">
      <w:pPr>
        <w:spacing w:after="160" w:line="480" w:lineRule="auto"/>
        <w:jc w:val="both"/>
        <w:rPr>
          <w:rFonts w:eastAsia="Calibri"/>
          <w:b/>
          <w:lang w:val="en-US" w:eastAsia="en-US"/>
        </w:rPr>
      </w:pPr>
    </w:p>
    <w:p w14:paraId="2C2F0B10" w14:textId="77777777" w:rsidR="00A01905" w:rsidRPr="00475EEE" w:rsidRDefault="00A01905" w:rsidP="006B3578">
      <w:pPr>
        <w:spacing w:after="160" w:line="480" w:lineRule="auto"/>
        <w:jc w:val="both"/>
        <w:rPr>
          <w:rFonts w:eastAsia="Calibri"/>
          <w:b/>
          <w:lang w:val="en-US" w:eastAsia="en-US"/>
        </w:rPr>
      </w:pPr>
    </w:p>
    <w:p w14:paraId="23C8349D" w14:textId="77777777" w:rsidR="00A01905" w:rsidRPr="00475EEE" w:rsidRDefault="00A01905" w:rsidP="006B3578">
      <w:pPr>
        <w:spacing w:after="160" w:line="480" w:lineRule="auto"/>
        <w:jc w:val="both"/>
        <w:rPr>
          <w:rFonts w:eastAsia="Calibri"/>
          <w:b/>
          <w:lang w:val="en-US" w:eastAsia="en-US"/>
        </w:rPr>
      </w:pPr>
    </w:p>
    <w:p w14:paraId="52972FAB" w14:textId="77777777" w:rsidR="00A01905" w:rsidRPr="00475EEE" w:rsidRDefault="00A01905" w:rsidP="006B3578">
      <w:pPr>
        <w:spacing w:after="160" w:line="480" w:lineRule="auto"/>
        <w:jc w:val="both"/>
        <w:rPr>
          <w:rFonts w:eastAsia="Calibri"/>
          <w:b/>
          <w:lang w:val="en-US" w:eastAsia="en-US"/>
        </w:rPr>
      </w:pPr>
    </w:p>
    <w:p w14:paraId="2856E3A3" w14:textId="77777777" w:rsidR="005E0AF9" w:rsidRDefault="005E0AF9" w:rsidP="00793ECC">
      <w:pPr>
        <w:spacing w:after="160" w:line="480" w:lineRule="auto"/>
        <w:jc w:val="both"/>
        <w:rPr>
          <w:rFonts w:eastAsia="Calibri"/>
          <w:b/>
          <w:lang w:val="en-US" w:eastAsia="en-US"/>
        </w:rPr>
      </w:pPr>
    </w:p>
    <w:p w14:paraId="31E67EDE" w14:textId="77777777" w:rsidR="00475EEE" w:rsidRDefault="00475EEE" w:rsidP="00793ECC">
      <w:pPr>
        <w:spacing w:after="160" w:line="480" w:lineRule="auto"/>
        <w:jc w:val="both"/>
        <w:rPr>
          <w:rFonts w:eastAsia="Calibri"/>
          <w:b/>
          <w:lang w:val="en-US" w:eastAsia="en-US"/>
        </w:rPr>
      </w:pPr>
    </w:p>
    <w:p w14:paraId="62C063DF" w14:textId="77777777" w:rsidR="00DF4F5C" w:rsidRDefault="00DF4F5C" w:rsidP="00793ECC">
      <w:pPr>
        <w:spacing w:after="160" w:line="480" w:lineRule="auto"/>
        <w:jc w:val="both"/>
        <w:rPr>
          <w:rFonts w:eastAsia="Calibri"/>
          <w:b/>
          <w:lang w:val="en-US" w:eastAsia="en-US"/>
        </w:rPr>
      </w:pPr>
    </w:p>
    <w:p w14:paraId="09C4503C" w14:textId="77777777" w:rsidR="00DF4F5C" w:rsidRDefault="00DF4F5C" w:rsidP="00E1513B">
      <w:pPr>
        <w:spacing w:after="160" w:line="480" w:lineRule="auto"/>
        <w:jc w:val="center"/>
        <w:rPr>
          <w:rFonts w:eastAsia="Calibri"/>
          <w:b/>
          <w:lang w:val="en-US" w:eastAsia="en-US"/>
        </w:rPr>
      </w:pPr>
    </w:p>
    <w:p w14:paraId="4B46C8B1" w14:textId="77777777" w:rsidR="00DF4F5C" w:rsidRDefault="00DF4F5C" w:rsidP="00793ECC">
      <w:pPr>
        <w:spacing w:after="160" w:line="480" w:lineRule="auto"/>
        <w:jc w:val="both"/>
        <w:rPr>
          <w:rFonts w:eastAsia="Calibri"/>
          <w:b/>
          <w:lang w:val="en-US" w:eastAsia="en-US"/>
        </w:rPr>
      </w:pPr>
    </w:p>
    <w:p w14:paraId="758DFF4C" w14:textId="77777777" w:rsidR="00DF4F5C" w:rsidRDefault="00DF4F5C" w:rsidP="00793ECC">
      <w:pPr>
        <w:spacing w:after="160" w:line="480" w:lineRule="auto"/>
        <w:jc w:val="both"/>
        <w:rPr>
          <w:rFonts w:eastAsia="Calibri"/>
          <w:b/>
          <w:lang w:val="en-US" w:eastAsia="en-US"/>
        </w:rPr>
      </w:pPr>
    </w:p>
    <w:p w14:paraId="634BF32D" w14:textId="77777777" w:rsidR="004B717C" w:rsidRDefault="004B717C" w:rsidP="00793ECC">
      <w:pPr>
        <w:spacing w:after="160" w:line="480" w:lineRule="auto"/>
        <w:jc w:val="both"/>
        <w:rPr>
          <w:rFonts w:eastAsia="Calibri"/>
          <w:b/>
          <w:lang w:val="en-US" w:eastAsia="en-US"/>
        </w:rPr>
      </w:pPr>
    </w:p>
    <w:p w14:paraId="6AB91F5A" w14:textId="77777777" w:rsidR="00B94CCC" w:rsidRDefault="00B94CCC" w:rsidP="00793ECC">
      <w:pPr>
        <w:spacing w:after="160" w:line="480" w:lineRule="auto"/>
        <w:jc w:val="both"/>
        <w:rPr>
          <w:rFonts w:eastAsia="Calibri"/>
          <w:b/>
          <w:lang w:val="en-US" w:eastAsia="en-US"/>
        </w:rPr>
      </w:pPr>
    </w:p>
    <w:p w14:paraId="5E33080A" w14:textId="77777777" w:rsidR="00AA65E5" w:rsidRDefault="00AA65E5" w:rsidP="00793ECC">
      <w:pPr>
        <w:spacing w:after="160" w:line="480" w:lineRule="auto"/>
        <w:jc w:val="both"/>
        <w:rPr>
          <w:rFonts w:eastAsia="Calibri"/>
          <w:b/>
          <w:lang w:val="en-US" w:eastAsia="en-US"/>
        </w:rPr>
      </w:pPr>
    </w:p>
    <w:p w14:paraId="4081C732" w14:textId="31ABEF10" w:rsidR="003877E0" w:rsidRPr="00475EEE" w:rsidRDefault="00733C2C" w:rsidP="00793ECC">
      <w:pPr>
        <w:spacing w:after="160" w:line="480" w:lineRule="auto"/>
        <w:jc w:val="both"/>
        <w:rPr>
          <w:rFonts w:eastAsia="Calibri"/>
          <w:b/>
          <w:lang w:val="en-GB" w:eastAsia="en-US"/>
        </w:rPr>
      </w:pPr>
      <w:r w:rsidRPr="00475EEE">
        <w:rPr>
          <w:rFonts w:eastAsia="Calibri"/>
          <w:b/>
          <w:lang w:val="en-GB" w:eastAsia="en-US"/>
        </w:rPr>
        <w:lastRenderedPageBreak/>
        <w:t>Introduction</w:t>
      </w:r>
    </w:p>
    <w:p w14:paraId="0B19D039" w14:textId="29D95C95" w:rsidR="0050473E" w:rsidRDefault="00A773CB" w:rsidP="006B3578">
      <w:pPr>
        <w:spacing w:after="160" w:line="480" w:lineRule="auto"/>
        <w:jc w:val="both"/>
        <w:rPr>
          <w:rFonts w:eastAsia="Calibri"/>
          <w:lang w:val="en-US" w:eastAsia="en-US"/>
        </w:rPr>
      </w:pPr>
      <w:r w:rsidRPr="00475EEE">
        <w:rPr>
          <w:rFonts w:eastAsia="Calibri"/>
          <w:lang w:val="en-GB" w:eastAsia="en-US"/>
        </w:rPr>
        <w:t xml:space="preserve">One </w:t>
      </w:r>
      <w:r w:rsidR="008C585D" w:rsidRPr="00475EEE">
        <w:rPr>
          <w:rFonts w:eastAsia="Calibri"/>
          <w:lang w:val="en-GB" w:eastAsia="en-US"/>
        </w:rPr>
        <w:t xml:space="preserve">key indicator </w:t>
      </w:r>
      <w:r w:rsidR="00EB08CC" w:rsidRPr="00475EEE">
        <w:rPr>
          <w:rFonts w:eastAsia="Calibri"/>
          <w:lang w:val="en-GB" w:eastAsia="en-US"/>
        </w:rPr>
        <w:t>relat</w:t>
      </w:r>
      <w:r w:rsidR="00EB08CC">
        <w:rPr>
          <w:rFonts w:eastAsia="Calibri"/>
          <w:lang w:val="en-GB" w:eastAsia="en-US"/>
        </w:rPr>
        <w:t>ed</w:t>
      </w:r>
      <w:r w:rsidR="00EB08CC" w:rsidRPr="00475EEE">
        <w:rPr>
          <w:rFonts w:eastAsia="Calibri"/>
          <w:lang w:val="en-GB" w:eastAsia="en-US"/>
        </w:rPr>
        <w:t xml:space="preserve"> </w:t>
      </w:r>
      <w:r w:rsidR="008C585D" w:rsidRPr="00475EEE">
        <w:rPr>
          <w:rFonts w:eastAsia="Calibri"/>
          <w:lang w:val="en-GB" w:eastAsia="en-US"/>
        </w:rPr>
        <w:t xml:space="preserve">to the </w:t>
      </w:r>
      <w:r w:rsidRPr="00475EEE">
        <w:rPr>
          <w:rFonts w:eastAsia="Calibri"/>
          <w:lang w:val="en-GB" w:eastAsia="en-US"/>
        </w:rPr>
        <w:t>health status of a country is</w:t>
      </w:r>
      <w:r w:rsidR="00AD19DE" w:rsidRPr="00475EEE">
        <w:rPr>
          <w:rFonts w:eastAsia="Calibri"/>
          <w:lang w:val="en-GB" w:eastAsia="en-US"/>
        </w:rPr>
        <w:t xml:space="preserve"> the health of its workforce. </w:t>
      </w:r>
      <w:r w:rsidR="006303CA">
        <w:rPr>
          <w:rFonts w:eastAsia="Calibri"/>
          <w:lang w:val="en-GB" w:eastAsia="en-US"/>
        </w:rPr>
        <w:t>A higher prevalence of chronic diseases and conditions in a</w:t>
      </w:r>
      <w:r w:rsidR="00501765" w:rsidRPr="00475EEE">
        <w:rPr>
          <w:rFonts w:eastAsia="Calibri"/>
          <w:lang w:val="en-GB" w:eastAsia="en-US"/>
        </w:rPr>
        <w:t xml:space="preserve"> working population can lead to a set of undesirable consequences ranging from sickness </w:t>
      </w:r>
      <w:r w:rsidR="00DF4F5C">
        <w:rPr>
          <w:rFonts w:eastAsia="Calibri"/>
          <w:lang w:val="en-GB" w:eastAsia="en-US"/>
        </w:rPr>
        <w:t>absenteeism</w:t>
      </w:r>
      <w:r w:rsidR="00501765" w:rsidRPr="00475EEE">
        <w:rPr>
          <w:rFonts w:eastAsia="Calibri"/>
          <w:lang w:val="en-GB" w:eastAsia="en-US"/>
        </w:rPr>
        <w:t xml:space="preserve"> to </w:t>
      </w:r>
      <w:r w:rsidR="008C585D" w:rsidRPr="00475EEE">
        <w:rPr>
          <w:rFonts w:eastAsia="Calibri"/>
          <w:lang w:val="en-GB" w:eastAsia="en-US"/>
        </w:rPr>
        <w:t xml:space="preserve">a rise in </w:t>
      </w:r>
      <w:r w:rsidR="00501765" w:rsidRPr="00475EEE">
        <w:rPr>
          <w:rFonts w:eastAsia="Calibri"/>
          <w:lang w:val="en-GB" w:eastAsia="en-US"/>
        </w:rPr>
        <w:t xml:space="preserve">disability pension as well as lower productivity </w:t>
      </w:r>
      <w:r w:rsidR="00CE5E06" w:rsidRPr="00475EEE">
        <w:rPr>
          <w:rFonts w:eastAsia="Calibri"/>
          <w:noProof/>
          <w:lang w:val="da-DK" w:eastAsia="en-US"/>
        </w:rPr>
        <w:fldChar w:fldCharType="begin" w:fldLock="1"/>
      </w:r>
      <w:r w:rsidR="002F36A0">
        <w:rPr>
          <w:rFonts w:eastAsia="Calibri"/>
          <w:noProof/>
          <w:lang w:val="da-DK" w:eastAsia="en-US"/>
        </w:rPr>
        <w:instrText>ADDIN CSL_CITATION {"citationItems":[{"id":"ITEM-1","itemData":{"DOI":"10.5271/sjweh.3620","ISSN":"1795990X","abstract":"Objectives The aim of this study was to determine the joint association\nof multimorbidity and work ability with the risk of long-term sickness\nabsence (LTSA) in the general working population.\nMethods Cox regression analysis censoring for competing events\n(statutory retirement, early retirement, disability pension,\nimmigration, or death) was performed to estimate the joint association\nof chronic diseases and work ability in relation to physical and mental\ndemands of the job with the prospective risk for LTSA (defined as &gt;= 6\nconsecutive weeks during 2-year follow-up) among 10 427 wage earners\nfrom the general working population (2010 Danish Work Environment Cohort\nStudy). Control variables were age, gender, psychosocial work\nenvironment, smoking, leisure physical activity, body mass index, job\ngroup, and previous LTSA.\nResults Of the 10 427 respondents, 56.8% had experienced &gt;= 1 chronic\ndisease at baseline. The fully adjusted model showed an association\nbetween number of chronic diseases and risk of LTSA. This association\nwas stronger among employees with poor work ability (either physical or\nmental). Compared to employees with no diseases and good physical work\nability, the risk estimate for LTSA was 1.95 {[}95% confidence interval\n(95% CI) 1.50-2.52] for employees with &gt;= 3 chronic diseases and good\nphysical work ability, whereas it was 3.60 (95% CI 2.50-5.19) for those\nwith &gt;= 3 chronic diseases and poor physical work ability. Overall, the\njoint association of chronic disease and work ability with LTSA appears\nto be additive.\nConclusions Poor work ability combined with &gt;= 1 chronic diseases is\nassociated with high risk of long-term sickness absence in the general\nworking population. Initiatives to improve or maintain work ability\nshould be highly prioritized to secure sustainable employability among\nworkers with &gt;= 1 chronic diseases.","author":[{"dropping-particle":"","family":"Sundstrup","given":"Emil","non-dropping-particle":"","parse-names":false,"suffix":""},{"dropping-particle":"","family":"Due Jakobsen","given":"Markus","non-dropping-particle":"","parse-names":false,"suffix":""},{"dropping-particle":"","family":"Mortensen","given":"Ole Steen","non-dropping-particle":"","parse-names":false,"suffix":""},{"dropping-particle":"","family":"Andersen","given":"Lars Louis","non-dropping-particle":"","parse-names":false,"suffix":""}],"container-title":"Scandinavian Journal of Work, Environment and Health","id":"ITEM-1","issue":"2","issued":{"date-parts":[["2017"]]},"page":"146-154","title":"Joint association of multimorbidity and work ability with risk of long-term sickness absence: a prospective cohort study with register follow-up","type":"article-journal","volume":"43"},"uris":["http://www.mendeley.com/documents/?uuid=13567560-3fa6-4da1-8487-cd49944a2b1a"]},{"id":"ITEM-2","itemData":{"DOI":"10.1080/02813432.2019.1568710","ISSN":"15027724","author":[{"dropping-particle":"","family":"Vuorio","given":"Tiina","non-dropping-particle":"","parse-names":false,"suffix":""},{"dropping-particle":"","family":"Suominen","given":"Sakari","non-dropping-particle":"","parse-names":false,"suffix":""},{"dropping-particle":"","family":"Kautiainen","given":"Hannu","non-dropping-particle":"","parse-names":false,"suffix":""},{"dropping-particle":"","family":"Korhonen","given":"Päivi","non-dropping-particle":"","parse-names":false,"suffix":""}],"container-title":"Scandinavian Journal of Primary Health Care","id":"ITEM-2","issue":"1","issued":{"date-parts":[["2019"]]},"page":"3-9","publisher":"Taylor &amp; Francis","title":"Determinants of sickness absence rate among Finnish municipal employees","type":"article-journal","volume":"37"},"uris":["http://www.mendeley.com/documents/?uuid=b729acc9-3ccf-400b-93c5-a200c9c9300e"]}],"mendeley":{"formattedCitation":"(1,2)","plainTextFormattedCitation":"(1,2)","previouslyFormattedCitation":"(1,2)"},"properties":{"noteIndex":0},"schema":"https://github.com/citation-style-language/schema/raw/master/csl-citation.json"}</w:instrText>
      </w:r>
      <w:r w:rsidR="00CE5E06" w:rsidRPr="00475EEE">
        <w:rPr>
          <w:rFonts w:eastAsia="Calibri"/>
          <w:noProof/>
          <w:lang w:val="da-DK" w:eastAsia="en-US"/>
        </w:rPr>
        <w:fldChar w:fldCharType="separate"/>
      </w:r>
      <w:r w:rsidR="007E6799" w:rsidRPr="007E6799">
        <w:rPr>
          <w:rFonts w:eastAsia="Calibri"/>
          <w:noProof/>
          <w:lang w:val="da-DK" w:eastAsia="en-US"/>
        </w:rPr>
        <w:t>(1,2)</w:t>
      </w:r>
      <w:r w:rsidR="00CE5E06" w:rsidRPr="00475EEE">
        <w:rPr>
          <w:rFonts w:eastAsia="Calibri"/>
          <w:noProof/>
          <w:lang w:val="da-DK" w:eastAsia="en-US"/>
        </w:rPr>
        <w:fldChar w:fldCharType="end"/>
      </w:r>
      <w:r w:rsidR="0050473E">
        <w:rPr>
          <w:rFonts w:eastAsia="Calibri"/>
          <w:lang w:val="da-DK" w:eastAsia="en-US"/>
        </w:rPr>
        <w:t>. In addition, t</w:t>
      </w:r>
      <w:r w:rsidR="0050473E" w:rsidRPr="0050473E">
        <w:rPr>
          <w:rFonts w:eastAsia="Calibri"/>
          <w:lang w:val="da-DK" w:eastAsia="en-US"/>
        </w:rPr>
        <w:t xml:space="preserve">he national financial </w:t>
      </w:r>
      <w:r w:rsidR="0050473E">
        <w:rPr>
          <w:rFonts w:eastAsia="Calibri"/>
          <w:lang w:val="da-DK" w:eastAsia="en-US"/>
        </w:rPr>
        <w:t>cost</w:t>
      </w:r>
      <w:r w:rsidR="0050473E" w:rsidRPr="0050473E">
        <w:rPr>
          <w:rFonts w:eastAsia="Calibri"/>
          <w:lang w:val="da-DK" w:eastAsia="en-US"/>
        </w:rPr>
        <w:t xml:space="preserve"> due to sickness absence </w:t>
      </w:r>
      <w:r w:rsidR="0050473E">
        <w:rPr>
          <w:rFonts w:eastAsia="Calibri"/>
          <w:lang w:val="da-DK" w:eastAsia="en-US"/>
        </w:rPr>
        <w:t>related to</w:t>
      </w:r>
      <w:r w:rsidR="0050473E" w:rsidRPr="0050473E">
        <w:rPr>
          <w:rFonts w:eastAsia="Calibri"/>
          <w:lang w:val="da-DK" w:eastAsia="en-US"/>
        </w:rPr>
        <w:t xml:space="preserve"> chronic musculoskeletal disorders </w:t>
      </w:r>
      <w:r w:rsidR="0050473E">
        <w:rPr>
          <w:rFonts w:eastAsia="Calibri"/>
          <w:lang w:val="da-DK" w:eastAsia="en-US"/>
        </w:rPr>
        <w:t xml:space="preserve">in countries such as Holland </w:t>
      </w:r>
      <w:r w:rsidR="0050473E" w:rsidRPr="0050473E">
        <w:rPr>
          <w:rFonts w:eastAsia="Calibri"/>
          <w:lang w:val="da-DK" w:eastAsia="en-US"/>
        </w:rPr>
        <w:t>amounted to €1.3 billion annually</w:t>
      </w:r>
      <w:r w:rsidR="0050473E">
        <w:rPr>
          <w:rFonts w:eastAsia="Calibri"/>
          <w:lang w:val="da-DK" w:eastAsia="en-US"/>
        </w:rPr>
        <w:t xml:space="preserve"> </w:t>
      </w:r>
      <w:r w:rsidR="0050473E">
        <w:rPr>
          <w:rFonts w:eastAsia="Calibri"/>
          <w:lang w:val="da-DK" w:eastAsia="en-US"/>
        </w:rPr>
        <w:fldChar w:fldCharType="begin" w:fldLock="1"/>
      </w:r>
      <w:r w:rsidR="002F36A0">
        <w:rPr>
          <w:rFonts w:eastAsia="Calibri"/>
          <w:lang w:val="da-DK" w:eastAsia="en-US"/>
        </w:rPr>
        <w:instrText>ADDIN CSL_CITATION {"citationItems":[{"id":"ITEM-1","itemData":{"DOI":"10.1007/s10926-015-9575-4","ISSN":"10530487","abstract":"INTRODUCTION: Chronic diseases are associated with productivity loss costs due to sickness absence. It is not always clear, however, which chronic diseases in particular are involved with how many sickness days and associated costs.\\n\\nOBJECTIVE: To determine the prevalence, additional days of sickness absence, and associated costs of chronic diseases among the Dutch working population from 2007 to 2011.\\n\\nMETHODS: Prevalence of chronic diseases and additional days of sickness absence were derived from the Netherlands Working Conditions Survey (NWCS) from 2007 to 2011. The cost of each sickness absence day was based on linked personal income data. We used multiple regression analysis to derive the unconfounded additional days of sickness absence due to each chronic disease.\\n\\nRESULTS: Annually, approximately 37 % of the Dutch working population reported some type of chronic physical or psychological disease. No clinically relevant changes in prevalence of specific chronic diseases were observed in the studied period, nor in the number of additional sickness absence days or associated costs. The national financial burden due to sickness absence associated with chronic musculoskeletal disorders amounted to €1.3 billion annually.\\n\\nCONCLUSIONS: Chronic diseases result in substantial productivity loss due to sickness absence. Given the ageing population, the proposed increase in the state pension age and an increase in sedentary lifestyle and obesity, the prevalence of chronic diseases may be expected to rise. Coordinated efforts to maintain and improve the health of the working population are necessary to minimize socioeconomic consequences.","author":[{"dropping-particle":"","family":"Vroome","given":"Ernest M.M.","non-dropping-particle":"de","parse-names":false,"suffix":""},{"dropping-particle":"","family":"Uegaki","given":"Kimi","non-dropping-particle":"","parse-names":false,"suffix":""},{"dropping-particle":"","family":"Ploeg","given":"Catharina P.B.","non-dropping-particle":"van der","parse-names":false,"suffix":""},{"dropping-particle":"","family":"Treutlein","given":"Daniela B.","non-dropping-particle":"","parse-names":false,"suffix":""},{"dropping-particle":"","family":"Steenbeek","given":"Romy","non-dropping-particle":"","parse-names":false,"suffix":""},{"dropping-particle":"","family":"Weerd","given":"Marjolein","non-dropping-particle":"de","parse-names":false,"suffix":""},{"dropping-particle":"","family":"Bossche","given":"Seth N.J.","non-dropping-particle":"van den","parse-names":false,"suffix":""}],"container-title":"Journal of Occupational Rehabilitation","id":"ITEM-1","issue":"4","issued":{"date-parts":[["2015"]]},"page":"675-684","title":"Burden of Sickness Absence Due to Chronic Disease in the Dutch Workforce from 2007 to 2011","type":"article-journal","volume":"25"},"uris":["http://www.mendeley.com/documents/?uuid=c09a24f1-d555-48be-aff1-c0bc1d933f6d"]}],"mendeley":{"formattedCitation":"(3)","plainTextFormattedCitation":"(3)","previouslyFormattedCitation":"(3)"},"properties":{"noteIndex":0},"schema":"https://github.com/citation-style-language/schema/raw/master/csl-citation.json"}</w:instrText>
      </w:r>
      <w:r w:rsidR="0050473E">
        <w:rPr>
          <w:rFonts w:eastAsia="Calibri"/>
          <w:lang w:val="da-DK" w:eastAsia="en-US"/>
        </w:rPr>
        <w:fldChar w:fldCharType="separate"/>
      </w:r>
      <w:r w:rsidR="007E6799" w:rsidRPr="007E6799">
        <w:rPr>
          <w:rFonts w:eastAsia="Calibri"/>
          <w:noProof/>
          <w:lang w:val="da-DK" w:eastAsia="en-US"/>
        </w:rPr>
        <w:t>(3)</w:t>
      </w:r>
      <w:r w:rsidR="0050473E">
        <w:rPr>
          <w:rFonts w:eastAsia="Calibri"/>
          <w:lang w:val="da-DK" w:eastAsia="en-US"/>
        </w:rPr>
        <w:fldChar w:fldCharType="end"/>
      </w:r>
      <w:r w:rsidR="0050473E">
        <w:rPr>
          <w:rFonts w:eastAsia="Calibri"/>
          <w:lang w:val="da-DK" w:eastAsia="en-US"/>
        </w:rPr>
        <w:t xml:space="preserve">; </w:t>
      </w:r>
      <w:r w:rsidR="00A114D0">
        <w:rPr>
          <w:rFonts w:eastAsia="Calibri"/>
          <w:lang w:val="da-DK" w:eastAsia="en-US"/>
        </w:rPr>
        <w:t>thus,</w:t>
      </w:r>
      <w:r w:rsidR="00A114D0">
        <w:rPr>
          <w:rFonts w:eastAsia="Calibri"/>
          <w:lang w:val="en-US" w:eastAsia="en-US"/>
        </w:rPr>
        <w:t>a</w:t>
      </w:r>
      <w:r w:rsidR="008C585D" w:rsidRPr="00475EEE">
        <w:rPr>
          <w:rFonts w:eastAsia="Calibri"/>
          <w:lang w:val="en-US" w:eastAsia="en-US"/>
        </w:rPr>
        <w:t>cquiring knowledge relat</w:t>
      </w:r>
      <w:r w:rsidR="0050473E">
        <w:rPr>
          <w:rFonts w:eastAsia="Calibri"/>
          <w:lang w:val="en-US" w:eastAsia="en-US"/>
        </w:rPr>
        <w:t>ed</w:t>
      </w:r>
      <w:r w:rsidR="008C585D" w:rsidRPr="00475EEE">
        <w:rPr>
          <w:rFonts w:eastAsia="Calibri"/>
          <w:lang w:val="en-US" w:eastAsia="en-US"/>
        </w:rPr>
        <w:t xml:space="preserve"> to health </w:t>
      </w:r>
      <w:proofErr w:type="spellStart"/>
      <w:r w:rsidR="008C585D" w:rsidRPr="00475EEE">
        <w:rPr>
          <w:rFonts w:eastAsia="Calibri"/>
          <w:lang w:val="en-US" w:eastAsia="en-US"/>
        </w:rPr>
        <w:t>behaviours</w:t>
      </w:r>
      <w:proofErr w:type="spellEnd"/>
      <w:r w:rsidR="008C585D" w:rsidRPr="00475EEE">
        <w:rPr>
          <w:rFonts w:eastAsia="Calibri"/>
          <w:lang w:val="en-US" w:eastAsia="en-US"/>
        </w:rPr>
        <w:t xml:space="preserve"> of working populations can aid in the implementation of successful strategies to improve health</w:t>
      </w:r>
      <w:r w:rsidR="005F66FA">
        <w:rPr>
          <w:rFonts w:eastAsia="Calibri"/>
          <w:lang w:val="en-US" w:eastAsia="en-US"/>
        </w:rPr>
        <w:t xml:space="preserve">, </w:t>
      </w:r>
      <w:r w:rsidR="00472352">
        <w:rPr>
          <w:rFonts w:eastAsia="Calibri"/>
          <w:lang w:val="en-US" w:eastAsia="en-US"/>
        </w:rPr>
        <w:t xml:space="preserve">and to reduce related cost. </w:t>
      </w:r>
      <w:r w:rsidR="00260E8F">
        <w:rPr>
          <w:rFonts w:eastAsia="Calibri"/>
          <w:lang w:val="en-GB" w:eastAsia="en-US"/>
        </w:rPr>
        <w:t>Particularly</w:t>
      </w:r>
      <w:r w:rsidR="00CA577A">
        <w:rPr>
          <w:rFonts w:eastAsia="Calibri"/>
          <w:lang w:val="en-GB" w:eastAsia="en-US"/>
        </w:rPr>
        <w:t>, c</w:t>
      </w:r>
      <w:proofErr w:type="spellStart"/>
      <w:r w:rsidR="00F7756E" w:rsidRPr="00475EEE">
        <w:rPr>
          <w:rFonts w:eastAsia="Calibri"/>
          <w:lang w:val="en-US" w:eastAsia="en-US"/>
        </w:rPr>
        <w:t>hronic</w:t>
      </w:r>
      <w:proofErr w:type="spellEnd"/>
      <w:r w:rsidR="00F7756E" w:rsidRPr="00475EEE">
        <w:rPr>
          <w:rFonts w:eastAsia="Calibri"/>
          <w:lang w:val="en-US" w:eastAsia="en-US"/>
        </w:rPr>
        <w:t xml:space="preserve"> diseases are the leading cause of death</w:t>
      </w:r>
      <w:r w:rsidR="00EE6072">
        <w:rPr>
          <w:rFonts w:eastAsia="Calibri"/>
          <w:lang w:val="en-US" w:eastAsia="en-US"/>
        </w:rPr>
        <w:t xml:space="preserve"> </w:t>
      </w:r>
      <w:r w:rsidR="00F7756E" w:rsidRPr="00475EEE">
        <w:rPr>
          <w:rFonts w:eastAsia="Calibri"/>
          <w:lang w:val="en-US" w:eastAsia="en-US"/>
        </w:rPr>
        <w:t>among the Spanish population</w:t>
      </w:r>
      <w:r w:rsidR="004A4A82" w:rsidRPr="00475EEE">
        <w:rPr>
          <w:rFonts w:eastAsia="Calibri"/>
          <w:lang w:val="en-US" w:eastAsia="en-US"/>
        </w:rPr>
        <w:t xml:space="preserve">, </w:t>
      </w:r>
      <w:r w:rsidR="00CA30BC">
        <w:rPr>
          <w:rFonts w:eastAsia="Calibri"/>
          <w:lang w:val="en-US" w:eastAsia="en-US"/>
        </w:rPr>
        <w:t xml:space="preserve">whereas chronic conditions such as </w:t>
      </w:r>
      <w:r w:rsidR="005323AC">
        <w:rPr>
          <w:rFonts w:eastAsia="Calibri"/>
          <w:lang w:val="en-US" w:eastAsia="en-US"/>
        </w:rPr>
        <w:t xml:space="preserve">low-back pain and neck pain </w:t>
      </w:r>
      <w:r w:rsidR="00CA30BC" w:rsidRPr="00CA30BC">
        <w:rPr>
          <w:rFonts w:eastAsia="Calibri"/>
          <w:lang w:val="en-US" w:eastAsia="en-US"/>
        </w:rPr>
        <w:t>a</w:t>
      </w:r>
      <w:r w:rsidR="005323AC">
        <w:rPr>
          <w:rFonts w:eastAsia="Calibri"/>
          <w:lang w:val="en-US" w:eastAsia="en-US"/>
        </w:rPr>
        <w:t xml:space="preserve">re </w:t>
      </w:r>
      <w:r w:rsidR="00CA30BC" w:rsidRPr="00CA30BC">
        <w:rPr>
          <w:rFonts w:eastAsia="Calibri"/>
          <w:lang w:val="en-US" w:eastAsia="en-US"/>
        </w:rPr>
        <w:t>the primary reason</w:t>
      </w:r>
      <w:r w:rsidR="005323AC">
        <w:rPr>
          <w:rFonts w:eastAsia="Calibri"/>
          <w:lang w:val="en-US" w:eastAsia="en-US"/>
        </w:rPr>
        <w:t>s</w:t>
      </w:r>
      <w:r w:rsidR="00CA30BC" w:rsidRPr="00CA30BC">
        <w:rPr>
          <w:rFonts w:eastAsia="Calibri"/>
          <w:lang w:val="en-US" w:eastAsia="en-US"/>
        </w:rPr>
        <w:t xml:space="preserve"> for disability-adjusted life year</w:t>
      </w:r>
      <w:r w:rsidR="005323AC">
        <w:rPr>
          <w:rFonts w:eastAsia="Calibri"/>
          <w:lang w:val="en-US" w:eastAsia="en-US"/>
        </w:rPr>
        <w:t>s</w:t>
      </w:r>
      <w:r w:rsidR="00CA30BC" w:rsidRPr="00CA30BC">
        <w:rPr>
          <w:rFonts w:eastAsia="Calibri"/>
          <w:lang w:val="en-US" w:eastAsia="en-US"/>
        </w:rPr>
        <w:t xml:space="preserve"> (DA</w:t>
      </w:r>
      <w:r w:rsidR="005323AC">
        <w:rPr>
          <w:rFonts w:eastAsia="Calibri"/>
          <w:lang w:val="en-US" w:eastAsia="en-US"/>
        </w:rPr>
        <w:t>LYs)</w:t>
      </w:r>
      <w:r w:rsidR="006A506F">
        <w:rPr>
          <w:rFonts w:eastAsia="Calibri"/>
          <w:lang w:val="en-US" w:eastAsia="en-US"/>
        </w:rPr>
        <w:t xml:space="preserve"> </w:t>
      </w:r>
      <w:r w:rsidR="006A506F">
        <w:rPr>
          <w:rFonts w:eastAsia="Calibri"/>
          <w:lang w:val="en-US" w:eastAsia="en-US"/>
        </w:rPr>
        <w:fldChar w:fldCharType="begin" w:fldLock="1"/>
      </w:r>
      <w:r w:rsidR="002F36A0">
        <w:rPr>
          <w:rFonts w:eastAsia="Calibri"/>
          <w:lang w:val="en-US" w:eastAsia="en-US"/>
        </w:rPr>
        <w:instrText>ADDIN CSL_CITATION {"citationItems":[{"id":"ITEM-1","itemData":{"DOI":"10.1016/j.medcle.2018.05.043","ISSN":"23870206","abstract":"Background and objectives The global burden of disease (GBD) project measures the health of populations worldwide on an annual basis, and results are available by country. We used the estimates of the GBD to summarise the state of health in Spain in 2016 and report trends in mortality and morbidity from 1990 to 2016. Material and methods GBD 2016 estimated disease burden due to 333 diseases and injuries, and 84 risk factors. The GBD list of causes is hierarchical and includes 3 top level categories, namely: (1) communicable, maternal, neonatal, and nutritional diseases; (2) non-communicable diseases (NCDs), and (3) injuries. Mortality and disability-adjusted life-years (DALYs), risk factors, and progress towards the sustainable development goals (SDGs) are presented based on the GBD 2016 data in Spain. Results There were 418,516 deaths in Spain in 2016, from a total population of 46.5 million, and 80.5% of them occurred in those aged 70 years and older. Overall, NCDs were the main cause of death: 388,617 (95% uncertainty interval 374,959–402,486), corresponding to 92.8% of all deaths. They were followed by 3.6% due to injuries with 15,052 (13,902–17,107) deaths, and 3.5% communicable diseases with 14,847 (13,208–16,482) deaths. The 5 leading specific causes of death were ischaemic heart disease (IHD, 14.6% of all deaths), Alzheimer disease and other dementias (13.6%), stroke (7.1%), chronic obstructive pulmonary disease (6.9%), and lung cancer (5.0%). Remarkable increases in mortality from 1990 to 2016 were observed in other cancers, lower respiratory infections, chronic kidney disease, and other cardiovascular disease, among others. On the contrary, road injuries moved down from 8th to 32nd position, and diabetes from 6th to 10th. Low back and neck pain became the number one cause of DALYs in Spain in 2016, just surpassing IHD, while Alzheimer disease moved from 9th to 3rd position. The greatest changes in DALYs were observed for road injuries dropping from 4th to 16th position, and congenital disorders from 17th to 35th; conversely, oral disorders rose from 25th to 17th. Overall, smoking is by far the most relevant risk factor in Spain, followed by high blood pressure, high body mass index, alcohol use, and high fasting plasma glucose. Finally, Spain scored 74.3 of 100 points in the SDG index classification in 2016, and the main national drivers of detrimental health in SDGs were alcohol consumption, smoking and child obesity. An increase to 80.3 poin…","author":[{"dropping-particle":"","family":"Soriano","given":"Joan B.","non-dropping-particle":"","parse-names":false,"suffix":""},{"dropping-particle":"","family":"Rojas-Rueda","given":"David","non-dropping-particle":"","parse-names":false,"suffix":""},{"dropping-particle":"","family":"Alonso","given":"Jordi","non-dropping-particle":"","parse-names":false,"suffix":""},{"dropping-particle":"","family":"Antó","given":"Josep M.","non-dropping-particle":"","parse-names":false,"suffix":""},{"dropping-particle":"","family":"Cardona","given":"Pere-Joan","non-dropping-particle":"","parse-names":false,"suffix":""},{"dropping-particle":"","family":"Fernández","given":"Esteve","non-dropping-particle":"","parse-names":false,"suffix":""},{"dropping-particle":"","family":"Garcia-Basteiro","given":"Alberto L.","non-dropping-particle":"","parse-names":false,"suffix":""},{"dropping-particle":"","family":"Benavides","given":"Fernando G.","non-dropping-particle":"","parse-names":false,"suffix":""},{"dropping-particle":"","family":"Glenn","given":"Scott D.","non-dropping-particle":"","parse-names":false,"suffix":""},{"dropping-particle":"","family":"Krish","given":"Varsha","non-dropping-particle":"","parse-names":false,"suffix":""},{"dropping-particle":"V.","family":"Lazarus","given":"Jeffrey","non-dropping-particle":"","parse-names":false,"suffix":""},{"dropping-particle":"","family":"Martínez-Raga","given":"José","non-dropping-particle":"","parse-names":false,"suffix":""},{"dropping-particle":"","family":"Masana","given":"Maria F.","non-dropping-particle":"","parse-names":false,"suffix":""},{"dropping-particle":"","family":"Nieuwenhuijsen","given":"Mark J.","non-dropping-particle":"","parse-names":false,"suffix":""},{"dropping-particle":"","family":"Ortiz","given":"Alberto","non-dropping-particle":"","parse-names":false,"suffix":""},{"dropping-particle":"","family":"Sánchez-Niño","given":"Maria Dolores","non-dropping-particle":"","parse-names":false,"suffix":""},{"dropping-particle":"","family":"Serrano-Blanco","given":"Antoni","non-dropping-particle":"","parse-names":false,"suffix":""},{"dropping-particle":"","family":"Tortajada-Girbés","given":"Miguel","non-dropping-particle":"","parse-names":false,"suffix":""},{"dropping-particle":"","family":"Tyrovolas","given":"Stefanos","non-dropping-particle":"","parse-names":false,"suffix":""},{"dropping-particle":"","family":"Haro","given":"Josep Maria","non-dropping-particle":"","parse-names":false,"suffix":""},{"dropping-particle":"","family":"Naghavi","given":"Mohsen","non-dropping-particle":"","parse-names":false,"suffix":""},{"dropping-particle":"","family":"Murray","given":"Christopher J.L.","non-dropping-particle":"","parse-names":false,"suffix":""}],"container-title":"Medicina Clínica (English Edition)","id":"ITEM-1","issue":"5","issued":{"date-parts":[["2018","9"]]},"page":"171-190","title":"The burden of disease in Spain: Results from the Global Burden of Disease 2016","type":"article-journal","volume":"151"},"uris":["http://www.mendeley.com/documents/?uuid=2e4ba6b2-a897-4822-9433-a4177b26fa43"]}],"mendeley":{"formattedCitation":"(4)","plainTextFormattedCitation":"(4)","previouslyFormattedCitation":"(4)"},"properties":{"noteIndex":0},"schema":"https://github.com/citation-style-language/schema/raw/master/csl-citation.json"}</w:instrText>
      </w:r>
      <w:r w:rsidR="006A506F">
        <w:rPr>
          <w:rFonts w:eastAsia="Calibri"/>
          <w:lang w:val="en-US" w:eastAsia="en-US"/>
        </w:rPr>
        <w:fldChar w:fldCharType="separate"/>
      </w:r>
      <w:r w:rsidR="007E6799" w:rsidRPr="007E6799">
        <w:rPr>
          <w:rFonts w:eastAsia="Calibri"/>
          <w:noProof/>
          <w:lang w:val="en-US" w:eastAsia="en-US"/>
        </w:rPr>
        <w:t>(4)</w:t>
      </w:r>
      <w:r w:rsidR="006A506F">
        <w:rPr>
          <w:rFonts w:eastAsia="Calibri"/>
          <w:lang w:val="en-US" w:eastAsia="en-US"/>
        </w:rPr>
        <w:fldChar w:fldCharType="end"/>
      </w:r>
      <w:r w:rsidR="005323AC">
        <w:rPr>
          <w:rFonts w:eastAsia="Calibri"/>
          <w:lang w:val="en-US" w:eastAsia="en-US"/>
        </w:rPr>
        <w:t xml:space="preserve">. </w:t>
      </w:r>
      <w:r w:rsidR="00EE7715">
        <w:rPr>
          <w:rFonts w:eastAsia="Calibri"/>
          <w:lang w:val="en-US" w:eastAsia="en-US"/>
        </w:rPr>
        <w:t>On the other hand</w:t>
      </w:r>
      <w:r w:rsidR="00472352">
        <w:rPr>
          <w:rFonts w:eastAsia="Calibri"/>
          <w:lang w:val="en-US" w:eastAsia="en-US"/>
        </w:rPr>
        <w:t xml:space="preserve">, </w:t>
      </w:r>
      <w:r w:rsidR="002A68A4">
        <w:rPr>
          <w:rFonts w:eastAsia="Calibri"/>
          <w:lang w:val="en-US" w:eastAsia="en-US"/>
        </w:rPr>
        <w:t>healthy habits such as regular physical activity</w:t>
      </w:r>
      <w:r w:rsidR="00C03C54">
        <w:rPr>
          <w:rFonts w:eastAsia="Calibri"/>
          <w:lang w:val="en-US" w:eastAsia="en-US"/>
        </w:rPr>
        <w:t xml:space="preserve"> (PA)</w:t>
      </w:r>
      <w:r w:rsidR="002A68A4">
        <w:rPr>
          <w:rFonts w:eastAsia="Calibri"/>
          <w:lang w:val="en-US" w:eastAsia="en-US"/>
        </w:rPr>
        <w:t xml:space="preserve"> have been usually associated with a longer lifespan; for instance, </w:t>
      </w:r>
      <w:r w:rsidR="000A34B7">
        <w:rPr>
          <w:rFonts w:eastAsia="Calibri"/>
          <w:lang w:val="en-US" w:eastAsia="en-US"/>
        </w:rPr>
        <w:t xml:space="preserve">altogether work and household </w:t>
      </w:r>
      <w:r w:rsidR="00C03C54">
        <w:rPr>
          <w:rFonts w:eastAsia="Calibri"/>
          <w:lang w:val="en-US" w:eastAsia="en-US"/>
        </w:rPr>
        <w:t>PA</w:t>
      </w:r>
      <w:r w:rsidR="000A34B7">
        <w:rPr>
          <w:rFonts w:eastAsia="Calibri"/>
          <w:lang w:val="en-US" w:eastAsia="en-US"/>
        </w:rPr>
        <w:t xml:space="preserve"> have</w:t>
      </w:r>
      <w:r w:rsidR="004A4A82" w:rsidRPr="00475EEE">
        <w:rPr>
          <w:rFonts w:eastAsia="Calibri"/>
          <w:lang w:val="en-US" w:eastAsia="en-US"/>
        </w:rPr>
        <w:t xml:space="preserve"> been observed to reduce mortality</w:t>
      </w:r>
      <w:r w:rsidR="00EE6072">
        <w:rPr>
          <w:rFonts w:eastAsia="Calibri"/>
          <w:lang w:val="en-US" w:eastAsia="en-US"/>
        </w:rPr>
        <w:t xml:space="preserve"> </w:t>
      </w:r>
      <w:r w:rsidR="004A4A82" w:rsidRPr="00475EEE">
        <w:rPr>
          <w:rFonts w:eastAsia="Calibri"/>
          <w:lang w:val="en-US" w:eastAsia="en-US"/>
        </w:rPr>
        <w:t xml:space="preserve">risk </w:t>
      </w:r>
      <w:r w:rsidR="00EE7715">
        <w:rPr>
          <w:rFonts w:eastAsia="Calibri"/>
          <w:lang w:val="en-US" w:eastAsia="en-US"/>
        </w:rPr>
        <w:t>in Spanish men and women, while</w:t>
      </w:r>
      <w:r w:rsidR="006A506F">
        <w:rPr>
          <w:rFonts w:eastAsia="Calibri"/>
          <w:lang w:val="en-US" w:eastAsia="en-US"/>
        </w:rPr>
        <w:t xml:space="preserve"> similar mortality risk reductions for leisure-ti</w:t>
      </w:r>
      <w:r w:rsidR="00C03C54">
        <w:rPr>
          <w:rFonts w:eastAsia="Calibri"/>
          <w:lang w:val="en-US" w:eastAsia="en-US"/>
        </w:rPr>
        <w:t>me PA</w:t>
      </w:r>
      <w:r w:rsidR="006A506F">
        <w:rPr>
          <w:rFonts w:eastAsia="Calibri"/>
          <w:lang w:val="en-US" w:eastAsia="en-US"/>
        </w:rPr>
        <w:t xml:space="preserve"> have been solely shown in </w:t>
      </w:r>
      <w:r w:rsidR="00B129B8">
        <w:rPr>
          <w:rFonts w:eastAsia="Calibri"/>
          <w:lang w:val="en-US" w:eastAsia="en-US"/>
        </w:rPr>
        <w:t xml:space="preserve">Spanish </w:t>
      </w:r>
      <w:r w:rsidR="006A506F">
        <w:rPr>
          <w:rFonts w:eastAsia="Calibri"/>
          <w:lang w:val="en-US" w:eastAsia="en-US"/>
        </w:rPr>
        <w:t xml:space="preserve">women </w:t>
      </w:r>
      <w:r w:rsidR="00EE7715">
        <w:rPr>
          <w:rFonts w:eastAsia="Calibri"/>
          <w:lang w:val="en-US" w:eastAsia="en-US"/>
        </w:rPr>
        <w:fldChar w:fldCharType="begin" w:fldLock="1"/>
      </w:r>
      <w:r w:rsidR="002F36A0">
        <w:rPr>
          <w:rFonts w:eastAsia="Calibri"/>
          <w:lang w:val="en-US" w:eastAsia="en-US"/>
        </w:rPr>
        <w:instrText>ADDIN CSL_CITATION {"citationItems":[{"id":"ITEM-1","itemData":{"DOI":"10.1016/j.ypmed.2016.02.009","ISSN":"0091-7435","author":[{"dropping-particle":"","family":"Huerta","given":"José Mª","non-dropping-particle":"","parse-names":false,"suffix":""},{"dropping-particle":"","family":"Chirlaque","given":"Dolores María","non-dropping-particle":"","parse-names":false,"suffix":""},{"dropping-particle":"","family":"María José","given":"Tormo","non-dropping-particle":"","parse-names":false,"suffix":""},{"dropping-particle":"","family":"Buckland","given":"Genevieve","non-dropping-particle":"","parse-names":false,"suffix":""},{"dropping-particle":"","family":"Ardanaz","given":"Eva","non-dropping-particle":"","parse-names":false,"suffix":""},{"dropping-particle":"","family":"Arriola","given":"Larraitz","non-dropping-particle":"","parse-names":false,"suffix":""},{"dropping-particle":"","family":"Gavrila","given":"Diana","non-dropping-particle":"","parse-names":false,"suffix":""},{"dropping-particle":"","family":"Salmerón","given":"Diego","non-dropping-particle":"","parse-names":false,"suffix":""},{"dropping-particle":"","family":"Cirera","given":"Lluís","non-dropping-particle":"","parse-names":false,"suffix":""},{"dropping-particle":"","family":"Carpe","given":"Bienvenida","non-dropping-particle":"","parse-names":false,"suffix":""},{"dropping-particle":"","family":"Molina-montes","given":"Esther","non-dropping-particle":"","parse-names":false,"suffix":""},{"dropping-particle":"","family":"Chamosa","given":"Saioa","non-dropping-particle":"","parse-names":false,"suffix":""},{"dropping-particle":"","family":"Travier","given":"Noemie","non-dropping-particle":"","parse-names":false,"suffix":""},{"dropping-particle":"","family":"Quirós","given":"José R","non-dropping-particle":"","parse-names":false,"suffix":""},{"dropping-particle":"","family":"Barricarte","given":"Aurelio","non-dropping-particle":"","parse-names":false,"suffix":""}],"container-title":"Preventive Medicine","id":"ITEM-1","issue":"2016","issued":{"date-parts":[["2016"]]},"page":"106-112","publisher":"Elsevier Inc.","title":"Work , household , and leisure-time physical activity and risk of mortality in the EPIC-Spain cohort","type":"article-journal","volume":"85"},"uris":["http://www.mendeley.com/documents/?uuid=67951d56-7213-4795-9d69-93945edce052"]}],"mendeley":{"formattedCitation":"(5)","plainTextFormattedCitation":"(5)","previouslyFormattedCitation":"(5)"},"properties":{"noteIndex":0},"schema":"https://github.com/citation-style-language/schema/raw/master/csl-citation.json"}</w:instrText>
      </w:r>
      <w:r w:rsidR="00EE7715">
        <w:rPr>
          <w:rFonts w:eastAsia="Calibri"/>
          <w:lang w:val="en-US" w:eastAsia="en-US"/>
        </w:rPr>
        <w:fldChar w:fldCharType="separate"/>
      </w:r>
      <w:r w:rsidR="007E6799" w:rsidRPr="007E6799">
        <w:rPr>
          <w:rFonts w:eastAsia="Calibri"/>
          <w:noProof/>
          <w:lang w:val="en-US" w:eastAsia="en-US"/>
        </w:rPr>
        <w:t>(5)</w:t>
      </w:r>
      <w:r w:rsidR="00EE7715">
        <w:rPr>
          <w:rFonts w:eastAsia="Calibri"/>
          <w:lang w:val="en-US" w:eastAsia="en-US"/>
        </w:rPr>
        <w:fldChar w:fldCharType="end"/>
      </w:r>
      <w:r w:rsidR="0060130F">
        <w:rPr>
          <w:rFonts w:eastAsia="Calibri"/>
          <w:lang w:val="en-US" w:eastAsia="en-US"/>
        </w:rPr>
        <w:t xml:space="preserve">; such distinction among </w:t>
      </w:r>
      <w:r w:rsidR="00942459">
        <w:rPr>
          <w:rFonts w:eastAsia="Calibri"/>
          <w:lang w:val="en-US" w:eastAsia="en-US"/>
        </w:rPr>
        <w:t>PA</w:t>
      </w:r>
      <w:r w:rsidR="0060130F">
        <w:rPr>
          <w:rFonts w:eastAsia="Calibri"/>
          <w:lang w:val="en-US" w:eastAsia="en-US"/>
        </w:rPr>
        <w:t xml:space="preserve"> domains </w:t>
      </w:r>
      <w:r w:rsidR="007C3FB2">
        <w:rPr>
          <w:rFonts w:eastAsia="Calibri"/>
          <w:lang w:val="en-US" w:eastAsia="en-US"/>
        </w:rPr>
        <w:t>as well as</w:t>
      </w:r>
      <w:r w:rsidR="00D531E2">
        <w:rPr>
          <w:rFonts w:eastAsia="Calibri"/>
          <w:lang w:val="en-US" w:eastAsia="en-US"/>
        </w:rPr>
        <w:t xml:space="preserve"> </w:t>
      </w:r>
      <w:r w:rsidR="007C3FB2">
        <w:rPr>
          <w:rFonts w:eastAsia="Calibri"/>
          <w:lang w:val="en-US" w:eastAsia="en-US"/>
        </w:rPr>
        <w:t xml:space="preserve">between genders </w:t>
      </w:r>
      <w:r w:rsidR="0087601C">
        <w:rPr>
          <w:rFonts w:eastAsia="Calibri"/>
          <w:lang w:val="en-US" w:eastAsia="en-US"/>
        </w:rPr>
        <w:t xml:space="preserve">is worth-noting, since </w:t>
      </w:r>
      <w:r w:rsidR="00C03C54">
        <w:rPr>
          <w:rFonts w:eastAsia="Calibri"/>
          <w:lang w:val="en-US" w:eastAsia="en-US"/>
        </w:rPr>
        <w:t>PA</w:t>
      </w:r>
      <w:r w:rsidR="0087601C">
        <w:rPr>
          <w:rFonts w:eastAsia="Calibri"/>
          <w:lang w:val="en-US" w:eastAsia="en-US"/>
        </w:rPr>
        <w:t xml:space="preserve"> during leisure has been usually linked to lower </w:t>
      </w:r>
      <w:r w:rsidR="00D531E2">
        <w:rPr>
          <w:rFonts w:eastAsia="Calibri"/>
          <w:lang w:val="en-US" w:eastAsia="en-US"/>
        </w:rPr>
        <w:t>risk of mortality</w:t>
      </w:r>
      <w:r w:rsidR="007C3FB2">
        <w:rPr>
          <w:rFonts w:eastAsia="Calibri"/>
          <w:lang w:val="en-US" w:eastAsia="en-US"/>
        </w:rPr>
        <w:t xml:space="preserve"> in both men and women</w:t>
      </w:r>
      <w:r w:rsidR="0087601C">
        <w:rPr>
          <w:rFonts w:eastAsia="Calibri"/>
          <w:lang w:val="en-US" w:eastAsia="en-US"/>
        </w:rPr>
        <w:t xml:space="preserve">, and </w:t>
      </w:r>
      <w:r w:rsidR="00D531E2">
        <w:rPr>
          <w:rFonts w:eastAsia="Calibri"/>
          <w:lang w:val="en-US" w:eastAsia="en-US"/>
        </w:rPr>
        <w:t>differently</w:t>
      </w:r>
      <w:r w:rsidR="0087601C">
        <w:rPr>
          <w:rFonts w:eastAsia="Calibri"/>
          <w:lang w:val="en-US" w:eastAsia="en-US"/>
        </w:rPr>
        <w:t xml:space="preserve">, higher levels of occupational </w:t>
      </w:r>
      <w:r w:rsidR="00942459">
        <w:rPr>
          <w:rFonts w:eastAsia="Calibri"/>
          <w:lang w:val="en-US" w:eastAsia="en-US"/>
        </w:rPr>
        <w:t>PA</w:t>
      </w:r>
      <w:r w:rsidR="0087601C">
        <w:rPr>
          <w:rFonts w:eastAsia="Calibri"/>
          <w:lang w:val="en-US" w:eastAsia="en-US"/>
        </w:rPr>
        <w:t xml:space="preserve"> have been observed to increase the mortality risk</w:t>
      </w:r>
      <w:r w:rsidR="00D531E2">
        <w:rPr>
          <w:rFonts w:eastAsia="Calibri"/>
          <w:lang w:val="en-US" w:eastAsia="en-US"/>
        </w:rPr>
        <w:t xml:space="preserve"> </w:t>
      </w:r>
      <w:r w:rsidR="002A68A4">
        <w:rPr>
          <w:rFonts w:eastAsia="Calibri"/>
          <w:lang w:val="en-US" w:eastAsia="en-US"/>
        </w:rPr>
        <w:t>only in</w:t>
      </w:r>
      <w:r w:rsidR="00D531E2">
        <w:rPr>
          <w:rFonts w:eastAsia="Calibri"/>
          <w:lang w:val="en-US" w:eastAsia="en-US"/>
        </w:rPr>
        <w:t xml:space="preserve"> men </w:t>
      </w:r>
      <w:r w:rsidR="00D531E2">
        <w:rPr>
          <w:rFonts w:eastAsia="Calibri"/>
          <w:lang w:val="en-US" w:eastAsia="en-US"/>
        </w:rPr>
        <w:fldChar w:fldCharType="begin" w:fldLock="1"/>
      </w:r>
      <w:r w:rsidR="002F36A0">
        <w:rPr>
          <w:rFonts w:eastAsia="Calibri"/>
          <w:lang w:val="en-US" w:eastAsia="en-US"/>
        </w:rPr>
        <w:instrText>ADDIN CSL_CITATION {"citationItems":[{"id":"ITEM-1","itemData":{"DOI":"10.1136/bjsports-2017-098540","ISSN":"14730480","abstract":"Objective Recent evidence suggests the existence of a physical activity paradox, with beneficial health outcomes associated with leisure time physical activity, but detrimental health outcomes for those engaging in high level occupational physical activity. This is the first quantitative systematic review of evidence regarding the association between occupational physical activity and all-cause mortality. Design Systematic review with meta-analysis. Data source A literature search was performed in electronic databases PubMed, Embase, CINAHL, PsycINFO and Cochrane. Eligibility criteria for selecting studies We screened for peer reviewed articles from prospective studies assessing the association of occupational physical activity with all-cause mortality. A meta-analysis assessed the association of high (compared with low) level occupational physical activity with all-cause mortality, estimating pooled hazard ratios (HR) (with 95% CI). Results 2490 unique articles were screened and 33 (from 26 studies) were included. Data from 17 studies (with 193 696 participants) were used in a meta-analysis, showing that men with high level occupational physical activity had an 18% increased risk of early mortality compared with those engaging in low level occupational physical activity (HR 1.18, 95% CI 1.05 to 1.34). No such association was observed among women, for whom instead a tendency for an inverse association was found (HR 0.90, 95% CI 0.80 to 1.01). Conclusions The results of this review indicate detrimental health consequences associated with high level occupational physical activity in men, even when adjusting for relevant factors (such as leisure time physical activity). These findings suggest that research and physical activity guidelines may differentiate between occupational and leisure time physical activity.","author":[{"dropping-particle":"","family":"Coenen","given":"Pieter","non-dropping-particle":"","parse-names":false,"suffix":""},{"dropping-particle":"","family":"Huysmans","given":"Maaike A.","non-dropping-particle":"","parse-names":false,"suffix":""},{"dropping-particle":"","family":"Holtermann","given":"Andreas","non-dropping-particle":"","parse-names":false,"suffix":""},{"dropping-particle":"","family":"Krause","given":"Niklas","non-dropping-particle":"","parse-names":false,"suffix":""},{"dropping-particle":"","family":"Mechelen","given":"Willem","non-dropping-particle":"Van","parse-names":false,"suffix":""},{"dropping-particle":"","family":"Straker","given":"Leon M.","non-dropping-particle":"","parse-names":false,"suffix":""},{"dropping-particle":"","family":"Beek","given":"Allard J.","non-dropping-particle":"Van Der","parse-names":false,"suffix":""}],"container-title":"British Journal of Sports Medicine","id":"ITEM-1","issue":"20","issued":{"date-parts":[["2018"]]},"page":"1320-1326","title":"Do highly physically active workers die early? A systematic review with meta-analysis of data from 193 696 participants","type":"article-journal","volume":"52"},"uris":["http://www.mendeley.com/documents/?uuid=642d5397-a258-42f2-9792-2519c634c2a7"]},{"id":"ITEM-2","itemData":{"DOI":"10.1001/jamainternmed.2015.0533","ISBN":"2168-6114 (Electronic)\\r2168-6106 (Linking)","ISSN":"21686106","PMID":"25844730","abstract":"IMPORTANCE The 2008 Physical Activity Guidelines for Americans recommended a minimum of 75 vigorous-intensity or 150 moderate-intensity minutes per week (7.5 metabolic-equivalent hours per week) of aerobic activity for substantial health benefit and suggested additional benefits by doing more than double this amount. However, the upper limit of longevity benefit or possible harm with more physical activity is unclear. OBJECTIVE To quantify the dose-response association between leisure time physical activity and mortality and define the upper limit of benefit or harm associated with increased levels of physical activity. DESIGN, SETTING, AND PARTICIPANTS We pooled data from 6 studies in the National Cancer Institute Cohort Consortium (baseline 1992-2003). Population-based prospective cohorts in the United States and Europe with self-reported physical activity were analyzed in 2014. A total of 661,137 men and women (median age, 62 years; range, 21-98 years) and 116,686 deaths were included. We used Cox proportional hazards regression with cohort stratification to generate multivariable-adjusted hazard ratios (HRs) and 95% CIs. Median follow-up time was 14.2 years. EXPOSURES Leisure time moderate- to vigorous-intensity physical activity. MAIN OUTCOMES AND MEASURES The upper limit of mortality benefit from high levels of leisure time physical activity. RESULTS Compared with individuals reporting no leisure time physical activity, we observed a 20% lower mortality risk among those performing less than the recommended minimum of 7.5 metabolic-equivalent hours per week (HR, 0.80 [95% CI, 0.78-0.82]), a 31% lower risk at 1 to 2 times the recommended minimum (HR, 0.69 [95% CI, 0.67-0.70]), and a 37% lower risk at 2 to 3 times the minimum (HR, 0.63 [95% CI, 0.62-0.65]). An upper threshold for mortality benefit occurred at 3 to 5 times the physical activity recommendation (HR, 0.61 [95% CI, 0.59-0.62]); however, compared with the recommended minimum, the additional benefit was modest (31% vs 39%). There was no evidence of harm at 10 or more times the recommended minimum (HR, 0.69 [95% CI, 0.59-0.78]). A similar dose-response relationship was observed for mortality due to cardiovascular disease and to cancer. CONCLUSIONS AND RELEVANCE Meeting the 2008 Physical Activity Guidelines for Americans minimum by either moderate- or vigorous-intensity activities was associated with nearly the maximum longevity benefit. We observed a benefit threshold at approximately 3 to 5…","author":[{"dropping-particle":"","family":"Arem","given":"Hannah","non-dropping-particle":"","parse-names":false,"suffix":""},{"dropping-particle":"","family":"Moore","given":"Steven C.","non-dropping-particle":"","parse-names":false,"suffix":""},{"dropping-particle":"","family":"Patel","given":"Alpa","non-dropping-particle":"","parse-names":false,"suffix":""},{"dropping-particle":"","family":"Hartge","given":"Patricia","non-dropping-particle":"","parse-names":false,"suffix":""},{"dropping-particle":"","family":"Berrington De Gonzalez","given":"Amy","non-dropping-particle":"","parse-names":false,"suffix":""},{"dropping-particle":"","family":"Visvanathan","given":"Kala","non-dropping-particle":"","parse-names":false,"suffix":""},{"dropping-particle":"","family":"Campbell","given":"Peter T.","non-dropping-particle":"","parse-names":false,"suffix":""},{"dropping-particle":"","family":"Freedman","given":"Michal","non-dropping-particle":"","parse-names":false,"suffix":""},{"dropping-particle":"","family":"Weiderpass","given":"Elisabete","non-dropping-particle":"","parse-names":false,"suffix":""},{"dropping-particle":"","family":"Adami","given":"Hans Olov","non-dropping-particle":"","parse-names":false,"suffix":""},{"dropping-particle":"","family":"Linet","given":"Martha S.","non-dropping-particle":"","parse-names":false,"suffix":""},{"dropping-particle":"","family":"Lee","given":"I. Min","non-dropping-particle":"","parse-names":false,"suffix":""},{"dropping-particle":"","family":"Matthews","given":"Charles E.","non-dropping-particle":"","parse-names":false,"suffix":""}],"container-title":"JAMA Internal Medicine","id":"ITEM-2","issue":"6","issued":{"date-parts":[["2015"]]},"page":"959-967","title":"Leisure time physical activity and mortality: A detailed pooled analysis of the dose-response relationship","type":"article-journal","volume":"175"},"uris":["http://www.mendeley.com/documents/?uuid=7a8ab0e7-5305-4c0b-908a-8b7110875f6d"]}],"mendeley":{"formattedCitation":"(6,7)","plainTextFormattedCitation":"(6,7)","previouslyFormattedCitation":"(6,7)"},"properties":{"noteIndex":0},"schema":"https://github.com/citation-style-language/schema/raw/master/csl-citation.json"}</w:instrText>
      </w:r>
      <w:r w:rsidR="00D531E2">
        <w:rPr>
          <w:rFonts w:eastAsia="Calibri"/>
          <w:lang w:val="en-US" w:eastAsia="en-US"/>
        </w:rPr>
        <w:fldChar w:fldCharType="separate"/>
      </w:r>
      <w:r w:rsidR="007E6799" w:rsidRPr="007E6799">
        <w:rPr>
          <w:rFonts w:eastAsia="Calibri"/>
          <w:noProof/>
          <w:lang w:val="en-US" w:eastAsia="en-US"/>
        </w:rPr>
        <w:t>(6,7)</w:t>
      </w:r>
      <w:r w:rsidR="00D531E2">
        <w:rPr>
          <w:rFonts w:eastAsia="Calibri"/>
          <w:lang w:val="en-US" w:eastAsia="en-US"/>
        </w:rPr>
        <w:fldChar w:fldCharType="end"/>
      </w:r>
      <w:r w:rsidR="002A68A4">
        <w:rPr>
          <w:rFonts w:eastAsia="Calibri"/>
          <w:noProof/>
          <w:lang w:val="en-US" w:eastAsia="en-US"/>
        </w:rPr>
        <w:t>.</w:t>
      </w:r>
      <w:r w:rsidR="004A63DA">
        <w:rPr>
          <w:rFonts w:eastAsia="Calibri"/>
          <w:noProof/>
          <w:lang w:val="en-US" w:eastAsia="en-US"/>
        </w:rPr>
        <w:t xml:space="preserve"> </w:t>
      </w:r>
      <w:r w:rsidR="00483B08" w:rsidRPr="00475EEE">
        <w:rPr>
          <w:rFonts w:eastAsia="Calibri"/>
          <w:lang w:val="en-US" w:eastAsia="en-US"/>
        </w:rPr>
        <w:t>Further</w:t>
      </w:r>
      <w:r w:rsidR="00F13FFC">
        <w:rPr>
          <w:rFonts w:eastAsia="Calibri"/>
          <w:lang w:val="en-US" w:eastAsia="en-US"/>
        </w:rPr>
        <w:t>more</w:t>
      </w:r>
      <w:r w:rsidR="00483B08" w:rsidRPr="00475EEE">
        <w:rPr>
          <w:rFonts w:eastAsia="Calibri"/>
          <w:lang w:val="en-US" w:eastAsia="en-US"/>
        </w:rPr>
        <w:t xml:space="preserve">, </w:t>
      </w:r>
      <w:r w:rsidR="00C252C1">
        <w:rPr>
          <w:rFonts w:eastAsia="Calibri"/>
          <w:lang w:val="en-US" w:eastAsia="en-US"/>
        </w:rPr>
        <w:t xml:space="preserve">higher </w:t>
      </w:r>
      <w:r w:rsidR="00C03C54">
        <w:rPr>
          <w:rFonts w:eastAsia="Calibri"/>
          <w:lang w:val="en-US" w:eastAsia="en-US"/>
        </w:rPr>
        <w:t xml:space="preserve">leisure-time </w:t>
      </w:r>
      <w:r w:rsidR="00F13FFC">
        <w:rPr>
          <w:rFonts w:eastAsia="Calibri"/>
          <w:lang w:val="en-US" w:eastAsia="en-US"/>
        </w:rPr>
        <w:t xml:space="preserve">PA </w:t>
      </w:r>
      <w:r w:rsidR="00C252C1">
        <w:rPr>
          <w:rFonts w:eastAsia="Calibri"/>
          <w:lang w:val="en-US" w:eastAsia="en-US"/>
        </w:rPr>
        <w:t>was associated with lower prevalence of</w:t>
      </w:r>
      <w:r w:rsidR="00F13FFC">
        <w:rPr>
          <w:rFonts w:eastAsia="Calibri"/>
          <w:lang w:val="en-US" w:eastAsia="en-US"/>
        </w:rPr>
        <w:t xml:space="preserve"> </w:t>
      </w:r>
      <w:r w:rsidR="00F13FFC" w:rsidRPr="00F13FFC">
        <w:rPr>
          <w:rFonts w:eastAsia="Calibri"/>
          <w:lang w:val="en-US" w:eastAsia="en-US"/>
        </w:rPr>
        <w:t>hypertension, diabetes, hypercholesterolemia, depression and anxiety</w:t>
      </w:r>
      <w:r w:rsidR="00C252C1">
        <w:rPr>
          <w:rFonts w:eastAsia="Calibri"/>
          <w:lang w:val="en-US" w:eastAsia="en-US"/>
        </w:rPr>
        <w:t>, as well as lower use of prescription medication in a dose-response fashion</w:t>
      </w:r>
      <w:r w:rsidR="0045705F" w:rsidRPr="00475EEE">
        <w:rPr>
          <w:rFonts w:eastAsia="Calibri"/>
          <w:lang w:val="en-US" w:eastAsia="en-US"/>
        </w:rPr>
        <w:t xml:space="preserve"> </w:t>
      </w:r>
      <w:r w:rsidR="00C252C1">
        <w:rPr>
          <w:rFonts w:eastAsia="Calibri"/>
          <w:lang w:val="en-US" w:eastAsia="en-US"/>
        </w:rPr>
        <w:t>among a general population of Spanish adults</w:t>
      </w:r>
      <w:r w:rsidR="00135466">
        <w:rPr>
          <w:rFonts w:eastAsia="Calibri"/>
          <w:lang w:val="en-US" w:eastAsia="en-US"/>
        </w:rPr>
        <w:t xml:space="preserve"> </w:t>
      </w:r>
      <w:r w:rsidR="0045705F" w:rsidRPr="00475EEE">
        <w:rPr>
          <w:rFonts w:eastAsia="Calibri"/>
          <w:lang w:val="en-US" w:eastAsia="en-US"/>
        </w:rPr>
        <w:fldChar w:fldCharType="begin" w:fldLock="1"/>
      </w:r>
      <w:r w:rsidR="002F36A0">
        <w:rPr>
          <w:rFonts w:eastAsia="Calibri"/>
          <w:lang w:val="en-US" w:eastAsia="en-US"/>
        </w:rPr>
        <w:instrText>ADDIN CSL_CITATION {"citationItems":[{"id":"ITEM-1","itemData":{"DOI":"10.1371/journal.pone.0191542","ISBN":"1111111111","ISSN":"19326203","PMID":"29352280","abstract":"Our aims were to describe physical activity (PA) behaviour in Spain and to examine its association with the prevalence of some of the major non-communicable diseases and with the use of prescription medication. Individualized secondary data retrieved from the 2014 European Health Interview Survey (EHIS) for Spain were used to conduct a cross-sectional epidemiological study (n = 18926). PA was assessed by two different measures: a specific designed variable for EHIS and a leisure time PA frequency-based query of the national survey. Diseases analyzed were hypertension, diabetes, hypercholesterolemia, depression and anxiety. The use of prescription medication was also included in the study. Weighted percentages were computed and contingency tables were calculated to describe PA by levels of the traits and sociodemographic characteristics. Chi-square test was used to compare percentages between groups and weighted logistic regression models were used to assess the relationship between PA and the prevalence of the disease. About 73% of the Spanish population performs no PA at all or only occasionally during their leisure time, and only one third meets minimum PA international guidelines (≥ 150min/week). Men are considerably more active than women and less PA is observed as the education level decreases and as age increases. The risk of the diseases evaluated was up to three times higher among inactive individuals. This study provides national population-based estimations highlighting the impact of PA in Spain, not only in the prevalence of some of the major non-communicable diseases but also in reducing prescription medication, and the potential sex and socioeconomic influence.","author":[{"dropping-particle":"","family":"Fernandez-Navarro","given":"Pablo","non-dropping-particle":"","parse-names":false,"suffix":""},{"dropping-particle":"","family":"Aragones","given":"María Teresa","non-dropping-particle":"","parse-names":false,"suffix":""},{"dropping-particle":"","family":"Ley","given":"Victoria","non-dropping-particle":"","parse-names":false,"suffix":""}],"container-title":"PLoS ONE","id":"ITEM-1","issue":"1","issued":{"date-parts":[["2018"]]},"page":"1-13","title":"Leisure-time physical activity and prevalence of non-communicable pathologies and prescription medication in Spain","type":"article-journal","volume":"13"},"uris":["http://www.mendeley.com/documents/?uuid=ab956931-e7d2-4622-a991-c96442bd7908"]}],"mendeley":{"formattedCitation":"(8)","plainTextFormattedCitation":"(8)","previouslyFormattedCitation":"(8)"},"properties":{"noteIndex":0},"schema":"https://github.com/citation-style-language/schema/raw/master/csl-citation.json"}</w:instrText>
      </w:r>
      <w:r w:rsidR="0045705F" w:rsidRPr="00475EEE">
        <w:rPr>
          <w:rFonts w:eastAsia="Calibri"/>
          <w:lang w:val="en-US" w:eastAsia="en-US"/>
        </w:rPr>
        <w:fldChar w:fldCharType="separate"/>
      </w:r>
      <w:r w:rsidR="007E6799" w:rsidRPr="007E6799">
        <w:rPr>
          <w:rFonts w:eastAsia="Calibri"/>
          <w:noProof/>
          <w:lang w:val="en-US" w:eastAsia="en-US"/>
        </w:rPr>
        <w:t>(8)</w:t>
      </w:r>
      <w:r w:rsidR="0045705F" w:rsidRPr="00475EEE">
        <w:rPr>
          <w:rFonts w:eastAsia="Calibri"/>
          <w:lang w:val="en-US" w:eastAsia="en-US"/>
        </w:rPr>
        <w:fldChar w:fldCharType="end"/>
      </w:r>
      <w:r w:rsidR="00BB32A3">
        <w:rPr>
          <w:rFonts w:eastAsia="Calibri"/>
          <w:lang w:val="en-US" w:eastAsia="en-US"/>
        </w:rPr>
        <w:t xml:space="preserve">. </w:t>
      </w:r>
      <w:r w:rsidR="007173DC">
        <w:rPr>
          <w:rFonts w:eastAsia="Calibri"/>
          <w:lang w:val="en-US" w:eastAsia="en-US"/>
        </w:rPr>
        <w:t>Contrarily</w:t>
      </w:r>
      <w:r w:rsidR="00BB32A3">
        <w:rPr>
          <w:rFonts w:eastAsia="Calibri"/>
          <w:lang w:val="en-US" w:eastAsia="en-US"/>
        </w:rPr>
        <w:t>, occupational</w:t>
      </w:r>
      <w:r w:rsidR="002C0B9C">
        <w:rPr>
          <w:rFonts w:eastAsia="Calibri"/>
          <w:lang w:val="en-US" w:eastAsia="en-US"/>
        </w:rPr>
        <w:t xml:space="preserve"> </w:t>
      </w:r>
      <w:r w:rsidR="007A1EC9">
        <w:rPr>
          <w:rFonts w:eastAsia="Calibri"/>
          <w:lang w:val="en-US" w:eastAsia="en-US"/>
        </w:rPr>
        <w:t>PA</w:t>
      </w:r>
      <w:r w:rsidR="002C0B9C">
        <w:rPr>
          <w:rFonts w:eastAsia="Calibri"/>
          <w:lang w:val="en-US" w:eastAsia="en-US"/>
        </w:rPr>
        <w:t xml:space="preserve"> has</w:t>
      </w:r>
      <w:r w:rsidR="00BB32A3">
        <w:rPr>
          <w:rFonts w:eastAsia="Calibri"/>
          <w:lang w:val="en-US" w:eastAsia="en-US"/>
        </w:rPr>
        <w:t xml:space="preserve"> </w:t>
      </w:r>
      <w:r w:rsidR="001A32DC">
        <w:rPr>
          <w:rFonts w:eastAsia="Calibri"/>
          <w:lang w:val="en-US" w:eastAsia="en-US"/>
        </w:rPr>
        <w:t xml:space="preserve">been observed to </w:t>
      </w:r>
      <w:r w:rsidR="002C0B9C">
        <w:rPr>
          <w:rFonts w:eastAsia="Calibri"/>
          <w:lang w:val="en-US" w:eastAsia="en-US"/>
        </w:rPr>
        <w:t>increase</w:t>
      </w:r>
      <w:r w:rsidR="001A32DC">
        <w:rPr>
          <w:rFonts w:eastAsia="Calibri"/>
          <w:lang w:val="en-US" w:eastAsia="en-US"/>
        </w:rPr>
        <w:t xml:space="preserve"> </w:t>
      </w:r>
      <w:r w:rsidR="002C0B9C">
        <w:rPr>
          <w:rFonts w:eastAsia="Calibri"/>
          <w:lang w:val="en-US" w:eastAsia="en-US"/>
        </w:rPr>
        <w:t>both, the</w:t>
      </w:r>
      <w:r w:rsidR="001A32DC">
        <w:rPr>
          <w:rFonts w:eastAsia="Calibri"/>
          <w:lang w:val="en-US" w:eastAsia="en-US"/>
        </w:rPr>
        <w:t xml:space="preserve"> risk</w:t>
      </w:r>
      <w:r w:rsidR="008F7DA9">
        <w:rPr>
          <w:rFonts w:eastAsia="Calibri"/>
          <w:lang w:val="en-US" w:eastAsia="en-US"/>
        </w:rPr>
        <w:t xml:space="preserve"> for disability pension, </w:t>
      </w:r>
      <w:r w:rsidR="00BB32A3">
        <w:rPr>
          <w:rFonts w:eastAsia="Calibri"/>
          <w:lang w:val="en-US" w:eastAsia="en-US"/>
        </w:rPr>
        <w:t>and the risk</w:t>
      </w:r>
      <w:r w:rsidR="002C0B9C">
        <w:rPr>
          <w:rFonts w:eastAsia="Calibri"/>
          <w:lang w:val="en-US" w:eastAsia="en-US"/>
        </w:rPr>
        <w:t xml:space="preserve"> for long-term sickness absence</w:t>
      </w:r>
      <w:r w:rsidR="002A15DB">
        <w:rPr>
          <w:rFonts w:eastAsia="Calibri"/>
          <w:lang w:val="en-US" w:eastAsia="en-US"/>
        </w:rPr>
        <w:t xml:space="preserve"> </w:t>
      </w:r>
      <w:r w:rsidR="00265250">
        <w:rPr>
          <w:rFonts w:eastAsia="Calibri"/>
          <w:lang w:val="en-US" w:eastAsia="en-US"/>
        </w:rPr>
        <w:fldChar w:fldCharType="begin" w:fldLock="1"/>
      </w:r>
      <w:r w:rsidR="002F36A0">
        <w:rPr>
          <w:rFonts w:eastAsia="Calibri"/>
          <w:lang w:val="en-US" w:eastAsia="en-US"/>
        </w:rPr>
        <w:instrText>ADDIN CSL_CITATION {"citationItems":[{"id":"ITEM-1","itemData":{"DOI":"10.1136/bjsm.2010.079582","ISSN":"03063674","abstract":"BACKGROUND: Occupational and leisure-time physical activity are considered to provide similar health benefits. The authors tested this hypothesis.\\n\\nMETHODS: A representative sample of Danish employees (n=7144, 52% females) reported levels of occupational and leisure-time physical activity in 2005. Long-term sickness absence (LTSA) spells of ≥3 consecutive weeks were retrieved from a social-transfer payment register from 2005 to 2007.\\n\\nRESULTS: 341 men and 620 females experienced a spell of LTSA during the period. Cox analyses adjusted for age, gender, smoking, alcohol, body mass index, chronic disease, social support from immediate superior, emotional demands, social class and occupational or leisure-time physical activity showed a decreased risk for LTSA among workers with moderate (HR 0.85, CI 0.72 to 1.01) and high (HR 0.77, CI 0.62 to 0.95) leisure-time physical activity in reference to those with low leisure-time physical activity. In contrast, an increased risk for LTSA was shown among workers with moderate (HR 1.59, CI 1.35 to 1.88) and high (HR 1.84, CI 1.55 to 2.18) occupational physical activity referencing those with low occupational physical activity.\\n\\nCONCLUSION: The hypothesis was rejected. In a dose-response manner, occupational physical activity increased the risk for LTSA, while leisure-time physical activity decreased the risk for LTSA. The findings indicate opposing effects of occupational and leisure-time physical activity on global health.","author":[{"dropping-particle":"","family":"Holtermann","given":"A.","non-dropping-particle":"","parse-names":false,"suffix":""},{"dropping-particle":"V.","family":"Hansen","given":"J.","non-dropping-particle":"","parse-names":false,"suffix":""},{"dropping-particle":"","family":"Burr","given":"H.","non-dropping-particle":"","parse-names":false,"suffix":""},{"dropping-particle":"","family":"Søgaard","given":"K.","non-dropping-particle":"","parse-names":false,"suffix":""},{"dropping-particle":"","family":"Sjøgaard","given":"G.","non-dropping-particle":"","parse-names":false,"suffix":""}],"container-title":"British Journal of Sports Medicine","id":"ITEM-1","issue":"4","issued":{"date-parts":[["2012"]]},"page":"291-295","title":"The health paradox of occupational and leisure-time physical activity","type":"article-journal","volume":"46"},"uris":["http://www.mendeley.com/documents/?uuid=ea92dbb1-8eb6-4ba7-93b9-453c1947c356"]},{"id":"ITEM-2","itemData":{"DOI":"10.1136/oemed-2017-104320","ISSN":"14707926","abstract":"Objectives: To prospectively investigate the association between occupational physical activity (OPA) and disability pension due to musculoskeletal cause, mental cause or any cause. We also examined the combined association of OPA and leisure-time physical activity (LTPA) with disability pension. Methods: A population-based cohort study in Norway on 32 362 persons aged 20-65 years with questionnaire data on OPA and LTPA that were followed up for incident disability pension through the National Insurance Database. We used Cox regression to estimate adjusted HRs with 95% CIs. Results: During a follow-up of 9.3 years, 3837 (12%) received disability pension. Compared with people with mostly sedentary work, those who performed much walking, much walking and lifting, and heavy physical work had HRs of 1.26 (95% CI 1.16 to 1.38), 1.44 (95% CI 1.32 to 1.58) and 1.48 (95% CI 1.33 to 1.70), respectively. These associations were stronger for disability pension due to musculoskeletal disorders, whereas there was no clear association between OPA and risk of disability pension due to mental disorders. People with high OPA and low LTPA had a HR of 1.77 (95% CI 1.58 to 1.98) for overall disability pension and HR of 2.56 (95% CI 2.10 to 3.11) for disability pension due to musculoskeletal disorders, versus low OPA and high LTPA. Conclusions: We observed a positive association between OPA and risk of disability pension due to all causes and musculoskeletal disorders, but not for mental disorders. Physical activity during leisure time reduced some, but not all of the unfavourable effect of physically demanding work on risk of disability pension. Funding This study was in part financed by a grant from KLP-Kommunal Landspensjonskasse, Norway. MSF and GV are supported by researchgrants from the Research Council of Norway.","author":[{"dropping-particle":"","family":"Fimland","given":"Marius Steiro","non-dropping-particle":"","parse-names":false,"suffix":""},{"dropping-particle":"","family":"Vie","given":"Gunnhild","non-dropping-particle":"","parse-names":false,"suffix":""},{"dropping-particle":"","family":"Holtermann","given":"Andreas","non-dropping-particle":"","parse-names":false,"suffix":""},{"dropping-particle":"","family":"Krokstad","given":"Steinar","non-dropping-particle":"","parse-names":false,"suffix":""},{"dropping-particle":"","family":"Nilsen","given":"Tom Ivar Lund","non-dropping-particle":"","parse-names":false,"suffix":""}],"container-title":"Occupational and Environmental Medicine","id":"ITEM-2","issue":"1","issued":{"date-parts":[["2018"]]},"page":"23-28","title":"Occupational and leisure-time physical activity and risk of disability pension: Prospective data from the HUNT study, Norway","type":"article-journal","volume":"75"},"uris":["http://www.mendeley.com/documents/?uuid=72df137b-f691-4416-9073-b47ab69b26d4"]}],"mendeley":{"formattedCitation":"(9,10)","plainTextFormattedCitation":"(9,10)","previouslyFormattedCitation":"(9,10)"},"properties":{"noteIndex":0},"schema":"https://github.com/citation-style-language/schema/raw/master/csl-citation.json"}</w:instrText>
      </w:r>
      <w:r w:rsidR="00265250">
        <w:rPr>
          <w:rFonts w:eastAsia="Calibri"/>
          <w:lang w:val="en-US" w:eastAsia="en-US"/>
        </w:rPr>
        <w:fldChar w:fldCharType="separate"/>
      </w:r>
      <w:r w:rsidR="007E6799" w:rsidRPr="007E6799">
        <w:rPr>
          <w:rFonts w:eastAsia="Calibri"/>
          <w:noProof/>
          <w:lang w:val="en-US" w:eastAsia="en-US"/>
        </w:rPr>
        <w:t>(9,10)</w:t>
      </w:r>
      <w:r w:rsidR="00265250">
        <w:rPr>
          <w:rFonts w:eastAsia="Calibri"/>
          <w:lang w:val="en-US" w:eastAsia="en-US"/>
        </w:rPr>
        <w:fldChar w:fldCharType="end"/>
      </w:r>
      <w:r w:rsidR="00AA65E5">
        <w:rPr>
          <w:rFonts w:eastAsia="Calibri"/>
          <w:lang w:val="en-US" w:eastAsia="en-US"/>
        </w:rPr>
        <w:t>.</w:t>
      </w:r>
      <w:r w:rsidR="00842676">
        <w:rPr>
          <w:rFonts w:eastAsia="Calibri"/>
          <w:lang w:val="en-US" w:eastAsia="en-US"/>
        </w:rPr>
        <w:t xml:space="preserve"> </w:t>
      </w:r>
    </w:p>
    <w:p w14:paraId="28679CF0" w14:textId="3C241914" w:rsidR="005E0AF9" w:rsidRPr="00475EEE" w:rsidRDefault="0050473E" w:rsidP="006B3578">
      <w:pPr>
        <w:spacing w:after="160" w:line="480" w:lineRule="auto"/>
        <w:jc w:val="both"/>
        <w:rPr>
          <w:rFonts w:eastAsia="Calibri"/>
          <w:lang w:val="en-GB" w:eastAsia="en-US"/>
        </w:rPr>
      </w:pPr>
      <w:r>
        <w:rPr>
          <w:rFonts w:eastAsia="Calibri"/>
          <w:lang w:val="en-US" w:eastAsia="en-US"/>
        </w:rPr>
        <w:lastRenderedPageBreak/>
        <w:t xml:space="preserve">Overall, </w:t>
      </w:r>
      <w:r w:rsidRPr="0050473E">
        <w:rPr>
          <w:rFonts w:eastAsia="Calibri"/>
          <w:lang w:val="en-US" w:eastAsia="en-US"/>
        </w:rPr>
        <w:t>W</w:t>
      </w:r>
      <w:r>
        <w:rPr>
          <w:rFonts w:eastAsia="Calibri"/>
          <w:lang w:val="en-US" w:eastAsia="en-US"/>
        </w:rPr>
        <w:t>orld Health Organization (WHO)</w:t>
      </w:r>
      <w:r w:rsidRPr="0050473E">
        <w:rPr>
          <w:rFonts w:eastAsia="Calibri"/>
          <w:lang w:val="en-US" w:eastAsia="en-US"/>
        </w:rPr>
        <w:t xml:space="preserve"> recommends that adults perform at least 150 minutes of moderate-intensity PA, or 75 minutes of vigorous-intensity PA, or an equivalent combination of moderate- and vigorous-intensity PA achieving at least 600 MET-minutes/week. </w:t>
      </w:r>
      <w:r w:rsidR="00A95088">
        <w:rPr>
          <w:rFonts w:eastAsia="Calibri"/>
          <w:lang w:val="en-US" w:eastAsia="en-US"/>
        </w:rPr>
        <w:t>B</w:t>
      </w:r>
      <w:r w:rsidR="00BA1549">
        <w:rPr>
          <w:rFonts w:eastAsia="Calibri"/>
          <w:lang w:val="en-US" w:eastAsia="en-US"/>
        </w:rPr>
        <w:t xml:space="preserve">ecause </w:t>
      </w:r>
      <w:r w:rsidR="0070289B">
        <w:rPr>
          <w:rFonts w:eastAsia="Calibri"/>
          <w:lang w:val="en-US" w:eastAsia="en-US"/>
        </w:rPr>
        <w:t xml:space="preserve">higher </w:t>
      </w:r>
      <w:r w:rsidR="00E630FA">
        <w:rPr>
          <w:rFonts w:eastAsia="Calibri"/>
          <w:lang w:val="en-US" w:eastAsia="en-US"/>
        </w:rPr>
        <w:t xml:space="preserve">PA has been associated </w:t>
      </w:r>
      <w:r w:rsidR="0070289B">
        <w:rPr>
          <w:rFonts w:eastAsia="Calibri"/>
          <w:lang w:val="en-US" w:eastAsia="en-US"/>
        </w:rPr>
        <w:t xml:space="preserve">with lower prevalence of </w:t>
      </w:r>
      <w:r w:rsidR="00DF7417">
        <w:rPr>
          <w:rFonts w:eastAsia="Calibri"/>
          <w:lang w:val="en-US" w:eastAsia="en-US"/>
        </w:rPr>
        <w:t>chronic diseases</w:t>
      </w:r>
      <w:r w:rsidR="0070289B">
        <w:rPr>
          <w:rFonts w:eastAsia="Calibri"/>
          <w:lang w:val="en-US" w:eastAsia="en-US"/>
        </w:rPr>
        <w:t xml:space="preserve"> and conditions</w:t>
      </w:r>
      <w:r w:rsidR="00DF7417">
        <w:rPr>
          <w:rFonts w:eastAsia="Calibri"/>
          <w:lang w:val="en-US" w:eastAsia="en-US"/>
        </w:rPr>
        <w:t xml:space="preserve"> in general population</w:t>
      </w:r>
      <w:r w:rsidR="0070289B">
        <w:rPr>
          <w:rFonts w:eastAsia="Calibri"/>
          <w:lang w:val="en-US" w:eastAsia="en-US"/>
        </w:rPr>
        <w:t>s</w:t>
      </w:r>
      <w:r w:rsidR="00DF7417">
        <w:rPr>
          <w:rFonts w:eastAsia="Calibri"/>
          <w:lang w:val="en-US" w:eastAsia="en-US"/>
        </w:rPr>
        <w:t xml:space="preserve"> of adults </w:t>
      </w:r>
      <w:r w:rsidR="0070289B">
        <w:rPr>
          <w:rFonts w:eastAsia="Calibri"/>
          <w:lang w:val="en-US" w:eastAsia="en-US"/>
        </w:rPr>
        <w:t>and workers from other countries</w:t>
      </w:r>
      <w:r w:rsidR="00DF7417">
        <w:rPr>
          <w:rFonts w:eastAsia="Calibri"/>
          <w:lang w:val="en-US" w:eastAsia="en-US"/>
        </w:rPr>
        <w:t xml:space="preserve"> </w:t>
      </w:r>
      <w:r w:rsidR="00E630FA">
        <w:rPr>
          <w:rFonts w:eastAsia="Calibri"/>
          <w:lang w:val="en-US" w:eastAsia="en-US"/>
        </w:rPr>
        <w:fldChar w:fldCharType="begin" w:fldLock="1"/>
      </w:r>
      <w:r w:rsidR="002F36A0">
        <w:rPr>
          <w:rFonts w:eastAsia="Calibri"/>
          <w:lang w:val="en-US" w:eastAsia="en-US"/>
        </w:rPr>
        <w:instrText>ADDIN CSL_CITATION {"citationItems":[{"id":"ITEM-1","itemData":{"DOI":"10.1249/MSS.0000000000000861","ISBN":"0000000000000","ISSN":"15300315","abstract":"Introduction Physical inactivity is associated with increased risk for morbidity and mortality and contributes to health care costs. Although data supporting the secondary preventive benefits of being physically active continues to grow, there is limited data on the prevalence of sufficient volume of leisure-time physical activity among individuals diagnosed with chronic disease. Purpose To describe the association between select chronic diseases and the prevalence of sufficient volume of aerobic leisure-time physical activity to achieve substantial health benefits (i.e., ≥150 min·wk -1) among adults in the United States. Methods Self-reported leisure-time physical activity (LTPA) and history of select chronic diseases were obtained from a nationally representative sample of noninstitutionalized civilian adults 18 yr or older in the United States who participated in the 2014 National Health Interview Survey (n = 36,697). Results Among all adults, the prevalence of sufficient volume of aerobic LTPA was 50.1% ± 0.5% (mean ± standard error). This prevalence was inversely related to age and was lower in women (47.1% ± 0.6%) compared with men (53.4% ± 0.6%; P &lt; 0.001). Prevalence of sufficient volume of aerobic LTPA was lower for each chronic disease (prevalence range = 26.1%-48.6%) compared with apparently healthy adults (53.6% ± 0.7%). Relative to no chronic disease, each additional chronic disease was associated with an odds ratio of 0.83 (95% confidence interval, 0.81-0.85; P &lt; 0.001) for sufficient volume of aerobic LTPA. Conclusions The prevalence of sufficient volume of aerobic LTPA to achieve substantial health benefits is inversely related to age and is lower among women and individuals with a chronic disease. Systems to regularly assess physical activity are needed as well as programs to help individuals be more active.","author":[{"dropping-particle":"","family":"Brawner","given":"Clinton A.","non-dropping-particle":"","parse-names":false,"suffix":""},{"dropping-particle":"","family":"Churilla","given":"James R.","non-dropping-particle":"","parse-names":false,"suffix":""},{"dropping-particle":"","family":"Keteyian","given":"Steven J.","non-dropping-particle":"","parse-names":false,"suffix":""}],"container-title":"Medicine and Science in Sports and Exercise","id":"ITEM-1","issue":"6","issued":{"date-parts":[["2016"]]},"page":"1062-1067","title":"Prevalence of physical activity is lower among individuals with chronic disease","type":"article-journal","volume":"48"},"uris":["http://www.mendeley.com/documents/?uuid=db4e9462-c323-46ea-82a2-b8af82cde762"]},{"id":"ITEM-2","itemData":{"DOI":"10.1371/journal.pone.0191542","ISBN":"1111111111","ISSN":"19326203","PMID":"29352280","abstract":"Our aims were to describe physical activity (PA) behaviour in Spain and to examine its association with the prevalence of some of the major non-communicable diseases and with the use of prescription medication. Individualized secondary data retrieved from the 2014 European Health Interview Survey (EHIS) for Spain were used to conduct a cross-sectional epidemiological study (n = 18926). PA was assessed by two different measures: a specific designed variable for EHIS and a leisure time PA frequency-based query of the national survey. Diseases analyzed were hypertension, diabetes, hypercholesterolemia, depression and anxiety. The use of prescription medication was also included in the study. Weighted percentages were computed and contingency tables were calculated to describe PA by levels of the traits and sociodemographic characteristics. Chi-square test was used to compare percentages between groups and weighted logistic regression models were used to assess the relationship between PA and the prevalence of the disease. About 73% of the Spanish population performs no PA at all or only occasionally during their leisure time, and only one third meets minimum PA international guidelines (≥ 150min/week). Men are considerably more active than women and less PA is observed as the education level decreases and as age increases. The risk of the diseases evaluated was up to three times higher among inactive individuals. This study provides national population-based estimations highlighting the impact of PA in Spain, not only in the prevalence of some of the major non-communicable diseases but also in reducing prescription medication, and the potential sex and socioeconomic influence.","author":[{"dropping-particle":"","family":"Fernandez-Navarro","given":"Pablo","non-dropping-particle":"","parse-names":false,"suffix":""},{"dropping-particle":"","family":"Aragones","given":"María Teresa","non-dropping-particle":"","parse-names":false,"suffix":""},{"dropping-particle":"","family":"Ley","given":"Victoria","non-dropping-particle":"","parse-names":false,"suffix":""}],"container-title":"PLoS ONE","id":"ITEM-2","issue":"1","issued":{"date-parts":[["2018"]]},"page":"1-13","title":"Leisure-time physical activity and prevalence of non-communicable pathologies and prescription medication in Spain","type":"article-journal","volume":"13"},"uris":["http://www.mendeley.com/documents/?uuid=ab956931-e7d2-4622-a991-c96442bd7908"]}],"mendeley":{"formattedCitation":"(8,11)","plainTextFormattedCitation":"(8,11)","previouslyFormattedCitation":"(8,11)"},"properties":{"noteIndex":0},"schema":"https://github.com/citation-style-language/schema/raw/master/csl-citation.json"}</w:instrText>
      </w:r>
      <w:r w:rsidR="00E630FA">
        <w:rPr>
          <w:rFonts w:eastAsia="Calibri"/>
          <w:lang w:val="en-US" w:eastAsia="en-US"/>
        </w:rPr>
        <w:fldChar w:fldCharType="separate"/>
      </w:r>
      <w:r w:rsidR="007E6799" w:rsidRPr="007E6799">
        <w:rPr>
          <w:rFonts w:eastAsia="Calibri"/>
          <w:noProof/>
          <w:lang w:val="en-US" w:eastAsia="en-US"/>
        </w:rPr>
        <w:t>(8,11)</w:t>
      </w:r>
      <w:r w:rsidR="00E630FA">
        <w:rPr>
          <w:rFonts w:eastAsia="Calibri"/>
          <w:lang w:val="en-US" w:eastAsia="en-US"/>
        </w:rPr>
        <w:fldChar w:fldCharType="end"/>
      </w:r>
      <w:r w:rsidR="0070289B">
        <w:rPr>
          <w:rFonts w:eastAsia="Calibri"/>
          <w:lang w:val="en-US" w:eastAsia="en-US"/>
        </w:rPr>
        <w:t xml:space="preserve">, it is reasonable to expect that achieving recommended </w:t>
      </w:r>
      <w:r w:rsidR="00942459">
        <w:rPr>
          <w:rFonts w:eastAsia="Calibri"/>
          <w:lang w:val="en-US" w:eastAsia="en-US"/>
        </w:rPr>
        <w:t>PA</w:t>
      </w:r>
      <w:r w:rsidR="0070289B">
        <w:rPr>
          <w:rFonts w:eastAsia="Calibri"/>
          <w:lang w:val="en-US" w:eastAsia="en-US"/>
        </w:rPr>
        <w:t xml:space="preserve"> guidelines</w:t>
      </w:r>
      <w:r w:rsidR="00942459">
        <w:rPr>
          <w:rFonts w:eastAsia="Calibri"/>
          <w:lang w:val="en-US" w:eastAsia="en-US"/>
        </w:rPr>
        <w:t xml:space="preserve"> </w:t>
      </w:r>
      <w:r w:rsidR="0070289B">
        <w:rPr>
          <w:rFonts w:eastAsia="Calibri"/>
          <w:lang w:val="en-US" w:eastAsia="en-US"/>
        </w:rPr>
        <w:t xml:space="preserve">could be associated with lower prevalence of several of the most common chronic diseases and conditions among the Spanish workforce. </w:t>
      </w:r>
      <w:r w:rsidR="002A15DB">
        <w:rPr>
          <w:rFonts w:eastAsia="Calibri"/>
          <w:lang w:val="en-US" w:eastAsia="en-US"/>
        </w:rPr>
        <w:t xml:space="preserve">A recent </w:t>
      </w:r>
      <w:r w:rsidR="008C075D">
        <w:rPr>
          <w:rFonts w:eastAsia="Calibri"/>
          <w:lang w:val="en-US" w:eastAsia="en-US"/>
        </w:rPr>
        <w:t>study</w:t>
      </w:r>
      <w:r w:rsidR="002A15DB">
        <w:rPr>
          <w:rFonts w:eastAsia="Calibri"/>
          <w:lang w:val="en-US" w:eastAsia="en-US"/>
        </w:rPr>
        <w:t xml:space="preserve"> by L</w:t>
      </w:r>
      <w:r w:rsidR="008C075D">
        <w:rPr>
          <w:rFonts w:eastAsia="Calibri"/>
          <w:lang w:val="en-US" w:eastAsia="en-US"/>
        </w:rPr>
        <w:t>ópez-</w:t>
      </w:r>
      <w:r w:rsidR="002A15DB">
        <w:rPr>
          <w:rFonts w:eastAsia="Calibri"/>
          <w:lang w:val="en-US" w:eastAsia="en-US"/>
        </w:rPr>
        <w:t xml:space="preserve">Sánchez et al. </w:t>
      </w:r>
      <w:r w:rsidR="002A15DB">
        <w:rPr>
          <w:rFonts w:eastAsia="Calibri"/>
          <w:lang w:val="en-US" w:eastAsia="en-US"/>
        </w:rPr>
        <w:fldChar w:fldCharType="begin" w:fldLock="1"/>
      </w:r>
      <w:r w:rsidR="002F36A0">
        <w:rPr>
          <w:rFonts w:eastAsia="Calibri"/>
          <w:lang w:val="en-US" w:eastAsia="en-US"/>
        </w:rPr>
        <w:instrText>ADDIN CSL_CITATION {"citationItems":[{"id":"ITEM-1","itemData":{"DOI":"10.3390/ijerph16214267","ISSN":"16604601","abstract":"This is the first representative population-based study exploring the association between difficulty seeing (i.e., low vision) and physical activity in Spain. Cross-sectional data from the Spanish National Health Survey 2017 were analysed (n = 17,777, ≥15 years; 52% females). Difficulty seeing was self-reported in response to the question “Do you have difficulty seeing?” The international physical activity questionnaire (IPAQ) short form was used to measure level of physical activity. Multivariable logistic regression was used to assess associations overall and by age group (15–49, 50–64, ≥65 years). Covariates included in the analysis were sex, age, education, marital status, use of glasses or contact lenses, cataracts, diabetes, obesity, hypertension, smoking and alcohol consumption. The overall prevalence of difficulty seeing was 11%, and the overall prevalence of participating in less than 600 metabolic equivalent (MET)-min/week of physical activity was 30.2%. After adjustment for covariates, difficulty seeing was associated with significantly higher odds of performing less than 600 MET-min/week of physical activity with the odds ratio (OR) = 1.222 (95% confidence interval = 1.099–1.357). Considering the impact on health and quality of life due to reduced physical activity in people with difficulty seeing, at least 600 MET-min/week of physical activity should be promoted to this population.","author":[{"dropping-particle":"","family":"López-Sánchez","given":"Guillermo F.","non-dropping-particle":"","parse-names":false,"suffix":""},{"dropping-particle":"","family":"Grabovac","given":"Igor","non-dropping-particle":"","parse-names":false,"suffix":""},{"dropping-particle":"","family":"Pizzol","given":"Damiano","non-dropping-particle":"","parse-names":false,"suffix":""},{"dropping-particle":"","family":"Yang","given":"Lin","non-dropping-particle":"","parse-names":false,"suffix":""},{"dropping-particle":"","family":"Smith","given":"Lee","non-dropping-particle":"","parse-names":false,"suffix":""}],"container-title":"International Journal of Environmental Research and Public Health","id":"ITEM-1","issue":"21","issued":{"date-parts":[["2019"]]},"title":"The association between difficulty seeing and physical activity among 17,777 adults residing in Spain","type":"article-journal","volume":"16"},"uris":["http://www.mendeley.com/documents/?uuid=cad6e7e9-40a8-477b-b125-9b5398d2bf1a"]}],"mendeley":{"formattedCitation":"(12)","plainTextFormattedCitation":"(12)","previouslyFormattedCitation":"(12)"},"properties":{"noteIndex":0},"schema":"https://github.com/citation-style-language/schema/raw/master/csl-citation.json"}</w:instrText>
      </w:r>
      <w:r w:rsidR="002A15DB">
        <w:rPr>
          <w:rFonts w:eastAsia="Calibri"/>
          <w:lang w:val="en-US" w:eastAsia="en-US"/>
        </w:rPr>
        <w:fldChar w:fldCharType="separate"/>
      </w:r>
      <w:r w:rsidR="007E6799" w:rsidRPr="007E6799">
        <w:rPr>
          <w:rFonts w:eastAsia="Calibri"/>
          <w:noProof/>
          <w:lang w:val="en-US" w:eastAsia="en-US"/>
        </w:rPr>
        <w:t>(12)</w:t>
      </w:r>
      <w:r w:rsidR="002A15DB">
        <w:rPr>
          <w:rFonts w:eastAsia="Calibri"/>
          <w:lang w:val="en-US" w:eastAsia="en-US"/>
        </w:rPr>
        <w:fldChar w:fldCharType="end"/>
      </w:r>
      <w:r w:rsidR="002A15DB">
        <w:rPr>
          <w:rFonts w:eastAsia="Calibri"/>
          <w:lang w:val="en-US" w:eastAsia="en-US"/>
        </w:rPr>
        <w:t xml:space="preserve"> has estimated </w:t>
      </w:r>
      <w:r w:rsidR="00AD12E5">
        <w:rPr>
          <w:rFonts w:eastAsia="Calibri"/>
          <w:lang w:val="en-US" w:eastAsia="en-US"/>
        </w:rPr>
        <w:t>that</w:t>
      </w:r>
      <w:r w:rsidR="002A15DB">
        <w:rPr>
          <w:rFonts w:eastAsia="Calibri"/>
          <w:lang w:val="en-US" w:eastAsia="en-US"/>
        </w:rPr>
        <w:t xml:space="preserve"> 30.2% of the Spanish population </w:t>
      </w:r>
      <w:r w:rsidR="00986B02">
        <w:rPr>
          <w:rFonts w:eastAsia="Calibri"/>
          <w:lang w:val="en-US" w:eastAsia="en-US"/>
        </w:rPr>
        <w:t xml:space="preserve">are </w:t>
      </w:r>
      <w:r w:rsidR="0050358B">
        <w:rPr>
          <w:rFonts w:eastAsia="Calibri"/>
          <w:lang w:val="en-US" w:eastAsia="en-US"/>
        </w:rPr>
        <w:t xml:space="preserve">not </w:t>
      </w:r>
      <w:r w:rsidR="008C075D">
        <w:rPr>
          <w:rFonts w:eastAsia="Calibri"/>
          <w:lang w:val="en-US" w:eastAsia="en-US"/>
        </w:rPr>
        <w:t xml:space="preserve">achieving current international guidelines regarding weekly </w:t>
      </w:r>
      <w:r w:rsidR="008F0DB4">
        <w:rPr>
          <w:rFonts w:eastAsia="Calibri"/>
          <w:lang w:val="en-US" w:eastAsia="en-US"/>
        </w:rPr>
        <w:t>PA</w:t>
      </w:r>
      <w:r w:rsidR="008C075D">
        <w:rPr>
          <w:rFonts w:eastAsia="Calibri"/>
          <w:lang w:val="en-US" w:eastAsia="en-US"/>
        </w:rPr>
        <w:t xml:space="preserve">, hence, there is still a chance that insufficient </w:t>
      </w:r>
      <w:r w:rsidR="004340C3">
        <w:rPr>
          <w:rFonts w:eastAsia="Calibri"/>
          <w:lang w:val="en-US" w:eastAsia="en-US"/>
        </w:rPr>
        <w:t>PA</w:t>
      </w:r>
      <w:r w:rsidR="008C075D">
        <w:rPr>
          <w:rFonts w:eastAsia="Calibri"/>
          <w:lang w:val="en-US" w:eastAsia="en-US"/>
        </w:rPr>
        <w:t xml:space="preserve"> will </w:t>
      </w:r>
      <w:r w:rsidR="00406BC2">
        <w:rPr>
          <w:rFonts w:eastAsia="Calibri"/>
          <w:lang w:val="en-US" w:eastAsia="en-US"/>
        </w:rPr>
        <w:t xml:space="preserve">also </w:t>
      </w:r>
      <w:r w:rsidR="008C075D">
        <w:rPr>
          <w:rFonts w:eastAsia="Calibri"/>
          <w:lang w:val="en-US" w:eastAsia="en-US"/>
        </w:rPr>
        <w:t xml:space="preserve">be a critical issue concerning chronic </w:t>
      </w:r>
      <w:r w:rsidR="00605F27">
        <w:rPr>
          <w:rFonts w:eastAsia="Calibri"/>
          <w:lang w:val="en-US" w:eastAsia="en-US"/>
        </w:rPr>
        <w:t>conditions</w:t>
      </w:r>
      <w:r w:rsidR="008C075D">
        <w:rPr>
          <w:rFonts w:eastAsia="Calibri"/>
          <w:lang w:val="en-US" w:eastAsia="en-US"/>
        </w:rPr>
        <w:t xml:space="preserve"> among the</w:t>
      </w:r>
      <w:r w:rsidR="00406BC2">
        <w:rPr>
          <w:rFonts w:eastAsia="Calibri"/>
          <w:lang w:val="en-US" w:eastAsia="en-US"/>
        </w:rPr>
        <w:t xml:space="preserve"> general working population</w:t>
      </w:r>
      <w:r w:rsidR="0050358B">
        <w:rPr>
          <w:rFonts w:eastAsia="Calibri"/>
          <w:lang w:val="en-US" w:eastAsia="en-US"/>
        </w:rPr>
        <w:t xml:space="preserve">; further, such </w:t>
      </w:r>
      <w:r w:rsidR="00605F27">
        <w:rPr>
          <w:rFonts w:eastAsia="Calibri"/>
          <w:lang w:val="en-US" w:eastAsia="en-US"/>
        </w:rPr>
        <w:t>PA</w:t>
      </w:r>
      <w:r w:rsidR="0050358B">
        <w:rPr>
          <w:rFonts w:eastAsia="Calibri"/>
          <w:lang w:val="en-US" w:eastAsia="en-US"/>
        </w:rPr>
        <w:t xml:space="preserve"> levels could substantially vary depending on gender and age (i.e. higher percentage of men and younger achieve </w:t>
      </w:r>
      <w:r w:rsidR="00605F27">
        <w:rPr>
          <w:rFonts w:eastAsia="Calibri"/>
          <w:lang w:val="en-US" w:eastAsia="en-US"/>
        </w:rPr>
        <w:t>PA</w:t>
      </w:r>
      <w:r w:rsidR="0050358B">
        <w:rPr>
          <w:rFonts w:eastAsia="Calibri"/>
          <w:lang w:val="en-US" w:eastAsia="en-US"/>
        </w:rPr>
        <w:t xml:space="preserve"> guidelines) </w:t>
      </w:r>
      <w:r w:rsidR="0050358B">
        <w:rPr>
          <w:rFonts w:eastAsia="Calibri"/>
          <w:lang w:val="en-US" w:eastAsia="en-US"/>
        </w:rPr>
        <w:fldChar w:fldCharType="begin" w:fldLock="1"/>
      </w:r>
      <w:r w:rsidR="002F36A0">
        <w:rPr>
          <w:rFonts w:eastAsia="Calibri"/>
          <w:lang w:val="en-US" w:eastAsia="en-US"/>
        </w:rPr>
        <w:instrText>ADDIN CSL_CITATION {"citationItems":[{"id":"ITEM-1","itemData":{"DOI":"10.1371/journal.pone.0149969","ISSN":"19326203","abstract":"Background: Representative data for the Spanish population regarding physical activity (PA) behaviors are scarce and seldom comparable due to methodological inconsistencies. Aim: Our objectives were to describe the PA behavior by means of the standardized self-reported International Physical Activity Questionnaire (IPAQ) and to know the proportion of the Spanish population meeting and not meeting international PA recommendations. Material and Methods: PA was assessed using the IPAQ in a representative sample of 2285 individuals (males, 50.4%) aged 9-75 years and living in municipalities of at least 2,000 inhabitants. Data were analyzed according to: age groups 9-12, 13-17, 18-64, and 65-75 years; sex; geographical distribution; locality size and educational levels. Results: Mean total PA was 868.8±660.9 min/wk, mean vigorous PA 146.4±254.1 min/wk, and mean moderate PA 398.1±408.0 min/wk, showing significant differences between sexes (p&lt;0.05). Children performed higher moderate-vigorous PA than adolescents and seniors (p&lt;0.05), and adults than adolescents and seniors (p&lt;0.05). Compared to recommendations, 36.2% of adults performed &lt;150 min/week of moderate PA, 65.4% &lt;75 min/week of vigorous PA and 27.0% did not perform any PA at all, presenting significant differences between sexes (p&lt;0.05). A total of 55.4% of children and adolescents performed less than 420 min/week of MVPA, being higher in the later (62.6%) than in the former (48.4%). Highest non-compliance was observed in adolescent females (86.5%). Conclusion: Sex and age are the main influencing factors on PA in the Spanish population. Males engage in more vigorous and light PA overall, whereas females perform more moderate PA. PA behavior differs between age groups and no clear lineal increase with age could be observed. Twenty-seven percent of adults and 55.4% of children and adolescents do not meet international PA recommendations. Identified target groups should be addressed to increase PA in the Spanish population.","author":[{"dropping-particle":"","family":"Mielgo-Ayuso","given":"Juan","non-dropping-particle":"","parse-names":false,"suffix":""},{"dropping-particle":"","family":"Aparicio-Ugarriza","given":"Raquel","non-dropping-particle":"","parse-names":false,"suffix":""},{"dropping-particle":"","family":"Castillo","given":"Adrián","non-dropping-particle":"","parse-names":false,"suffix":""},{"dropping-particle":"","family":"Ruiz","given":"Emma","non-dropping-particle":"","parse-names":false,"suffix":""},{"dropping-particle":"","family":"Ávila","given":"José Manuel","non-dropping-particle":"","parse-names":false,"suffix":""},{"dropping-particle":"","family":"Aranceta-Batrina","given":"Javier","non-dropping-particle":"","parse-names":false,"suffix":""},{"dropping-particle":"","family":"Gil","given":"Ángel","non-dropping-particle":"","parse-names":false,"suffix":""},{"dropping-particle":"","family":"Ortega","given":"Rosa M.","non-dropping-particle":"","parse-names":false,"suffix":""},{"dropping-particle":"","family":"Serra-Majem","given":"Lluis","non-dropping-particle":"","parse-names":false,"suffix":""},{"dropping-particle":"","family":"Varela-Moreiras","given":"Gregorio","non-dropping-particle":"","parse-names":false,"suffix":""},{"dropping-particle":"","family":"González-Gross","given":"Marcela","non-dropping-particle":"","parse-names":false,"suffix":""}],"container-title":"PLoS ONE","id":"ITEM-1","issue":"2","issued":{"date-parts":[["2016"]]},"page":"1-22","title":"Physical activity patterns of the spanish population are mostly determined by sex and age: Findings in the ANIBES study","type":"article-journal","volume":"11"},"uris":["http://www.mendeley.com/documents/?uuid=0d7cbc57-576a-45f0-acf1-188c76aaa615"]}],"mendeley":{"formattedCitation":"(13)","plainTextFormattedCitation":"(13)","previouslyFormattedCitation":"(13)"},"properties":{"noteIndex":0},"schema":"https://github.com/citation-style-language/schema/raw/master/csl-citation.json"}</w:instrText>
      </w:r>
      <w:r w:rsidR="0050358B">
        <w:rPr>
          <w:rFonts w:eastAsia="Calibri"/>
          <w:lang w:val="en-US" w:eastAsia="en-US"/>
        </w:rPr>
        <w:fldChar w:fldCharType="separate"/>
      </w:r>
      <w:r w:rsidR="007E6799" w:rsidRPr="007E6799">
        <w:rPr>
          <w:rFonts w:eastAsia="Calibri"/>
          <w:noProof/>
          <w:lang w:val="en-US" w:eastAsia="en-US"/>
        </w:rPr>
        <w:t>(13)</w:t>
      </w:r>
      <w:r w:rsidR="0050358B">
        <w:rPr>
          <w:rFonts w:eastAsia="Calibri"/>
          <w:lang w:val="en-US" w:eastAsia="en-US"/>
        </w:rPr>
        <w:fldChar w:fldCharType="end"/>
      </w:r>
      <w:r w:rsidR="0050358B">
        <w:rPr>
          <w:rFonts w:eastAsia="Calibri"/>
          <w:lang w:val="en-US" w:eastAsia="en-US"/>
        </w:rPr>
        <w:t xml:space="preserve">. </w:t>
      </w:r>
      <w:r w:rsidR="0070289B">
        <w:rPr>
          <w:rFonts w:eastAsia="Calibri"/>
          <w:lang w:val="en-US" w:eastAsia="en-US"/>
        </w:rPr>
        <w:t xml:space="preserve">Besides, since most of the studies involving workers and health habits are referred to populations from </w:t>
      </w:r>
      <w:r w:rsidR="00F12D61">
        <w:rPr>
          <w:rFonts w:eastAsia="Calibri"/>
          <w:lang w:val="en-US" w:eastAsia="en-US"/>
        </w:rPr>
        <w:t>different</w:t>
      </w:r>
      <w:r w:rsidR="0070289B">
        <w:rPr>
          <w:rFonts w:eastAsia="Calibri"/>
          <w:lang w:val="en-US" w:eastAsia="en-US"/>
        </w:rPr>
        <w:t xml:space="preserve"> countries, little is known </w:t>
      </w:r>
      <w:r w:rsidR="005D13E6" w:rsidRPr="00475EEE">
        <w:rPr>
          <w:rFonts w:eastAsia="Calibri"/>
          <w:lang w:val="en-GB" w:eastAsia="en-US"/>
        </w:rPr>
        <w:t xml:space="preserve">about how PA may </w:t>
      </w:r>
      <w:r w:rsidR="0070289B">
        <w:rPr>
          <w:rFonts w:eastAsia="Calibri"/>
          <w:lang w:val="en-GB" w:eastAsia="en-US"/>
        </w:rPr>
        <w:t xml:space="preserve">affect </w:t>
      </w:r>
      <w:r w:rsidR="00075E5D" w:rsidRPr="00475EEE">
        <w:rPr>
          <w:rFonts w:eastAsia="Calibri"/>
          <w:lang w:val="en-GB" w:eastAsia="en-US"/>
        </w:rPr>
        <w:t xml:space="preserve">chronic </w:t>
      </w:r>
      <w:r w:rsidR="006F2CFC">
        <w:rPr>
          <w:rFonts w:eastAsia="Calibri"/>
          <w:lang w:val="en-GB" w:eastAsia="en-US"/>
        </w:rPr>
        <w:t xml:space="preserve">conditions </w:t>
      </w:r>
      <w:r w:rsidR="0070289B">
        <w:rPr>
          <w:rFonts w:eastAsia="Calibri"/>
          <w:lang w:val="en-GB" w:eastAsia="en-US"/>
        </w:rPr>
        <w:t xml:space="preserve">in a </w:t>
      </w:r>
      <w:r w:rsidR="0045705F" w:rsidRPr="00475EEE">
        <w:rPr>
          <w:rFonts w:eastAsia="Calibri"/>
          <w:lang w:val="en-GB" w:eastAsia="en-US"/>
        </w:rPr>
        <w:t xml:space="preserve">population of workers </w:t>
      </w:r>
      <w:r w:rsidR="005D13E6" w:rsidRPr="00475EEE">
        <w:rPr>
          <w:rFonts w:eastAsia="Calibri"/>
          <w:lang w:val="en-GB" w:eastAsia="en-US"/>
        </w:rPr>
        <w:t xml:space="preserve">from </w:t>
      </w:r>
      <w:r w:rsidR="00F12D61">
        <w:rPr>
          <w:rFonts w:eastAsia="Calibri"/>
          <w:lang w:val="en-GB" w:eastAsia="en-US"/>
        </w:rPr>
        <w:t>Spain</w:t>
      </w:r>
      <w:r w:rsidR="0070289B">
        <w:rPr>
          <w:rFonts w:eastAsia="Calibri"/>
          <w:lang w:val="en-GB" w:eastAsia="en-US"/>
        </w:rPr>
        <w:t xml:space="preserve"> with different working conditions and lifestyle </w:t>
      </w:r>
      <w:r w:rsidR="002E049E" w:rsidRPr="00475EEE">
        <w:rPr>
          <w:rFonts w:eastAsia="Calibri"/>
          <w:lang w:val="en-GB" w:eastAsia="en-US"/>
        </w:rPr>
        <w:fldChar w:fldCharType="begin" w:fldLock="1"/>
      </w:r>
      <w:r w:rsidR="002F36A0">
        <w:rPr>
          <w:rFonts w:eastAsia="Calibri"/>
          <w:lang w:val="en-GB" w:eastAsia="en-US"/>
        </w:rPr>
        <w:instrText>ADDIN CSL_CITATION {"citationItems":[{"id":"ITEM-1","itemData":{"DOI":"10.2766/483047","ISBN":"9789279802423","ISSN":"0391-5387","author":[{"dropping-particle":"","family":"European Commission","given":"","non-dropping-particle":"","parse-names":false,"suffix":""}],"id":"ITEM-1","issue":"December 2017","issued":{"date-parts":[["2018"]]},"number-of-pages":"38","publisher-place":"Brussels","title":"Special Eurobarometer 472 Report Sport and physical activity Fieldwork","type":"report"},"uris":["http://www.mendeley.com/documents/?uuid=dcc7258e-478e-4fd0-82e5-d747bab770d4"]},{"id":"ITEM-2","itemData":{"URL":"https://appsso.eurostat.ec.europa.eu/nui/show.do?dataset=lfsq_ewhuis&amp;lang=en","accessed":{"date-parts":[["2019","10","24"]]},"author":[{"dropping-particle":"","family":"Eurostat","given":"","non-dropping-particle":"","parse-names":false,"suffix":""}],"id":"ITEM-2","issued":{"date-parts":[["2019"]]},"title":"Average number of usual weekly hours of work in main job, by sex, professional status, full-time/part-time and occupation (hours)","type":"webpage"},"uris":["http://www.mendeley.com/documents/?uuid=656340b0-6c6b-4bc2-8122-9a26155603c3"]}],"mendeley":{"formattedCitation":"(14,15)","plainTextFormattedCitation":"(14,15)","previouslyFormattedCitation":"(14,15)"},"properties":{"noteIndex":0},"schema":"https://github.com/citation-style-language/schema/raw/master/csl-citation.json"}</w:instrText>
      </w:r>
      <w:r w:rsidR="002E049E" w:rsidRPr="00475EEE">
        <w:rPr>
          <w:rFonts w:eastAsia="Calibri"/>
          <w:lang w:val="en-GB" w:eastAsia="en-US"/>
        </w:rPr>
        <w:fldChar w:fldCharType="separate"/>
      </w:r>
      <w:r w:rsidR="007E6799" w:rsidRPr="007E6799">
        <w:rPr>
          <w:rFonts w:eastAsia="Calibri"/>
          <w:noProof/>
          <w:lang w:val="en-GB" w:eastAsia="en-US"/>
        </w:rPr>
        <w:t>(14,15)</w:t>
      </w:r>
      <w:r w:rsidR="002E049E" w:rsidRPr="00475EEE">
        <w:rPr>
          <w:rFonts w:eastAsia="Calibri"/>
          <w:lang w:val="en-GB" w:eastAsia="en-US"/>
        </w:rPr>
        <w:fldChar w:fldCharType="end"/>
      </w:r>
      <w:r w:rsidR="0041716F">
        <w:rPr>
          <w:rFonts w:eastAsia="Calibri"/>
          <w:lang w:val="en-GB" w:eastAsia="en-US"/>
        </w:rPr>
        <w:t>.</w:t>
      </w:r>
      <w:r w:rsidR="00E93E22" w:rsidRPr="00475EEE">
        <w:rPr>
          <w:rFonts w:eastAsia="Calibri"/>
          <w:lang w:val="en-GB" w:eastAsia="en-US"/>
        </w:rPr>
        <w:t xml:space="preserve"> </w:t>
      </w:r>
      <w:r w:rsidR="00DC122C" w:rsidRPr="00475EEE">
        <w:rPr>
          <w:rFonts w:eastAsia="Calibri"/>
          <w:lang w:val="en-GB" w:eastAsia="en-US"/>
        </w:rPr>
        <w:t xml:space="preserve">Thus, the present study </w:t>
      </w:r>
      <w:r w:rsidR="00075E5D" w:rsidRPr="00475EEE">
        <w:rPr>
          <w:rFonts w:eastAsia="Calibri"/>
          <w:lang w:val="en-GB" w:eastAsia="en-US"/>
        </w:rPr>
        <w:t xml:space="preserve">aimed </w:t>
      </w:r>
      <w:r w:rsidR="00DC122C" w:rsidRPr="00475EEE">
        <w:rPr>
          <w:rFonts w:eastAsia="Calibri"/>
          <w:lang w:val="en-GB" w:eastAsia="en-US"/>
        </w:rPr>
        <w:t>to investigate the association between PA and chronic</w:t>
      </w:r>
      <w:r w:rsidR="0070289B">
        <w:rPr>
          <w:rFonts w:eastAsia="Calibri"/>
          <w:lang w:val="en-GB" w:eastAsia="en-US"/>
        </w:rPr>
        <w:t xml:space="preserve"> conditions </w:t>
      </w:r>
      <w:r w:rsidR="00DC122C" w:rsidRPr="00475EEE">
        <w:rPr>
          <w:rFonts w:eastAsia="Calibri"/>
          <w:lang w:val="en-GB" w:eastAsia="en-US"/>
        </w:rPr>
        <w:t>among Spanish workers</w:t>
      </w:r>
      <w:r w:rsidR="00374F17">
        <w:rPr>
          <w:rFonts w:eastAsia="Calibri"/>
          <w:lang w:val="en-GB" w:eastAsia="en-US"/>
        </w:rPr>
        <w:t xml:space="preserve">; </w:t>
      </w:r>
      <w:r w:rsidR="0070289B">
        <w:rPr>
          <w:rFonts w:eastAsia="Calibri"/>
          <w:lang w:val="en-GB" w:eastAsia="en-US"/>
        </w:rPr>
        <w:t>an</w:t>
      </w:r>
      <w:r w:rsidR="005D13E6" w:rsidRPr="00475EEE">
        <w:rPr>
          <w:rFonts w:eastAsia="Calibri"/>
          <w:lang w:val="en-GB" w:eastAsia="en-US"/>
        </w:rPr>
        <w:t xml:space="preserve"> inverse association between PA and </w:t>
      </w:r>
      <w:r w:rsidR="00E93E22" w:rsidRPr="00475EEE">
        <w:rPr>
          <w:rFonts w:eastAsia="Calibri"/>
          <w:lang w:val="en-GB" w:eastAsia="en-US"/>
        </w:rPr>
        <w:t xml:space="preserve">a set of </w:t>
      </w:r>
      <w:r w:rsidR="00292E5E" w:rsidRPr="00475EEE">
        <w:rPr>
          <w:rFonts w:eastAsia="Calibri"/>
          <w:lang w:val="en-GB" w:eastAsia="en-US"/>
        </w:rPr>
        <w:t xml:space="preserve">the most prevalent </w:t>
      </w:r>
      <w:r w:rsidR="00E93E22" w:rsidRPr="00475EEE">
        <w:rPr>
          <w:rFonts w:eastAsia="Calibri"/>
          <w:lang w:val="en-GB" w:eastAsia="en-US"/>
        </w:rPr>
        <w:t xml:space="preserve">chronic </w:t>
      </w:r>
      <w:r w:rsidR="0010204D">
        <w:rPr>
          <w:rFonts w:eastAsia="Calibri"/>
          <w:lang w:val="en-GB" w:eastAsia="en-US"/>
        </w:rPr>
        <w:t>conditions</w:t>
      </w:r>
      <w:r w:rsidR="00292E5E" w:rsidRPr="00475EEE">
        <w:rPr>
          <w:rFonts w:eastAsia="Calibri"/>
          <w:lang w:val="en-GB" w:eastAsia="en-US"/>
        </w:rPr>
        <w:t xml:space="preserve"> in the workforc</w:t>
      </w:r>
      <w:r w:rsidR="0070289B">
        <w:rPr>
          <w:rFonts w:eastAsia="Calibri"/>
          <w:lang w:val="en-GB" w:eastAsia="en-US"/>
        </w:rPr>
        <w:t xml:space="preserve">e was hypothesized. </w:t>
      </w:r>
    </w:p>
    <w:p w14:paraId="1772E3F5" w14:textId="12B7FDB1" w:rsidR="00D459C4" w:rsidRPr="00D15C3A" w:rsidRDefault="00733C2C" w:rsidP="006B3578">
      <w:pPr>
        <w:spacing w:after="160" w:line="480" w:lineRule="auto"/>
        <w:jc w:val="both"/>
        <w:rPr>
          <w:rFonts w:eastAsia="Calibri"/>
          <w:b/>
          <w:lang w:val="en-GB" w:eastAsia="en-US"/>
        </w:rPr>
      </w:pPr>
      <w:r w:rsidRPr="00D15C3A">
        <w:rPr>
          <w:rFonts w:eastAsia="Calibri"/>
          <w:b/>
          <w:lang w:val="en-GB" w:eastAsia="en-US"/>
        </w:rPr>
        <w:t>Methods</w:t>
      </w:r>
    </w:p>
    <w:p w14:paraId="5AA179C3" w14:textId="393A756F" w:rsidR="00733C2C" w:rsidRPr="00475EEE" w:rsidRDefault="00733C2C" w:rsidP="006B3578">
      <w:pPr>
        <w:spacing w:after="160" w:line="480" w:lineRule="auto"/>
        <w:jc w:val="both"/>
        <w:rPr>
          <w:rFonts w:eastAsia="Calibri"/>
          <w:b/>
          <w:lang w:val="en-GB" w:eastAsia="en-US"/>
        </w:rPr>
      </w:pPr>
      <w:r w:rsidRPr="00475EEE">
        <w:rPr>
          <w:rFonts w:eastAsia="Calibri"/>
          <w:b/>
          <w:lang w:val="en-GB" w:eastAsia="en-US"/>
        </w:rPr>
        <w:t>Study design and population</w:t>
      </w:r>
    </w:p>
    <w:p w14:paraId="502A5D96" w14:textId="6BC4C571" w:rsidR="003D3C2B" w:rsidRDefault="00D459C4" w:rsidP="006B3578">
      <w:pPr>
        <w:spacing w:after="160" w:line="480" w:lineRule="auto"/>
        <w:jc w:val="both"/>
        <w:rPr>
          <w:rFonts w:eastAsia="Calibri"/>
          <w:lang w:val="en-US" w:eastAsia="en-US"/>
        </w:rPr>
      </w:pPr>
      <w:r w:rsidRPr="00475EEE">
        <w:rPr>
          <w:rFonts w:eastAsia="Calibri"/>
          <w:lang w:val="en-US" w:eastAsia="en-US"/>
        </w:rPr>
        <w:t xml:space="preserve">Data from the Spanish National Health Survey 2017 </w:t>
      </w:r>
      <w:r w:rsidR="001F6510" w:rsidRPr="00475EEE">
        <w:rPr>
          <w:rFonts w:eastAsia="Calibri"/>
          <w:lang w:val="en-US" w:eastAsia="en-US"/>
        </w:rPr>
        <w:t>(ENSE 2017)</w:t>
      </w:r>
      <w:r w:rsidR="00087C9E">
        <w:rPr>
          <w:rFonts w:eastAsia="Calibri"/>
          <w:lang w:val="en-US" w:eastAsia="en-US"/>
        </w:rPr>
        <w:t xml:space="preserve">, </w:t>
      </w:r>
      <w:r w:rsidR="00087C9E" w:rsidRPr="00087C9E">
        <w:rPr>
          <w:rFonts w:eastAsia="Calibri"/>
          <w:lang w:val="en-US" w:eastAsia="en-US"/>
        </w:rPr>
        <w:t xml:space="preserve">a </w:t>
      </w:r>
      <w:r w:rsidR="00CD7789">
        <w:rPr>
          <w:rFonts w:eastAsia="Calibri"/>
          <w:lang w:val="en-US" w:eastAsia="en-US"/>
        </w:rPr>
        <w:t>regular survey</w:t>
      </w:r>
      <w:r w:rsidR="00E8016F">
        <w:rPr>
          <w:rFonts w:eastAsia="Calibri"/>
          <w:lang w:val="en-US" w:eastAsia="en-US"/>
        </w:rPr>
        <w:t xml:space="preserve"> </w:t>
      </w:r>
      <w:r w:rsidR="00087C9E">
        <w:rPr>
          <w:rFonts w:eastAsia="Calibri"/>
          <w:lang w:val="en-US" w:eastAsia="en-US"/>
        </w:rPr>
        <w:t>assessing general health among the Spanish population</w:t>
      </w:r>
      <w:r w:rsidR="00E8016F">
        <w:rPr>
          <w:rFonts w:eastAsia="Calibri"/>
          <w:lang w:val="en-US" w:eastAsia="en-US"/>
        </w:rPr>
        <w:t xml:space="preserve"> </w:t>
      </w:r>
      <w:r w:rsidR="00CD7789">
        <w:rPr>
          <w:rFonts w:eastAsia="Calibri"/>
          <w:lang w:val="en-US" w:eastAsia="en-US"/>
        </w:rPr>
        <w:t xml:space="preserve">of both children and adults </w:t>
      </w:r>
      <w:r w:rsidR="00E8016F">
        <w:rPr>
          <w:rFonts w:eastAsia="Calibri"/>
          <w:lang w:val="en-US" w:eastAsia="en-US"/>
        </w:rPr>
        <w:t>each five years</w:t>
      </w:r>
      <w:r w:rsidR="00087C9E">
        <w:rPr>
          <w:rFonts w:eastAsia="Calibri"/>
          <w:lang w:val="en-US" w:eastAsia="en-US"/>
        </w:rPr>
        <w:t xml:space="preserve">, </w:t>
      </w:r>
      <w:r w:rsidRPr="00475EEE">
        <w:rPr>
          <w:rFonts w:eastAsia="Calibri"/>
          <w:lang w:val="en-US" w:eastAsia="en-US"/>
        </w:rPr>
        <w:t xml:space="preserve">were retrieved for this </w:t>
      </w:r>
      <w:r w:rsidR="00087C9E">
        <w:rPr>
          <w:rFonts w:eastAsia="Calibri"/>
          <w:lang w:val="en-US" w:eastAsia="en-US"/>
        </w:rPr>
        <w:t>study</w:t>
      </w:r>
      <w:r w:rsidRPr="00475EEE">
        <w:rPr>
          <w:rFonts w:eastAsia="Calibri"/>
          <w:lang w:val="en-US" w:eastAsia="en-US"/>
        </w:rPr>
        <w:t xml:space="preserve">. </w:t>
      </w:r>
      <w:r w:rsidR="003D3C2B">
        <w:rPr>
          <w:rFonts w:eastAsia="Calibri"/>
          <w:lang w:val="en-US" w:eastAsia="en-US"/>
        </w:rPr>
        <w:t>The d</w:t>
      </w:r>
      <w:r w:rsidRPr="00475EEE">
        <w:rPr>
          <w:rFonts w:eastAsia="Calibri"/>
          <w:lang w:val="en-US" w:eastAsia="en-US"/>
        </w:rPr>
        <w:t xml:space="preserve">ata collection was carried out through a survey set in Spain from October 2016 to October 2017 under the responsibility of the </w:t>
      </w:r>
      <w:r w:rsidRPr="00475EEE">
        <w:rPr>
          <w:rFonts w:eastAsia="Calibri"/>
          <w:lang w:val="en-US" w:eastAsia="en-US"/>
        </w:rPr>
        <w:lastRenderedPageBreak/>
        <w:t>Ministry of Health</w:t>
      </w:r>
      <w:r w:rsidR="001F6510" w:rsidRPr="00475EEE">
        <w:rPr>
          <w:rFonts w:eastAsia="Calibri"/>
          <w:lang w:val="en-US" w:eastAsia="en-US"/>
        </w:rPr>
        <w:t>, Social Services and Equality,</w:t>
      </w:r>
      <w:r w:rsidRPr="00475EEE">
        <w:rPr>
          <w:rFonts w:eastAsia="Calibri"/>
          <w:lang w:val="en-US" w:eastAsia="en-US"/>
        </w:rPr>
        <w:t xml:space="preserve"> and th</w:t>
      </w:r>
      <w:r w:rsidR="0041716F">
        <w:rPr>
          <w:rFonts w:eastAsia="Calibri"/>
          <w:lang w:val="en-US" w:eastAsia="en-US"/>
        </w:rPr>
        <w:t>e National Statistics Institute</w:t>
      </w:r>
      <w:r w:rsidR="00C32BD4">
        <w:rPr>
          <w:rFonts w:eastAsia="Calibri"/>
          <w:lang w:val="en-US" w:eastAsia="en-US"/>
        </w:rPr>
        <w:t xml:space="preserve">; </w:t>
      </w:r>
      <w:r w:rsidR="00C32BD4" w:rsidRPr="00C32BD4">
        <w:rPr>
          <w:rFonts w:eastAsia="Calibri"/>
          <w:lang w:val="en-US" w:eastAsia="en-US"/>
        </w:rPr>
        <w:t>data series from the current and previous rounds of the survey are shown anonymized in a publicly available dataset from an institutional web server</w:t>
      </w:r>
      <w:r w:rsidR="00C32BD4">
        <w:rPr>
          <w:rFonts w:eastAsia="Calibri"/>
          <w:lang w:val="en-US" w:eastAsia="en-US"/>
        </w:rPr>
        <w:t xml:space="preserve"> </w:t>
      </w:r>
      <w:r w:rsidR="005B67EA" w:rsidRPr="00475EEE">
        <w:rPr>
          <w:rFonts w:eastAsia="Calibri"/>
          <w:noProof/>
          <w:lang w:val="en-US" w:eastAsia="en-US"/>
        </w:rPr>
        <w:fldChar w:fldCharType="begin" w:fldLock="1"/>
      </w:r>
      <w:r w:rsidR="002F36A0">
        <w:rPr>
          <w:rFonts w:eastAsia="Calibri"/>
          <w:noProof/>
          <w:lang w:val="en-US" w:eastAsia="en-US"/>
        </w:rPr>
        <w:instrText>ADDIN CSL_CITATION {"citationItems":[{"id":"ITEM-1","itemData":{"author":[{"dropping-particle":"","family":"Ministerio de Sanidad Servicios Sociales e Igualdad &amp; Instituto Nacional de Estadística.","given":"","non-dropping-particle":"","parse-names":false,"suffix":""}],"container-title":"Spanish National Health Survey 2017: Methodology.","id":"ITEM-1","issued":{"date-parts":[["2017"]]},"number-of-pages":"64","title":"Spanish National Health Survey 2017: Methodology.","type":"report"},"uris":["http://www.mendeley.com/documents/?uuid=90263386-bc9f-405c-a2c3-4b3c47c947da"]}],"mendeley":{"formattedCitation":"(16)","plainTextFormattedCitation":"(16)","previouslyFormattedCitation":"(16)"},"properties":{"noteIndex":0},"schema":"https://github.com/citation-style-language/schema/raw/master/csl-citation.json"}</w:instrText>
      </w:r>
      <w:r w:rsidR="005B67EA" w:rsidRPr="00475EEE">
        <w:rPr>
          <w:rFonts w:eastAsia="Calibri"/>
          <w:noProof/>
          <w:lang w:val="en-US" w:eastAsia="en-US"/>
        </w:rPr>
        <w:fldChar w:fldCharType="separate"/>
      </w:r>
      <w:r w:rsidR="007E6799" w:rsidRPr="007E6799">
        <w:rPr>
          <w:rFonts w:eastAsia="Calibri"/>
          <w:noProof/>
          <w:lang w:val="en-US" w:eastAsia="en-US"/>
        </w:rPr>
        <w:t>(16)</w:t>
      </w:r>
      <w:r w:rsidR="005B67EA" w:rsidRPr="00475EEE">
        <w:rPr>
          <w:rFonts w:eastAsia="Calibri"/>
          <w:noProof/>
          <w:lang w:val="en-US" w:eastAsia="en-US"/>
        </w:rPr>
        <w:fldChar w:fldCharType="end"/>
      </w:r>
      <w:r w:rsidR="0041716F">
        <w:rPr>
          <w:rFonts w:eastAsia="Calibri"/>
          <w:noProof/>
          <w:lang w:val="en-US" w:eastAsia="en-US"/>
        </w:rPr>
        <w:t>.</w:t>
      </w:r>
      <w:r w:rsidRPr="00475EEE">
        <w:rPr>
          <w:rFonts w:eastAsia="Calibri"/>
          <w:lang w:val="en-US" w:eastAsia="en-US"/>
        </w:rPr>
        <w:t xml:space="preserve"> </w:t>
      </w:r>
      <w:r w:rsidR="001F6510" w:rsidRPr="00475EEE">
        <w:rPr>
          <w:rFonts w:eastAsia="Calibri"/>
          <w:lang w:val="en-US" w:eastAsia="en-US"/>
        </w:rPr>
        <w:t xml:space="preserve">A computer-assisted personal interview (CAPI) was conducted in the homes of the selected participants, who were assisted by trained interviewers. </w:t>
      </w:r>
      <w:r w:rsidR="00087C9E" w:rsidRPr="00087C9E">
        <w:rPr>
          <w:rFonts w:eastAsia="Calibri"/>
          <w:lang w:val="en-US" w:eastAsia="en-US"/>
        </w:rPr>
        <w:t>A stratified three-stage sampling considering census secti</w:t>
      </w:r>
      <w:r w:rsidR="003B559C">
        <w:rPr>
          <w:rFonts w:eastAsia="Calibri"/>
          <w:lang w:val="en-US" w:eastAsia="en-US"/>
        </w:rPr>
        <w:t>ons, family dwellings and participants</w:t>
      </w:r>
      <w:r w:rsidR="00087C9E" w:rsidRPr="00087C9E">
        <w:rPr>
          <w:rFonts w:eastAsia="Calibri"/>
          <w:lang w:val="en-US" w:eastAsia="en-US"/>
        </w:rPr>
        <w:t xml:space="preserve"> (</w:t>
      </w:r>
      <w:r w:rsidR="00E6444A">
        <w:rPr>
          <w:rFonts w:eastAsia="Calibri"/>
          <w:lang w:val="en-US" w:eastAsia="en-US"/>
        </w:rPr>
        <w:t>≥</w:t>
      </w:r>
      <w:r w:rsidR="00087C9E" w:rsidRPr="00087C9E">
        <w:rPr>
          <w:rFonts w:eastAsia="Calibri"/>
          <w:lang w:val="en-US" w:eastAsia="en-US"/>
        </w:rPr>
        <w:t>15 years) was respectively implemented.</w:t>
      </w:r>
      <w:r w:rsidRPr="00475EEE">
        <w:rPr>
          <w:rFonts w:eastAsia="Calibri"/>
          <w:lang w:val="en-US" w:eastAsia="en-US"/>
        </w:rPr>
        <w:t xml:space="preserve"> The dwellings were </w:t>
      </w:r>
      <w:r w:rsidR="001F6510" w:rsidRPr="00475EEE">
        <w:rPr>
          <w:rFonts w:eastAsia="Calibri"/>
          <w:lang w:val="en-US" w:eastAsia="en-US"/>
        </w:rPr>
        <w:t>selected</w:t>
      </w:r>
      <w:r w:rsidRPr="00475EEE">
        <w:rPr>
          <w:rFonts w:eastAsia="Calibri"/>
          <w:lang w:val="en-US" w:eastAsia="en-US"/>
        </w:rPr>
        <w:t xml:space="preserve"> using systematic sampling, </w:t>
      </w:r>
      <w:r w:rsidR="001F6510" w:rsidRPr="00475EEE">
        <w:rPr>
          <w:rFonts w:eastAsia="Calibri"/>
          <w:lang w:val="en-US" w:eastAsia="en-US"/>
        </w:rPr>
        <w:t>and</w:t>
      </w:r>
      <w:r w:rsidRPr="00475EEE">
        <w:rPr>
          <w:rFonts w:eastAsia="Calibri"/>
          <w:lang w:val="en-US" w:eastAsia="en-US"/>
        </w:rPr>
        <w:t xml:space="preserve"> the random Kish method was used to select the participants who were going to</w:t>
      </w:r>
      <w:r w:rsidR="001F6510" w:rsidRPr="00475EEE">
        <w:rPr>
          <w:rFonts w:eastAsia="Calibri"/>
          <w:lang w:val="en-US" w:eastAsia="en-US"/>
        </w:rPr>
        <w:t xml:space="preserve"> </w:t>
      </w:r>
      <w:r w:rsidR="003877E0" w:rsidRPr="00475EEE">
        <w:rPr>
          <w:rFonts w:eastAsia="Calibri"/>
          <w:lang w:val="en-US" w:eastAsia="en-US"/>
        </w:rPr>
        <w:t>complete</w:t>
      </w:r>
      <w:r w:rsidR="001F6510" w:rsidRPr="00475EEE">
        <w:rPr>
          <w:rFonts w:eastAsia="Calibri"/>
          <w:lang w:val="en-US" w:eastAsia="en-US"/>
        </w:rPr>
        <w:t xml:space="preserve"> the questionnaire</w:t>
      </w:r>
      <w:r w:rsidRPr="00475EEE">
        <w:rPr>
          <w:rFonts w:eastAsia="Calibri"/>
          <w:lang w:val="en-US" w:eastAsia="en-US"/>
        </w:rPr>
        <w:t xml:space="preserve">. </w:t>
      </w:r>
      <w:r w:rsidR="00F63C7E" w:rsidRPr="00E64D40">
        <w:rPr>
          <w:rFonts w:eastAsia="Calibri"/>
          <w:lang w:val="en-US" w:eastAsia="en-US"/>
        </w:rPr>
        <w:t>Th</w:t>
      </w:r>
      <w:r w:rsidR="00F63C7E" w:rsidRPr="00E1513B">
        <w:rPr>
          <w:rFonts w:eastAsia="Calibri"/>
          <w:lang w:val="en-US" w:eastAsia="en-US"/>
        </w:rPr>
        <w:t xml:space="preserve">e sample was distributed throughout </w:t>
      </w:r>
      <w:r w:rsidR="00D32CF1">
        <w:rPr>
          <w:rFonts w:eastAsia="Calibri"/>
          <w:lang w:val="en-US" w:eastAsia="en-US"/>
        </w:rPr>
        <w:t xml:space="preserve">all the Spanish </w:t>
      </w:r>
      <w:r w:rsidR="00F63C7E" w:rsidRPr="00E1513B">
        <w:rPr>
          <w:rFonts w:eastAsia="Calibri"/>
          <w:lang w:val="en-US" w:eastAsia="en-US"/>
        </w:rPr>
        <w:t>region</w:t>
      </w:r>
      <w:r w:rsidR="00D32CF1" w:rsidRPr="00E1513B">
        <w:rPr>
          <w:rFonts w:eastAsia="Calibri"/>
          <w:lang w:val="en-US" w:eastAsia="en-US"/>
        </w:rPr>
        <w:t>s assigning both a uniform part</w:t>
      </w:r>
      <w:r w:rsidR="00F63C7E" w:rsidRPr="00E1513B">
        <w:rPr>
          <w:rFonts w:eastAsia="Calibri"/>
          <w:lang w:val="en-US" w:eastAsia="en-US"/>
        </w:rPr>
        <w:t xml:space="preserve"> and other </w:t>
      </w:r>
      <w:r w:rsidR="00D32CF1" w:rsidRPr="00E1513B">
        <w:rPr>
          <w:rFonts w:eastAsia="Calibri"/>
          <w:lang w:val="en-US" w:eastAsia="en-US"/>
        </w:rPr>
        <w:t>variable part according to proportional regional size</w:t>
      </w:r>
      <w:r w:rsidR="00D32CF1">
        <w:rPr>
          <w:rFonts w:eastAsia="Calibri"/>
          <w:lang w:val="en-US" w:eastAsia="en-US"/>
        </w:rPr>
        <w:t>, and accounting for</w:t>
      </w:r>
      <w:r w:rsidR="00D32CF1" w:rsidRPr="00D32CF1">
        <w:t xml:space="preserve"> </w:t>
      </w:r>
      <w:r w:rsidR="00D32CF1">
        <w:t xml:space="preserve">studied </w:t>
      </w:r>
      <w:r w:rsidR="00D32CF1">
        <w:rPr>
          <w:rFonts w:eastAsia="Calibri"/>
          <w:lang w:val="en-US" w:eastAsia="en-US"/>
        </w:rPr>
        <w:t>characteristics</w:t>
      </w:r>
      <w:r w:rsidR="00133E67">
        <w:rPr>
          <w:rFonts w:eastAsia="Calibri"/>
          <w:lang w:val="en-US" w:eastAsia="en-US"/>
        </w:rPr>
        <w:t xml:space="preserve">, </w:t>
      </w:r>
      <w:r w:rsidR="00D32CF1">
        <w:rPr>
          <w:rFonts w:eastAsia="Calibri"/>
          <w:lang w:val="en-US" w:eastAsia="en-US"/>
        </w:rPr>
        <w:t>type of respondent</w:t>
      </w:r>
      <w:r w:rsidR="00133E67">
        <w:rPr>
          <w:rFonts w:eastAsia="Calibri"/>
          <w:lang w:val="en-US" w:eastAsia="en-US"/>
        </w:rPr>
        <w:t xml:space="preserve">, and </w:t>
      </w:r>
      <w:r w:rsidR="00D32CF1" w:rsidRPr="00D32CF1">
        <w:rPr>
          <w:rFonts w:eastAsia="Calibri"/>
          <w:lang w:val="en-US" w:eastAsia="en-US"/>
        </w:rPr>
        <w:t>information regarding other additional surveys</w:t>
      </w:r>
      <w:r w:rsidR="00D32CF1">
        <w:rPr>
          <w:rFonts w:eastAsia="Calibri"/>
          <w:lang w:val="en-US" w:eastAsia="en-US"/>
        </w:rPr>
        <w:t xml:space="preserve"> </w:t>
      </w:r>
      <w:r w:rsidR="00D32CF1" w:rsidRPr="00E1513B">
        <w:rPr>
          <w:rFonts w:eastAsia="Calibri"/>
          <w:lang w:val="en-US" w:eastAsia="en-US"/>
        </w:rPr>
        <w:t>.</w:t>
      </w:r>
      <w:r w:rsidR="00F63C7E" w:rsidRPr="00E64D40">
        <w:rPr>
          <w:rFonts w:eastAsia="Calibri"/>
          <w:lang w:val="en-US" w:eastAsia="en-US"/>
        </w:rPr>
        <w:t xml:space="preserve"> </w:t>
      </w:r>
      <w:r w:rsidR="003D3C2B" w:rsidRPr="00E64D40">
        <w:rPr>
          <w:rFonts w:eastAsia="Calibri"/>
          <w:lang w:val="en-US" w:eastAsia="en-US"/>
        </w:rPr>
        <w:t xml:space="preserve">The sections were selected within each stratum with probability proportional to their size. </w:t>
      </w:r>
      <w:r w:rsidR="003D3C2B" w:rsidRPr="003D3C2B">
        <w:rPr>
          <w:rFonts w:eastAsia="Calibri"/>
          <w:lang w:val="en-US" w:eastAsia="en-US"/>
        </w:rPr>
        <w:t>In each section, the dwellings were selected with equal probability by systematic sampling, prior arrangement by size of the dwelling. This procedure leads to self-weighting samples in each stratum. The random Kish method was used for the selection of the person who had to complete the questionnaire; this assigns equal probability to all potential participants in the household</w:t>
      </w:r>
      <w:r w:rsidR="00D32CF1">
        <w:rPr>
          <w:rFonts w:eastAsia="Calibri"/>
          <w:lang w:val="en-US" w:eastAsia="en-US"/>
        </w:rPr>
        <w:t xml:space="preserve"> </w:t>
      </w:r>
      <w:r w:rsidR="00D32CF1">
        <w:rPr>
          <w:rFonts w:eastAsia="Calibri"/>
          <w:lang w:val="en-US" w:eastAsia="en-US"/>
        </w:rPr>
        <w:fldChar w:fldCharType="begin" w:fldLock="1"/>
      </w:r>
      <w:r w:rsidR="002F36A0">
        <w:rPr>
          <w:rFonts w:eastAsia="Calibri"/>
          <w:lang w:val="en-US" w:eastAsia="en-US"/>
        </w:rPr>
        <w:instrText>ADDIN CSL_CITATION {"citationItems":[{"id":"ITEM-1","itemData":{"author":[{"dropping-particle":"","family":"Ministerio de Sanidad Servicios Sociales e Igualdad &amp; Instituto Nacional de Estadística.","given":"","non-dropping-particle":"","parse-names":false,"suffix":""}],"container-title":"Spanish National Health Survey 2017: Methodology.","id":"ITEM-1","issued":{"date-parts":[["2017"]]},"number-of-pages":"64","title":"Spanish National Health Survey 2017: Methodology.","type":"report"},"uris":["http://www.mendeley.com/documents/?uuid=90263386-bc9f-405c-a2c3-4b3c47c947da"]}],"mendeley":{"formattedCitation":"(16)","plainTextFormattedCitation":"(16)","previouslyFormattedCitation":"(16)"},"properties":{"noteIndex":0},"schema":"https://github.com/citation-style-language/schema/raw/master/csl-citation.json"}</w:instrText>
      </w:r>
      <w:r w:rsidR="00D32CF1">
        <w:rPr>
          <w:rFonts w:eastAsia="Calibri"/>
          <w:lang w:val="en-US" w:eastAsia="en-US"/>
        </w:rPr>
        <w:fldChar w:fldCharType="separate"/>
      </w:r>
      <w:r w:rsidR="007E6799" w:rsidRPr="007E6799">
        <w:rPr>
          <w:rFonts w:eastAsia="Calibri"/>
          <w:noProof/>
          <w:lang w:val="en-US" w:eastAsia="en-US"/>
        </w:rPr>
        <w:t>(16)</w:t>
      </w:r>
      <w:r w:rsidR="00D32CF1">
        <w:rPr>
          <w:rFonts w:eastAsia="Calibri"/>
          <w:lang w:val="en-US" w:eastAsia="en-US"/>
        </w:rPr>
        <w:fldChar w:fldCharType="end"/>
      </w:r>
      <w:r w:rsidR="003D3C2B" w:rsidRPr="003D3C2B">
        <w:rPr>
          <w:rFonts w:eastAsia="Calibri"/>
          <w:lang w:val="en-US" w:eastAsia="en-US"/>
        </w:rPr>
        <w:t>.</w:t>
      </w:r>
    </w:p>
    <w:p w14:paraId="36191FA3" w14:textId="1BF2F337" w:rsidR="00D459C4" w:rsidRDefault="001F6510" w:rsidP="006B3578">
      <w:pPr>
        <w:spacing w:after="160" w:line="480" w:lineRule="auto"/>
        <w:jc w:val="both"/>
        <w:rPr>
          <w:rFonts w:eastAsia="Calibri"/>
          <w:lang w:val="en-US" w:eastAsia="en-US"/>
        </w:rPr>
      </w:pPr>
      <w:r w:rsidRPr="00475EEE">
        <w:rPr>
          <w:rFonts w:eastAsia="Calibri"/>
          <w:lang w:val="en-US" w:eastAsia="en-US"/>
        </w:rPr>
        <w:t xml:space="preserve">The original sample comprised 37500 dwellings distributed in 2500 sections, in which </w:t>
      </w:r>
      <w:r w:rsidR="00D459C4" w:rsidRPr="00475EEE">
        <w:rPr>
          <w:rFonts w:eastAsia="Calibri"/>
          <w:lang w:val="en-US" w:eastAsia="en-US"/>
        </w:rPr>
        <w:t>30.1% (n</w:t>
      </w:r>
      <w:r w:rsidR="00611A0C">
        <w:rPr>
          <w:rFonts w:eastAsia="Calibri"/>
          <w:lang w:val="en-US" w:eastAsia="en-US"/>
        </w:rPr>
        <w:t xml:space="preserve"> </w:t>
      </w:r>
      <w:r w:rsidR="00D459C4" w:rsidRPr="00475EEE">
        <w:rPr>
          <w:rFonts w:eastAsia="Calibri"/>
          <w:lang w:val="en-US" w:eastAsia="en-US"/>
        </w:rPr>
        <w:t>=</w:t>
      </w:r>
      <w:r w:rsidR="00611A0C">
        <w:rPr>
          <w:rFonts w:eastAsia="Calibri"/>
          <w:lang w:val="en-US" w:eastAsia="en-US"/>
        </w:rPr>
        <w:t xml:space="preserve"> </w:t>
      </w:r>
      <w:r w:rsidR="00D459C4" w:rsidRPr="00475EEE">
        <w:rPr>
          <w:rFonts w:eastAsia="Calibri"/>
          <w:lang w:val="en-US" w:eastAsia="en-US"/>
        </w:rPr>
        <w:t xml:space="preserve">11287) of the </w:t>
      </w:r>
      <w:r w:rsidR="004340C3">
        <w:rPr>
          <w:rFonts w:eastAsia="Calibri"/>
          <w:lang w:val="en-US" w:eastAsia="en-US"/>
        </w:rPr>
        <w:t>selected</w:t>
      </w:r>
      <w:r w:rsidR="004340C3" w:rsidRPr="00475EEE">
        <w:rPr>
          <w:rFonts w:eastAsia="Calibri"/>
          <w:lang w:val="en-US" w:eastAsia="en-US"/>
        </w:rPr>
        <w:t xml:space="preserve"> </w:t>
      </w:r>
      <w:r w:rsidR="00D459C4" w:rsidRPr="00475EEE">
        <w:rPr>
          <w:rFonts w:eastAsia="Calibri"/>
          <w:lang w:val="en-US" w:eastAsia="en-US"/>
        </w:rPr>
        <w:t xml:space="preserve">dwellings did not reply to the survey due to </w:t>
      </w:r>
      <w:r w:rsidRPr="00475EEE">
        <w:rPr>
          <w:rFonts w:eastAsia="Calibri"/>
          <w:lang w:val="en-US" w:eastAsia="en-US"/>
        </w:rPr>
        <w:t>several</w:t>
      </w:r>
      <w:r w:rsidR="00D459C4" w:rsidRPr="00475EEE">
        <w:rPr>
          <w:rFonts w:eastAsia="Calibri"/>
          <w:lang w:val="en-US" w:eastAsia="en-US"/>
        </w:rPr>
        <w:t xml:space="preserve"> reasons (i.e.</w:t>
      </w:r>
      <w:r w:rsidRPr="00475EEE">
        <w:rPr>
          <w:rFonts w:eastAsia="Calibri"/>
          <w:lang w:val="en-US" w:eastAsia="en-US"/>
        </w:rPr>
        <w:t xml:space="preserve"> </w:t>
      </w:r>
      <w:r w:rsidR="00D459C4" w:rsidRPr="00475EEE">
        <w:rPr>
          <w:rFonts w:eastAsia="Calibri"/>
          <w:lang w:val="en-US" w:eastAsia="en-US"/>
        </w:rPr>
        <w:t xml:space="preserve">absence, </w:t>
      </w:r>
      <w:r w:rsidRPr="00475EEE">
        <w:rPr>
          <w:rFonts w:eastAsia="Calibri"/>
          <w:lang w:val="en-US" w:eastAsia="en-US"/>
        </w:rPr>
        <w:t xml:space="preserve">empty dwelling, </w:t>
      </w:r>
      <w:r w:rsidR="00D459C4" w:rsidRPr="00475EEE">
        <w:rPr>
          <w:rFonts w:eastAsia="Calibri"/>
          <w:lang w:val="en-US" w:eastAsia="en-US"/>
        </w:rPr>
        <w:t xml:space="preserve">refusal or inability to answer). As a result, a representative sample of the </w:t>
      </w:r>
      <w:r w:rsidR="00342C6E">
        <w:rPr>
          <w:rFonts w:eastAsia="Calibri"/>
          <w:lang w:val="en-US" w:eastAsia="en-US"/>
        </w:rPr>
        <w:t xml:space="preserve">Spanish </w:t>
      </w:r>
      <w:r w:rsidR="000208A0">
        <w:rPr>
          <w:rFonts w:eastAsia="Calibri"/>
          <w:lang w:val="en-US" w:eastAsia="en-US"/>
        </w:rPr>
        <w:t xml:space="preserve">adult </w:t>
      </w:r>
      <w:r w:rsidR="00D459C4" w:rsidRPr="00475EEE">
        <w:rPr>
          <w:rFonts w:eastAsia="Calibri"/>
          <w:lang w:val="en-US" w:eastAsia="en-US"/>
        </w:rPr>
        <w:t xml:space="preserve">population </w:t>
      </w:r>
      <w:r w:rsidRPr="00475EEE">
        <w:rPr>
          <w:rFonts w:eastAsia="Calibri"/>
          <w:lang w:val="en-US" w:eastAsia="en-US"/>
        </w:rPr>
        <w:t xml:space="preserve">comprising </w:t>
      </w:r>
      <w:r w:rsidR="00D459C4" w:rsidRPr="00475EEE">
        <w:rPr>
          <w:rFonts w:eastAsia="Calibri"/>
          <w:lang w:val="en-US" w:eastAsia="en-US"/>
        </w:rPr>
        <w:t xml:space="preserve">23089 </w:t>
      </w:r>
      <w:r w:rsidR="00342C6E">
        <w:rPr>
          <w:rFonts w:eastAsia="Calibri"/>
          <w:lang w:val="en-US" w:eastAsia="en-US"/>
        </w:rPr>
        <w:t>participants</w:t>
      </w:r>
      <w:r w:rsidR="00D459C4" w:rsidRPr="00475EEE">
        <w:rPr>
          <w:rFonts w:eastAsia="Calibri"/>
          <w:lang w:val="en-US" w:eastAsia="en-US"/>
        </w:rPr>
        <w:t xml:space="preserve"> aged 15-103 years</w:t>
      </w:r>
      <w:r w:rsidRPr="00475EEE">
        <w:rPr>
          <w:rFonts w:eastAsia="Calibri"/>
          <w:lang w:val="en-US" w:eastAsia="en-US"/>
        </w:rPr>
        <w:t xml:space="preserve"> </w:t>
      </w:r>
      <w:r w:rsidR="00342C6E">
        <w:rPr>
          <w:rFonts w:eastAsia="Calibri"/>
          <w:lang w:val="en-US" w:eastAsia="en-US"/>
        </w:rPr>
        <w:t xml:space="preserve">(i.e. a survey response rate of 69.9%) </w:t>
      </w:r>
      <w:r w:rsidRPr="00475EEE">
        <w:rPr>
          <w:rFonts w:eastAsia="Calibri"/>
          <w:lang w:val="en-US" w:eastAsia="en-US"/>
        </w:rPr>
        <w:t>was collected</w:t>
      </w:r>
      <w:r w:rsidR="00D459C4" w:rsidRPr="00475EEE">
        <w:rPr>
          <w:rFonts w:eastAsia="Calibri"/>
          <w:lang w:val="en-US" w:eastAsia="en-US"/>
        </w:rPr>
        <w:t xml:space="preserve">. </w:t>
      </w:r>
    </w:p>
    <w:p w14:paraId="7CDF76F2" w14:textId="496B1639" w:rsidR="00D459C4" w:rsidRDefault="001F6510" w:rsidP="006B3578">
      <w:pPr>
        <w:spacing w:after="160" w:line="480" w:lineRule="auto"/>
        <w:jc w:val="both"/>
        <w:rPr>
          <w:rFonts w:eastAsia="Calibri"/>
          <w:lang w:val="en-US" w:eastAsia="en-US"/>
        </w:rPr>
      </w:pPr>
      <w:r w:rsidRPr="00475EEE">
        <w:rPr>
          <w:rFonts w:eastAsia="Calibri"/>
          <w:lang w:val="en-US" w:eastAsia="en-US"/>
        </w:rPr>
        <w:t>Since</w:t>
      </w:r>
      <w:r w:rsidR="00D459C4" w:rsidRPr="00475EEE">
        <w:rPr>
          <w:rFonts w:eastAsia="Calibri"/>
          <w:lang w:val="en-US" w:eastAsia="en-US"/>
        </w:rPr>
        <w:t xml:space="preserve"> </w:t>
      </w:r>
      <w:r w:rsidRPr="00475EEE">
        <w:rPr>
          <w:rFonts w:eastAsia="Calibri"/>
          <w:lang w:val="en-US" w:eastAsia="en-US"/>
        </w:rPr>
        <w:t>the</w:t>
      </w:r>
      <w:r w:rsidR="00E43609" w:rsidRPr="00475EEE">
        <w:rPr>
          <w:rFonts w:eastAsia="Calibri"/>
          <w:lang w:val="en-US" w:eastAsia="en-US"/>
        </w:rPr>
        <w:t xml:space="preserve"> International Physical Activity Questionnaire</w:t>
      </w:r>
      <w:r w:rsidRPr="00475EEE">
        <w:rPr>
          <w:rFonts w:eastAsia="Calibri"/>
          <w:lang w:val="en-US" w:eastAsia="en-US"/>
        </w:rPr>
        <w:t xml:space="preserve"> </w:t>
      </w:r>
      <w:r w:rsidR="00830075" w:rsidRPr="00475EEE">
        <w:rPr>
          <w:rFonts w:eastAsia="Calibri"/>
          <w:lang w:val="en-US" w:eastAsia="en-US"/>
        </w:rPr>
        <w:t xml:space="preserve">(IPAQ) short form </w:t>
      </w:r>
      <w:r w:rsidR="00E43609" w:rsidRPr="00475EEE">
        <w:rPr>
          <w:rFonts w:eastAsia="Calibri"/>
          <w:lang w:val="en-US" w:eastAsia="en-US"/>
        </w:rPr>
        <w:t xml:space="preserve">was not included in the questionnaires for participants aged </w:t>
      </w:r>
      <w:r w:rsidR="00D459C4" w:rsidRPr="00475EEE">
        <w:rPr>
          <w:rFonts w:eastAsia="Calibri"/>
          <w:lang w:val="en-US" w:eastAsia="en-US"/>
        </w:rPr>
        <w:t>≥70</w:t>
      </w:r>
      <w:r w:rsidR="00E43609" w:rsidRPr="00475EEE">
        <w:rPr>
          <w:rFonts w:eastAsia="Calibri"/>
          <w:lang w:val="en-US" w:eastAsia="en-US"/>
        </w:rPr>
        <w:t xml:space="preserve"> years,</w:t>
      </w:r>
      <w:r w:rsidR="00D459C4" w:rsidRPr="00475EEE">
        <w:rPr>
          <w:rFonts w:eastAsia="Calibri"/>
          <w:lang w:val="en-US" w:eastAsia="en-US"/>
        </w:rPr>
        <w:t xml:space="preserve"> </w:t>
      </w:r>
      <w:r w:rsidR="00E43609" w:rsidRPr="00475EEE">
        <w:rPr>
          <w:rFonts w:eastAsia="Calibri"/>
          <w:lang w:val="en-US" w:eastAsia="en-US"/>
        </w:rPr>
        <w:t>those participants were</w:t>
      </w:r>
      <w:r w:rsidRPr="00475EEE">
        <w:rPr>
          <w:rFonts w:eastAsia="Calibri"/>
          <w:lang w:val="en-US" w:eastAsia="en-US"/>
        </w:rPr>
        <w:t xml:space="preserve"> excluded </w:t>
      </w:r>
      <w:r w:rsidR="00D459C4" w:rsidRPr="00475EEE">
        <w:rPr>
          <w:rFonts w:eastAsia="Calibri"/>
          <w:lang w:val="en-US" w:eastAsia="en-US"/>
        </w:rPr>
        <w:t>f</w:t>
      </w:r>
      <w:r w:rsidRPr="00475EEE">
        <w:rPr>
          <w:rFonts w:eastAsia="Calibri"/>
          <w:lang w:val="en-US" w:eastAsia="en-US"/>
        </w:rPr>
        <w:t>rom</w:t>
      </w:r>
      <w:r w:rsidR="00D459C4" w:rsidRPr="00475EEE">
        <w:rPr>
          <w:rFonts w:eastAsia="Calibri"/>
          <w:lang w:val="en-US" w:eastAsia="en-US"/>
        </w:rPr>
        <w:t xml:space="preserve"> the </w:t>
      </w:r>
      <w:r w:rsidRPr="00475EEE">
        <w:rPr>
          <w:rFonts w:eastAsia="Calibri"/>
          <w:lang w:val="en-US" w:eastAsia="en-US"/>
        </w:rPr>
        <w:t>study</w:t>
      </w:r>
      <w:r w:rsidR="00D459C4" w:rsidRPr="00475EEE">
        <w:rPr>
          <w:rFonts w:eastAsia="Calibri"/>
          <w:lang w:val="en-US" w:eastAsia="en-US"/>
        </w:rPr>
        <w:t xml:space="preserve"> analyses (n</w:t>
      </w:r>
      <w:r w:rsidR="00611A0C">
        <w:rPr>
          <w:rFonts w:eastAsia="Calibri"/>
          <w:lang w:val="en-US" w:eastAsia="en-US"/>
        </w:rPr>
        <w:t xml:space="preserve"> </w:t>
      </w:r>
      <w:r w:rsidR="00D459C4" w:rsidRPr="00475EEE">
        <w:rPr>
          <w:rFonts w:eastAsia="Calibri"/>
          <w:lang w:val="en-US" w:eastAsia="en-US"/>
        </w:rPr>
        <w:t>=</w:t>
      </w:r>
      <w:r w:rsidR="00611A0C">
        <w:rPr>
          <w:rFonts w:eastAsia="Calibri"/>
          <w:lang w:val="en-US" w:eastAsia="en-US"/>
        </w:rPr>
        <w:t xml:space="preserve"> </w:t>
      </w:r>
      <w:r w:rsidR="00D459C4" w:rsidRPr="00475EEE">
        <w:rPr>
          <w:rFonts w:eastAsia="Calibri"/>
          <w:lang w:val="en-US" w:eastAsia="en-US"/>
        </w:rPr>
        <w:t xml:space="preserve">5310). Of the remaining population, </w:t>
      </w:r>
      <w:r w:rsidR="00A94635" w:rsidRPr="00475EEE">
        <w:rPr>
          <w:rFonts w:eastAsia="Calibri"/>
          <w:lang w:val="en-US" w:eastAsia="en-US"/>
        </w:rPr>
        <w:t xml:space="preserve">those below </w:t>
      </w:r>
      <w:r w:rsidR="00A94635" w:rsidRPr="00475EEE">
        <w:rPr>
          <w:rFonts w:eastAsia="Calibri"/>
          <w:lang w:val="en-US" w:eastAsia="en-US"/>
        </w:rPr>
        <w:lastRenderedPageBreak/>
        <w:t xml:space="preserve">the legal working age (i.e. under 16) or </w:t>
      </w:r>
      <w:r w:rsidRPr="00475EEE">
        <w:rPr>
          <w:rFonts w:eastAsia="Calibri"/>
          <w:lang w:val="en-US" w:eastAsia="en-US"/>
        </w:rPr>
        <w:t>unemployed participants</w:t>
      </w:r>
      <w:r w:rsidR="00D459C4" w:rsidRPr="00475EEE">
        <w:rPr>
          <w:rFonts w:eastAsia="Calibri"/>
          <w:lang w:val="en-US" w:eastAsia="en-US"/>
        </w:rPr>
        <w:t xml:space="preserve"> were also excluded (n</w:t>
      </w:r>
      <w:r w:rsidR="00611A0C">
        <w:rPr>
          <w:rFonts w:eastAsia="Calibri"/>
          <w:lang w:val="en-US" w:eastAsia="en-US"/>
        </w:rPr>
        <w:t xml:space="preserve"> </w:t>
      </w:r>
      <w:r w:rsidR="00D459C4" w:rsidRPr="00475EEE">
        <w:rPr>
          <w:rFonts w:eastAsia="Calibri"/>
          <w:lang w:val="en-US" w:eastAsia="en-US"/>
        </w:rPr>
        <w:t>=</w:t>
      </w:r>
      <w:r w:rsidR="00611A0C">
        <w:rPr>
          <w:rFonts w:eastAsia="Calibri"/>
          <w:lang w:val="en-US" w:eastAsia="en-US"/>
        </w:rPr>
        <w:t xml:space="preserve"> </w:t>
      </w:r>
      <w:r w:rsidR="00D459C4" w:rsidRPr="00475EEE">
        <w:rPr>
          <w:rFonts w:eastAsia="Calibri"/>
          <w:lang w:val="en-US" w:eastAsia="en-US"/>
        </w:rPr>
        <w:t xml:space="preserve">7894). </w:t>
      </w:r>
      <w:r w:rsidR="009C7E73">
        <w:rPr>
          <w:rFonts w:eastAsia="Calibri"/>
          <w:lang w:val="en-US" w:eastAsia="en-US"/>
        </w:rPr>
        <w:t>Overall, data from 22 survey questions were retrieved for the purpose of this study: 7 questions regarding</w:t>
      </w:r>
      <w:r w:rsidR="00DA0246">
        <w:rPr>
          <w:rFonts w:eastAsia="Calibri"/>
          <w:lang w:val="en-US" w:eastAsia="en-US"/>
        </w:rPr>
        <w:t xml:space="preserve"> PA, </w:t>
      </w:r>
      <w:r w:rsidR="009C7E73">
        <w:rPr>
          <w:rFonts w:eastAsia="Calibri"/>
          <w:lang w:val="en-US" w:eastAsia="en-US"/>
        </w:rPr>
        <w:t xml:space="preserve">1 question each regarding </w:t>
      </w:r>
      <w:r w:rsidR="00DA0246">
        <w:rPr>
          <w:rFonts w:eastAsia="Calibri"/>
          <w:lang w:val="en-US" w:eastAsia="en-US"/>
        </w:rPr>
        <w:t>age, sex, height</w:t>
      </w:r>
      <w:r w:rsidR="009C7E73">
        <w:rPr>
          <w:rFonts w:eastAsia="Calibri"/>
          <w:lang w:val="en-US" w:eastAsia="en-US"/>
        </w:rPr>
        <w:t xml:space="preserve">, </w:t>
      </w:r>
      <w:r w:rsidR="00DA0246">
        <w:rPr>
          <w:rFonts w:eastAsia="Calibri"/>
          <w:lang w:val="en-US" w:eastAsia="en-US"/>
        </w:rPr>
        <w:t>weight,</w:t>
      </w:r>
      <w:r w:rsidR="009C7E73">
        <w:rPr>
          <w:rFonts w:eastAsia="Calibri"/>
          <w:lang w:val="en-US" w:eastAsia="en-US"/>
        </w:rPr>
        <w:t xml:space="preserve"> educational level, occupational class, occupational PA, smoking status, and fruit consumption, and</w:t>
      </w:r>
      <w:r w:rsidR="00DA0246">
        <w:rPr>
          <w:rFonts w:eastAsia="Calibri"/>
          <w:lang w:val="en-US" w:eastAsia="en-US"/>
        </w:rPr>
        <w:t xml:space="preserve"> </w:t>
      </w:r>
      <w:r w:rsidR="009C7E73">
        <w:rPr>
          <w:rFonts w:eastAsia="Calibri"/>
          <w:lang w:val="en-US" w:eastAsia="en-US"/>
        </w:rPr>
        <w:t xml:space="preserve">6 regarding </w:t>
      </w:r>
      <w:r w:rsidR="00DA0246">
        <w:rPr>
          <w:rFonts w:eastAsia="Calibri"/>
          <w:lang w:val="en-US" w:eastAsia="en-US"/>
        </w:rPr>
        <w:t xml:space="preserve">chronic conditions. </w:t>
      </w:r>
      <w:r w:rsidR="00C8301F">
        <w:rPr>
          <w:rFonts w:eastAsia="Calibri"/>
          <w:lang w:val="en-US" w:eastAsia="en-US"/>
        </w:rPr>
        <w:t>In addition, t</w:t>
      </w:r>
      <w:r w:rsidR="00C8301F" w:rsidRPr="00C8301F">
        <w:rPr>
          <w:rFonts w:eastAsia="Calibri"/>
          <w:lang w:val="en-US" w:eastAsia="en-US"/>
        </w:rPr>
        <w:t xml:space="preserve">hose </w:t>
      </w:r>
      <w:r w:rsidR="00C8301F">
        <w:rPr>
          <w:rFonts w:eastAsia="Calibri"/>
          <w:lang w:val="en-US" w:eastAsia="en-US"/>
        </w:rPr>
        <w:t xml:space="preserve">remaining participants </w:t>
      </w:r>
      <w:r w:rsidR="00C8301F" w:rsidRPr="00C8301F">
        <w:rPr>
          <w:rFonts w:eastAsia="Calibri"/>
          <w:lang w:val="en-US" w:eastAsia="en-US"/>
        </w:rPr>
        <w:t xml:space="preserve">presenting missing values in any of the study variables </w:t>
      </w:r>
      <w:r w:rsidR="00C8301F">
        <w:rPr>
          <w:rFonts w:eastAsia="Calibri"/>
          <w:lang w:val="en-US" w:eastAsia="en-US"/>
        </w:rPr>
        <w:t xml:space="preserve">(n = 190) </w:t>
      </w:r>
      <w:r w:rsidR="00C8301F" w:rsidRPr="00C8301F">
        <w:rPr>
          <w:rFonts w:eastAsia="Calibri"/>
          <w:lang w:val="en-US" w:eastAsia="en-US"/>
        </w:rPr>
        <w:t xml:space="preserve">were </w:t>
      </w:r>
      <w:r w:rsidR="00C8301F">
        <w:rPr>
          <w:rFonts w:eastAsia="Calibri"/>
          <w:lang w:val="en-US" w:eastAsia="en-US"/>
        </w:rPr>
        <w:t xml:space="preserve">also </w:t>
      </w:r>
      <w:r w:rsidR="00C8301F" w:rsidRPr="00C8301F">
        <w:rPr>
          <w:rFonts w:eastAsia="Calibri"/>
          <w:lang w:val="en-US" w:eastAsia="en-US"/>
        </w:rPr>
        <w:t>removed from th</w:t>
      </w:r>
      <w:r w:rsidR="00C8301F">
        <w:rPr>
          <w:rFonts w:eastAsia="Calibri"/>
          <w:lang w:val="en-US" w:eastAsia="en-US"/>
        </w:rPr>
        <w:t>e statistical analyses</w:t>
      </w:r>
      <w:r w:rsidR="00C8301F" w:rsidRPr="00C8301F">
        <w:rPr>
          <w:rFonts w:eastAsia="Calibri"/>
          <w:lang w:val="en-US" w:eastAsia="en-US"/>
        </w:rPr>
        <w:t xml:space="preserve">. </w:t>
      </w:r>
      <w:r w:rsidRPr="00475EEE">
        <w:rPr>
          <w:rFonts w:eastAsia="Calibri"/>
          <w:lang w:val="en-US" w:eastAsia="en-US"/>
        </w:rPr>
        <w:t>Therefore</w:t>
      </w:r>
      <w:r w:rsidR="00D459C4" w:rsidRPr="00475EEE">
        <w:rPr>
          <w:rFonts w:eastAsia="Calibri"/>
          <w:lang w:val="en-US" w:eastAsia="en-US"/>
        </w:rPr>
        <w:t xml:space="preserve">, a total of </w:t>
      </w:r>
      <w:r w:rsidR="00C8301F" w:rsidRPr="00C8301F">
        <w:rPr>
          <w:rFonts w:eastAsia="Calibri"/>
          <w:lang w:val="en-US" w:eastAsia="en-US"/>
        </w:rPr>
        <w:t>9695</w:t>
      </w:r>
      <w:r w:rsidR="00C8301F">
        <w:rPr>
          <w:rFonts w:eastAsia="Calibri"/>
          <w:lang w:val="en-US" w:eastAsia="en-US"/>
        </w:rPr>
        <w:t xml:space="preserve"> </w:t>
      </w:r>
      <w:r w:rsidRPr="00475EEE">
        <w:rPr>
          <w:rFonts w:eastAsia="Calibri"/>
          <w:lang w:val="en-US" w:eastAsia="en-US"/>
        </w:rPr>
        <w:t xml:space="preserve">participants from a general working population </w:t>
      </w:r>
      <w:r w:rsidR="00D459C4" w:rsidRPr="00475EEE">
        <w:rPr>
          <w:rFonts w:eastAsia="Calibri"/>
          <w:lang w:val="en-US" w:eastAsia="en-US"/>
        </w:rPr>
        <w:t>were included in the present study</w:t>
      </w:r>
      <w:r w:rsidR="00C8301F">
        <w:rPr>
          <w:rFonts w:eastAsia="Calibri"/>
          <w:lang w:val="en-US" w:eastAsia="en-US"/>
        </w:rPr>
        <w:t xml:space="preserve">. </w:t>
      </w:r>
    </w:p>
    <w:p w14:paraId="7ED9CF1C" w14:textId="75A87051" w:rsidR="0077146E" w:rsidRPr="00475EEE" w:rsidRDefault="0077146E" w:rsidP="006B3578">
      <w:pPr>
        <w:spacing w:after="160" w:line="480" w:lineRule="auto"/>
        <w:jc w:val="both"/>
        <w:rPr>
          <w:rFonts w:eastAsia="Calibri"/>
          <w:lang w:val="en-US" w:eastAsia="en-US"/>
        </w:rPr>
      </w:pPr>
      <w:r w:rsidRPr="0077146E">
        <w:rPr>
          <w:rFonts w:eastAsia="Calibri"/>
          <w:lang w:val="en-US" w:eastAsia="en-US"/>
        </w:rPr>
        <w:t>Data were reported in adherence to the Strengthening the Reporting of Observational Studies in Epidemiology (STROBE) guidelines [16].</w:t>
      </w:r>
      <w:r w:rsidR="00433469" w:rsidRPr="00433469">
        <w:rPr>
          <w:rFonts w:eastAsia="Calibri"/>
          <w:lang w:val="en-US" w:eastAsia="en-US"/>
        </w:rPr>
        <w:t xml:space="preserve"> </w:t>
      </w:r>
      <w:r w:rsidR="00433469" w:rsidRPr="00475EEE">
        <w:rPr>
          <w:rFonts w:eastAsia="Calibri"/>
          <w:lang w:val="en-US" w:eastAsia="en-US"/>
        </w:rPr>
        <w:t>All the participants gave signed consent before completing the survey.</w:t>
      </w:r>
    </w:p>
    <w:p w14:paraId="23E30DBD" w14:textId="507F638D" w:rsidR="00D459C4" w:rsidRDefault="001F6510" w:rsidP="006B3578">
      <w:pPr>
        <w:spacing w:after="160" w:line="480" w:lineRule="auto"/>
        <w:jc w:val="both"/>
        <w:rPr>
          <w:rFonts w:eastAsia="Calibri"/>
          <w:b/>
          <w:lang w:val="en-US" w:eastAsia="en-US"/>
        </w:rPr>
      </w:pPr>
      <w:r w:rsidRPr="00475EEE">
        <w:rPr>
          <w:rFonts w:eastAsia="Calibri"/>
          <w:b/>
          <w:lang w:val="en-US" w:eastAsia="en-US"/>
        </w:rPr>
        <w:t xml:space="preserve">Chronic </w:t>
      </w:r>
      <w:r w:rsidR="006F2CFC">
        <w:rPr>
          <w:rFonts w:eastAsia="Calibri"/>
          <w:b/>
          <w:lang w:val="en-US" w:eastAsia="en-US"/>
        </w:rPr>
        <w:t>condition</w:t>
      </w:r>
      <w:r w:rsidR="006F2CFC" w:rsidRPr="00475EEE">
        <w:rPr>
          <w:rFonts w:eastAsia="Calibri"/>
          <w:b/>
          <w:lang w:val="en-US" w:eastAsia="en-US"/>
        </w:rPr>
        <w:t xml:space="preserve"> </w:t>
      </w:r>
      <w:r w:rsidR="00D459C4" w:rsidRPr="00475EEE">
        <w:rPr>
          <w:rFonts w:eastAsia="Calibri"/>
          <w:b/>
          <w:lang w:val="en-US" w:eastAsia="en-US"/>
        </w:rPr>
        <w:t>(Outcome)</w:t>
      </w:r>
    </w:p>
    <w:p w14:paraId="12EEDA0B" w14:textId="6A772065" w:rsidR="00D459C4" w:rsidRPr="00475EEE" w:rsidRDefault="000251E8" w:rsidP="00E1513B">
      <w:pPr>
        <w:spacing w:after="160" w:line="480" w:lineRule="auto"/>
        <w:jc w:val="both"/>
        <w:rPr>
          <w:rFonts w:eastAsia="Calibri"/>
          <w:lang w:val="en-US" w:eastAsia="en-US"/>
        </w:rPr>
      </w:pPr>
      <w:r>
        <w:rPr>
          <w:rFonts w:eastAsia="Calibri"/>
          <w:lang w:val="en-US" w:eastAsia="en-US"/>
        </w:rPr>
        <w:t>F</w:t>
      </w:r>
      <w:r w:rsidRPr="000251E8">
        <w:rPr>
          <w:rFonts w:eastAsia="Calibri"/>
          <w:lang w:val="en-US" w:eastAsia="en-US"/>
        </w:rPr>
        <w:t xml:space="preserve">or the purpose of this </w:t>
      </w:r>
      <w:r>
        <w:rPr>
          <w:rFonts w:eastAsia="Calibri"/>
          <w:lang w:val="en-US" w:eastAsia="en-US"/>
        </w:rPr>
        <w:t>research,</w:t>
      </w:r>
      <w:r w:rsidRPr="000251E8">
        <w:rPr>
          <w:rFonts w:eastAsia="Calibri"/>
          <w:lang w:val="en-US" w:eastAsia="en-US"/>
        </w:rPr>
        <w:t xml:space="preserve"> </w:t>
      </w:r>
      <w:r>
        <w:rPr>
          <w:rFonts w:eastAsia="Calibri"/>
          <w:lang w:val="en-US" w:eastAsia="en-US"/>
        </w:rPr>
        <w:t>we</w:t>
      </w:r>
      <w:r>
        <w:rPr>
          <w:rFonts w:eastAsia="Calibri"/>
          <w:lang w:val="en-GB" w:eastAsia="en-US"/>
        </w:rPr>
        <w:t xml:space="preserve"> identified several of the </w:t>
      </w:r>
      <w:r w:rsidRPr="00475EEE">
        <w:rPr>
          <w:rFonts w:eastAsia="Calibri"/>
          <w:lang w:val="en-GB" w:eastAsia="en-US"/>
        </w:rPr>
        <w:t xml:space="preserve">most prevalent chronic </w:t>
      </w:r>
      <w:r w:rsidR="006F2CFC">
        <w:rPr>
          <w:rFonts w:eastAsia="Calibri"/>
          <w:lang w:val="en-GB" w:eastAsia="en-US"/>
        </w:rPr>
        <w:t>conditions</w:t>
      </w:r>
      <w:r>
        <w:rPr>
          <w:rFonts w:eastAsia="Calibri"/>
          <w:lang w:val="en-GB" w:eastAsia="en-US"/>
        </w:rPr>
        <w:t xml:space="preserve"> among the workforce </w:t>
      </w:r>
      <w:r>
        <w:rPr>
          <w:rFonts w:eastAsia="Calibri"/>
          <w:lang w:val="en-GB" w:eastAsia="en-US"/>
        </w:rPr>
        <w:fldChar w:fldCharType="begin" w:fldLock="1"/>
      </w:r>
      <w:r w:rsidR="002F36A0">
        <w:rPr>
          <w:rFonts w:eastAsia="Calibri"/>
          <w:lang w:val="en-GB" w:eastAsia="en-US"/>
        </w:rPr>
        <w:instrText>ADDIN CSL_CITATION {"citationItems":[{"id":"ITEM-1","itemData":{"DOI":"10.5271/sjweh.3620","ISSN":"1795990X","abstract":"Objectives The aim of this study was to determine the joint association\nof multimorbidity and work ability with the risk of long-term sickness\nabsence (LTSA) in the general working population.\nMethods Cox regression analysis censoring for competing events\n(statutory retirement, early retirement, disability pension,\nimmigration, or death) was performed to estimate the joint association\nof chronic diseases and work ability in relation to physical and mental\ndemands of the job with the prospective risk for LTSA (defined as &gt;= 6\nconsecutive weeks during 2-year follow-up) among 10 427 wage earners\nfrom the general working population (2010 Danish Work Environment Cohort\nStudy). Control variables were age, gender, psychosocial work\nenvironment, smoking, leisure physical activity, body mass index, job\ngroup, and previous LTSA.\nResults Of the 10 427 respondents, 56.8% had experienced &gt;= 1 chronic\ndisease at baseline. The fully adjusted model showed an association\nbetween number of chronic diseases and risk of LTSA. This association\nwas stronger among employees with poor work ability (either physical or\nmental). Compared to employees with no diseases and good physical work\nability, the risk estimate for LTSA was 1.95 {[}95% confidence interval\n(95% CI) 1.50-2.52] for employees with &gt;= 3 chronic diseases and good\nphysical work ability, whereas it was 3.60 (95% CI 2.50-5.19) for those\nwith &gt;= 3 chronic diseases and poor physical work ability. Overall, the\njoint association of chronic disease and work ability with LTSA appears\nto be additive.\nConclusions Poor work ability combined with &gt;= 1 chronic diseases is\nassociated with high risk of long-term sickness absence in the general\nworking population. Initiatives to improve or maintain work ability\nshould be highly prioritized to secure sustainable employability among\nworkers with &gt;= 1 chronic diseases.","author":[{"dropping-particle":"","family":"Sundstrup","given":"Emil","non-dropping-particle":"","parse-names":false,"suffix":""},{"dropping-particle":"","family":"Due Jakobsen","given":"Markus","non-dropping-particle":"","parse-names":false,"suffix":""},{"dropping-particle":"","family":"Mortensen","given":"Ole Steen","non-dropping-particle":"","parse-names":false,"suffix":""},{"dropping-particle":"","family":"Andersen","given":"Lars Louis","non-dropping-particle":"","parse-names":false,"suffix":""}],"container-title":"Scandinavian Journal of Work, Environment and Health","id":"ITEM-1","issue":"2","issued":{"date-parts":[["2017"]]},"page":"146-154","title":"Joint association of multimorbidity and work ability with risk of long-term sickness absence: a prospective cohort study with register follow-up","type":"article-journal","volume":"43"},"uris":["http://www.mendeley.com/documents/?uuid=13567560-3fa6-4da1-8487-cd49944a2b1a"]}],"mendeley":{"formattedCitation":"(1)","plainTextFormattedCitation":"(1)","previouslyFormattedCitation":"(1)"},"properties":{"noteIndex":0},"schema":"https://github.com/citation-style-language/schema/raw/master/csl-citation.json"}</w:instrText>
      </w:r>
      <w:r>
        <w:rPr>
          <w:rFonts w:eastAsia="Calibri"/>
          <w:lang w:val="en-GB" w:eastAsia="en-US"/>
        </w:rPr>
        <w:fldChar w:fldCharType="separate"/>
      </w:r>
      <w:r w:rsidR="007E6799" w:rsidRPr="007E6799">
        <w:rPr>
          <w:rFonts w:eastAsia="Calibri"/>
          <w:noProof/>
          <w:lang w:val="en-GB" w:eastAsia="en-US"/>
        </w:rPr>
        <w:t>(1)</w:t>
      </w:r>
      <w:r>
        <w:rPr>
          <w:rFonts w:eastAsia="Calibri"/>
          <w:lang w:val="en-GB" w:eastAsia="en-US"/>
        </w:rPr>
        <w:fldChar w:fldCharType="end"/>
      </w:r>
      <w:r>
        <w:rPr>
          <w:rFonts w:eastAsia="Calibri"/>
          <w:lang w:val="en-GB" w:eastAsia="en-US"/>
        </w:rPr>
        <w:t>.</w:t>
      </w:r>
      <w:r w:rsidR="00C03C54">
        <w:rPr>
          <w:rFonts w:eastAsia="Calibri"/>
          <w:lang w:val="en-US" w:eastAsia="en-US"/>
        </w:rPr>
        <w:t xml:space="preserve"> </w:t>
      </w:r>
      <w:r w:rsidR="00D459C4" w:rsidRPr="00475EEE">
        <w:rPr>
          <w:rFonts w:eastAsia="Calibri"/>
          <w:lang w:val="en-US" w:eastAsia="en-US"/>
        </w:rPr>
        <w:t xml:space="preserve">Measures on </w:t>
      </w:r>
      <w:r w:rsidR="00ED4403" w:rsidRPr="00475EEE">
        <w:rPr>
          <w:rFonts w:eastAsia="Calibri"/>
          <w:lang w:val="en-US" w:eastAsia="en-US"/>
        </w:rPr>
        <w:t xml:space="preserve">chronic </w:t>
      </w:r>
      <w:r w:rsidR="006F2CFC">
        <w:rPr>
          <w:rFonts w:eastAsia="Calibri"/>
          <w:lang w:val="en-US" w:eastAsia="en-US"/>
        </w:rPr>
        <w:t>conditions</w:t>
      </w:r>
      <w:r w:rsidR="006F2CFC" w:rsidRPr="00475EEE">
        <w:rPr>
          <w:rFonts w:eastAsia="Calibri"/>
          <w:lang w:val="en-US" w:eastAsia="en-US"/>
        </w:rPr>
        <w:t xml:space="preserve"> </w:t>
      </w:r>
      <w:r w:rsidR="00D459C4" w:rsidRPr="00475EEE">
        <w:rPr>
          <w:rFonts w:eastAsia="Calibri"/>
          <w:lang w:val="en-US" w:eastAsia="en-US"/>
        </w:rPr>
        <w:t>were obtained through the following question</w:t>
      </w:r>
      <w:r w:rsidR="001F6510" w:rsidRPr="00475EEE">
        <w:rPr>
          <w:rFonts w:eastAsia="Calibri"/>
          <w:lang w:val="en-US" w:eastAsia="en-US"/>
        </w:rPr>
        <w:t>:</w:t>
      </w:r>
      <w:r w:rsidR="00D459C4" w:rsidRPr="00475EEE">
        <w:rPr>
          <w:rFonts w:eastAsia="Calibri"/>
          <w:lang w:val="en-US" w:eastAsia="en-US"/>
        </w:rPr>
        <w:t xml:space="preserve"> </w:t>
      </w:r>
      <w:r w:rsidR="001F6510" w:rsidRPr="00475EEE">
        <w:rPr>
          <w:rFonts w:eastAsia="Calibri"/>
          <w:lang w:val="en-US" w:eastAsia="en-US"/>
        </w:rPr>
        <w:t>‘‘Have you suffered from hypertension within the last twelve months?” P</w:t>
      </w:r>
      <w:r w:rsidR="00D459C4" w:rsidRPr="00475EEE">
        <w:rPr>
          <w:rFonts w:eastAsia="Calibri"/>
          <w:lang w:val="en-US" w:eastAsia="en-US"/>
        </w:rPr>
        <w:t xml:space="preserve">articipants </w:t>
      </w:r>
      <w:r w:rsidR="001F6510" w:rsidRPr="00475EEE">
        <w:rPr>
          <w:rFonts w:eastAsia="Calibri"/>
          <w:lang w:val="en-US" w:eastAsia="en-US"/>
        </w:rPr>
        <w:t>answering</w:t>
      </w:r>
      <w:r w:rsidR="00D459C4" w:rsidRPr="00475EEE">
        <w:rPr>
          <w:rFonts w:eastAsia="Calibri"/>
          <w:lang w:val="en-US" w:eastAsia="en-US"/>
        </w:rPr>
        <w:t xml:space="preserve"> “yes” to this question were considered to have </w:t>
      </w:r>
      <w:r w:rsidR="003B559C">
        <w:rPr>
          <w:rFonts w:eastAsia="Calibri"/>
          <w:lang w:val="en-US" w:eastAsia="en-US"/>
        </w:rPr>
        <w:t>experienced</w:t>
      </w:r>
      <w:r w:rsidR="001F6510" w:rsidRPr="00475EEE">
        <w:rPr>
          <w:rFonts w:eastAsia="Calibri"/>
          <w:lang w:val="en-US" w:eastAsia="en-US"/>
        </w:rPr>
        <w:t xml:space="preserve"> hypertension </w:t>
      </w:r>
      <w:r w:rsidR="00D459C4" w:rsidRPr="00475EEE">
        <w:rPr>
          <w:rFonts w:eastAsia="Calibri"/>
          <w:lang w:val="en-US" w:eastAsia="en-US"/>
        </w:rPr>
        <w:t xml:space="preserve">during that </w:t>
      </w:r>
      <w:r w:rsidR="001F6510" w:rsidRPr="00475EEE">
        <w:rPr>
          <w:rFonts w:eastAsia="Calibri"/>
          <w:lang w:val="en-US" w:eastAsia="en-US"/>
        </w:rPr>
        <w:t>term</w:t>
      </w:r>
      <w:r w:rsidR="00D459C4" w:rsidRPr="00475EEE">
        <w:rPr>
          <w:rFonts w:eastAsia="Calibri"/>
          <w:lang w:val="en-US" w:eastAsia="en-US"/>
        </w:rPr>
        <w:t xml:space="preserve">. </w:t>
      </w:r>
      <w:r w:rsidR="001F6510" w:rsidRPr="00475EEE">
        <w:rPr>
          <w:rFonts w:eastAsia="Calibri"/>
          <w:lang w:val="en-US" w:eastAsia="en-US"/>
        </w:rPr>
        <w:t xml:space="preserve">The same procedure was used for assessing the prevalence of the remaining chronic </w:t>
      </w:r>
      <w:r w:rsidR="006F2CFC">
        <w:rPr>
          <w:rFonts w:eastAsia="Calibri"/>
          <w:lang w:val="en-US" w:eastAsia="en-US"/>
        </w:rPr>
        <w:t>condition</w:t>
      </w:r>
      <w:r w:rsidR="006F2CFC" w:rsidRPr="00475EEE">
        <w:rPr>
          <w:rFonts w:eastAsia="Calibri"/>
          <w:lang w:val="en-US" w:eastAsia="en-US"/>
        </w:rPr>
        <w:t xml:space="preserve">s </w:t>
      </w:r>
      <w:r w:rsidR="001F6510" w:rsidRPr="00475EEE">
        <w:rPr>
          <w:rFonts w:eastAsia="Calibri"/>
          <w:lang w:val="en-US" w:eastAsia="en-US"/>
        </w:rPr>
        <w:t xml:space="preserve">from the </w:t>
      </w:r>
      <w:r w:rsidR="003B559C">
        <w:rPr>
          <w:rFonts w:eastAsia="Calibri"/>
          <w:lang w:val="en-US" w:eastAsia="en-US"/>
        </w:rPr>
        <w:t>study</w:t>
      </w:r>
      <w:r w:rsidR="001F6510" w:rsidRPr="00475EEE">
        <w:rPr>
          <w:rFonts w:eastAsia="Calibri"/>
          <w:lang w:val="en-US" w:eastAsia="en-US"/>
        </w:rPr>
        <w:t xml:space="preserve"> set (i.e. diabetes, </w:t>
      </w:r>
      <w:r w:rsidR="00ED4403" w:rsidRPr="00475EEE">
        <w:rPr>
          <w:rFonts w:eastAsia="Calibri"/>
          <w:lang w:val="en-US" w:eastAsia="en-US"/>
        </w:rPr>
        <w:t xml:space="preserve">chronic </w:t>
      </w:r>
      <w:r w:rsidR="001F6510" w:rsidRPr="00475EEE">
        <w:rPr>
          <w:rFonts w:eastAsia="Calibri"/>
          <w:lang w:val="en-US" w:eastAsia="en-US"/>
        </w:rPr>
        <w:t xml:space="preserve">neck pain, </w:t>
      </w:r>
      <w:r w:rsidR="00ED4403" w:rsidRPr="00475EEE">
        <w:rPr>
          <w:rFonts w:eastAsia="Calibri"/>
          <w:lang w:val="en-US" w:eastAsia="en-US"/>
        </w:rPr>
        <w:t xml:space="preserve">chronic </w:t>
      </w:r>
      <w:r w:rsidR="001F6510" w:rsidRPr="00475EEE">
        <w:rPr>
          <w:rFonts w:eastAsia="Calibri"/>
          <w:lang w:val="en-US" w:eastAsia="en-US"/>
        </w:rPr>
        <w:t>low back pain, depression and anxiety).</w:t>
      </w:r>
      <w:r w:rsidR="009E6024" w:rsidRPr="00475EEE">
        <w:rPr>
          <w:rFonts w:eastAsia="Calibri"/>
          <w:lang w:val="en-US" w:eastAsia="en-US"/>
        </w:rPr>
        <w:t xml:space="preserve"> </w:t>
      </w:r>
      <w:r w:rsidR="00552A0C">
        <w:rPr>
          <w:rFonts w:eastAsia="Calibri"/>
          <w:lang w:val="en-US" w:eastAsia="en-US"/>
        </w:rPr>
        <w:t xml:space="preserve">Finally, an outcome variable concerning the experience </w:t>
      </w:r>
      <w:r w:rsidR="00663D4C">
        <w:rPr>
          <w:rFonts w:eastAsia="Calibri"/>
          <w:lang w:val="en-US" w:eastAsia="en-US"/>
        </w:rPr>
        <w:t>of having suffered from, at least, one of the mentioned chronic</w:t>
      </w:r>
      <w:r w:rsidR="006F2CFC">
        <w:rPr>
          <w:rFonts w:eastAsia="Calibri"/>
          <w:lang w:val="en-US" w:eastAsia="en-US"/>
        </w:rPr>
        <w:t xml:space="preserve"> </w:t>
      </w:r>
      <w:r w:rsidR="00663D4C">
        <w:rPr>
          <w:rFonts w:eastAsia="Calibri"/>
          <w:lang w:val="en-US" w:eastAsia="en-US"/>
        </w:rPr>
        <w:t xml:space="preserve">conditions was created; </w:t>
      </w:r>
      <w:r w:rsidR="00552A0C">
        <w:rPr>
          <w:rFonts w:eastAsia="Calibri"/>
          <w:lang w:val="en-US" w:eastAsia="en-US"/>
        </w:rPr>
        <w:t>t</w:t>
      </w:r>
      <w:r w:rsidR="009E6024" w:rsidRPr="00475EEE">
        <w:rPr>
          <w:rFonts w:eastAsia="Calibri"/>
          <w:lang w:val="en-US" w:eastAsia="en-US"/>
        </w:rPr>
        <w:t xml:space="preserve">hose participants answering “yes” to one or more chronic </w:t>
      </w:r>
      <w:r w:rsidR="00663D4C">
        <w:rPr>
          <w:rFonts w:eastAsia="Calibri"/>
          <w:lang w:val="en-US" w:eastAsia="en-US"/>
        </w:rPr>
        <w:t xml:space="preserve">condition </w:t>
      </w:r>
      <w:r w:rsidR="009E6024" w:rsidRPr="00475EEE">
        <w:rPr>
          <w:rFonts w:eastAsia="Calibri"/>
          <w:lang w:val="en-US" w:eastAsia="en-US"/>
        </w:rPr>
        <w:t xml:space="preserve">were included in the chronic </w:t>
      </w:r>
      <w:r w:rsidR="006F2CFC">
        <w:rPr>
          <w:rFonts w:eastAsia="Calibri"/>
          <w:lang w:val="en-US" w:eastAsia="en-US"/>
        </w:rPr>
        <w:t>condition</w:t>
      </w:r>
      <w:r w:rsidR="006F2CFC" w:rsidRPr="00475EEE">
        <w:rPr>
          <w:rFonts w:eastAsia="Calibri"/>
          <w:lang w:val="en-US" w:eastAsia="en-US"/>
        </w:rPr>
        <w:t xml:space="preserve"> </w:t>
      </w:r>
      <w:r w:rsidR="009E6024" w:rsidRPr="00475EEE">
        <w:rPr>
          <w:rFonts w:eastAsia="Calibri"/>
          <w:lang w:val="en-US" w:eastAsia="en-US"/>
        </w:rPr>
        <w:t xml:space="preserve">category.  </w:t>
      </w:r>
    </w:p>
    <w:p w14:paraId="6AA4B706" w14:textId="7722AC1D" w:rsidR="00D459C4" w:rsidRPr="00475EEE" w:rsidRDefault="005F0633" w:rsidP="006B3578">
      <w:pPr>
        <w:spacing w:after="160" w:line="480" w:lineRule="auto"/>
        <w:jc w:val="both"/>
        <w:rPr>
          <w:rFonts w:eastAsia="Calibri"/>
          <w:b/>
          <w:lang w:val="en-US" w:eastAsia="en-US"/>
        </w:rPr>
      </w:pPr>
      <w:r>
        <w:rPr>
          <w:rFonts w:eastAsia="Calibri"/>
          <w:b/>
          <w:lang w:val="en-US" w:eastAsia="en-US"/>
        </w:rPr>
        <w:t>P</w:t>
      </w:r>
      <w:r w:rsidR="00D459C4" w:rsidRPr="00475EEE">
        <w:rPr>
          <w:rFonts w:eastAsia="Calibri"/>
          <w:b/>
          <w:lang w:val="en-US" w:eastAsia="en-US"/>
        </w:rPr>
        <w:t>hysical activity (Exposure)</w:t>
      </w:r>
    </w:p>
    <w:p w14:paraId="4C0E5398" w14:textId="54BD245C" w:rsidR="00D459C4" w:rsidRPr="00475EEE" w:rsidRDefault="00D459C4" w:rsidP="006B3578">
      <w:pPr>
        <w:spacing w:after="160" w:line="480" w:lineRule="auto"/>
        <w:jc w:val="both"/>
        <w:rPr>
          <w:rFonts w:eastAsia="Calibri"/>
          <w:lang w:val="en-US" w:eastAsia="en-US"/>
        </w:rPr>
      </w:pPr>
      <w:r w:rsidRPr="00475EEE">
        <w:rPr>
          <w:rFonts w:eastAsia="Calibri"/>
          <w:lang w:val="en-US" w:eastAsia="en-US"/>
        </w:rPr>
        <w:lastRenderedPageBreak/>
        <w:t xml:space="preserve">The </w:t>
      </w:r>
      <w:r w:rsidR="001F6510" w:rsidRPr="00475EEE">
        <w:rPr>
          <w:rFonts w:eastAsia="Calibri"/>
          <w:lang w:val="en-US" w:eastAsia="en-US"/>
        </w:rPr>
        <w:t xml:space="preserve">IPAQ </w:t>
      </w:r>
      <w:r w:rsidRPr="00475EEE">
        <w:rPr>
          <w:rFonts w:eastAsia="Calibri"/>
          <w:lang w:val="en-US" w:eastAsia="en-US"/>
        </w:rPr>
        <w:t xml:space="preserve">short version </w:t>
      </w:r>
      <w:r w:rsidR="001F6510" w:rsidRPr="00475EEE">
        <w:rPr>
          <w:rFonts w:eastAsia="Calibri"/>
          <w:lang w:val="en-US" w:eastAsia="en-US"/>
        </w:rPr>
        <w:t>embedded in the survey</w:t>
      </w:r>
      <w:r w:rsidRPr="00475EEE">
        <w:rPr>
          <w:rFonts w:eastAsia="Calibri"/>
          <w:lang w:val="en-US" w:eastAsia="en-US"/>
        </w:rPr>
        <w:t xml:space="preserve"> </w:t>
      </w:r>
      <w:r w:rsidR="005A7A2F">
        <w:rPr>
          <w:rFonts w:eastAsia="Calibri"/>
          <w:lang w:val="en-US" w:eastAsia="en-US"/>
        </w:rPr>
        <w:t xml:space="preserve">(i.e. the questions of the IPAQ short-version were included in the healthy habits section of the survey) </w:t>
      </w:r>
      <w:r w:rsidR="001F6510" w:rsidRPr="00475EEE">
        <w:rPr>
          <w:rFonts w:eastAsia="Calibri"/>
          <w:lang w:val="en-US" w:eastAsia="en-US"/>
        </w:rPr>
        <w:t>was used to estimate</w:t>
      </w:r>
      <w:r w:rsidR="00D06E01" w:rsidRPr="00475EEE">
        <w:rPr>
          <w:rFonts w:eastAsia="Calibri"/>
          <w:lang w:val="en-US" w:eastAsia="en-US"/>
        </w:rPr>
        <w:t xml:space="preserve"> PA</w:t>
      </w:r>
      <w:r w:rsidR="005F0633">
        <w:rPr>
          <w:rFonts w:eastAsia="Calibri"/>
          <w:lang w:val="en-US" w:eastAsia="en-US"/>
        </w:rPr>
        <w:t xml:space="preserve"> </w:t>
      </w:r>
      <w:r w:rsidR="00050331" w:rsidRPr="00475EEE">
        <w:rPr>
          <w:rFonts w:eastAsia="Calibri"/>
          <w:noProof/>
          <w:lang w:val="en-US" w:eastAsia="en-US"/>
        </w:rPr>
        <w:fldChar w:fldCharType="begin" w:fldLock="1"/>
      </w:r>
      <w:r w:rsidR="002F36A0">
        <w:rPr>
          <w:rFonts w:eastAsia="Calibri"/>
          <w:noProof/>
          <w:lang w:val="en-US" w:eastAsia="en-US"/>
        </w:rPr>
        <w:instrText>ADDIN CSL_CITATION {"citationItems":[{"id":"ITEM-1","itemData":{"DOI":"10.1249/01.MSS.0000078924.61453.FB","ISSN":"01959131","abstract":"BACKGROUND Physical inactivity is a global concern, but diverse physical activity measures in use prevent international comparisons. The International Physical Activity Questionnaire (IPAQ) was developed as an instrument for cross-national monitoring of physical activity and inactivity. METHODS Between 1997 and 1998, an International Consensus Group developed four long and four short forms of the IPAQ instruments (administered by telephone interview or self-administration, with two alternate reference periods, either the \"last 7 d\" or a \"usual week\" of recalled physical activity). During 2000, 14 centers from 12 countries collected reliability and/or validity data on at least two of the eight IPAQ instruments. Test-retest repeatability was assessed within the same week. Concurrent (inter-method) validity was assessed at the same administration, and criterion IPAQ validity was assessed against the CSA (now MTI) accelerometer. Spearman's correlation coefficients are reported, based on the total reported physical activity. RESULTS Overall, the IPAQ questionnaires produced repeatable data (Spearman's rho clustered around 0.8), with comparable data from short and long forms. Criterion validity had a median rho of about 0.30, which was comparable to most other self-report validation studies. The \"usual week\" and \"last 7 d\" reference periods performed similarly, and the reliability of telephone administration was similar to the self-administered mode. CONCLUSIONS The IPAQ instruments have acceptable measurement properties, at least as good as other established self-reports. Considering the diverse samples in this study, IPAQ has reasonable measurement properties for monitoring population levels of physical activity among 18- to 65-yr-old adults in diverse settings. The short IPAQ form \"last 7 d recall\" is recommended for national monitoring and the long form for research requiring more detailed assessment.","author":[{"dropping-particle":"","family":"Craig","given":"Cora L.","non-dropping-particle":"","parse-names":false,"suffix":""},{"dropping-particle":"","family":"Marshall","given":"Alison L.","non-dropping-particle":"","parse-names":false,"suffix":""},{"dropping-particle":"","family":"Sjöström","given":"Michael","non-dropping-particle":"","parse-names":false,"suffix":""},{"dropping-particle":"","family":"Bauman","given":"Adrian E.","non-dropping-particle":"","parse-names":false,"suffix":""},{"dropping-particle":"","family":"Booth","given":"Michael L.","non-dropping-particle":"","parse-names":false,"suffix":""},{"dropping-particle":"","family":"Ainsworth","given":"Barbara E.","non-dropping-particle":"","parse-names":false,"suffix":""},{"dropping-particle":"","family":"Pratt","given":"Michael","non-dropping-particle":"","parse-names":false,"suffix":""},{"dropping-particle":"","family":"Ekelund","given":"Ulf","non-dropping-particle":"","parse-names":false,"suffix":""},{"dropping-particle":"","family":"Yngve","given":"Agneta","non-dropping-particle":"","parse-names":false,"suffix":""},{"dropping-particle":"","family":"Sallis","given":"James F.","non-dropping-particle":"","parse-names":false,"suffix":""},{"dropping-particle":"","family":"Oja","given":"Pekka","non-dropping-particle":"","parse-names":false,"suffix":""}],"container-title":"Medicine and Science in Sports and Exercise","id":"ITEM-1","issue":"8","issued":{"date-parts":[["2003"]]},"page":"1381-1395","title":"International physical activity questionnaire: 12-Country reliability and validity","type":"article-journal","volume":"35"},"uris":["http://www.mendeley.com/documents/?uuid=c0735020-2cf5-49d7-9cfe-9d7f8a35d35a"]}],"mendeley":{"formattedCitation":"(17)","plainTextFormattedCitation":"(17)","previouslyFormattedCitation":"(17)"},"properties":{"noteIndex":0},"schema":"https://github.com/citation-style-language/schema/raw/master/csl-citation.json"}</w:instrText>
      </w:r>
      <w:r w:rsidR="00050331" w:rsidRPr="00475EEE">
        <w:rPr>
          <w:rFonts w:eastAsia="Calibri"/>
          <w:noProof/>
          <w:lang w:val="en-US" w:eastAsia="en-US"/>
        </w:rPr>
        <w:fldChar w:fldCharType="separate"/>
      </w:r>
      <w:r w:rsidR="007E6799" w:rsidRPr="007E6799">
        <w:rPr>
          <w:rFonts w:eastAsia="Calibri"/>
          <w:noProof/>
          <w:lang w:val="en-US" w:eastAsia="en-US"/>
        </w:rPr>
        <w:t>(17)</w:t>
      </w:r>
      <w:r w:rsidR="00050331" w:rsidRPr="00475EEE">
        <w:rPr>
          <w:rFonts w:eastAsia="Calibri"/>
          <w:noProof/>
          <w:lang w:val="en-US" w:eastAsia="en-US"/>
        </w:rPr>
        <w:fldChar w:fldCharType="end"/>
      </w:r>
      <w:r w:rsidR="005F0633">
        <w:rPr>
          <w:rFonts w:eastAsia="Calibri"/>
          <w:noProof/>
          <w:lang w:val="en-US" w:eastAsia="en-US"/>
        </w:rPr>
        <w:t>.</w:t>
      </w:r>
      <w:r w:rsidR="00050331" w:rsidRPr="00475EEE">
        <w:rPr>
          <w:rFonts w:eastAsia="Calibri"/>
          <w:noProof/>
          <w:lang w:val="en-US" w:eastAsia="en-US"/>
        </w:rPr>
        <w:t xml:space="preserve"> </w:t>
      </w:r>
      <w:r w:rsidR="001F6510" w:rsidRPr="00475EEE">
        <w:rPr>
          <w:rFonts w:eastAsia="Calibri"/>
          <w:lang w:val="en-US" w:eastAsia="en-US"/>
        </w:rPr>
        <w:t xml:space="preserve">The IPAQ has </w:t>
      </w:r>
      <w:r w:rsidR="002B4D86" w:rsidRPr="00475EEE">
        <w:rPr>
          <w:rFonts w:eastAsia="Calibri"/>
          <w:lang w:val="en-US" w:eastAsia="en-US"/>
        </w:rPr>
        <w:t xml:space="preserve">shown to be </w:t>
      </w:r>
      <w:r w:rsidR="00D11EB7">
        <w:rPr>
          <w:rFonts w:eastAsia="Calibri"/>
          <w:lang w:val="en-US" w:eastAsia="en-US"/>
        </w:rPr>
        <w:t>a v</w:t>
      </w:r>
      <w:r w:rsidR="002B4D86" w:rsidRPr="00475EEE">
        <w:rPr>
          <w:rFonts w:eastAsia="Calibri"/>
          <w:lang w:val="en-US" w:eastAsia="en-US"/>
        </w:rPr>
        <w:t xml:space="preserve">alid and reliable </w:t>
      </w:r>
      <w:r w:rsidR="005A7A2F">
        <w:rPr>
          <w:rFonts w:eastAsia="Calibri"/>
          <w:lang w:val="en-US" w:eastAsia="en-US"/>
        </w:rPr>
        <w:t xml:space="preserve">PA estimation </w:t>
      </w:r>
      <w:r w:rsidRPr="00475EEE">
        <w:rPr>
          <w:rFonts w:eastAsia="Calibri"/>
          <w:lang w:val="en-US" w:eastAsia="en-US"/>
        </w:rPr>
        <w:t xml:space="preserve">when </w:t>
      </w:r>
      <w:r w:rsidR="001F6510" w:rsidRPr="00475EEE">
        <w:rPr>
          <w:rFonts w:eastAsia="Calibri"/>
          <w:lang w:val="en-US" w:eastAsia="en-US"/>
        </w:rPr>
        <w:t>tested</w:t>
      </w:r>
      <w:r w:rsidRPr="00475EEE">
        <w:rPr>
          <w:rFonts w:eastAsia="Calibri"/>
          <w:lang w:val="en-US" w:eastAsia="en-US"/>
        </w:rPr>
        <w:t xml:space="preserve"> in differ</w:t>
      </w:r>
      <w:r w:rsidR="002A1A6C">
        <w:rPr>
          <w:rFonts w:eastAsia="Calibri"/>
          <w:lang w:val="en-US" w:eastAsia="en-US"/>
        </w:rPr>
        <w:t>ent adult populations worldwide</w:t>
      </w:r>
      <w:r w:rsidR="00D11EB7">
        <w:rPr>
          <w:rFonts w:eastAsia="Calibri"/>
          <w:lang w:val="en-US" w:eastAsia="en-US"/>
        </w:rPr>
        <w:t xml:space="preserve"> </w:t>
      </w:r>
      <w:r w:rsidR="00C60C20">
        <w:rPr>
          <w:rFonts w:eastAsia="Calibri"/>
          <w:lang w:val="en-US" w:eastAsia="en-US"/>
        </w:rPr>
        <w:t>presenting</w:t>
      </w:r>
      <w:r w:rsidR="003E5E9B">
        <w:rPr>
          <w:rFonts w:eastAsia="Calibri"/>
          <w:lang w:val="en-US" w:eastAsia="en-US"/>
        </w:rPr>
        <w:t xml:space="preserve"> sufficient validity </w:t>
      </w:r>
      <w:r w:rsidR="00D11EB7">
        <w:rPr>
          <w:rFonts w:eastAsia="Calibri"/>
          <w:lang w:val="en-US" w:eastAsia="en-US"/>
        </w:rPr>
        <w:t>(</w:t>
      </w:r>
      <w:r w:rsidR="00D11EB7" w:rsidRPr="00D11EB7">
        <w:rPr>
          <w:rFonts w:eastAsia="Calibri"/>
          <w:lang w:val="en-US" w:eastAsia="en-US"/>
        </w:rPr>
        <w:t>ρ</w:t>
      </w:r>
      <w:r w:rsidR="00D11EB7">
        <w:rPr>
          <w:rFonts w:eastAsia="Calibri"/>
          <w:lang w:val="en-US" w:eastAsia="en-US"/>
        </w:rPr>
        <w:t xml:space="preserve"> </w:t>
      </w:r>
      <w:r w:rsidR="00D11EB7" w:rsidRPr="00D11EB7">
        <w:rPr>
          <w:rFonts w:eastAsia="Calibri"/>
          <w:lang w:val="en-US" w:eastAsia="en-US"/>
        </w:rPr>
        <w:t>=</w:t>
      </w:r>
      <w:r w:rsidR="00D11EB7">
        <w:rPr>
          <w:rFonts w:eastAsia="Calibri"/>
          <w:lang w:val="en-US" w:eastAsia="en-US"/>
        </w:rPr>
        <w:t xml:space="preserve"> 0.30; 95% CI, </w:t>
      </w:r>
      <w:r w:rsidR="00D11EB7" w:rsidRPr="00D11EB7">
        <w:rPr>
          <w:rFonts w:eastAsia="Calibri"/>
          <w:lang w:val="en-US" w:eastAsia="en-US"/>
        </w:rPr>
        <w:t>0.23-0.36) and reliability (Spearman’s ρ</w:t>
      </w:r>
      <w:r w:rsidR="00D11EB7">
        <w:rPr>
          <w:rFonts w:eastAsia="Calibri"/>
          <w:lang w:val="en-US" w:eastAsia="en-US"/>
        </w:rPr>
        <w:t xml:space="preserve"> </w:t>
      </w:r>
      <w:r w:rsidR="00D11EB7" w:rsidRPr="00D11EB7">
        <w:rPr>
          <w:rFonts w:eastAsia="Calibri"/>
          <w:lang w:val="en-US" w:eastAsia="en-US"/>
        </w:rPr>
        <w:t>=</w:t>
      </w:r>
      <w:r w:rsidR="00D11EB7">
        <w:rPr>
          <w:rFonts w:eastAsia="Calibri"/>
          <w:lang w:val="en-US" w:eastAsia="en-US"/>
        </w:rPr>
        <w:t xml:space="preserve"> 0.81; 95% CI,</w:t>
      </w:r>
      <w:r w:rsidR="00D11EB7" w:rsidRPr="00D11EB7">
        <w:rPr>
          <w:rFonts w:eastAsia="Calibri"/>
          <w:lang w:val="en-US" w:eastAsia="en-US"/>
        </w:rPr>
        <w:t xml:space="preserve"> 0.79-0.82)</w:t>
      </w:r>
      <w:r w:rsidR="002A1A6C">
        <w:rPr>
          <w:rFonts w:eastAsia="Calibri"/>
          <w:lang w:val="en-US" w:eastAsia="en-US"/>
        </w:rPr>
        <w:t xml:space="preserve"> </w:t>
      </w:r>
      <w:r w:rsidR="00050331" w:rsidRPr="00475EEE">
        <w:rPr>
          <w:rFonts w:eastAsia="Calibri"/>
          <w:noProof/>
          <w:lang w:val="en-US" w:eastAsia="en-US"/>
        </w:rPr>
        <w:fldChar w:fldCharType="begin" w:fldLock="1"/>
      </w:r>
      <w:r w:rsidR="002F36A0">
        <w:rPr>
          <w:rFonts w:eastAsia="Calibri"/>
          <w:noProof/>
          <w:lang w:val="en-US" w:eastAsia="en-US"/>
        </w:rPr>
        <w:instrText>ADDIN CSL_CITATION {"citationItems":[{"id":"ITEM-1","itemData":{"DOI":"10.1249/01.MSS.0000078924.61453.FB","ISSN":"01959131","abstract":"BACKGROUND Physical inactivity is a global concern, but diverse physical activity measures in use prevent international comparisons. The International Physical Activity Questionnaire (IPAQ) was developed as an instrument for cross-national monitoring of physical activity and inactivity. METHODS Between 1997 and 1998, an International Consensus Group developed four long and four short forms of the IPAQ instruments (administered by telephone interview or self-administration, with two alternate reference periods, either the \"last 7 d\" or a \"usual week\" of recalled physical activity). During 2000, 14 centers from 12 countries collected reliability and/or validity data on at least two of the eight IPAQ instruments. Test-retest repeatability was assessed within the same week. Concurrent (inter-method) validity was assessed at the same administration, and criterion IPAQ validity was assessed against the CSA (now MTI) accelerometer. Spearman's correlation coefficients are reported, based on the total reported physical activity. RESULTS Overall, the IPAQ questionnaires produced repeatable data (Spearman's rho clustered around 0.8), with comparable data from short and long forms. Criterion validity had a median rho of about 0.30, which was comparable to most other self-report validation studies. The \"usual week\" and \"last 7 d\" reference periods performed similarly, and the reliability of telephone administration was similar to the self-administered mode. CONCLUSIONS The IPAQ instruments have acceptable measurement properties, at least as good as other established self-reports. Considering the diverse samples in this study, IPAQ has reasonable measurement properties for monitoring population levels of physical activity among 18- to 65-yr-old adults in diverse settings. The short IPAQ form \"last 7 d recall\" is recommended for national monitoring and the long form for research requiring more detailed assessment.","author":[{"dropping-particle":"","family":"Craig","given":"Cora L.","non-dropping-particle":"","parse-names":false,"suffix":""},{"dropping-particle":"","family":"Marshall","given":"Alison L.","non-dropping-particle":"","parse-names":false,"suffix":""},{"dropping-particle":"","family":"Sjöström","given":"Michael","non-dropping-particle":"","parse-names":false,"suffix":""},{"dropping-particle":"","family":"Bauman","given":"Adrian E.","non-dropping-particle":"","parse-names":false,"suffix":""},{"dropping-particle":"","family":"Booth","given":"Michael L.","non-dropping-particle":"","parse-names":false,"suffix":""},{"dropping-particle":"","family":"Ainsworth","given":"Barbara E.","non-dropping-particle":"","parse-names":false,"suffix":""},{"dropping-particle":"","family":"Pratt","given":"Michael","non-dropping-particle":"","parse-names":false,"suffix":""},{"dropping-particle":"","family":"Ekelund","given":"Ulf","non-dropping-particle":"","parse-names":false,"suffix":""},{"dropping-particle":"","family":"Yngve","given":"Agneta","non-dropping-particle":"","parse-names":false,"suffix":""},{"dropping-particle":"","family":"Sallis","given":"James F.","non-dropping-particle":"","parse-names":false,"suffix":""},{"dropping-particle":"","family":"Oja","given":"Pekka","non-dropping-particle":"","parse-names":false,"suffix":""}],"container-title":"Medicine and Science in Sports and Exercise","id":"ITEM-1","issue":"8","issued":{"date-parts":[["2003"]]},"page":"1381-1395","title":"International physical activity questionnaire: 12-Country reliability and validity","type":"article-journal","volume":"35"},"uris":["http://www.mendeley.com/documents/?uuid=c0735020-2cf5-49d7-9cfe-9d7f8a35d35a"]}],"mendeley":{"formattedCitation":"(17)","plainTextFormattedCitation":"(17)","previouslyFormattedCitation":"(17)"},"properties":{"noteIndex":0},"schema":"https://github.com/citation-style-language/schema/raw/master/csl-citation.json"}</w:instrText>
      </w:r>
      <w:r w:rsidR="00050331" w:rsidRPr="00475EEE">
        <w:rPr>
          <w:rFonts w:eastAsia="Calibri"/>
          <w:noProof/>
          <w:lang w:val="en-US" w:eastAsia="en-US"/>
        </w:rPr>
        <w:fldChar w:fldCharType="separate"/>
      </w:r>
      <w:r w:rsidR="007E6799" w:rsidRPr="007E6799">
        <w:rPr>
          <w:rFonts w:eastAsia="Calibri"/>
          <w:noProof/>
          <w:lang w:val="en-US" w:eastAsia="en-US"/>
        </w:rPr>
        <w:t>(17)</w:t>
      </w:r>
      <w:r w:rsidR="00050331" w:rsidRPr="00475EEE">
        <w:rPr>
          <w:rFonts w:eastAsia="Calibri"/>
          <w:noProof/>
          <w:lang w:val="en-US" w:eastAsia="en-US"/>
        </w:rPr>
        <w:fldChar w:fldCharType="end"/>
      </w:r>
      <w:r w:rsidR="002A1A6C">
        <w:rPr>
          <w:rFonts w:eastAsia="Calibri"/>
          <w:noProof/>
          <w:lang w:val="en-US" w:eastAsia="en-US"/>
        </w:rPr>
        <w:t>.</w:t>
      </w:r>
      <w:r w:rsidRPr="00475EEE">
        <w:rPr>
          <w:rFonts w:eastAsia="Calibri"/>
          <w:lang w:val="en-US" w:eastAsia="en-US"/>
        </w:rPr>
        <w:t xml:space="preserve"> </w:t>
      </w:r>
      <w:r w:rsidR="001F6510" w:rsidRPr="00475EEE">
        <w:rPr>
          <w:rFonts w:eastAsia="Calibri"/>
          <w:lang w:val="en-US" w:eastAsia="en-US"/>
        </w:rPr>
        <w:t>Overall</w:t>
      </w:r>
      <w:r w:rsidRPr="00475EEE">
        <w:rPr>
          <w:rFonts w:eastAsia="Calibri"/>
          <w:lang w:val="en-US" w:eastAsia="en-US"/>
        </w:rPr>
        <w:t xml:space="preserve"> PA MET</w:t>
      </w:r>
      <w:r w:rsidRPr="00475EEE">
        <w:rPr>
          <w:rFonts w:eastAsiaTheme="minorHAnsi"/>
          <w:lang w:val="en-US" w:eastAsia="en-US"/>
        </w:rPr>
        <w:t xml:space="preserve"> (</w:t>
      </w:r>
      <w:r w:rsidRPr="00475EEE">
        <w:rPr>
          <w:rFonts w:eastAsia="Calibri"/>
          <w:lang w:val="en-US" w:eastAsia="en-US"/>
        </w:rPr>
        <w:t xml:space="preserve">Metabolic Equivalent of Task, i.e. a caloric expenditure unit) minutes/week </w:t>
      </w:r>
      <w:r w:rsidR="001F6510" w:rsidRPr="00475EEE">
        <w:rPr>
          <w:rFonts w:eastAsia="Calibri"/>
          <w:lang w:val="en-US" w:eastAsia="en-US"/>
        </w:rPr>
        <w:t>w</w:t>
      </w:r>
      <w:r w:rsidR="002B4D86" w:rsidRPr="00475EEE">
        <w:rPr>
          <w:rFonts w:eastAsia="Calibri"/>
          <w:lang w:val="en-US" w:eastAsia="en-US"/>
        </w:rPr>
        <w:t>ere</w:t>
      </w:r>
      <w:r w:rsidRPr="00475EEE">
        <w:rPr>
          <w:rFonts w:eastAsia="Calibri"/>
          <w:lang w:val="en-US" w:eastAsia="en-US"/>
        </w:rPr>
        <w:t xml:space="preserve"> </w:t>
      </w:r>
      <w:r w:rsidR="001F6510" w:rsidRPr="00475EEE">
        <w:rPr>
          <w:rFonts w:eastAsia="Calibri"/>
          <w:lang w:val="en-US" w:eastAsia="en-US"/>
        </w:rPr>
        <w:t>estimated</w:t>
      </w:r>
      <w:r w:rsidRPr="00475EEE">
        <w:rPr>
          <w:rFonts w:eastAsia="Calibri"/>
          <w:lang w:val="en-US" w:eastAsia="en-US"/>
        </w:rPr>
        <w:t xml:space="preserve"> </w:t>
      </w:r>
      <w:r w:rsidR="002B4D86" w:rsidRPr="00475EEE">
        <w:rPr>
          <w:rFonts w:eastAsia="Calibri"/>
          <w:lang w:val="en-US" w:eastAsia="en-US"/>
        </w:rPr>
        <w:t xml:space="preserve">using </w:t>
      </w:r>
      <w:r w:rsidRPr="00475EEE">
        <w:rPr>
          <w:rFonts w:eastAsia="Calibri"/>
          <w:lang w:val="en-US" w:eastAsia="en-US"/>
        </w:rPr>
        <w:t xml:space="preserve">the formula: </w:t>
      </w:r>
      <w:r w:rsidRPr="00475EEE">
        <w:rPr>
          <w:rFonts w:eastAsia="Calibri"/>
          <w:i/>
          <w:lang w:val="en-US" w:eastAsia="en-US"/>
        </w:rPr>
        <w:t xml:space="preserve">sum of Vigorous + Moderate + </w:t>
      </w:r>
      <w:r w:rsidR="002A1A6C">
        <w:rPr>
          <w:rFonts w:eastAsia="Calibri"/>
          <w:i/>
          <w:lang w:val="en-US" w:eastAsia="en-US"/>
        </w:rPr>
        <w:t xml:space="preserve">Walking MET-minutes/week scores </w:t>
      </w:r>
      <w:r w:rsidR="00050331" w:rsidRPr="00475EEE">
        <w:rPr>
          <w:rFonts w:eastAsia="Calibri"/>
          <w:noProof/>
          <w:lang w:val="en-US" w:eastAsia="en-US"/>
        </w:rPr>
        <w:fldChar w:fldCharType="begin" w:fldLock="1"/>
      </w:r>
      <w:r w:rsidR="002F36A0">
        <w:rPr>
          <w:rFonts w:eastAsia="Calibri"/>
          <w:noProof/>
          <w:lang w:val="en-US" w:eastAsia="en-US"/>
        </w:rPr>
        <w:instrText>ADDIN CSL_CITATION {"citationItems":[{"id":"ITEM-1","itemData":{"URL":"https://sites.google.com/site/theipaq/scoring-protocol","abstract":"BACKGROUND: Physical inactivity is a global concern, but diverse physical activity measures in use prevent international comparisons. The International Physical Activity Questionnaire (IPAQ) was developed as an instrument for cross-national monitoring of physical activity and inactivity. METHODS: Between 1997 and 1998, an International Consensus Group developed four long and four short forms of the IPAQ instruments (administered by telephone interview or self-administration, with two alternate reference periods, either the \"last 7 d\" or a \"usual week\" of recalled physical activity). During 2000, 14 centers from 12 countries collected reliability and/or validity data on at least two of the eight IPAQ instruments. Test-retest repeatability was assessed within the same week. Concurrent (inter-method) validity was assessed at the same administration, and criterion IPAQ validity was assessed against the CSA (now MTI) accelerometer. Spearman's correlation coefficients are reported, based on the total reported physical activity. RESULTS: Overall, the IPAQ questionnaires produced repeatable data (Spearman's rho clustered around 0.8), with comparable data from short and long forms. Criterion validity had a median rho of about 0.30, which was comparable to most other self-report validation studies. The \"usual week\" and \"last 7 d\" reference periods performed similarly, and the reliability of telephone administration was similar to the self-administered mode. CONCLUSIONS: The IPAQ instruments have acceptable measurement properties, at least as good as other established self-reports. Considering the diverse samples in this study, IPAQ has reasonable measurement properties for monitoring population levels of physical activity among 18- to 65-yr-old adults in diverse settings. The short IPAQ form \"last 7 d recall\" is recommended for national monitoring and the long form for research requiring more detailed assessment.","accessed":{"date-parts":[["2019","6","15"]]},"author":[{"dropping-particle":"","family":"Ipaq","given":"","non-dropping-particle":"","parse-names":false,"suffix":""}],"container-title":"Ipaq","id":"ITEM-1","issue":"November","issued":{"date-parts":[["2005"]]},"page":"1-15","title":"Guidelines for Data Processing and Analysis of the International Physical Activity Questionnaire ( IPAQ ) – Short and Long Forms","type":"webpage"},"uris":["http://www.mendeley.com/documents/?uuid=27b9d595-2550-4ec9-8184-87204b449968"]}],"mendeley":{"formattedCitation":"(18)","plainTextFormattedCitation":"(18)","previouslyFormattedCitation":"(18)"},"properties":{"noteIndex":0},"schema":"https://github.com/citation-style-language/schema/raw/master/csl-citation.json"}</w:instrText>
      </w:r>
      <w:r w:rsidR="00050331" w:rsidRPr="00475EEE">
        <w:rPr>
          <w:rFonts w:eastAsia="Calibri"/>
          <w:noProof/>
          <w:lang w:val="en-US" w:eastAsia="en-US"/>
        </w:rPr>
        <w:fldChar w:fldCharType="separate"/>
      </w:r>
      <w:r w:rsidR="007E6799" w:rsidRPr="007E6799">
        <w:rPr>
          <w:rFonts w:eastAsia="Calibri"/>
          <w:noProof/>
          <w:lang w:val="en-US" w:eastAsia="en-US"/>
        </w:rPr>
        <w:t>(18)</w:t>
      </w:r>
      <w:r w:rsidR="00050331" w:rsidRPr="00475EEE">
        <w:rPr>
          <w:rFonts w:eastAsia="Calibri"/>
          <w:noProof/>
          <w:lang w:val="en-US" w:eastAsia="en-US"/>
        </w:rPr>
        <w:fldChar w:fldCharType="end"/>
      </w:r>
      <w:r w:rsidR="002A1A6C">
        <w:rPr>
          <w:rFonts w:eastAsia="Calibri"/>
          <w:noProof/>
          <w:lang w:val="en-US" w:eastAsia="en-US"/>
        </w:rPr>
        <w:t>.</w:t>
      </w:r>
      <w:r w:rsidR="000E70BB" w:rsidRPr="00475EEE">
        <w:rPr>
          <w:rFonts w:eastAsia="Calibri"/>
          <w:lang w:val="en-US" w:eastAsia="en-US"/>
        </w:rPr>
        <w:t xml:space="preserve"> Following</w:t>
      </w:r>
      <w:r w:rsidR="001F6510" w:rsidRPr="00475EEE">
        <w:rPr>
          <w:rFonts w:eastAsia="Calibri"/>
          <w:lang w:val="en-US" w:eastAsia="en-US"/>
        </w:rPr>
        <w:t xml:space="preserve"> the analysis protocol of the IPAQ, </w:t>
      </w:r>
      <w:r w:rsidRPr="00475EEE">
        <w:rPr>
          <w:rFonts w:eastAsia="Calibri"/>
          <w:lang w:val="en-US" w:eastAsia="en-US"/>
        </w:rPr>
        <w:t>PA</w:t>
      </w:r>
      <w:r w:rsidR="002B4D86" w:rsidRPr="00475EEE">
        <w:rPr>
          <w:rFonts w:eastAsia="Calibri"/>
          <w:lang w:val="en-US" w:eastAsia="en-US"/>
        </w:rPr>
        <w:t xml:space="preserve"> was categori</w:t>
      </w:r>
      <w:r w:rsidR="00031597">
        <w:rPr>
          <w:rFonts w:eastAsia="Calibri"/>
          <w:lang w:val="en-US" w:eastAsia="en-US"/>
        </w:rPr>
        <w:t>z</w:t>
      </w:r>
      <w:r w:rsidR="002B4D86" w:rsidRPr="00475EEE">
        <w:rPr>
          <w:rFonts w:eastAsia="Calibri"/>
          <w:lang w:val="en-US" w:eastAsia="en-US"/>
        </w:rPr>
        <w:t>ed</w:t>
      </w:r>
      <w:r w:rsidRPr="00475EEE">
        <w:rPr>
          <w:rFonts w:eastAsia="Calibri"/>
          <w:lang w:val="en-US" w:eastAsia="en-US"/>
        </w:rPr>
        <w:t xml:space="preserve"> into METS </w:t>
      </w:r>
      <w:r w:rsidR="001F6510" w:rsidRPr="00475EEE">
        <w:rPr>
          <w:rFonts w:eastAsia="Calibri"/>
          <w:lang w:val="en-US" w:eastAsia="en-US"/>
        </w:rPr>
        <w:t xml:space="preserve">regarding </w:t>
      </w:r>
      <w:r w:rsidR="0050473E">
        <w:rPr>
          <w:rFonts w:eastAsia="Calibri"/>
          <w:lang w:val="en-US" w:eastAsia="en-US"/>
        </w:rPr>
        <w:t>WHO</w:t>
      </w:r>
      <w:r w:rsidR="001F6510" w:rsidRPr="00475EEE">
        <w:rPr>
          <w:rFonts w:eastAsia="Calibri"/>
          <w:lang w:val="en-US" w:eastAsia="en-US"/>
        </w:rPr>
        <w:t xml:space="preserve"> guidelines:</w:t>
      </w:r>
      <w:r w:rsidRPr="00475EEE">
        <w:rPr>
          <w:rFonts w:eastAsia="Calibri"/>
          <w:lang w:val="en-US" w:eastAsia="en-US"/>
        </w:rPr>
        <w:t xml:space="preserve"> </w:t>
      </w:r>
      <w:r w:rsidR="001F6510" w:rsidRPr="00475EEE">
        <w:rPr>
          <w:rFonts w:eastAsia="Calibri"/>
          <w:lang w:val="en-US" w:eastAsia="en-US"/>
        </w:rPr>
        <w:t>“1) fewer than 600 MET-minutes/week” and “2)</w:t>
      </w:r>
      <w:r w:rsidR="002A1A6C">
        <w:rPr>
          <w:rFonts w:eastAsia="Calibri"/>
          <w:lang w:val="en-US" w:eastAsia="en-US"/>
        </w:rPr>
        <w:t xml:space="preserve"> at least 600 MET-minutes/week” </w:t>
      </w:r>
      <w:r w:rsidR="00050331" w:rsidRPr="00475EEE">
        <w:rPr>
          <w:rFonts w:eastAsia="Calibri"/>
          <w:noProof/>
          <w:lang w:val="en-US" w:eastAsia="en-US"/>
        </w:rPr>
        <w:fldChar w:fldCharType="begin" w:fldLock="1"/>
      </w:r>
      <w:r w:rsidR="002F36A0">
        <w:rPr>
          <w:rFonts w:eastAsia="Calibri"/>
          <w:noProof/>
          <w:lang w:val="en-US" w:eastAsia="en-US"/>
        </w:rPr>
        <w:instrText>ADDIN CSL_CITATION {"citationItems":[{"id":"ITEM-1","itemData":{"URL":"https://sites.google.com/site/theipaq/scoring-protocol","abstract":"BACKGROUND: Physical inactivity is a global concern, but diverse physical activity measures in use prevent international comparisons. The International Physical Activity Questionnaire (IPAQ) was developed as an instrument for cross-national monitoring of physical activity and inactivity. METHODS: Between 1997 and 1998, an International Consensus Group developed four long and four short forms of the IPAQ instruments (administered by telephone interview or self-administration, with two alternate reference periods, either the \"last 7 d\" or a \"usual week\" of recalled physical activity). During 2000, 14 centers from 12 countries collected reliability and/or validity data on at least two of the eight IPAQ instruments. Test-retest repeatability was assessed within the same week. Concurrent (inter-method) validity was assessed at the same administration, and criterion IPAQ validity was assessed against the CSA (now MTI) accelerometer. Spearman's correlation coefficients are reported, based on the total reported physical activity. RESULTS: Overall, the IPAQ questionnaires produced repeatable data (Spearman's rho clustered around 0.8), with comparable data from short and long forms. Criterion validity had a median rho of about 0.30, which was comparable to most other self-report validation studies. The \"usual week\" and \"last 7 d\" reference periods performed similarly, and the reliability of telephone administration was similar to the self-administered mode. CONCLUSIONS: The IPAQ instruments have acceptable measurement properties, at least as good as other established self-reports. Considering the diverse samples in this study, IPAQ has reasonable measurement properties for monitoring population levels of physical activity among 18- to 65-yr-old adults in diverse settings. The short IPAQ form \"last 7 d recall\" is recommended for national monitoring and the long form for research requiring more detailed assessment.","accessed":{"date-parts":[["2019","6","15"]]},"author":[{"dropping-particle":"","family":"Ipaq","given":"","non-dropping-particle":"","parse-names":false,"suffix":""}],"container-title":"Ipaq","id":"ITEM-1","issue":"November","issued":{"date-parts":[["2005"]]},"page":"1-15","title":"Guidelines for Data Processing and Analysis of the International Physical Activity Questionnaire ( IPAQ ) – Short and Long Forms","type":"webpage"},"uris":["http://www.mendeley.com/documents/?uuid=27b9d595-2550-4ec9-8184-87204b449968"]}],"mendeley":{"formattedCitation":"(18)","plainTextFormattedCitation":"(18)","previouslyFormattedCitation":"(18)"},"properties":{"noteIndex":0},"schema":"https://github.com/citation-style-language/schema/raw/master/csl-citation.json"}</w:instrText>
      </w:r>
      <w:r w:rsidR="00050331" w:rsidRPr="00475EEE">
        <w:rPr>
          <w:rFonts w:eastAsia="Calibri"/>
          <w:noProof/>
          <w:lang w:val="en-US" w:eastAsia="en-US"/>
        </w:rPr>
        <w:fldChar w:fldCharType="separate"/>
      </w:r>
      <w:r w:rsidR="007E6799" w:rsidRPr="007E6799">
        <w:rPr>
          <w:rFonts w:eastAsia="Calibri"/>
          <w:noProof/>
          <w:lang w:val="en-US" w:eastAsia="en-US"/>
        </w:rPr>
        <w:t>(18)</w:t>
      </w:r>
      <w:r w:rsidR="00050331" w:rsidRPr="00475EEE">
        <w:rPr>
          <w:rFonts w:eastAsia="Calibri"/>
          <w:noProof/>
          <w:lang w:val="en-US" w:eastAsia="en-US"/>
        </w:rPr>
        <w:fldChar w:fldCharType="end"/>
      </w:r>
      <w:r w:rsidR="002A1A6C">
        <w:rPr>
          <w:rFonts w:eastAsia="Calibri"/>
          <w:noProof/>
          <w:lang w:val="en-US" w:eastAsia="en-US"/>
        </w:rPr>
        <w:t>.</w:t>
      </w:r>
    </w:p>
    <w:p w14:paraId="5CA9D611" w14:textId="19567006" w:rsidR="00D459C4" w:rsidRPr="00475EEE" w:rsidRDefault="00D459C4" w:rsidP="006B3578">
      <w:pPr>
        <w:spacing w:after="160" w:line="480" w:lineRule="auto"/>
        <w:jc w:val="both"/>
        <w:rPr>
          <w:rFonts w:eastAsia="Calibri"/>
          <w:b/>
          <w:lang w:val="en-US" w:eastAsia="en-US"/>
        </w:rPr>
      </w:pPr>
      <w:r w:rsidRPr="00475EEE">
        <w:rPr>
          <w:rFonts w:eastAsia="Calibri"/>
          <w:b/>
          <w:lang w:val="en-US" w:eastAsia="en-US"/>
        </w:rPr>
        <w:t>Covariates</w:t>
      </w:r>
    </w:p>
    <w:p w14:paraId="57E66268" w14:textId="37AA5FB0" w:rsidR="00E43609" w:rsidRPr="00475EEE" w:rsidRDefault="00D459C4" w:rsidP="006B3578">
      <w:pPr>
        <w:spacing w:after="160" w:line="480" w:lineRule="auto"/>
        <w:jc w:val="both"/>
        <w:rPr>
          <w:rFonts w:eastAsia="Calibri"/>
          <w:lang w:val="en-US" w:eastAsia="en-US"/>
        </w:rPr>
      </w:pPr>
      <w:r w:rsidRPr="00475EEE">
        <w:rPr>
          <w:rFonts w:eastAsia="Calibri"/>
          <w:lang w:val="en-US" w:eastAsia="en-US"/>
        </w:rPr>
        <w:t>According to</w:t>
      </w:r>
      <w:r w:rsidR="002A1A6C">
        <w:rPr>
          <w:rFonts w:eastAsia="Calibri"/>
          <w:lang w:val="en-US" w:eastAsia="en-US"/>
        </w:rPr>
        <w:t xml:space="preserve"> </w:t>
      </w:r>
      <w:r w:rsidR="009206B5">
        <w:rPr>
          <w:rFonts w:eastAsia="Calibri"/>
          <w:lang w:val="en-US" w:eastAsia="en-US"/>
        </w:rPr>
        <w:t xml:space="preserve">prior </w:t>
      </w:r>
      <w:r w:rsidR="002A1A6C">
        <w:rPr>
          <w:rFonts w:eastAsia="Calibri"/>
          <w:lang w:val="en-US" w:eastAsia="en-US"/>
        </w:rPr>
        <w:t xml:space="preserve">work, </w:t>
      </w:r>
      <w:r w:rsidRPr="00475EEE">
        <w:rPr>
          <w:rFonts w:eastAsia="Calibri"/>
          <w:lang w:val="en-US" w:eastAsia="en-US"/>
        </w:rPr>
        <w:t xml:space="preserve">the </w:t>
      </w:r>
      <w:r w:rsidR="004121E7" w:rsidRPr="00475EEE">
        <w:rPr>
          <w:rFonts w:eastAsia="Calibri"/>
          <w:lang w:val="en-US" w:eastAsia="en-US"/>
        </w:rPr>
        <w:t xml:space="preserve">present </w:t>
      </w:r>
      <w:r w:rsidR="000E70BB" w:rsidRPr="00475EEE">
        <w:rPr>
          <w:rFonts w:eastAsia="Calibri"/>
          <w:lang w:val="en-US" w:eastAsia="en-US"/>
        </w:rPr>
        <w:t>study</w:t>
      </w:r>
      <w:r w:rsidRPr="00475EEE">
        <w:rPr>
          <w:rFonts w:eastAsia="Calibri"/>
          <w:lang w:val="en-US" w:eastAsia="en-US"/>
        </w:rPr>
        <w:t xml:space="preserve"> </w:t>
      </w:r>
      <w:r w:rsidR="00A8782F">
        <w:rPr>
          <w:rFonts w:eastAsia="Calibri"/>
          <w:lang w:val="en-US" w:eastAsia="en-US"/>
        </w:rPr>
        <w:t xml:space="preserve">was </w:t>
      </w:r>
      <w:r w:rsidR="004121E7" w:rsidRPr="00475EEE">
        <w:rPr>
          <w:rFonts w:eastAsia="Calibri"/>
          <w:lang w:val="en-US" w:eastAsia="en-US"/>
        </w:rPr>
        <w:t>c</w:t>
      </w:r>
      <w:r w:rsidR="000C6130" w:rsidRPr="00475EEE">
        <w:rPr>
          <w:rFonts w:eastAsia="Calibri"/>
          <w:lang w:val="en-US" w:eastAsia="en-US"/>
        </w:rPr>
        <w:t xml:space="preserve">ontrolled for </w:t>
      </w:r>
      <w:r w:rsidRPr="00475EEE">
        <w:rPr>
          <w:rFonts w:eastAsia="Calibri"/>
          <w:lang w:val="en-US" w:eastAsia="en-US"/>
        </w:rPr>
        <w:t>sociodemographic factors (age, sex, education</w:t>
      </w:r>
      <w:r w:rsidR="00CC767F">
        <w:rPr>
          <w:rFonts w:eastAsia="Calibri"/>
          <w:lang w:val="en-US" w:eastAsia="en-US"/>
        </w:rPr>
        <w:t>al level</w:t>
      </w:r>
      <w:r w:rsidRPr="00475EEE">
        <w:rPr>
          <w:rFonts w:eastAsia="Calibri"/>
          <w:lang w:val="en-US" w:eastAsia="en-US"/>
        </w:rPr>
        <w:t xml:space="preserve"> and </w:t>
      </w:r>
      <w:r w:rsidR="000E70BB" w:rsidRPr="00475EEE">
        <w:rPr>
          <w:rFonts w:eastAsia="Calibri"/>
          <w:lang w:val="en-US" w:eastAsia="en-US"/>
        </w:rPr>
        <w:t>occupational class)</w:t>
      </w:r>
      <w:r w:rsidR="009206B5">
        <w:rPr>
          <w:rFonts w:eastAsia="Calibri"/>
          <w:lang w:val="en-US" w:eastAsia="en-US"/>
        </w:rPr>
        <w:t xml:space="preserve">, </w:t>
      </w:r>
      <w:r w:rsidR="000E70BB" w:rsidRPr="00475EEE">
        <w:rPr>
          <w:rFonts w:eastAsia="Calibri"/>
          <w:lang w:val="en-US" w:eastAsia="en-US"/>
        </w:rPr>
        <w:t>and</w:t>
      </w:r>
      <w:r w:rsidRPr="00475EEE">
        <w:rPr>
          <w:rFonts w:eastAsia="Calibri"/>
          <w:lang w:val="en-US" w:eastAsia="en-US"/>
        </w:rPr>
        <w:t xml:space="preserve"> lifestyle factors (body mass index</w:t>
      </w:r>
      <w:r w:rsidR="000E70BB" w:rsidRPr="00475EEE">
        <w:rPr>
          <w:rFonts w:eastAsia="Calibri"/>
          <w:lang w:val="en-US" w:eastAsia="en-US"/>
        </w:rPr>
        <w:t xml:space="preserve">, </w:t>
      </w:r>
      <w:r w:rsidR="003877E0" w:rsidRPr="00475EEE">
        <w:rPr>
          <w:rFonts w:eastAsia="Calibri"/>
          <w:lang w:val="en-US" w:eastAsia="en-US"/>
        </w:rPr>
        <w:t xml:space="preserve">occupational </w:t>
      </w:r>
      <w:r w:rsidR="009206B5">
        <w:rPr>
          <w:rFonts w:eastAsia="Calibri"/>
          <w:lang w:val="en-US" w:eastAsia="en-US"/>
        </w:rPr>
        <w:t>PA</w:t>
      </w:r>
      <w:r w:rsidR="003877E0" w:rsidRPr="00475EEE">
        <w:rPr>
          <w:rFonts w:eastAsia="Calibri"/>
          <w:lang w:val="en-US" w:eastAsia="en-US"/>
        </w:rPr>
        <w:t xml:space="preserve">, </w:t>
      </w:r>
      <w:r w:rsidR="000E70BB" w:rsidRPr="00475EEE">
        <w:rPr>
          <w:rFonts w:eastAsia="Calibri"/>
          <w:lang w:val="en-US" w:eastAsia="en-US"/>
        </w:rPr>
        <w:t xml:space="preserve">fruit consumption and smoking </w:t>
      </w:r>
      <w:r w:rsidR="00CC767F">
        <w:rPr>
          <w:rFonts w:eastAsia="Calibri"/>
          <w:lang w:val="en-US" w:eastAsia="en-US"/>
        </w:rPr>
        <w:t>status</w:t>
      </w:r>
      <w:r w:rsidR="000E70BB" w:rsidRPr="00475EEE">
        <w:rPr>
          <w:rFonts w:eastAsia="Calibri"/>
          <w:lang w:val="en-US" w:eastAsia="en-US"/>
        </w:rPr>
        <w:t>)</w:t>
      </w:r>
      <w:r w:rsidR="002A1A6C" w:rsidRPr="002A1A6C">
        <w:rPr>
          <w:rFonts w:eastAsia="Calibri"/>
          <w:noProof/>
          <w:lang w:val="en-US" w:eastAsia="en-US"/>
        </w:rPr>
        <w:t xml:space="preserve"> </w:t>
      </w:r>
      <w:r w:rsidR="002A1A6C" w:rsidRPr="00475EEE">
        <w:rPr>
          <w:rFonts w:eastAsia="Calibri"/>
          <w:noProof/>
          <w:lang w:val="en-US" w:eastAsia="en-US"/>
        </w:rPr>
        <w:fldChar w:fldCharType="begin" w:fldLock="1"/>
      </w:r>
      <w:r w:rsidR="002F36A0">
        <w:rPr>
          <w:rFonts w:eastAsia="Calibri"/>
          <w:noProof/>
          <w:lang w:val="en-US" w:eastAsia="en-US"/>
        </w:rPr>
        <w:instrText>ADDIN CSL_CITATION {"citationItems":[{"id":"ITEM-1","itemData":{"DOI":"10.2174/138161210792062920","ISSN":"13816128","PMID":"20550499","abstract":"Cigarette smoking is a powerful cardiovascular risk factor and smoking cessation is the single most effective lifestyle measure for the prevention of a large number of cardiovascular diseases. Impairment of endothelial function, arterial stiffness, inflammation, lipid modification as well as an alteration of antithrombotic and prothrombotic factors are smoking-related major determinants of initiation, and acceleration of the atherothrombotic process, leading to cardiovascular events. Cigarette smoking acutely exerts an hypertensive effect, mainly through the stimulation of the sympathetic nervous system. As concern the impact of chronic smoking on blood pressure, available data do not put clearly in evidence a direct causal relationship between these two cardiovascular risk factors, a concept supported by the evidence that no lower blood pressure values have been observed after chronic smoking cessation. Nevertheless, smoking, affecting arterial stiffness and wave reflection might have greater detrimental effect on central blood pressure, which is more closely related to target organ damage than brachial blood pressure. Hypertensive smokers are more likely to develop severe forms of hypertension, including malignant and renovascular hypertension, an effect likely due to an accelerated atherosclerosis.","author":[{"dropping-particle":"","family":"Virdis","given":"A.","non-dropping-particle":"","parse-names":false,"suffix":""},{"dropping-particle":"","family":"Giannarelli","given":"C.","non-dropping-particle":"","parse-names":false,"suffix":""},{"dropping-particle":"","family":"Fritsch Neves","given":"M.","non-dropping-particle":"","parse-names":false,"suffix":""},{"dropping-particle":"","family":"Taddei","given":"S.","non-dropping-particle":"","parse-names":false,"suffix":""},{"dropping-particle":"","family":"Ghiadoni","given":"L.","non-dropping-particle":"","parse-names":false,"suffix":""}],"container-title":"Current Pharmaceutical Design","id":"ITEM-1","issue":"23","issued":{"date-parts":[["2010"]]},"page":"2518-2525","title":"Cigarette Smoking and Hypertension","type":"article-journal","volume":"16"},"uris":["http://www.mendeley.com/documents/?uuid=6b456434-6d14-42f6-9cd9-62818ff05fbd"]},{"id":"ITEM-2","itemData":{"DOI":"10.1007/s00420-012-0808-y","ISSN":"03400131","abstract":"PURPOSE: To estimate the risk of developing chronic musculoskeletal pain in different body regions from varying degrees of perceived physical exertion during healthcare work. METHODS: Prospective cohort study among 4,977 Danish female healthcare workers responding to a baseline and follow-up questionnaire in 2005 and 2006, respectively. Using multi-adjusted logistic regression analysis, the risk of developing chronic pain (&gt;30 days last year) at follow-up in the low back, neck/shoulder, and knees-among those without pain (0 days last year) in these respective body regions at baseline-from moderate and strenuous (reference: light) perceived physical exertion during healthcare work was modeled. RESULTS: Adjusted for age, BMI, tenure, smoking status, and leisure physical activity, strenuous perceived physical exertion during healthcare work increased the risk of chronic low back pain (OR 3.16, 95 % CI 1.79-5.57) and chronic knee pain (OR 1.87, 95 % CI 1.19-2.94) at follow-up among those without pain in these respective body regions at baseline. With additional adjustment for psychosocial work conditions, only the risk of developing chronic low back pain from strenuous physical exertion remained significant (OR 1.99, 95 % CI 1.02-3.88). Strenuous physical exertion was not a risk factor for chronic neck pain, and moderate physical exertion was not a risk factor for chronic pain in any of the body regions. CONCLUSION: Strenuous perceived physical exertion during healthcare work is a risk factor especially for developing chronic pain in the low back. The possible preventive effect of reducing strenuous physical exertion should be tested in randomized controlled trials.","author":[{"dropping-particle":"","family":"Andersen","given":"Lars L.","non-dropping-particle":"","parse-names":false,"suffix":""},{"dropping-particle":"","family":"Clausen","given":"Thomas","non-dropping-particle":"","parse-names":false,"suffix":""},{"dropping-particle":"","family":"Persson","given":"Roger","non-dropping-particle":"","parse-names":false,"suffix":""},{"dropping-particle":"","family":"Holtermann","given":"Andreas","non-dropping-particle":"","parse-names":false,"suffix":""}],"container-title":"International Archives of Occupational and Environmental Health","id":"ITEM-2","issue":"6","issued":{"date-parts":[["2013"]]},"page":"681-687","title":"Perceived physical exertion during healthcare work and risk of chronic pain in different body regions: Prospective cohort study","type":"article-journal","volume":"86"},"uris":["http://www.mendeley.com/documents/?uuid=b97dc4e2-cfa1-4677-badb-7b9717923e01"]},{"id":"ITEM-3","itemData":{"DOI":"10.1136/bmj.g4490","ISSN":"17561833","PMID":"25073782","abstract":"Objective: To examine and quantify the potential dose-response relation between fruit and vegetable consumption and risk of all cause, cardiovascular, and cancer mortality. Data sources: Medline, Embase, and the Cochrane library searched up to 30 August 2013 without language restrictions. Reference lists of retrieved articles. Study selection: Prospective cohort studies that reported risk estimates for all cause, cardiovascular, and cancer mortality by levels of fruit and vegetable consumption. Data synthesis: Random effects models were used to calculate pooled hazard ratios and 95% confidence intervals and to incorporate variation between studies. The linear and non-linear dose-response relations were evaluated with data from categories of fruit and vegetable consumption in each study. Results: Sixteen prospective cohort studies were eligible in this meta-analysis. During follow-up periods ranging from 4.6 to 26 years there were 56 423 deaths (11 512 from cardiovascular disease and 16 817 from cancer) among 833 234 participants. Higher consumption of fruit and vegetables was significantly associated with a lower risk of all cause mortality. Pooled hazard ratios of all cause mortality were 0.95 (95% confidence interval 0.92 to 0.98) for an increment of one serving a day of fruit and vegetables (P=0.001), 0.94 (0.90 to 0.98) for fruit (P=0.002), and 0.95 (0.92 to 0.99) for vegetables (P=0.006). There was a threshold around five servings of fruit and vegetables a day, after which the risk of all cause mortality did not reduce further. A significant inverse association was observed for cardiovascular mortality (hazard ratio for each additional serving a day of fruit and vegetables 0.96, 95% confidence interval 0.92 to 0.99), while higher consumption of fruit and vegetables was not appreciably associated with risk of cancer mortality. Conclusions: This meta-analysis provides further evidence that a higher consumption of fruit and vegetables is associated with a lower risk of all cause mortality, particularly cardiovascular mortality.","author":[{"dropping-particle":"","family":"Wang","given":"Xia","non-dropping-particle":"","parse-names":false,"suffix":""},{"dropping-particle":"","family":"Ouyang","given":"Yingying","non-dropping-particle":"","parse-names":false,"suffix":""},{"dropping-particle":"","family":"Liu","given":"Jun","non-dropping-particle":"","parse-names":false,"suffix":""},{"dropping-particle":"","family":"Zhu","given":"Minmin","non-dropping-particle":"","parse-names":false,"suffix":""},{"dropping-particle":"","family":"Zhao","given":"Gang","non-dropping-particle":"","parse-names":false,"suffix":""},{"dropping-particle":"","family":"Bao","given":"Wei","non-dropping-particle":"","parse-names":false,"suffix":""},{"dropping-particle":"","family":"Hu","given":"Frank B.","non-dropping-particle":"","parse-names":false,"suffix":""}],"container-title":"BMJ (Online)","id":"ITEM-3","issue":"July","issued":{"date-parts":[["2014"]]},"page":"1-14","title":"Fruit and vegetable consumption and mortality from all causes, cardiovascular disease, and cancer: Systematic review and dose-response meta-analysis of prospective cohort studies","type":"article-journal","volume":"349"},"uris":["http://www.mendeley.com/documents/?uuid=14597dc4-da68-4263-8073-2b5ce0562176"]},{"id":"ITEM-4","itemData":{"DOI":"10.1093/eurpub/ckx224","ISSN":"1464360X","abstract":"Background: To evaluate the association between sociodemographic conditions and the quality of life (QoL) in adults and investigate whether these inequalities are greater among individuals with long-lasting chronic health conditions. Methods: Cross-sectional analysis of the second wave (2012) of the EpiFloripa Study, a populationbased cohort of 1720 adults living in Southern Brazil. QoL domains (physical, psychological, social relationships and environmental) were evaluated using the WHOQoL-BREF. Unadjusted and adjusted means of QoL according to socioeconomic and demographic variables were estimated and stratified by the presence of long-lasting chronic conditions (heart disease, stroke, diabetes, hypertension, chronic kidney disease, cirrhosis, tendinitis, arthritis, rheumatism and/or fibromyalgia) were peformed in 2016. Results: Among 1222 interviewed adults (56.6% females, mean age 41.7-11.4 years; follow-up rate 71.1%), the prevalence of 1+ long-lasting chronic disease was 37.3% (95%CI: 34.4-40.3). Their effect on the QoL was four times higher on the physical component (-9.6; 95%CI-12.1;-7.1) than on the other domains. Adults aged 40+ years with black skin colour or lower educational level had a lower physical QoL score only when any chronic disease was present. Among those with some chronic illness, the psychological domain was also lower among those aged 40+ years and with a lower family income. No interaction between sociodemographic variables and chronic diseases was observed for the other QoL domains. Conclusions: The occurrence of long-lasting chronic diseases is associated with inequalities in QoL (physical and psychological domains), with stronger adverse effects among older adults, blacks and individuals with lower income or educational levels.","author":[{"dropping-particle":"","family":"Höfelmann","given":"Doroteia A.","non-dropping-particle":"","parse-names":false,"suffix":""},{"dropping-particle":"","family":"Gonzalez-Chica","given":"David A.","non-dropping-particle":"","parse-names":false,"suffix":""},{"dropping-particle":"","family":"Peres","given":"Karen Glazer","non-dropping-particle":"","parse-names":false,"suffix":""},{"dropping-particle":"","family":"Boing","given":"Antonio Fernando","non-dropping-particle":"","parse-names":false,"suffix":""},{"dropping-particle":"","family":"Peres","given":"Marco Aurelio","non-dropping-particle":"","parse-names":false,"suffix":""}],"container-title":"European Journal of Public Health","id":"ITEM-4","issue":"4","issued":{"date-parts":[["2018"]]},"page":"603-610","title":"Chronic diseases and socioeconomic inequalities in quality of life among Brazilian adults: Findings from a population-based study in Southern Brazil","type":"article-journal","volume":"28"},"uris":["http://www.mendeley.com/documents/?uuid=05a99591-546c-4baa-bdd8-091e543ca9aa"]}],"mendeley":{"formattedCitation":"(19–22)","plainTextFormattedCitation":"(19–22)","previouslyFormattedCitation":"(19–22)"},"properties":{"noteIndex":0},"schema":"https://github.com/citation-style-language/schema/raw/master/csl-citation.json"}</w:instrText>
      </w:r>
      <w:r w:rsidR="002A1A6C" w:rsidRPr="00475EEE">
        <w:rPr>
          <w:rFonts w:eastAsia="Calibri"/>
          <w:noProof/>
          <w:lang w:val="en-US" w:eastAsia="en-US"/>
        </w:rPr>
        <w:fldChar w:fldCharType="separate"/>
      </w:r>
      <w:r w:rsidR="007E6799" w:rsidRPr="007E6799">
        <w:rPr>
          <w:rFonts w:eastAsia="Calibri"/>
          <w:noProof/>
          <w:lang w:val="en-US" w:eastAsia="en-US"/>
        </w:rPr>
        <w:t>(19–22)</w:t>
      </w:r>
      <w:r w:rsidR="002A1A6C" w:rsidRPr="00475EEE">
        <w:rPr>
          <w:rFonts w:eastAsia="Calibri"/>
          <w:noProof/>
          <w:lang w:val="en-US" w:eastAsia="en-US"/>
        </w:rPr>
        <w:fldChar w:fldCharType="end"/>
      </w:r>
      <w:r w:rsidR="000E70BB" w:rsidRPr="00475EEE">
        <w:rPr>
          <w:rFonts w:eastAsia="Calibri"/>
          <w:lang w:val="en-US" w:eastAsia="en-US"/>
        </w:rPr>
        <w:t xml:space="preserve">. </w:t>
      </w:r>
    </w:p>
    <w:p w14:paraId="0B760D35" w14:textId="3A0F4A3D" w:rsidR="007B614A" w:rsidRPr="00475EEE" w:rsidRDefault="003F4FCA" w:rsidP="006B3578">
      <w:pPr>
        <w:spacing w:after="160" w:line="480" w:lineRule="auto"/>
        <w:jc w:val="both"/>
        <w:rPr>
          <w:rFonts w:eastAsia="Calibri"/>
          <w:lang w:val="en-US" w:eastAsia="en-US"/>
        </w:rPr>
      </w:pPr>
      <w:r w:rsidRPr="00475EEE">
        <w:rPr>
          <w:rFonts w:eastAsia="Calibri"/>
          <w:lang w:val="en-US" w:eastAsia="en-US"/>
        </w:rPr>
        <w:t>Education</w:t>
      </w:r>
      <w:r w:rsidR="00CC767F">
        <w:rPr>
          <w:rFonts w:eastAsia="Calibri"/>
          <w:lang w:val="en-US" w:eastAsia="en-US"/>
        </w:rPr>
        <w:t>al level</w:t>
      </w:r>
      <w:r w:rsidRPr="00475EEE">
        <w:rPr>
          <w:rFonts w:eastAsia="Calibri"/>
          <w:lang w:val="en-US" w:eastAsia="en-US"/>
        </w:rPr>
        <w:t xml:space="preserve"> was divided into three categories regarding the highest </w:t>
      </w:r>
      <w:r w:rsidR="00844418">
        <w:rPr>
          <w:rFonts w:eastAsia="Calibri"/>
          <w:lang w:val="en-US" w:eastAsia="en-US"/>
        </w:rPr>
        <w:t>educational achievement</w:t>
      </w:r>
      <w:r w:rsidRPr="00475EEE">
        <w:rPr>
          <w:rFonts w:eastAsia="Calibri"/>
          <w:lang w:val="en-US" w:eastAsia="en-US"/>
        </w:rPr>
        <w:t xml:space="preserve">, corresponding the highest rank to </w:t>
      </w:r>
      <w:r w:rsidR="00844418">
        <w:rPr>
          <w:rFonts w:eastAsia="Calibri"/>
          <w:lang w:val="en-US" w:eastAsia="en-US"/>
        </w:rPr>
        <w:t xml:space="preserve">holding a </w:t>
      </w:r>
      <w:r w:rsidRPr="00475EEE">
        <w:rPr>
          <w:rFonts w:eastAsia="Calibri"/>
          <w:lang w:val="en-US" w:eastAsia="en-US"/>
        </w:rPr>
        <w:t xml:space="preserve">university </w:t>
      </w:r>
      <w:r w:rsidR="00844418">
        <w:rPr>
          <w:rFonts w:eastAsia="Calibri"/>
          <w:lang w:val="en-US" w:eastAsia="en-US"/>
        </w:rPr>
        <w:t>degree</w:t>
      </w:r>
      <w:r w:rsidR="00844418" w:rsidRPr="00475EEE">
        <w:rPr>
          <w:rFonts w:eastAsia="Calibri"/>
          <w:lang w:val="en-US" w:eastAsia="en-US"/>
        </w:rPr>
        <w:t xml:space="preserve"> </w:t>
      </w:r>
      <w:r w:rsidR="007B614A" w:rsidRPr="00475EEE">
        <w:rPr>
          <w:rFonts w:eastAsia="Calibri"/>
          <w:lang w:val="en-US" w:eastAsia="en-US"/>
        </w:rPr>
        <w:t>(</w:t>
      </w:r>
      <w:r w:rsidR="00A8782F">
        <w:rPr>
          <w:rFonts w:eastAsia="Calibri"/>
          <w:lang w:val="en-US" w:eastAsia="en-US"/>
        </w:rPr>
        <w:t xml:space="preserve">i.e. </w:t>
      </w:r>
      <w:r w:rsidR="007B614A" w:rsidRPr="00475EEE">
        <w:rPr>
          <w:rFonts w:eastAsia="Calibri"/>
          <w:lang w:val="en-US" w:eastAsia="en-US"/>
        </w:rPr>
        <w:t>primary</w:t>
      </w:r>
      <w:r w:rsidR="00DD3062" w:rsidRPr="00475EEE">
        <w:rPr>
          <w:rFonts w:eastAsia="Calibri"/>
          <w:lang w:val="en-US" w:eastAsia="en-US"/>
        </w:rPr>
        <w:t xml:space="preserve"> or lower</w:t>
      </w:r>
      <w:r w:rsidR="007B614A" w:rsidRPr="00475EEE">
        <w:rPr>
          <w:rFonts w:eastAsia="Calibri"/>
          <w:lang w:val="en-US" w:eastAsia="en-US"/>
        </w:rPr>
        <w:t>, secondary, and tertiary</w:t>
      </w:r>
      <w:r w:rsidR="00DD3062" w:rsidRPr="00475EEE">
        <w:rPr>
          <w:rFonts w:eastAsia="Calibri"/>
          <w:lang w:val="en-US" w:eastAsia="en-US"/>
        </w:rPr>
        <w:t xml:space="preserve"> or higher</w:t>
      </w:r>
      <w:r w:rsidR="007B614A" w:rsidRPr="00475EEE">
        <w:rPr>
          <w:rFonts w:eastAsia="Calibri"/>
          <w:lang w:val="en-US" w:eastAsia="en-US"/>
        </w:rPr>
        <w:t>). The categori</w:t>
      </w:r>
      <w:r w:rsidR="00A8782F">
        <w:rPr>
          <w:rFonts w:eastAsia="Calibri"/>
          <w:lang w:val="en-US" w:eastAsia="en-US"/>
        </w:rPr>
        <w:t>z</w:t>
      </w:r>
      <w:r w:rsidR="007B614A" w:rsidRPr="00475EEE">
        <w:rPr>
          <w:rFonts w:eastAsia="Calibri"/>
          <w:lang w:val="en-US" w:eastAsia="en-US"/>
        </w:rPr>
        <w:t xml:space="preserve">ation of occupational class (168 different groups) </w:t>
      </w:r>
      <w:r w:rsidRPr="00475EEE">
        <w:rPr>
          <w:rFonts w:eastAsia="Calibri"/>
          <w:lang w:val="en-US" w:eastAsia="en-US"/>
        </w:rPr>
        <w:t xml:space="preserve">into six different groups </w:t>
      </w:r>
      <w:r w:rsidR="007B614A" w:rsidRPr="00475EEE">
        <w:rPr>
          <w:rFonts w:eastAsia="Calibri"/>
          <w:lang w:val="en-US" w:eastAsia="en-US"/>
        </w:rPr>
        <w:t>was conducted using the Spani</w:t>
      </w:r>
      <w:r w:rsidR="00D06E01" w:rsidRPr="00475EEE">
        <w:rPr>
          <w:rFonts w:eastAsia="Calibri"/>
          <w:lang w:val="en-US" w:eastAsia="en-US"/>
        </w:rPr>
        <w:t>sh national list of occupations</w:t>
      </w:r>
      <w:r w:rsidR="00CC767F">
        <w:rPr>
          <w:rFonts w:eastAsia="Calibri"/>
          <w:lang w:val="en-US" w:eastAsia="en-US"/>
        </w:rPr>
        <w:t xml:space="preserve"> </w:t>
      </w:r>
      <w:r w:rsidR="00CC767F">
        <w:rPr>
          <w:rFonts w:eastAsia="Calibri"/>
          <w:lang w:val="en-US" w:eastAsia="en-US"/>
        </w:rPr>
        <w:fldChar w:fldCharType="begin" w:fldLock="1"/>
      </w:r>
      <w:r w:rsidR="002F36A0">
        <w:rPr>
          <w:rFonts w:eastAsia="Calibri"/>
          <w:lang w:val="en-US" w:eastAsia="en-US"/>
        </w:rPr>
        <w:instrText>ADDIN CSL_CITATION {"citationItems":[{"id":"ITEM-1","itemData":{"URL":"https://www.ine.es/dyngs/INEbase/es/operacion.htm?c=Estadistica_C&amp;cid=1254736177033&amp;menu=ultiDatos&amp;idp=1254735976614","accessed":{"date-parts":[["2019","8","20"]]},"author":[{"dropping-particle":"","family":"Instituto Nacional de Estadística","given":"","non-dropping-particle":"","parse-names":false,"suffix":""}],"container-title":"Instituto Nacional de Estadística","id":"ITEM-1","issued":{"date-parts":[["2011"]]},"title":"Clasificación Nacional de Ocupaciones (CNO)","type":"webpage"},"uris":["http://www.mendeley.com/documents/?uuid=9220476c-0288-43c0-a7e7-66016d84d9db"]}],"mendeley":{"formattedCitation":"(23)","plainTextFormattedCitation":"(23)","previouslyFormattedCitation":"(23)"},"properties":{"noteIndex":0},"schema":"https://github.com/citation-style-language/schema/raw/master/csl-citation.json"}</w:instrText>
      </w:r>
      <w:r w:rsidR="00CC767F">
        <w:rPr>
          <w:rFonts w:eastAsia="Calibri"/>
          <w:lang w:val="en-US" w:eastAsia="en-US"/>
        </w:rPr>
        <w:fldChar w:fldCharType="separate"/>
      </w:r>
      <w:r w:rsidR="007E6799" w:rsidRPr="007E6799">
        <w:rPr>
          <w:rFonts w:eastAsia="Calibri"/>
          <w:noProof/>
          <w:lang w:val="en-US" w:eastAsia="en-US"/>
        </w:rPr>
        <w:t>(23)</w:t>
      </w:r>
      <w:r w:rsidR="00CC767F">
        <w:rPr>
          <w:rFonts w:eastAsia="Calibri"/>
          <w:lang w:val="en-US" w:eastAsia="en-US"/>
        </w:rPr>
        <w:fldChar w:fldCharType="end"/>
      </w:r>
      <w:r w:rsidR="00CC767F">
        <w:rPr>
          <w:rFonts w:eastAsia="Calibri"/>
          <w:lang w:val="en-US" w:eastAsia="en-US"/>
        </w:rPr>
        <w:t>; o</w:t>
      </w:r>
      <w:r w:rsidRPr="00475EEE">
        <w:rPr>
          <w:rFonts w:eastAsia="Calibri"/>
          <w:lang w:val="en-US" w:eastAsia="en-US"/>
        </w:rPr>
        <w:t>ccupational class I included executive managers and academics; occupational class II consisted of middle managers, technicians, athletes and artists</w:t>
      </w:r>
      <w:r w:rsidR="00CC767F">
        <w:rPr>
          <w:rFonts w:eastAsia="Calibri"/>
          <w:lang w:val="en-US" w:eastAsia="en-US"/>
        </w:rPr>
        <w:t>; o</w:t>
      </w:r>
      <w:r w:rsidRPr="00475EEE">
        <w:rPr>
          <w:rFonts w:eastAsia="Calibri"/>
          <w:lang w:val="en-US" w:eastAsia="en-US"/>
        </w:rPr>
        <w:t>ccupational class III comprised white-collar and self-employed workers,</w:t>
      </w:r>
      <w:r w:rsidR="00A8782F">
        <w:rPr>
          <w:rFonts w:eastAsia="Calibri"/>
          <w:lang w:val="en-US" w:eastAsia="en-US"/>
        </w:rPr>
        <w:t xml:space="preserve"> </w:t>
      </w:r>
      <w:r w:rsidRPr="00475EEE">
        <w:rPr>
          <w:rFonts w:eastAsia="Calibri"/>
          <w:lang w:val="en-US" w:eastAsia="en-US"/>
        </w:rPr>
        <w:t>and occupational class IV covered supervisors and skilled blue-collar workers</w:t>
      </w:r>
      <w:r w:rsidR="00FC7FB1">
        <w:rPr>
          <w:rFonts w:eastAsia="Calibri"/>
          <w:lang w:val="en-US" w:eastAsia="en-US"/>
        </w:rPr>
        <w:t xml:space="preserve"> from the secondary sector</w:t>
      </w:r>
      <w:r w:rsidRPr="00475EEE">
        <w:rPr>
          <w:rFonts w:eastAsia="Calibri"/>
          <w:lang w:val="en-US" w:eastAsia="en-US"/>
        </w:rPr>
        <w:t>.</w:t>
      </w:r>
      <w:r w:rsidR="00A8782F">
        <w:rPr>
          <w:rFonts w:eastAsia="Calibri"/>
          <w:lang w:val="en-US" w:eastAsia="en-US"/>
        </w:rPr>
        <w:t xml:space="preserve"> </w:t>
      </w:r>
      <w:r w:rsidRPr="00475EEE">
        <w:rPr>
          <w:rFonts w:eastAsia="Calibri"/>
          <w:lang w:val="en-US" w:eastAsia="en-US"/>
        </w:rPr>
        <w:t>Finally, occupational class V consisted of skilled blue-collar workers from the primary sector, whereas occupational class VI only included unskilled workers.</w:t>
      </w:r>
    </w:p>
    <w:p w14:paraId="4AE571CF" w14:textId="24CF332E" w:rsidR="003877E0" w:rsidRPr="00475EEE" w:rsidRDefault="007B614A" w:rsidP="006B3578">
      <w:pPr>
        <w:spacing w:after="160" w:line="480" w:lineRule="auto"/>
        <w:jc w:val="both"/>
        <w:rPr>
          <w:rFonts w:eastAsia="Calibri"/>
          <w:lang w:val="en-US" w:eastAsia="en-US"/>
        </w:rPr>
      </w:pPr>
      <w:r w:rsidRPr="00475EEE">
        <w:rPr>
          <w:rFonts w:eastAsia="Calibri"/>
          <w:lang w:val="en-US" w:eastAsia="en-US"/>
        </w:rPr>
        <w:lastRenderedPageBreak/>
        <w:t>Body Mass Index (BMI) was</w:t>
      </w:r>
      <w:r w:rsidR="00D459C4" w:rsidRPr="00475EEE">
        <w:rPr>
          <w:rFonts w:eastAsia="Calibri"/>
          <w:lang w:val="en-US" w:eastAsia="en-US"/>
        </w:rPr>
        <w:t xml:space="preserve"> derived from self-rated height and weight</w:t>
      </w:r>
      <w:r w:rsidRPr="00475EEE">
        <w:t xml:space="preserve"> (</w:t>
      </w:r>
      <w:r w:rsidRPr="00475EEE">
        <w:rPr>
          <w:rFonts w:eastAsia="Calibri"/>
          <w:lang w:val="en-US" w:eastAsia="en-US"/>
        </w:rPr>
        <w:t xml:space="preserve">i.e. weight in kilograms divided by height in squared meters) with </w:t>
      </w:r>
      <w:r w:rsidR="001B025A" w:rsidRPr="00475EEE">
        <w:rPr>
          <w:rFonts w:eastAsia="Calibri"/>
          <w:lang w:val="en-US" w:eastAsia="en-US"/>
        </w:rPr>
        <w:t>categories</w:t>
      </w:r>
      <w:r w:rsidR="00D459C4" w:rsidRPr="00475EEE">
        <w:rPr>
          <w:rFonts w:eastAsia="Calibri"/>
          <w:lang w:val="en-US" w:eastAsia="en-US"/>
        </w:rPr>
        <w:t xml:space="preserve"> set </w:t>
      </w:r>
      <w:r w:rsidR="001B025A" w:rsidRPr="00475EEE">
        <w:rPr>
          <w:rFonts w:eastAsia="Calibri"/>
          <w:lang w:val="en-US" w:eastAsia="en-US"/>
        </w:rPr>
        <w:t xml:space="preserve">according to WHO guidelines as follows: </w:t>
      </w:r>
      <w:r w:rsidR="00A01905" w:rsidRPr="00475EEE">
        <w:rPr>
          <w:rFonts w:eastAsia="Calibri"/>
          <w:lang w:val="en-US" w:eastAsia="en-US"/>
        </w:rPr>
        <w:t>BMI ≥</w:t>
      </w:r>
      <w:r w:rsidR="00D459C4" w:rsidRPr="00475EEE">
        <w:rPr>
          <w:rFonts w:eastAsia="Calibri"/>
          <w:lang w:val="en-US" w:eastAsia="en-US"/>
        </w:rPr>
        <w:t>30 kg/m</w:t>
      </w:r>
      <w:r w:rsidR="00D459C4" w:rsidRPr="00475EEE">
        <w:rPr>
          <w:rFonts w:eastAsia="Calibri"/>
          <w:vertAlign w:val="superscript"/>
          <w:lang w:val="en-US" w:eastAsia="en-US"/>
        </w:rPr>
        <w:t>2</w:t>
      </w:r>
      <w:r w:rsidR="001B025A" w:rsidRPr="00475EEE">
        <w:rPr>
          <w:rFonts w:eastAsia="Calibri"/>
          <w:lang w:val="en-US" w:eastAsia="en-US"/>
        </w:rPr>
        <w:t xml:space="preserve"> (obese), overweight (25</w:t>
      </w:r>
      <w:r w:rsidR="00A01905" w:rsidRPr="00475EEE">
        <w:rPr>
          <w:rFonts w:eastAsia="Calibri"/>
          <w:lang w:val="en-US" w:eastAsia="en-US"/>
        </w:rPr>
        <w:t>-</w:t>
      </w:r>
      <w:r w:rsidR="001B025A" w:rsidRPr="00475EEE">
        <w:rPr>
          <w:rFonts w:eastAsia="Calibri"/>
          <w:lang w:val="en-US" w:eastAsia="en-US"/>
        </w:rPr>
        <w:t>29.9 kg/m</w:t>
      </w:r>
      <w:r w:rsidR="001B025A" w:rsidRPr="00475EEE">
        <w:rPr>
          <w:rFonts w:eastAsia="Calibri"/>
          <w:vertAlign w:val="superscript"/>
          <w:lang w:val="en-US" w:eastAsia="en-US"/>
        </w:rPr>
        <w:t>2</w:t>
      </w:r>
      <w:r w:rsidR="001B025A" w:rsidRPr="00475EEE">
        <w:rPr>
          <w:rFonts w:eastAsia="Calibri"/>
          <w:lang w:val="en-US" w:eastAsia="en-US"/>
        </w:rPr>
        <w:t>), normal (</w:t>
      </w:r>
      <w:r w:rsidR="000C6130" w:rsidRPr="00475EEE">
        <w:rPr>
          <w:rFonts w:eastAsia="Calibri"/>
          <w:lang w:val="en-US" w:eastAsia="en-US"/>
        </w:rPr>
        <w:t>18.5-</w:t>
      </w:r>
      <w:r w:rsidR="001B025A" w:rsidRPr="00475EEE">
        <w:rPr>
          <w:rFonts w:eastAsia="Calibri"/>
          <w:lang w:val="en-US" w:eastAsia="en-US"/>
        </w:rPr>
        <w:t>25 kg/m</w:t>
      </w:r>
      <w:r w:rsidR="001B025A" w:rsidRPr="00475EEE">
        <w:rPr>
          <w:rFonts w:eastAsia="Calibri"/>
          <w:vertAlign w:val="superscript"/>
          <w:lang w:val="en-US" w:eastAsia="en-US"/>
        </w:rPr>
        <w:t>2</w:t>
      </w:r>
      <w:r w:rsidR="001B025A" w:rsidRPr="00475EEE">
        <w:rPr>
          <w:rFonts w:eastAsia="Calibri"/>
          <w:lang w:val="en-US" w:eastAsia="en-US"/>
        </w:rPr>
        <w:t>) and underweight (&lt;18.5 kg/m</w:t>
      </w:r>
      <w:r w:rsidR="001B025A" w:rsidRPr="00475EEE">
        <w:rPr>
          <w:rFonts w:eastAsia="Calibri"/>
          <w:vertAlign w:val="superscript"/>
          <w:lang w:val="en-US" w:eastAsia="en-US"/>
        </w:rPr>
        <w:t>2</w:t>
      </w:r>
      <w:r w:rsidR="001B025A" w:rsidRPr="00475EEE">
        <w:rPr>
          <w:rFonts w:eastAsia="Calibri"/>
          <w:lang w:val="en-US" w:eastAsia="en-US"/>
        </w:rPr>
        <w:t xml:space="preserve">). </w:t>
      </w:r>
      <w:r w:rsidR="00A75E96" w:rsidRPr="00475EEE">
        <w:rPr>
          <w:rFonts w:eastAsia="Calibri"/>
          <w:lang w:val="en-US" w:eastAsia="en-US"/>
        </w:rPr>
        <w:t xml:space="preserve">According to the findings of a study with industrial workers </w:t>
      </w:r>
      <w:r w:rsidR="00D06E01" w:rsidRPr="00475EEE">
        <w:rPr>
          <w:rFonts w:eastAsia="Calibri"/>
          <w:lang w:val="en-US" w:eastAsia="en-US"/>
        </w:rPr>
        <w:t xml:space="preserve">and cardiovascular risk factors, </w:t>
      </w:r>
      <w:r w:rsidR="00A75E96" w:rsidRPr="00475EEE">
        <w:rPr>
          <w:rFonts w:eastAsia="Calibri"/>
          <w:lang w:val="en-US" w:eastAsia="en-US"/>
        </w:rPr>
        <w:t>f</w:t>
      </w:r>
      <w:r w:rsidRPr="00475EEE">
        <w:rPr>
          <w:rFonts w:eastAsia="Calibri"/>
          <w:lang w:val="en-US" w:eastAsia="en-US"/>
        </w:rPr>
        <w:t>ruit consumption was divided into two groups regarding those who reached a weekly consumption of, at least, one piece of fresh fruit (excluding juice</w:t>
      </w:r>
      <w:r w:rsidR="002A1A6C">
        <w:rPr>
          <w:rFonts w:eastAsia="Calibri"/>
          <w:lang w:val="en-US" w:eastAsia="en-US"/>
        </w:rPr>
        <w:t xml:space="preserve">s) a week, and those who do not </w:t>
      </w:r>
      <w:r w:rsidR="00D06E01" w:rsidRPr="00475EEE">
        <w:rPr>
          <w:rFonts w:eastAsia="Calibri"/>
          <w:lang w:val="en-US" w:eastAsia="en-US"/>
        </w:rPr>
        <w:fldChar w:fldCharType="begin" w:fldLock="1"/>
      </w:r>
      <w:r w:rsidR="002F36A0">
        <w:rPr>
          <w:rFonts w:eastAsia="Calibri"/>
          <w:lang w:val="en-US" w:eastAsia="en-US"/>
        </w:rPr>
        <w:instrText>ADDIN CSL_CITATION {"citationItems":[{"id":"ITEM-1","itemData":{"DOI":"10.1186/s12995-016-0109-6","ISSN":"17456673","abstract":"Background: Cardiovascular diseases (CVD) are the number one cause of death globally, more people die annually from CVDs than from any other cause. An estimated 17.5 million people died from CVD in 2012, representing 46.2 % of all NCD death globally. An accurate characteristic of the cardiovascular risk factors in a specified population group is essential for the implementation of educational campaign. However, there are no reliable CVD risk factors burden, nor of its awareness and treatment status in Nepal industrial settings. We aimed to assess cardiovascular risk factors among men age 20-59 years in one of the largest industrial corridor of Eastern Nepal. Methods: A total of 494 industrial workers between ages of 20-59 years, from two industries participated in the study. Pretested semi-structured questionnaire was used to collect the information. Primary outcome was cardiovascular risk factors based on STEPS survey and study on non-communicable disease in Nepal. A semi-structured questionnaire was used to interview 494 industrial workers. Lipid profile and serum blood glucose of 406 workers and electrocardiogram of 400 workers was done. Results: The prevalence of cardiovascular disease (CVD) was 13.8 %. Those who were &gt;45 years were 2.72 times more likely to develop CVD. Those who smoked more pack year, had family history of hypertension (HTN) and consumed no fruits were 4.32, 1.90.2.47 times more likely to develop CVD. Low density Lipoprotein (LDL) level &lt;130 was found to be protective compared to LDL level above ≥ 130. On adjusted analysis those who did not consume fruits and had high LDL level were 3.32 and 3.03 more likely to develop CVD. Conclusion: There is high prevalence of CVD risk factors. Although majority of them are literate there is lack of health education and awareness among young male population in an eastern Nepal industrial setting.","author":[{"dropping-particle":"","family":"Pyakurel","given":"Prajjwal","non-dropping-particle":"","parse-names":false,"suffix":""},{"dropping-particle":"","family":"Karki","given":"Prahlad","non-dropping-particle":"","parse-names":false,"suffix":""},{"dropping-particle":"","family":"Lamsal","given":"Madhab","non-dropping-particle":"","parse-names":false,"suffix":""},{"dropping-particle":"","family":"Ghimire","given":"Anup","non-dropping-particle":"","parse-names":false,"suffix":""},{"dropping-particle":"","family":"Pokharel","given":"Paras Kumar","non-dropping-particle":"","parse-names":false,"suffix":""}],"container-title":"Journal of Occupational Medicine and Toxicology","id":"ITEM-1","issue":"1","issued":{"date-parts":[["2016"]]},"page":"1-7","publisher":"Journal of Occupational Medicine and Toxicology","title":"Cardiovascular risk factors among industrial workers: A cross-sectional study from eastern Nepal","type":"article-journal","volume":"11"},"uris":["http://www.mendeley.com/documents/?uuid=5b74eb5b-2602-4de9-a09f-9dfc58431139"]}],"mendeley":{"formattedCitation":"(24)","plainTextFormattedCitation":"(24)","previouslyFormattedCitation":"(24)"},"properties":{"noteIndex":0},"schema":"https://github.com/citation-style-language/schema/raw/master/csl-citation.json"}</w:instrText>
      </w:r>
      <w:r w:rsidR="00D06E01" w:rsidRPr="00475EEE">
        <w:rPr>
          <w:rFonts w:eastAsia="Calibri"/>
          <w:lang w:val="en-US" w:eastAsia="en-US"/>
        </w:rPr>
        <w:fldChar w:fldCharType="separate"/>
      </w:r>
      <w:r w:rsidR="007E6799" w:rsidRPr="007E6799">
        <w:rPr>
          <w:rFonts w:eastAsia="Calibri"/>
          <w:noProof/>
          <w:lang w:val="en-US" w:eastAsia="en-US"/>
        </w:rPr>
        <w:t>(24)</w:t>
      </w:r>
      <w:r w:rsidR="00D06E01" w:rsidRPr="00475EEE">
        <w:rPr>
          <w:rFonts w:eastAsia="Calibri"/>
          <w:lang w:val="en-US" w:eastAsia="en-US"/>
        </w:rPr>
        <w:fldChar w:fldCharType="end"/>
      </w:r>
      <w:r w:rsidR="002A1A6C">
        <w:rPr>
          <w:rFonts w:eastAsia="Calibri"/>
          <w:lang w:val="en-US" w:eastAsia="en-US"/>
        </w:rPr>
        <w:t>.</w:t>
      </w:r>
    </w:p>
    <w:p w14:paraId="6B50976D" w14:textId="779FD68E" w:rsidR="004F3B79" w:rsidRPr="00475EEE" w:rsidRDefault="003877E0" w:rsidP="006B3578">
      <w:pPr>
        <w:spacing w:after="160" w:line="480" w:lineRule="auto"/>
        <w:jc w:val="both"/>
        <w:rPr>
          <w:rFonts w:eastAsia="Calibri"/>
          <w:lang w:val="en-US" w:eastAsia="en-US"/>
        </w:rPr>
      </w:pPr>
      <w:r w:rsidRPr="00475EEE">
        <w:rPr>
          <w:rFonts w:eastAsia="Calibri"/>
          <w:lang w:val="en-US" w:eastAsia="en-US"/>
        </w:rPr>
        <w:t xml:space="preserve">Occupational </w:t>
      </w:r>
      <w:r w:rsidR="006A02BE">
        <w:rPr>
          <w:rFonts w:eastAsia="Calibri"/>
          <w:lang w:val="en-US" w:eastAsia="en-US"/>
        </w:rPr>
        <w:t>PA</w:t>
      </w:r>
      <w:r w:rsidRPr="00475EEE">
        <w:rPr>
          <w:rFonts w:eastAsia="Calibri"/>
          <w:lang w:val="en-US" w:eastAsia="en-US"/>
        </w:rPr>
        <w:t xml:space="preserve"> was estimated through the following question: “Which of the following better describes your main activity during the working hours?”. Possible answers comprised: “sit most of the working hours” (sedentary), “standing up most of the working hours </w:t>
      </w:r>
      <w:r w:rsidR="005D13E6" w:rsidRPr="00475EEE">
        <w:rPr>
          <w:rFonts w:eastAsia="Calibri"/>
          <w:lang w:val="en-US" w:eastAsia="en-US"/>
        </w:rPr>
        <w:t>without</w:t>
      </w:r>
      <w:r w:rsidRPr="00475EEE">
        <w:rPr>
          <w:rFonts w:eastAsia="Calibri"/>
          <w:lang w:val="en-US" w:eastAsia="en-US"/>
        </w:rPr>
        <w:t xml:space="preserve"> performing high efforts” (low</w:t>
      </w:r>
      <w:r w:rsidR="00AE71CE" w:rsidRPr="00475EEE">
        <w:rPr>
          <w:rFonts w:eastAsia="Calibri"/>
          <w:lang w:val="en-US" w:eastAsia="en-US"/>
        </w:rPr>
        <w:t>), “</w:t>
      </w:r>
      <w:r w:rsidRPr="00475EEE">
        <w:rPr>
          <w:rFonts w:eastAsia="Calibri"/>
          <w:lang w:val="en-US" w:eastAsia="en-US"/>
        </w:rPr>
        <w:t xml:space="preserve">walking, carrying any weight, with frequent displacements” (moderate) and “performing high physically demanding tasks” (high). </w:t>
      </w:r>
    </w:p>
    <w:p w14:paraId="5F4BFDF2" w14:textId="7BB049E7" w:rsidR="00D459C4" w:rsidRPr="00475EEE" w:rsidRDefault="007B614A" w:rsidP="006B3578">
      <w:pPr>
        <w:spacing w:after="160" w:line="480" w:lineRule="auto"/>
        <w:jc w:val="both"/>
        <w:rPr>
          <w:rFonts w:eastAsia="Calibri"/>
          <w:lang w:val="en-US" w:eastAsia="en-US"/>
        </w:rPr>
      </w:pPr>
      <w:r w:rsidRPr="00475EEE">
        <w:rPr>
          <w:rFonts w:eastAsia="Calibri"/>
          <w:lang w:val="en-US" w:eastAsia="en-US"/>
        </w:rPr>
        <w:t>Finally, t</w:t>
      </w:r>
      <w:r w:rsidR="00D459C4" w:rsidRPr="00475EEE">
        <w:rPr>
          <w:rFonts w:eastAsia="Calibri"/>
          <w:lang w:val="en-US" w:eastAsia="en-US"/>
        </w:rPr>
        <w:t xml:space="preserve">he smoking status was </w:t>
      </w:r>
      <w:proofErr w:type="spellStart"/>
      <w:r w:rsidR="00D459C4" w:rsidRPr="00475EEE">
        <w:rPr>
          <w:rFonts w:eastAsia="Calibri"/>
          <w:lang w:val="en-US" w:eastAsia="en-US"/>
        </w:rPr>
        <w:t>categorised</w:t>
      </w:r>
      <w:proofErr w:type="spellEnd"/>
      <w:r w:rsidR="00D459C4" w:rsidRPr="00475EEE">
        <w:rPr>
          <w:rFonts w:eastAsia="Calibri"/>
          <w:lang w:val="en-US" w:eastAsia="en-US"/>
        </w:rPr>
        <w:t xml:space="preserve"> as </w:t>
      </w:r>
      <w:r w:rsidR="004F3B79" w:rsidRPr="00475EEE">
        <w:rPr>
          <w:rFonts w:eastAsia="Calibri"/>
          <w:lang w:val="en-US" w:eastAsia="en-US"/>
        </w:rPr>
        <w:t>“</w:t>
      </w:r>
      <w:r w:rsidR="00D459C4" w:rsidRPr="00475EEE">
        <w:rPr>
          <w:rFonts w:eastAsia="Calibri"/>
          <w:lang w:val="en-US" w:eastAsia="en-US"/>
        </w:rPr>
        <w:t>current smoker</w:t>
      </w:r>
      <w:r w:rsidR="004F3B79" w:rsidRPr="00475EEE">
        <w:rPr>
          <w:rFonts w:eastAsia="Calibri"/>
          <w:lang w:val="en-US" w:eastAsia="en-US"/>
        </w:rPr>
        <w:t>”</w:t>
      </w:r>
      <w:r w:rsidR="00D459C4" w:rsidRPr="00475EEE">
        <w:rPr>
          <w:rFonts w:eastAsia="Calibri"/>
          <w:lang w:val="en-US" w:eastAsia="en-US"/>
        </w:rPr>
        <w:t xml:space="preserve">, </w:t>
      </w:r>
      <w:r w:rsidR="004F3B79" w:rsidRPr="00475EEE">
        <w:rPr>
          <w:rFonts w:eastAsia="Calibri"/>
          <w:lang w:val="en-US" w:eastAsia="en-US"/>
        </w:rPr>
        <w:t>“</w:t>
      </w:r>
      <w:r w:rsidR="00D459C4" w:rsidRPr="00475EEE">
        <w:rPr>
          <w:rFonts w:eastAsia="Calibri"/>
          <w:lang w:val="en-US" w:eastAsia="en-US"/>
        </w:rPr>
        <w:t>former smoker</w:t>
      </w:r>
      <w:r w:rsidR="004F3B79" w:rsidRPr="00475EEE">
        <w:rPr>
          <w:rFonts w:eastAsia="Calibri"/>
          <w:lang w:val="en-US" w:eastAsia="en-US"/>
        </w:rPr>
        <w:t>”</w:t>
      </w:r>
      <w:r w:rsidR="00D459C4" w:rsidRPr="00475EEE">
        <w:rPr>
          <w:rFonts w:eastAsia="Calibri"/>
          <w:lang w:val="en-US" w:eastAsia="en-US"/>
        </w:rPr>
        <w:t xml:space="preserve">, and </w:t>
      </w:r>
      <w:r w:rsidR="004F3B79" w:rsidRPr="00475EEE">
        <w:rPr>
          <w:rFonts w:eastAsia="Calibri"/>
          <w:lang w:val="en-US" w:eastAsia="en-US"/>
        </w:rPr>
        <w:t>“</w:t>
      </w:r>
      <w:r w:rsidR="00D459C4" w:rsidRPr="00475EEE">
        <w:rPr>
          <w:rFonts w:eastAsia="Calibri"/>
          <w:lang w:val="en-US" w:eastAsia="en-US"/>
        </w:rPr>
        <w:t>never smoke</w:t>
      </w:r>
      <w:r w:rsidR="00C41E4C" w:rsidRPr="00475EEE">
        <w:rPr>
          <w:rFonts w:eastAsia="Calibri"/>
          <w:lang w:val="en-US" w:eastAsia="en-US"/>
        </w:rPr>
        <w:t>r</w:t>
      </w:r>
      <w:r w:rsidR="004F3B79" w:rsidRPr="00475EEE">
        <w:rPr>
          <w:rFonts w:eastAsia="Calibri"/>
          <w:lang w:val="en-US" w:eastAsia="en-US"/>
        </w:rPr>
        <w:t>”</w:t>
      </w:r>
      <w:r w:rsidR="00D459C4" w:rsidRPr="00475EEE">
        <w:rPr>
          <w:rFonts w:eastAsia="Calibri"/>
          <w:lang w:val="en-US" w:eastAsia="en-US"/>
        </w:rPr>
        <w:t xml:space="preserve">. </w:t>
      </w:r>
    </w:p>
    <w:p w14:paraId="015A0E66" w14:textId="26E4246F" w:rsidR="00D459C4" w:rsidRPr="00475EEE" w:rsidRDefault="00D459C4" w:rsidP="006B3578">
      <w:pPr>
        <w:spacing w:after="160" w:line="480" w:lineRule="auto"/>
        <w:jc w:val="both"/>
        <w:rPr>
          <w:rFonts w:eastAsia="Calibri"/>
          <w:lang w:val="en-US" w:eastAsia="en-US"/>
        </w:rPr>
      </w:pPr>
      <w:r w:rsidRPr="00475EEE">
        <w:rPr>
          <w:rFonts w:eastAsia="Calibri"/>
          <w:b/>
          <w:lang w:val="en-US" w:eastAsia="en-US"/>
        </w:rPr>
        <w:t>Statistical analys</w:t>
      </w:r>
      <w:r w:rsidR="003177A8" w:rsidRPr="00475EEE">
        <w:rPr>
          <w:rFonts w:eastAsia="Calibri"/>
          <w:b/>
          <w:lang w:val="en-US" w:eastAsia="en-US"/>
        </w:rPr>
        <w:t>es</w:t>
      </w:r>
    </w:p>
    <w:p w14:paraId="77DB7BDC" w14:textId="1AF87F44" w:rsidR="00376AED" w:rsidRPr="00475EEE" w:rsidRDefault="00E600EC" w:rsidP="006B3578">
      <w:pPr>
        <w:spacing w:before="240" w:after="160" w:line="480" w:lineRule="auto"/>
        <w:jc w:val="both"/>
        <w:rPr>
          <w:rFonts w:eastAsia="Calibri"/>
          <w:lang w:val="en-US" w:eastAsia="en-US"/>
        </w:rPr>
      </w:pPr>
      <w:r w:rsidRPr="00475EEE">
        <w:rPr>
          <w:rFonts w:eastAsia="Calibri"/>
          <w:lang w:val="en-US" w:eastAsia="en-US"/>
        </w:rPr>
        <w:t>S</w:t>
      </w:r>
      <w:r w:rsidR="00D459C4" w:rsidRPr="00475EEE">
        <w:rPr>
          <w:rFonts w:eastAsia="Calibri"/>
          <w:lang w:val="en-US" w:eastAsia="en-US"/>
        </w:rPr>
        <w:t>ta</w:t>
      </w:r>
      <w:r w:rsidR="007B614A" w:rsidRPr="00475EEE">
        <w:rPr>
          <w:rFonts w:eastAsia="Calibri"/>
          <w:lang w:val="en-US" w:eastAsia="en-US"/>
        </w:rPr>
        <w:t>tistical analyses</w:t>
      </w:r>
      <w:r w:rsidRPr="00475EEE">
        <w:rPr>
          <w:rFonts w:eastAsia="Calibri"/>
          <w:lang w:val="en-US" w:eastAsia="en-US"/>
        </w:rPr>
        <w:t xml:space="preserve"> were carried out</w:t>
      </w:r>
      <w:r w:rsidR="00D459C4" w:rsidRPr="00475EEE">
        <w:rPr>
          <w:rFonts w:eastAsia="Calibri"/>
          <w:lang w:val="en-US" w:eastAsia="en-US"/>
        </w:rPr>
        <w:t xml:space="preserve"> using SPSS 22.0. Differences in the prevalence of </w:t>
      </w:r>
      <w:r w:rsidR="00C41E4C" w:rsidRPr="00475EEE">
        <w:rPr>
          <w:rFonts w:eastAsia="Calibri"/>
          <w:lang w:val="en-US" w:eastAsia="en-US"/>
        </w:rPr>
        <w:t xml:space="preserve">chronic </w:t>
      </w:r>
      <w:r w:rsidR="006F2CFC">
        <w:rPr>
          <w:rFonts w:eastAsia="Calibri"/>
          <w:lang w:val="en-US" w:eastAsia="en-US"/>
        </w:rPr>
        <w:t>conditions</w:t>
      </w:r>
      <w:r w:rsidR="006F2CFC" w:rsidRPr="00475EEE">
        <w:rPr>
          <w:rFonts w:eastAsia="Calibri"/>
          <w:lang w:val="en-US" w:eastAsia="en-US"/>
        </w:rPr>
        <w:t xml:space="preserve"> </w:t>
      </w:r>
      <w:r w:rsidR="00433469">
        <w:rPr>
          <w:rFonts w:eastAsia="Calibri"/>
          <w:lang w:val="en-US" w:eastAsia="en-US"/>
        </w:rPr>
        <w:t>among subgroups within each variable</w:t>
      </w:r>
      <w:r w:rsidR="00D459C4" w:rsidRPr="00475EEE">
        <w:rPr>
          <w:rFonts w:eastAsia="Calibri"/>
          <w:lang w:val="en-US" w:eastAsia="en-US"/>
        </w:rPr>
        <w:t xml:space="preserve"> were assessed by Chi-squared tests. The association between PA (exposure) and </w:t>
      </w:r>
      <w:r w:rsidR="00C41E4C" w:rsidRPr="00475EEE">
        <w:rPr>
          <w:rFonts w:eastAsia="Calibri"/>
          <w:lang w:val="en-US" w:eastAsia="en-US"/>
        </w:rPr>
        <w:t xml:space="preserve">chronic </w:t>
      </w:r>
      <w:r w:rsidR="006F2CFC">
        <w:rPr>
          <w:rFonts w:eastAsia="Calibri"/>
          <w:lang w:val="en-US" w:eastAsia="en-US"/>
        </w:rPr>
        <w:t>condition</w:t>
      </w:r>
      <w:r w:rsidR="006F2CFC" w:rsidRPr="00475EEE">
        <w:rPr>
          <w:rFonts w:eastAsia="Calibri"/>
          <w:lang w:val="en-US" w:eastAsia="en-US"/>
        </w:rPr>
        <w:t xml:space="preserve"> </w:t>
      </w:r>
      <w:r w:rsidR="00D459C4" w:rsidRPr="00475EEE">
        <w:rPr>
          <w:rFonts w:eastAsia="Calibri"/>
          <w:lang w:val="en-US" w:eastAsia="en-US"/>
        </w:rPr>
        <w:t>(outcome) w</w:t>
      </w:r>
      <w:r w:rsidRPr="00475EEE">
        <w:rPr>
          <w:rFonts w:eastAsia="Calibri"/>
          <w:lang w:val="en-US" w:eastAsia="en-US"/>
        </w:rPr>
        <w:t>ere</w:t>
      </w:r>
      <w:r w:rsidR="00D459C4" w:rsidRPr="00475EEE">
        <w:rPr>
          <w:rFonts w:eastAsia="Calibri"/>
          <w:lang w:val="en-US" w:eastAsia="en-US"/>
        </w:rPr>
        <w:t xml:space="preserve"> estimated through multivariable logistic regression analysis conducted for the whole sample as well as by </w:t>
      </w:r>
      <w:r w:rsidR="007B614A" w:rsidRPr="00475EEE">
        <w:rPr>
          <w:rFonts w:eastAsia="Calibri"/>
          <w:lang w:val="en-US" w:eastAsia="en-US"/>
        </w:rPr>
        <w:t xml:space="preserve">sex and </w:t>
      </w:r>
      <w:r w:rsidR="00D459C4" w:rsidRPr="00475EEE">
        <w:rPr>
          <w:rFonts w:eastAsia="Calibri"/>
          <w:lang w:val="en-US" w:eastAsia="en-US"/>
        </w:rPr>
        <w:t xml:space="preserve">age subgroups. </w:t>
      </w:r>
      <w:r w:rsidR="00944FCF">
        <w:rPr>
          <w:rFonts w:eastAsia="Calibri"/>
          <w:lang w:val="en-US" w:eastAsia="en-US"/>
        </w:rPr>
        <w:t>To</w:t>
      </w:r>
      <w:r w:rsidR="00E43609" w:rsidRPr="00475EEE">
        <w:rPr>
          <w:rFonts w:eastAsia="Calibri"/>
          <w:lang w:val="en-US" w:eastAsia="en-US"/>
        </w:rPr>
        <w:t xml:space="preserve"> ensure sufficient statistical power when comparing groups regarding age</w:t>
      </w:r>
      <w:r w:rsidR="00944FCF">
        <w:rPr>
          <w:rFonts w:eastAsia="Calibri"/>
          <w:lang w:val="en-US" w:eastAsia="en-US"/>
        </w:rPr>
        <w:t>, t</w:t>
      </w:r>
      <w:r w:rsidR="00944FCF" w:rsidRPr="00475EEE">
        <w:rPr>
          <w:rFonts w:eastAsia="Calibri"/>
          <w:lang w:val="en-US" w:eastAsia="en-US"/>
        </w:rPr>
        <w:t>h</w:t>
      </w:r>
      <w:r w:rsidR="00944FCF">
        <w:rPr>
          <w:rFonts w:eastAsia="Calibri"/>
          <w:lang w:val="en-US" w:eastAsia="en-US"/>
        </w:rPr>
        <w:t>e mean age of the sample</w:t>
      </w:r>
      <w:r w:rsidR="00944FCF" w:rsidRPr="00475EEE">
        <w:rPr>
          <w:rFonts w:eastAsia="Calibri"/>
          <w:lang w:val="en-US" w:eastAsia="en-US"/>
        </w:rPr>
        <w:t xml:space="preserve"> was set </w:t>
      </w:r>
      <w:r w:rsidR="00944FCF">
        <w:rPr>
          <w:rFonts w:eastAsia="Calibri"/>
          <w:lang w:val="en-US" w:eastAsia="en-US"/>
        </w:rPr>
        <w:t>as cut-off point</w:t>
      </w:r>
      <w:r w:rsidR="00E43609" w:rsidRPr="00475EEE">
        <w:rPr>
          <w:rFonts w:eastAsia="Calibri"/>
          <w:lang w:val="en-US" w:eastAsia="en-US"/>
        </w:rPr>
        <w:t xml:space="preserve">. </w:t>
      </w:r>
      <w:r w:rsidR="007B614A" w:rsidRPr="00475EEE">
        <w:rPr>
          <w:rFonts w:eastAsia="Calibri"/>
          <w:lang w:val="en-US" w:eastAsia="en-US"/>
        </w:rPr>
        <w:t>Sex and age</w:t>
      </w:r>
      <w:r w:rsidR="00D459C4" w:rsidRPr="00475EEE">
        <w:rPr>
          <w:rFonts w:eastAsia="Calibri"/>
          <w:lang w:val="en-US" w:eastAsia="en-US"/>
        </w:rPr>
        <w:t>-segmented analyses were adjusted for education</w:t>
      </w:r>
      <w:r w:rsidR="004340C3">
        <w:rPr>
          <w:rFonts w:eastAsia="Calibri"/>
          <w:lang w:val="en-US" w:eastAsia="en-US"/>
        </w:rPr>
        <w:t>al level</w:t>
      </w:r>
      <w:r w:rsidR="00D459C4" w:rsidRPr="00475EEE">
        <w:rPr>
          <w:rFonts w:eastAsia="Calibri"/>
          <w:lang w:val="en-US" w:eastAsia="en-US"/>
        </w:rPr>
        <w:t xml:space="preserve">, </w:t>
      </w:r>
      <w:r w:rsidR="007B614A" w:rsidRPr="00475EEE">
        <w:rPr>
          <w:rFonts w:eastAsia="Calibri"/>
          <w:lang w:val="en-US" w:eastAsia="en-US"/>
        </w:rPr>
        <w:t xml:space="preserve">occupational class, </w:t>
      </w:r>
      <w:r w:rsidR="00B80327" w:rsidRPr="00475EEE">
        <w:rPr>
          <w:rFonts w:eastAsia="Calibri"/>
          <w:lang w:val="en-US" w:eastAsia="en-US"/>
        </w:rPr>
        <w:t xml:space="preserve">occupational </w:t>
      </w:r>
      <w:r w:rsidR="006A02BE">
        <w:rPr>
          <w:rFonts w:eastAsia="Calibri"/>
          <w:lang w:val="en-US" w:eastAsia="en-US"/>
        </w:rPr>
        <w:t>PA</w:t>
      </w:r>
      <w:r w:rsidR="00B80327" w:rsidRPr="00475EEE">
        <w:rPr>
          <w:rFonts w:eastAsia="Calibri"/>
          <w:lang w:val="en-US" w:eastAsia="en-US"/>
        </w:rPr>
        <w:t xml:space="preserve">, </w:t>
      </w:r>
      <w:r w:rsidR="007B614A" w:rsidRPr="00475EEE">
        <w:rPr>
          <w:rFonts w:eastAsia="Calibri"/>
          <w:lang w:val="en-US" w:eastAsia="en-US"/>
        </w:rPr>
        <w:t xml:space="preserve">BMI, fruit consumption and smoking </w:t>
      </w:r>
      <w:r w:rsidR="004340C3">
        <w:rPr>
          <w:rFonts w:eastAsia="Calibri"/>
          <w:lang w:val="en-US" w:eastAsia="en-US"/>
        </w:rPr>
        <w:t>status</w:t>
      </w:r>
      <w:r w:rsidR="00D459C4" w:rsidRPr="00475EEE">
        <w:rPr>
          <w:rFonts w:eastAsia="Calibri"/>
          <w:lang w:val="en-US" w:eastAsia="en-US"/>
        </w:rPr>
        <w:t xml:space="preserve">, while the analysis for the </w:t>
      </w:r>
      <w:r w:rsidR="00D459C4" w:rsidRPr="00475EEE">
        <w:rPr>
          <w:rFonts w:eastAsia="Calibri"/>
          <w:lang w:val="en-US" w:eastAsia="en-US"/>
        </w:rPr>
        <w:lastRenderedPageBreak/>
        <w:t xml:space="preserve">overall sample </w:t>
      </w:r>
      <w:r w:rsidR="007B614A" w:rsidRPr="00475EEE">
        <w:rPr>
          <w:rFonts w:eastAsia="Calibri"/>
          <w:lang w:val="en-US" w:eastAsia="en-US"/>
        </w:rPr>
        <w:t>was also adjusted for sex and age</w:t>
      </w:r>
      <w:r w:rsidR="00D459C4" w:rsidRPr="00475EEE">
        <w:rPr>
          <w:rFonts w:eastAsia="Calibri"/>
          <w:lang w:val="en-US" w:eastAsia="en-US"/>
        </w:rPr>
        <w:t xml:space="preserve">. </w:t>
      </w:r>
      <w:r w:rsidR="007B614A" w:rsidRPr="00475EEE">
        <w:rPr>
          <w:rFonts w:eastAsia="Calibri"/>
          <w:lang w:val="en-US" w:eastAsia="en-US"/>
        </w:rPr>
        <w:t xml:space="preserve">All </w:t>
      </w:r>
      <w:r w:rsidR="00944FCF">
        <w:rPr>
          <w:rFonts w:eastAsia="Calibri"/>
          <w:lang w:val="en-US" w:eastAsia="en-US"/>
        </w:rPr>
        <w:t>covariates</w:t>
      </w:r>
      <w:r w:rsidR="00944FCF" w:rsidRPr="00475EEE">
        <w:rPr>
          <w:rFonts w:eastAsia="Calibri"/>
          <w:lang w:val="en-US" w:eastAsia="en-US"/>
        </w:rPr>
        <w:t xml:space="preserve"> </w:t>
      </w:r>
      <w:r w:rsidR="00D459C4" w:rsidRPr="00475EEE">
        <w:rPr>
          <w:rFonts w:eastAsia="Calibri"/>
          <w:lang w:val="en-US" w:eastAsia="en-US"/>
        </w:rPr>
        <w:t xml:space="preserve">were included in the models as categorical variables. </w:t>
      </w:r>
      <w:r w:rsidR="00376AED" w:rsidRPr="00475EEE">
        <w:rPr>
          <w:rFonts w:eastAsia="Calibri"/>
          <w:lang w:val="en-US" w:eastAsia="en-US"/>
        </w:rPr>
        <w:t xml:space="preserve">Associations were calculated between </w:t>
      </w:r>
      <w:r w:rsidR="00B128C9" w:rsidRPr="00B128C9">
        <w:rPr>
          <w:rFonts w:eastAsia="Calibri"/>
          <w:lang w:val="en-US" w:eastAsia="en-US"/>
        </w:rPr>
        <w:t xml:space="preserve">having one or more of the six chronic </w:t>
      </w:r>
      <w:r w:rsidR="006F2CFC">
        <w:rPr>
          <w:rFonts w:eastAsia="Calibri"/>
          <w:lang w:val="en-US" w:eastAsia="en-US"/>
        </w:rPr>
        <w:t>condition</w:t>
      </w:r>
      <w:r w:rsidR="00B128C9" w:rsidRPr="00B128C9">
        <w:rPr>
          <w:rFonts w:eastAsia="Calibri"/>
          <w:lang w:val="en-US" w:eastAsia="en-US"/>
        </w:rPr>
        <w:t>s examined</w:t>
      </w:r>
      <w:r w:rsidR="00376AED" w:rsidRPr="00475EEE">
        <w:rPr>
          <w:rFonts w:eastAsia="Calibri"/>
          <w:lang w:val="en-US" w:eastAsia="en-US"/>
        </w:rPr>
        <w:t xml:space="preserve"> and PA as well as between each of the chronic </w:t>
      </w:r>
      <w:r w:rsidR="006F2CFC">
        <w:rPr>
          <w:rFonts w:eastAsia="Calibri"/>
          <w:lang w:val="en-US" w:eastAsia="en-US"/>
        </w:rPr>
        <w:t>conditions</w:t>
      </w:r>
      <w:r w:rsidR="006F2CFC" w:rsidRPr="00475EEE">
        <w:rPr>
          <w:rFonts w:eastAsia="Calibri"/>
          <w:lang w:val="en-US" w:eastAsia="en-US"/>
        </w:rPr>
        <w:t xml:space="preserve"> </w:t>
      </w:r>
      <w:r w:rsidR="00376AED" w:rsidRPr="00475EEE">
        <w:rPr>
          <w:rFonts w:eastAsia="Calibri"/>
          <w:lang w:val="en-US" w:eastAsia="en-US"/>
        </w:rPr>
        <w:t xml:space="preserve">and PA.    </w:t>
      </w:r>
    </w:p>
    <w:p w14:paraId="067440D8" w14:textId="3B382B9A" w:rsidR="005E0AF9" w:rsidRPr="00475EEE" w:rsidRDefault="00611A0C" w:rsidP="006B3578">
      <w:pPr>
        <w:spacing w:after="160" w:line="480" w:lineRule="auto"/>
        <w:jc w:val="both"/>
        <w:rPr>
          <w:rFonts w:eastAsia="Calibri"/>
          <w:lang w:val="en-US" w:eastAsia="en-US"/>
        </w:rPr>
      </w:pPr>
      <w:r>
        <w:rPr>
          <w:rFonts w:eastAsia="Calibri"/>
          <w:lang w:val="en-US" w:eastAsia="en-US"/>
        </w:rPr>
        <w:t>Participants with missing</w:t>
      </w:r>
      <w:r w:rsidRPr="00475EEE">
        <w:rPr>
          <w:rFonts w:eastAsia="Calibri"/>
          <w:lang w:val="en-US" w:eastAsia="en-US"/>
        </w:rPr>
        <w:t xml:space="preserve"> </w:t>
      </w:r>
      <w:r w:rsidR="00D459C4" w:rsidRPr="00475EEE">
        <w:rPr>
          <w:rFonts w:eastAsia="Calibri"/>
          <w:lang w:val="en-US" w:eastAsia="en-US"/>
        </w:rPr>
        <w:t xml:space="preserve">data </w:t>
      </w:r>
      <w:r w:rsidR="00FD5FBA">
        <w:rPr>
          <w:rFonts w:eastAsia="Calibri"/>
          <w:lang w:val="en-US" w:eastAsia="en-US"/>
        </w:rPr>
        <w:t xml:space="preserve">(2%) </w:t>
      </w:r>
      <w:r w:rsidR="00D459C4" w:rsidRPr="00475EEE">
        <w:rPr>
          <w:rFonts w:eastAsia="Calibri"/>
          <w:lang w:val="en-US" w:eastAsia="en-US"/>
        </w:rPr>
        <w:t xml:space="preserve">were </w:t>
      </w:r>
      <w:r w:rsidR="007B614A" w:rsidRPr="00475EEE">
        <w:rPr>
          <w:rFonts w:eastAsia="Calibri"/>
          <w:lang w:val="en-US" w:eastAsia="en-US"/>
        </w:rPr>
        <w:t>discarded</w:t>
      </w:r>
      <w:r w:rsidR="00D459C4" w:rsidRPr="00475EEE">
        <w:rPr>
          <w:rFonts w:eastAsia="Calibri"/>
          <w:lang w:val="en-US" w:eastAsia="en-US"/>
        </w:rPr>
        <w:t xml:space="preserve"> fr</w:t>
      </w:r>
      <w:r w:rsidR="000C6130" w:rsidRPr="00475EEE">
        <w:rPr>
          <w:rFonts w:eastAsia="Calibri"/>
          <w:lang w:val="en-US" w:eastAsia="en-US"/>
        </w:rPr>
        <w:t>om</w:t>
      </w:r>
      <w:r w:rsidR="00D459C4" w:rsidRPr="00475EEE">
        <w:rPr>
          <w:rFonts w:eastAsia="Calibri"/>
          <w:lang w:val="en-US" w:eastAsia="en-US"/>
        </w:rPr>
        <w:t xml:space="preserve"> the analyses. </w:t>
      </w:r>
      <w:r w:rsidR="007B614A" w:rsidRPr="00475EEE">
        <w:rPr>
          <w:rFonts w:eastAsia="Calibri"/>
          <w:lang w:val="en-US" w:eastAsia="en-US"/>
        </w:rPr>
        <w:t xml:space="preserve">We </w:t>
      </w:r>
      <w:r w:rsidR="00D459C4" w:rsidRPr="00475EEE">
        <w:rPr>
          <w:rFonts w:eastAsia="Calibri"/>
          <w:lang w:val="en-US" w:eastAsia="en-US"/>
        </w:rPr>
        <w:t xml:space="preserve">calculated </w:t>
      </w:r>
      <w:r w:rsidR="004340C3">
        <w:rPr>
          <w:rFonts w:eastAsia="Calibri"/>
          <w:lang w:val="en-US" w:eastAsia="en-US"/>
        </w:rPr>
        <w:t xml:space="preserve">adjusted </w:t>
      </w:r>
      <w:r w:rsidR="00D459C4" w:rsidRPr="00475EEE">
        <w:rPr>
          <w:rFonts w:eastAsia="Calibri"/>
          <w:lang w:val="en-US" w:eastAsia="en-US"/>
        </w:rPr>
        <w:t>odds ratios (</w:t>
      </w:r>
      <w:r w:rsidR="004340C3">
        <w:rPr>
          <w:rFonts w:eastAsia="Calibri"/>
          <w:lang w:val="en-US" w:eastAsia="en-US"/>
        </w:rPr>
        <w:t>A</w:t>
      </w:r>
      <w:r w:rsidR="00D459C4" w:rsidRPr="00475EEE">
        <w:rPr>
          <w:rFonts w:eastAsia="Calibri"/>
          <w:lang w:val="en-US" w:eastAsia="en-US"/>
        </w:rPr>
        <w:t>ORs) with</w:t>
      </w:r>
      <w:r w:rsidR="007B614A" w:rsidRPr="00475EEE">
        <w:rPr>
          <w:rFonts w:eastAsia="Calibri"/>
          <w:lang w:val="en-US" w:eastAsia="en-US"/>
        </w:rPr>
        <w:t xml:space="preserve"> 95% confidence intervals (CIs) through logistic regression analyses. </w:t>
      </w:r>
      <w:r w:rsidR="00D459C4" w:rsidRPr="00475EEE">
        <w:rPr>
          <w:rFonts w:eastAsia="Calibri"/>
          <w:lang w:val="en-US" w:eastAsia="en-US"/>
        </w:rPr>
        <w:t>The level of statistic</w:t>
      </w:r>
      <w:r w:rsidR="003177A8" w:rsidRPr="00475EEE">
        <w:rPr>
          <w:rFonts w:eastAsia="Calibri"/>
          <w:lang w:val="en-US" w:eastAsia="en-US"/>
        </w:rPr>
        <w:t>al s</w:t>
      </w:r>
      <w:r w:rsidR="00FC5BB9" w:rsidRPr="00475EEE">
        <w:rPr>
          <w:rFonts w:eastAsia="Calibri"/>
          <w:lang w:val="en-US" w:eastAsia="en-US"/>
        </w:rPr>
        <w:t>ignificance was set at P</w:t>
      </w:r>
      <w:r w:rsidR="003177A8" w:rsidRPr="00475EEE">
        <w:rPr>
          <w:rFonts w:eastAsia="Calibri"/>
          <w:lang w:val="en-US" w:eastAsia="en-US"/>
        </w:rPr>
        <w:t>&lt;</w:t>
      </w:r>
      <w:r w:rsidR="00D459C4" w:rsidRPr="00475EEE">
        <w:rPr>
          <w:rFonts w:eastAsia="Calibri"/>
          <w:lang w:val="en-US" w:eastAsia="en-US"/>
        </w:rPr>
        <w:t xml:space="preserve">0.05. </w:t>
      </w:r>
    </w:p>
    <w:p w14:paraId="7038B730" w14:textId="139A70C0" w:rsidR="001B025A" w:rsidRPr="00D15C3A" w:rsidRDefault="00733C2C" w:rsidP="006B3578">
      <w:pPr>
        <w:spacing w:after="160" w:line="480" w:lineRule="auto"/>
        <w:jc w:val="both"/>
        <w:rPr>
          <w:rFonts w:eastAsia="Calibri"/>
          <w:b/>
          <w:lang w:val="en-US" w:eastAsia="en-US"/>
        </w:rPr>
      </w:pPr>
      <w:r w:rsidRPr="00D15C3A">
        <w:rPr>
          <w:rFonts w:eastAsia="Calibri"/>
          <w:b/>
          <w:lang w:val="en-US" w:eastAsia="en-US"/>
        </w:rPr>
        <w:t>Results</w:t>
      </w:r>
    </w:p>
    <w:p w14:paraId="4AD8A047" w14:textId="66E99461" w:rsidR="001B025A" w:rsidRPr="00475EEE" w:rsidRDefault="001B025A" w:rsidP="006B3578">
      <w:pPr>
        <w:spacing w:after="160" w:line="480" w:lineRule="auto"/>
        <w:jc w:val="both"/>
        <w:rPr>
          <w:rFonts w:eastAsia="Calibri"/>
          <w:lang w:val="en-US" w:eastAsia="en-US"/>
        </w:rPr>
      </w:pPr>
      <w:r w:rsidRPr="00475EEE">
        <w:rPr>
          <w:rFonts w:eastAsia="Calibri"/>
          <w:lang w:val="en-US" w:eastAsia="en-US"/>
        </w:rPr>
        <w:t>Table 1 shows the characteristics of the study sample</w:t>
      </w:r>
      <w:r w:rsidR="00FD5FBA">
        <w:rPr>
          <w:rFonts w:eastAsia="Calibri"/>
          <w:lang w:val="en-US" w:eastAsia="en-US"/>
        </w:rPr>
        <w:t xml:space="preserve"> (n = </w:t>
      </w:r>
      <w:r w:rsidR="00FD5FBA" w:rsidRPr="00FD5FBA">
        <w:rPr>
          <w:rFonts w:eastAsia="Calibri"/>
          <w:lang w:val="en-US" w:eastAsia="en-US"/>
        </w:rPr>
        <w:t>9695</w:t>
      </w:r>
      <w:r w:rsidR="00FD5FBA">
        <w:rPr>
          <w:rFonts w:eastAsia="Calibri"/>
          <w:lang w:val="en-US" w:eastAsia="en-US"/>
        </w:rPr>
        <w:t>)</w:t>
      </w:r>
      <w:r w:rsidRPr="00475EEE">
        <w:rPr>
          <w:rFonts w:eastAsia="Calibri"/>
          <w:lang w:val="en-US" w:eastAsia="en-US"/>
        </w:rPr>
        <w:t xml:space="preserve">. It comprises a general population of Spanish workers (56.6% men) </w:t>
      </w:r>
      <w:r w:rsidR="009C64CB" w:rsidRPr="00475EEE">
        <w:rPr>
          <w:rFonts w:eastAsia="Calibri"/>
          <w:lang w:val="en-US" w:eastAsia="en-US"/>
        </w:rPr>
        <w:t xml:space="preserve">with a mean age of </w:t>
      </w:r>
      <w:r w:rsidRPr="00475EEE">
        <w:rPr>
          <w:rFonts w:eastAsia="Calibri"/>
          <w:lang w:val="en-US" w:eastAsia="en-US"/>
        </w:rPr>
        <w:t>44.4</w:t>
      </w:r>
      <w:r w:rsidR="00B84247" w:rsidRPr="00475EEE">
        <w:rPr>
          <w:rFonts w:eastAsia="Calibri"/>
          <w:lang w:val="en-US" w:eastAsia="en-US"/>
        </w:rPr>
        <w:t xml:space="preserve"> y</w:t>
      </w:r>
      <w:r w:rsidR="006E30BE" w:rsidRPr="00475EEE">
        <w:rPr>
          <w:rFonts w:eastAsia="Calibri"/>
          <w:lang w:val="en-US" w:eastAsia="en-US"/>
        </w:rPr>
        <w:t>ears</w:t>
      </w:r>
      <w:r w:rsidRPr="00475EEE">
        <w:rPr>
          <w:rFonts w:eastAsia="Calibri"/>
          <w:lang w:val="en-US" w:eastAsia="en-US"/>
        </w:rPr>
        <w:t xml:space="preserve"> (</w:t>
      </w:r>
      <w:r w:rsidR="003177A8" w:rsidRPr="00475EEE">
        <w:rPr>
          <w:rFonts w:eastAsia="Calibri"/>
          <w:lang w:val="en-US" w:eastAsia="en-US"/>
        </w:rPr>
        <w:t>SD</w:t>
      </w:r>
      <w:r w:rsidR="00FD5FBA">
        <w:rPr>
          <w:rFonts w:eastAsia="Calibri"/>
          <w:lang w:val="en-US" w:eastAsia="en-US"/>
        </w:rPr>
        <w:t>,</w:t>
      </w:r>
      <w:r w:rsidR="003177A8" w:rsidRPr="00475EEE">
        <w:rPr>
          <w:rFonts w:eastAsia="Calibri"/>
          <w:lang w:val="en-US" w:eastAsia="en-US"/>
        </w:rPr>
        <w:t xml:space="preserve"> </w:t>
      </w:r>
      <w:r w:rsidRPr="00475EEE">
        <w:rPr>
          <w:rFonts w:eastAsia="Calibri"/>
          <w:lang w:val="en-US" w:eastAsia="en-US"/>
        </w:rPr>
        <w:t xml:space="preserve">10.4). </w:t>
      </w:r>
    </w:p>
    <w:p w14:paraId="738996BC" w14:textId="6E714B63" w:rsidR="001B025A" w:rsidRPr="00475EEE" w:rsidRDefault="001B025A" w:rsidP="006B3578">
      <w:pPr>
        <w:spacing w:after="160" w:line="480" w:lineRule="auto"/>
        <w:jc w:val="both"/>
        <w:rPr>
          <w:rFonts w:eastAsia="Calibri"/>
          <w:lang w:val="en-US" w:eastAsia="en-US"/>
        </w:rPr>
      </w:pPr>
      <w:r w:rsidRPr="00475EEE">
        <w:rPr>
          <w:rFonts w:eastAsia="Calibri"/>
          <w:lang w:val="en-US" w:eastAsia="en-US"/>
        </w:rPr>
        <w:t xml:space="preserve">A majority of </w:t>
      </w:r>
      <w:r w:rsidR="008D6205" w:rsidRPr="00475EEE">
        <w:rPr>
          <w:rFonts w:eastAsia="Calibri"/>
          <w:lang w:val="en-US" w:eastAsia="en-US"/>
        </w:rPr>
        <w:t xml:space="preserve">the </w:t>
      </w:r>
      <w:r w:rsidRPr="00475EEE">
        <w:rPr>
          <w:rFonts w:eastAsia="Calibri"/>
          <w:lang w:val="en-US" w:eastAsia="en-US"/>
        </w:rPr>
        <w:t>workers (69.</w:t>
      </w:r>
      <w:r w:rsidR="00DD38FA">
        <w:rPr>
          <w:rFonts w:eastAsia="Calibri"/>
          <w:lang w:val="en-US" w:eastAsia="en-US"/>
        </w:rPr>
        <w:t>6</w:t>
      </w:r>
      <w:r w:rsidRPr="00475EEE">
        <w:rPr>
          <w:rFonts w:eastAsia="Calibri"/>
          <w:lang w:val="en-US" w:eastAsia="en-US"/>
        </w:rPr>
        <w:t xml:space="preserve">%) </w:t>
      </w:r>
      <w:r w:rsidR="003F4FCA" w:rsidRPr="00475EEE">
        <w:rPr>
          <w:rFonts w:eastAsia="Calibri"/>
          <w:lang w:val="en-US" w:eastAsia="en-US"/>
        </w:rPr>
        <w:t>reached</w:t>
      </w:r>
      <w:r w:rsidRPr="00475EEE">
        <w:rPr>
          <w:rFonts w:eastAsia="Calibri"/>
          <w:lang w:val="en-US" w:eastAsia="en-US"/>
        </w:rPr>
        <w:t xml:space="preserve"> the WHO guidelines </w:t>
      </w:r>
      <w:r w:rsidR="0003321E">
        <w:rPr>
          <w:rFonts w:eastAsia="Calibri"/>
          <w:lang w:val="en-US" w:eastAsia="en-US"/>
        </w:rPr>
        <w:t>regarding weekly PA</w:t>
      </w:r>
      <w:r w:rsidR="007F720F" w:rsidRPr="00475EEE">
        <w:rPr>
          <w:rFonts w:eastAsia="Calibri"/>
          <w:lang w:val="en-US" w:eastAsia="en-US"/>
        </w:rPr>
        <w:t xml:space="preserve"> </w:t>
      </w:r>
      <w:r w:rsidRPr="00475EEE">
        <w:rPr>
          <w:rFonts w:eastAsia="Calibri"/>
          <w:lang w:val="en-US" w:eastAsia="en-US"/>
        </w:rPr>
        <w:t>(</w:t>
      </w:r>
      <w:r w:rsidR="0003321E">
        <w:rPr>
          <w:rFonts w:eastAsia="Calibri"/>
          <w:lang w:val="en-US" w:eastAsia="en-US"/>
        </w:rPr>
        <w:t xml:space="preserve">≥600 MET-minutes/week of </w:t>
      </w:r>
      <w:r w:rsidR="0003321E" w:rsidRPr="0003321E">
        <w:rPr>
          <w:rFonts w:eastAsia="Calibri"/>
          <w:lang w:val="en-US" w:eastAsia="en-US"/>
        </w:rPr>
        <w:t>PA</w:t>
      </w:r>
      <w:r w:rsidRPr="00475EEE">
        <w:rPr>
          <w:rFonts w:eastAsia="Calibri"/>
          <w:lang w:val="en-US" w:eastAsia="en-US"/>
        </w:rPr>
        <w:t>).</w:t>
      </w:r>
      <w:r w:rsidR="00DD38FA">
        <w:rPr>
          <w:rFonts w:eastAsia="Calibri"/>
          <w:lang w:val="en-US" w:eastAsia="en-US"/>
        </w:rPr>
        <w:t xml:space="preserve"> Significant differences among subgroups in relation to prevalence of </w:t>
      </w:r>
      <w:r w:rsidR="00D27DD1" w:rsidRPr="00475EEE">
        <w:rPr>
          <w:rFonts w:eastAsia="Calibri"/>
          <w:lang w:val="en-US" w:eastAsia="en-US"/>
        </w:rPr>
        <w:t xml:space="preserve">chronic </w:t>
      </w:r>
      <w:r w:rsidR="006F2CFC">
        <w:rPr>
          <w:rFonts w:eastAsia="Calibri"/>
          <w:lang w:val="en-US" w:eastAsia="en-US"/>
        </w:rPr>
        <w:t xml:space="preserve">conditions </w:t>
      </w:r>
      <w:r w:rsidR="00DD38FA">
        <w:rPr>
          <w:rFonts w:eastAsia="Calibri"/>
          <w:lang w:val="en-US" w:eastAsia="en-US"/>
        </w:rPr>
        <w:t xml:space="preserve">were found for most of the covariates: age, sex, BMI, smoking status, educational level, occupational class, and occupational PA.  </w:t>
      </w:r>
    </w:p>
    <w:p w14:paraId="0068AD6D" w14:textId="086E812F" w:rsidR="002777E4" w:rsidRPr="00475EEE" w:rsidRDefault="003877E0" w:rsidP="006B3578">
      <w:pPr>
        <w:spacing w:after="160" w:line="480" w:lineRule="auto"/>
        <w:jc w:val="both"/>
        <w:rPr>
          <w:rFonts w:eastAsia="Calibri"/>
          <w:lang w:val="en-US" w:eastAsia="en-US"/>
        </w:rPr>
      </w:pPr>
      <w:r w:rsidRPr="00475EEE">
        <w:rPr>
          <w:rFonts w:eastAsia="Calibri"/>
          <w:lang w:val="en-US" w:eastAsia="en-US"/>
        </w:rPr>
        <w:t>The</w:t>
      </w:r>
      <w:r w:rsidR="001B025A" w:rsidRPr="00475EEE">
        <w:rPr>
          <w:rFonts w:eastAsia="Calibri"/>
          <w:lang w:val="en-US" w:eastAsia="en-US"/>
        </w:rPr>
        <w:t xml:space="preserve"> f</w:t>
      </w:r>
      <w:r w:rsidR="00E600EC" w:rsidRPr="00475EEE">
        <w:rPr>
          <w:rFonts w:eastAsia="Calibri"/>
          <w:lang w:val="en-US" w:eastAsia="en-US"/>
        </w:rPr>
        <w:t>inal</w:t>
      </w:r>
      <w:r w:rsidR="001B025A" w:rsidRPr="00475EEE">
        <w:rPr>
          <w:rFonts w:eastAsia="Calibri"/>
          <w:lang w:val="en-US" w:eastAsia="en-US"/>
        </w:rPr>
        <w:t xml:space="preserve"> adjusted m</w:t>
      </w:r>
      <w:r w:rsidRPr="00475EEE">
        <w:rPr>
          <w:rFonts w:eastAsia="Calibri"/>
          <w:lang w:val="en-US" w:eastAsia="en-US"/>
        </w:rPr>
        <w:t>odel on the entire study sample showed tha</w:t>
      </w:r>
      <w:r w:rsidR="008D6205" w:rsidRPr="00475EEE">
        <w:rPr>
          <w:rFonts w:eastAsia="Calibri"/>
          <w:lang w:val="en-US" w:eastAsia="en-US"/>
        </w:rPr>
        <w:t>t</w:t>
      </w:r>
      <w:r w:rsidR="001B025A" w:rsidRPr="00475EEE">
        <w:rPr>
          <w:rFonts w:eastAsia="Calibri"/>
          <w:lang w:val="en-US" w:eastAsia="en-US"/>
        </w:rPr>
        <w:t xml:space="preserve"> less than 600 MET-minutes/week of PA was associated with significantly higher odds for </w:t>
      </w:r>
      <w:r w:rsidR="00DD3062" w:rsidRPr="00475EEE">
        <w:rPr>
          <w:rFonts w:eastAsia="Calibri"/>
          <w:lang w:val="en-US" w:eastAsia="en-US"/>
        </w:rPr>
        <w:t xml:space="preserve">chronic </w:t>
      </w:r>
      <w:r w:rsidR="006F2CFC">
        <w:rPr>
          <w:rFonts w:eastAsia="Calibri"/>
          <w:lang w:val="en-US" w:eastAsia="en-US"/>
        </w:rPr>
        <w:t>condition</w:t>
      </w:r>
      <w:r w:rsidR="006F2CFC" w:rsidRPr="00475EEE">
        <w:rPr>
          <w:rFonts w:eastAsia="Calibri"/>
          <w:lang w:val="en-US" w:eastAsia="en-US"/>
        </w:rPr>
        <w:t xml:space="preserve"> </w:t>
      </w:r>
      <w:r w:rsidR="00346579" w:rsidRPr="00475EEE">
        <w:rPr>
          <w:rFonts w:eastAsia="Calibri"/>
          <w:lang w:val="en-US" w:eastAsia="en-US"/>
        </w:rPr>
        <w:t>(</w:t>
      </w:r>
      <w:proofErr w:type="spellStart"/>
      <w:r w:rsidR="00B94CCC">
        <w:rPr>
          <w:rFonts w:eastAsia="Calibri"/>
          <w:lang w:val="en-US" w:eastAsia="en-US"/>
        </w:rPr>
        <w:t>a</w:t>
      </w:r>
      <w:r w:rsidR="00346579" w:rsidRPr="00475EEE">
        <w:rPr>
          <w:rFonts w:eastAsia="Calibri"/>
          <w:lang w:val="en-US" w:eastAsia="en-US"/>
        </w:rPr>
        <w:t>OR</w:t>
      </w:r>
      <w:proofErr w:type="spellEnd"/>
      <w:r w:rsidR="00FD5FBA">
        <w:rPr>
          <w:rFonts w:eastAsia="Calibri"/>
          <w:lang w:val="en-US" w:eastAsia="en-US"/>
        </w:rPr>
        <w:t xml:space="preserve"> =</w:t>
      </w:r>
      <w:r w:rsidR="00346579" w:rsidRPr="00475EEE">
        <w:rPr>
          <w:rFonts w:eastAsia="Calibri"/>
          <w:lang w:val="en-US" w:eastAsia="en-US"/>
        </w:rPr>
        <w:t xml:space="preserve"> </w:t>
      </w:r>
      <w:r w:rsidRPr="00475EEE">
        <w:rPr>
          <w:rFonts w:eastAsia="Calibri"/>
          <w:lang w:val="en-US" w:eastAsia="en-US"/>
        </w:rPr>
        <w:t>1.18</w:t>
      </w:r>
      <w:r w:rsidR="00D11EB7">
        <w:rPr>
          <w:rFonts w:eastAsia="Calibri"/>
          <w:lang w:val="en-US" w:eastAsia="en-US"/>
        </w:rPr>
        <w:t>;</w:t>
      </w:r>
      <w:r w:rsidR="00346579" w:rsidRPr="00475EEE">
        <w:rPr>
          <w:rFonts w:eastAsia="Calibri"/>
          <w:lang w:val="en-US" w:eastAsia="en-US"/>
        </w:rPr>
        <w:t xml:space="preserve"> </w:t>
      </w:r>
      <w:r w:rsidR="00AE71CE" w:rsidRPr="00475EEE">
        <w:rPr>
          <w:rFonts w:eastAsia="Calibri"/>
          <w:lang w:val="en-US" w:eastAsia="en-US"/>
        </w:rPr>
        <w:t xml:space="preserve">95% </w:t>
      </w:r>
      <w:r w:rsidR="00346579" w:rsidRPr="00475EEE">
        <w:rPr>
          <w:rFonts w:eastAsia="Calibri"/>
          <w:lang w:val="en-US" w:eastAsia="en-US"/>
        </w:rPr>
        <w:t>CI</w:t>
      </w:r>
      <w:r w:rsidR="00FD5FBA">
        <w:rPr>
          <w:rFonts w:eastAsia="Calibri"/>
          <w:lang w:val="en-US" w:eastAsia="en-US"/>
        </w:rPr>
        <w:t>,</w:t>
      </w:r>
      <w:r w:rsidR="00346579" w:rsidRPr="00475EEE">
        <w:rPr>
          <w:rFonts w:eastAsia="Calibri"/>
          <w:lang w:val="en-US" w:eastAsia="en-US"/>
        </w:rPr>
        <w:t xml:space="preserve"> 1.07-</w:t>
      </w:r>
      <w:r w:rsidRPr="00475EEE">
        <w:rPr>
          <w:rFonts w:eastAsia="Calibri"/>
          <w:lang w:val="en-US" w:eastAsia="en-US"/>
        </w:rPr>
        <w:t>1.30) (Table 2). Women, h</w:t>
      </w:r>
      <w:r w:rsidR="001B025A" w:rsidRPr="00475EEE">
        <w:rPr>
          <w:rFonts w:eastAsia="Calibri"/>
          <w:lang w:val="en-US" w:eastAsia="en-US"/>
        </w:rPr>
        <w:t xml:space="preserve">igher age, former </w:t>
      </w:r>
      <w:r w:rsidRPr="00475EEE">
        <w:rPr>
          <w:rFonts w:eastAsia="Calibri"/>
          <w:lang w:val="en-US" w:eastAsia="en-US"/>
        </w:rPr>
        <w:t xml:space="preserve">and current </w:t>
      </w:r>
      <w:r w:rsidR="001B025A" w:rsidRPr="00475EEE">
        <w:rPr>
          <w:rFonts w:eastAsia="Calibri"/>
          <w:lang w:val="en-US" w:eastAsia="en-US"/>
        </w:rPr>
        <w:t xml:space="preserve">smoker, </w:t>
      </w:r>
      <w:r w:rsidRPr="00475EEE">
        <w:rPr>
          <w:rFonts w:eastAsia="Calibri"/>
          <w:lang w:val="en-US" w:eastAsia="en-US"/>
        </w:rPr>
        <w:t>primary and secondary education</w:t>
      </w:r>
      <w:r w:rsidR="001B025A" w:rsidRPr="00475EEE">
        <w:rPr>
          <w:rFonts w:eastAsia="Calibri"/>
          <w:lang w:val="en-US" w:eastAsia="en-US"/>
        </w:rPr>
        <w:t xml:space="preserve">, </w:t>
      </w:r>
      <w:r w:rsidRPr="00475EEE">
        <w:rPr>
          <w:rFonts w:eastAsia="Calibri"/>
          <w:lang w:val="en-US" w:eastAsia="en-US"/>
        </w:rPr>
        <w:t xml:space="preserve">obesity and overweight condition, and no weekly fruit consumption </w:t>
      </w:r>
      <w:r w:rsidR="00F60872">
        <w:rPr>
          <w:rFonts w:eastAsia="Calibri"/>
          <w:lang w:val="en-US" w:eastAsia="en-US"/>
        </w:rPr>
        <w:t xml:space="preserve">subgroups </w:t>
      </w:r>
      <w:r w:rsidR="001B025A" w:rsidRPr="00475EEE">
        <w:rPr>
          <w:rFonts w:eastAsia="Calibri"/>
          <w:lang w:val="en-US" w:eastAsia="en-US"/>
        </w:rPr>
        <w:t xml:space="preserve">were also associated with significantly higher odds for </w:t>
      </w:r>
      <w:r w:rsidR="00D27DD1" w:rsidRPr="00475EEE">
        <w:rPr>
          <w:rFonts w:eastAsia="Calibri"/>
          <w:lang w:val="en-US" w:eastAsia="en-US"/>
        </w:rPr>
        <w:t xml:space="preserve">chronic </w:t>
      </w:r>
      <w:r w:rsidR="006F2CFC">
        <w:rPr>
          <w:rFonts w:eastAsia="Calibri"/>
          <w:lang w:val="en-US" w:eastAsia="en-US"/>
        </w:rPr>
        <w:t>condition</w:t>
      </w:r>
      <w:r w:rsidR="006F2CFC" w:rsidRPr="00475EEE">
        <w:rPr>
          <w:rFonts w:eastAsia="Calibri"/>
          <w:lang w:val="en-US" w:eastAsia="en-US"/>
        </w:rPr>
        <w:t xml:space="preserve"> </w:t>
      </w:r>
      <w:r w:rsidRPr="00475EEE">
        <w:rPr>
          <w:rFonts w:eastAsia="Calibri"/>
          <w:lang w:val="en-US" w:eastAsia="en-US"/>
        </w:rPr>
        <w:t>compared with their reference in each covariate</w:t>
      </w:r>
      <w:r w:rsidR="00EC69B2">
        <w:rPr>
          <w:rFonts w:eastAsia="Calibri"/>
          <w:lang w:val="en-US" w:eastAsia="en-US"/>
        </w:rPr>
        <w:t xml:space="preserve">, whereas </w:t>
      </w:r>
      <w:r w:rsidR="00F60872">
        <w:rPr>
          <w:rFonts w:eastAsia="Calibri"/>
          <w:lang w:val="en-US" w:eastAsia="en-US"/>
        </w:rPr>
        <w:t xml:space="preserve">the contrary, significant lower odds for chronic </w:t>
      </w:r>
      <w:r w:rsidR="006F2CFC">
        <w:rPr>
          <w:rFonts w:eastAsia="Calibri"/>
          <w:lang w:val="en-US" w:eastAsia="en-US"/>
        </w:rPr>
        <w:t>condition</w:t>
      </w:r>
      <w:r w:rsidR="00F60872">
        <w:rPr>
          <w:rFonts w:eastAsia="Calibri"/>
          <w:lang w:val="en-US" w:eastAsia="en-US"/>
        </w:rPr>
        <w:t xml:space="preserve"> occur with the occupational class subgroup I</w:t>
      </w:r>
      <w:r w:rsidR="00EC69B2">
        <w:rPr>
          <w:rFonts w:eastAsia="Calibri"/>
          <w:lang w:val="en-US" w:eastAsia="en-US"/>
        </w:rPr>
        <w:t xml:space="preserve"> </w:t>
      </w:r>
      <w:r w:rsidRPr="00475EEE">
        <w:rPr>
          <w:rFonts w:eastAsia="Calibri"/>
          <w:lang w:val="en-US" w:eastAsia="en-US"/>
        </w:rPr>
        <w:t xml:space="preserve"> </w:t>
      </w:r>
      <w:r w:rsidR="00F60872">
        <w:rPr>
          <w:rFonts w:eastAsia="Calibri"/>
          <w:lang w:val="en-US" w:eastAsia="en-US"/>
        </w:rPr>
        <w:t xml:space="preserve">when compared with its reference </w:t>
      </w:r>
      <w:r w:rsidR="001B025A" w:rsidRPr="00475EEE">
        <w:rPr>
          <w:rFonts w:eastAsia="Calibri"/>
          <w:lang w:val="en-US" w:eastAsia="en-US"/>
        </w:rPr>
        <w:t xml:space="preserve">(Table 2). </w:t>
      </w:r>
    </w:p>
    <w:p w14:paraId="4AD1DD47" w14:textId="718BEAF0" w:rsidR="001B025A" w:rsidRDefault="003877E0" w:rsidP="006B3578">
      <w:pPr>
        <w:spacing w:after="160" w:line="480" w:lineRule="auto"/>
        <w:jc w:val="both"/>
        <w:rPr>
          <w:rFonts w:eastAsia="Calibri"/>
          <w:lang w:val="en-US" w:eastAsia="en-US"/>
        </w:rPr>
      </w:pPr>
      <w:r w:rsidRPr="00475EEE">
        <w:rPr>
          <w:rFonts w:eastAsia="Calibri"/>
          <w:lang w:val="en-US" w:eastAsia="en-US"/>
        </w:rPr>
        <w:lastRenderedPageBreak/>
        <w:t xml:space="preserve">In sex and age segmented and adjusted analyses (Table 3), the </w:t>
      </w:r>
      <w:r w:rsidR="001B025A" w:rsidRPr="00475EEE">
        <w:rPr>
          <w:rFonts w:eastAsia="Calibri"/>
          <w:lang w:val="en-US" w:eastAsia="en-US"/>
        </w:rPr>
        <w:t xml:space="preserve">association between PA and </w:t>
      </w:r>
      <w:r w:rsidR="00D27DD1" w:rsidRPr="00475EEE">
        <w:rPr>
          <w:rFonts w:eastAsia="Calibri"/>
          <w:lang w:val="en-US" w:eastAsia="en-US"/>
        </w:rPr>
        <w:t xml:space="preserve">chronic </w:t>
      </w:r>
      <w:r w:rsidR="006F2CFC">
        <w:rPr>
          <w:rFonts w:eastAsia="Calibri"/>
          <w:lang w:val="en-US" w:eastAsia="en-US"/>
        </w:rPr>
        <w:t>condition</w:t>
      </w:r>
      <w:r w:rsidR="006F2CFC" w:rsidRPr="00475EEE">
        <w:rPr>
          <w:rFonts w:eastAsia="Calibri"/>
          <w:lang w:val="en-US" w:eastAsia="en-US"/>
        </w:rPr>
        <w:t xml:space="preserve">s </w:t>
      </w:r>
      <w:r w:rsidRPr="00475EEE">
        <w:rPr>
          <w:rFonts w:eastAsia="Calibri"/>
          <w:lang w:val="en-US" w:eastAsia="en-US"/>
        </w:rPr>
        <w:t>remained significant among the subgroup</w:t>
      </w:r>
      <w:r w:rsidR="001B025A" w:rsidRPr="00475EEE">
        <w:rPr>
          <w:rFonts w:eastAsia="Calibri"/>
          <w:lang w:val="en-US" w:eastAsia="en-US"/>
        </w:rPr>
        <w:t xml:space="preserve"> formed by </w:t>
      </w:r>
      <w:r w:rsidRPr="00475EEE">
        <w:rPr>
          <w:rFonts w:eastAsia="Calibri"/>
          <w:lang w:val="en-US" w:eastAsia="en-US"/>
        </w:rPr>
        <w:t>men</w:t>
      </w:r>
      <w:r w:rsidR="001B025A" w:rsidRPr="00475EEE">
        <w:rPr>
          <w:rFonts w:eastAsia="Calibri"/>
          <w:lang w:val="en-US" w:eastAsia="en-US"/>
        </w:rPr>
        <w:t xml:space="preserve"> aged </w:t>
      </w:r>
      <w:r w:rsidR="00AE71CE" w:rsidRPr="00475EEE">
        <w:rPr>
          <w:rFonts w:eastAsia="Calibri"/>
          <w:lang w:val="en-US" w:eastAsia="en-US"/>
        </w:rPr>
        <w:t>17 to 44</w:t>
      </w:r>
      <w:r w:rsidR="00B84247" w:rsidRPr="00475EEE">
        <w:rPr>
          <w:rFonts w:eastAsia="Calibri"/>
          <w:lang w:val="en-US" w:eastAsia="en-US"/>
        </w:rPr>
        <w:t xml:space="preserve"> y</w:t>
      </w:r>
      <w:r w:rsidR="006E30BE" w:rsidRPr="00475EEE">
        <w:rPr>
          <w:rFonts w:eastAsia="Calibri"/>
          <w:lang w:val="en-US" w:eastAsia="en-US"/>
        </w:rPr>
        <w:t>ears</w:t>
      </w:r>
      <w:r w:rsidR="00346579" w:rsidRPr="00475EEE">
        <w:rPr>
          <w:rFonts w:eastAsia="Calibri"/>
          <w:lang w:val="en-US" w:eastAsia="en-US"/>
        </w:rPr>
        <w:t xml:space="preserve"> (</w:t>
      </w:r>
      <w:proofErr w:type="spellStart"/>
      <w:r w:rsidR="00B94CCC">
        <w:rPr>
          <w:rFonts w:eastAsia="Calibri"/>
          <w:lang w:val="en-US" w:eastAsia="en-US"/>
        </w:rPr>
        <w:t>a</w:t>
      </w:r>
      <w:r w:rsidR="00346579" w:rsidRPr="00475EEE">
        <w:rPr>
          <w:rFonts w:eastAsia="Calibri"/>
          <w:lang w:val="en-US" w:eastAsia="en-US"/>
        </w:rPr>
        <w:t>OR</w:t>
      </w:r>
      <w:proofErr w:type="spellEnd"/>
      <w:r w:rsidR="00FD5FBA">
        <w:rPr>
          <w:rFonts w:eastAsia="Calibri"/>
          <w:lang w:val="en-US" w:eastAsia="en-US"/>
        </w:rPr>
        <w:t xml:space="preserve"> = </w:t>
      </w:r>
      <w:r w:rsidR="00346579" w:rsidRPr="00475EEE">
        <w:rPr>
          <w:rFonts w:eastAsia="Calibri"/>
          <w:lang w:val="en-US" w:eastAsia="en-US"/>
        </w:rPr>
        <w:t>1.21</w:t>
      </w:r>
      <w:r w:rsidR="00D11EB7">
        <w:rPr>
          <w:rFonts w:eastAsia="Calibri"/>
          <w:lang w:val="en-US" w:eastAsia="en-US"/>
        </w:rPr>
        <w:t>;</w:t>
      </w:r>
      <w:r w:rsidR="00346579" w:rsidRPr="00475EEE">
        <w:rPr>
          <w:rFonts w:eastAsia="Calibri"/>
          <w:lang w:val="en-US" w:eastAsia="en-US"/>
        </w:rPr>
        <w:t xml:space="preserve"> 95% CI</w:t>
      </w:r>
      <w:r w:rsidR="00FD5FBA">
        <w:rPr>
          <w:rFonts w:eastAsia="Calibri"/>
          <w:lang w:val="en-US" w:eastAsia="en-US"/>
        </w:rPr>
        <w:t>,</w:t>
      </w:r>
      <w:r w:rsidR="00346579" w:rsidRPr="00475EEE">
        <w:rPr>
          <w:rFonts w:eastAsia="Calibri"/>
          <w:lang w:val="en-US" w:eastAsia="en-US"/>
        </w:rPr>
        <w:t xml:space="preserve"> 1.00-</w:t>
      </w:r>
      <w:r w:rsidRPr="00475EEE">
        <w:rPr>
          <w:rFonts w:eastAsia="Calibri"/>
          <w:lang w:val="en-US" w:eastAsia="en-US"/>
        </w:rPr>
        <w:t>1.46)</w:t>
      </w:r>
      <w:r w:rsidR="001B025A" w:rsidRPr="00475EEE">
        <w:rPr>
          <w:rFonts w:eastAsia="Calibri"/>
          <w:lang w:val="en-US" w:eastAsia="en-US"/>
        </w:rPr>
        <w:t>.</w:t>
      </w:r>
    </w:p>
    <w:p w14:paraId="7513DE99" w14:textId="59FB5BA2" w:rsidR="00982126" w:rsidRPr="00475EEE" w:rsidRDefault="00982126" w:rsidP="006B3578">
      <w:pPr>
        <w:spacing w:after="160" w:line="480" w:lineRule="auto"/>
        <w:jc w:val="both"/>
        <w:rPr>
          <w:rFonts w:eastAsia="Calibri"/>
          <w:lang w:val="en-US" w:eastAsia="en-US"/>
        </w:rPr>
      </w:pPr>
      <w:r>
        <w:rPr>
          <w:rFonts w:eastAsia="Calibri"/>
          <w:lang w:val="en-US" w:eastAsia="en-US"/>
        </w:rPr>
        <w:t xml:space="preserve">Finally, table 4 shows associations between PA and each of the examined chronic </w:t>
      </w:r>
      <w:r w:rsidR="006F2CFC">
        <w:rPr>
          <w:rFonts w:eastAsia="Calibri"/>
          <w:lang w:val="en-US" w:eastAsia="en-US"/>
        </w:rPr>
        <w:t>conditions</w:t>
      </w:r>
      <w:r>
        <w:rPr>
          <w:rFonts w:eastAsia="Calibri"/>
          <w:lang w:val="en-US" w:eastAsia="en-US"/>
        </w:rPr>
        <w:t>; achieving recommended PA guidelines associate with significant lower odds for low-back pain (</w:t>
      </w:r>
      <w:proofErr w:type="spellStart"/>
      <w:r w:rsidR="00B94CCC">
        <w:rPr>
          <w:rFonts w:eastAsia="Calibri"/>
          <w:lang w:val="en-US" w:eastAsia="en-US"/>
        </w:rPr>
        <w:t>a</w:t>
      </w:r>
      <w:r>
        <w:rPr>
          <w:rFonts w:eastAsia="Calibri"/>
          <w:lang w:val="en-US" w:eastAsia="en-US"/>
        </w:rPr>
        <w:t>OR</w:t>
      </w:r>
      <w:proofErr w:type="spellEnd"/>
      <w:r>
        <w:rPr>
          <w:rFonts w:eastAsia="Calibri"/>
          <w:lang w:val="en-US" w:eastAsia="en-US"/>
        </w:rPr>
        <w:t xml:space="preserve"> = 0.80</w:t>
      </w:r>
      <w:r w:rsidR="00D11EB7">
        <w:rPr>
          <w:rFonts w:eastAsia="Calibri"/>
          <w:lang w:val="en-US" w:eastAsia="en-US"/>
        </w:rPr>
        <w:t>;</w:t>
      </w:r>
      <w:r>
        <w:rPr>
          <w:rFonts w:eastAsia="Calibri"/>
          <w:lang w:val="en-US" w:eastAsia="en-US"/>
        </w:rPr>
        <w:t xml:space="preserve"> 95% CI, 0.70-0.91) and anxiety (</w:t>
      </w:r>
      <w:proofErr w:type="spellStart"/>
      <w:r w:rsidR="00B94CCC">
        <w:rPr>
          <w:rFonts w:eastAsia="Calibri"/>
          <w:lang w:val="en-US" w:eastAsia="en-US"/>
        </w:rPr>
        <w:t>a</w:t>
      </w:r>
      <w:r>
        <w:rPr>
          <w:rFonts w:eastAsia="Calibri"/>
          <w:lang w:val="en-US" w:eastAsia="en-US"/>
        </w:rPr>
        <w:t>OR</w:t>
      </w:r>
      <w:proofErr w:type="spellEnd"/>
      <w:r>
        <w:rPr>
          <w:rFonts w:eastAsia="Calibri"/>
          <w:lang w:val="en-US" w:eastAsia="en-US"/>
        </w:rPr>
        <w:t xml:space="preserve"> = 0.67</w:t>
      </w:r>
      <w:r w:rsidR="00D11EB7">
        <w:rPr>
          <w:rFonts w:eastAsia="Calibri"/>
          <w:lang w:val="en-US" w:eastAsia="en-US"/>
        </w:rPr>
        <w:t>;</w:t>
      </w:r>
      <w:r w:rsidRPr="00982126">
        <w:rPr>
          <w:rFonts w:eastAsia="Calibri"/>
          <w:lang w:val="en-US" w:eastAsia="en-US"/>
        </w:rPr>
        <w:t xml:space="preserve"> 95% CI, </w:t>
      </w:r>
      <w:r>
        <w:rPr>
          <w:rFonts w:eastAsia="Calibri"/>
          <w:lang w:val="en-US" w:eastAsia="en-US"/>
        </w:rPr>
        <w:t>0.54-</w:t>
      </w:r>
      <w:r w:rsidRPr="00982126">
        <w:rPr>
          <w:rFonts w:eastAsia="Calibri"/>
          <w:lang w:val="en-US" w:eastAsia="en-US"/>
        </w:rPr>
        <w:t>0.84)</w:t>
      </w:r>
      <w:r>
        <w:rPr>
          <w:rFonts w:eastAsia="Calibri"/>
          <w:lang w:val="en-US" w:eastAsia="en-US"/>
        </w:rPr>
        <w:t>.</w:t>
      </w:r>
    </w:p>
    <w:p w14:paraId="0219AA2E" w14:textId="7FE51D1A" w:rsidR="003877E0" w:rsidRPr="00D15C3A" w:rsidRDefault="00733C2C" w:rsidP="006B3578">
      <w:pPr>
        <w:spacing w:after="160" w:line="480" w:lineRule="auto"/>
        <w:jc w:val="both"/>
        <w:rPr>
          <w:rFonts w:eastAsia="Calibri"/>
          <w:b/>
          <w:lang w:val="en-US" w:eastAsia="en-US"/>
        </w:rPr>
      </w:pPr>
      <w:r w:rsidRPr="00D15C3A">
        <w:rPr>
          <w:rFonts w:eastAsia="Calibri"/>
          <w:b/>
          <w:lang w:val="en-US" w:eastAsia="en-US"/>
        </w:rPr>
        <w:t>Discussion</w:t>
      </w:r>
    </w:p>
    <w:p w14:paraId="11FED03F" w14:textId="1D950B63" w:rsidR="00C425C7" w:rsidRDefault="00224A99" w:rsidP="006B3578">
      <w:pPr>
        <w:spacing w:after="160" w:line="480" w:lineRule="auto"/>
        <w:jc w:val="both"/>
        <w:rPr>
          <w:rFonts w:eastAsia="Calibri"/>
          <w:lang w:val="en-US" w:eastAsia="en-US"/>
        </w:rPr>
      </w:pPr>
      <w:r w:rsidRPr="00475EEE">
        <w:rPr>
          <w:rFonts w:eastAsia="Calibri"/>
          <w:lang w:val="en-US" w:eastAsia="en-US"/>
        </w:rPr>
        <w:t xml:space="preserve">The present </w:t>
      </w:r>
      <w:r w:rsidR="00CC4E03" w:rsidRPr="00475EEE">
        <w:rPr>
          <w:rFonts w:eastAsia="Calibri"/>
          <w:lang w:val="en-US" w:eastAsia="en-US"/>
        </w:rPr>
        <w:t>study</w:t>
      </w:r>
      <w:r w:rsidRPr="00475EEE">
        <w:rPr>
          <w:rFonts w:eastAsia="Calibri"/>
          <w:lang w:val="en-US" w:eastAsia="en-US"/>
        </w:rPr>
        <w:t xml:space="preserve"> suggests</w:t>
      </w:r>
      <w:r w:rsidR="00CC4E03" w:rsidRPr="00475EEE">
        <w:rPr>
          <w:rFonts w:eastAsia="Calibri"/>
          <w:lang w:val="en-US" w:eastAsia="en-US"/>
        </w:rPr>
        <w:t xml:space="preserve"> that perform</w:t>
      </w:r>
      <w:r w:rsidR="000B3825" w:rsidRPr="00475EEE">
        <w:rPr>
          <w:rFonts w:eastAsia="Calibri"/>
          <w:lang w:val="en-US" w:eastAsia="en-US"/>
        </w:rPr>
        <w:t>ing</w:t>
      </w:r>
      <w:r w:rsidR="00CC4E03" w:rsidRPr="00475EEE">
        <w:rPr>
          <w:rFonts w:eastAsia="Calibri"/>
          <w:lang w:val="en-US" w:eastAsia="en-US"/>
        </w:rPr>
        <w:t xml:space="preserve"> less than 600 MET-minutes/week of PA is associated with significantly higher odds for </w:t>
      </w:r>
      <w:r w:rsidR="00733C2C" w:rsidRPr="00475EEE">
        <w:rPr>
          <w:rFonts w:eastAsia="Calibri"/>
          <w:lang w:val="en-US" w:eastAsia="en-US"/>
        </w:rPr>
        <w:t xml:space="preserve">chronic </w:t>
      </w:r>
      <w:r w:rsidR="00B94CCC">
        <w:rPr>
          <w:rFonts w:eastAsia="Calibri"/>
          <w:lang w:val="en-US" w:eastAsia="en-US"/>
        </w:rPr>
        <w:t>conditions</w:t>
      </w:r>
      <w:r w:rsidR="00B94CCC" w:rsidRPr="00475EEE">
        <w:rPr>
          <w:rFonts w:eastAsia="Calibri"/>
          <w:lang w:val="en-US" w:eastAsia="en-US"/>
        </w:rPr>
        <w:t xml:space="preserve"> </w:t>
      </w:r>
      <w:r w:rsidR="00CC4E03" w:rsidRPr="00475EEE">
        <w:rPr>
          <w:rFonts w:eastAsia="Calibri"/>
          <w:lang w:val="en-US" w:eastAsia="en-US"/>
        </w:rPr>
        <w:t xml:space="preserve">among a general population of Spanish workers. When stratified by sex and age, men aged 17 to 44 </w:t>
      </w:r>
      <w:r w:rsidR="00B84247" w:rsidRPr="00475EEE">
        <w:rPr>
          <w:rFonts w:eastAsia="Calibri"/>
          <w:lang w:val="en-US" w:eastAsia="en-US"/>
        </w:rPr>
        <w:t>y</w:t>
      </w:r>
      <w:r w:rsidR="006E30BE" w:rsidRPr="00475EEE">
        <w:rPr>
          <w:rFonts w:eastAsia="Calibri"/>
          <w:lang w:val="en-US" w:eastAsia="en-US"/>
        </w:rPr>
        <w:t>ears</w:t>
      </w:r>
      <w:r w:rsidR="00C70669">
        <w:rPr>
          <w:rFonts w:eastAsia="Calibri"/>
          <w:lang w:val="en-US" w:eastAsia="en-US"/>
        </w:rPr>
        <w:t xml:space="preserve"> not achieving </w:t>
      </w:r>
      <w:r w:rsidR="00CC4E03" w:rsidRPr="00475EEE">
        <w:rPr>
          <w:rFonts w:eastAsia="Calibri"/>
          <w:lang w:val="en-US" w:eastAsia="en-US"/>
        </w:rPr>
        <w:t>600 MET-minutes/week of PA</w:t>
      </w:r>
      <w:r w:rsidR="00C70669">
        <w:rPr>
          <w:rFonts w:eastAsia="Calibri"/>
          <w:lang w:val="en-US" w:eastAsia="en-US"/>
        </w:rPr>
        <w:t xml:space="preserve"> had more odds for chronic </w:t>
      </w:r>
      <w:r w:rsidR="00B94CCC">
        <w:rPr>
          <w:rFonts w:eastAsia="Calibri"/>
          <w:lang w:val="en-US" w:eastAsia="en-US"/>
        </w:rPr>
        <w:t xml:space="preserve">conditions </w:t>
      </w:r>
      <w:r w:rsidR="00C70669">
        <w:rPr>
          <w:rFonts w:eastAsia="Calibri"/>
          <w:lang w:val="en-US" w:eastAsia="en-US"/>
        </w:rPr>
        <w:t>than the other subgroups</w:t>
      </w:r>
      <w:r w:rsidR="00CC4E03" w:rsidRPr="00475EEE">
        <w:rPr>
          <w:rFonts w:eastAsia="Calibri"/>
          <w:lang w:val="en-US" w:eastAsia="en-US"/>
        </w:rPr>
        <w:t xml:space="preserve">. </w:t>
      </w:r>
      <w:r w:rsidR="00C70669">
        <w:rPr>
          <w:rFonts w:eastAsia="Calibri"/>
          <w:lang w:val="en-US" w:eastAsia="en-US"/>
        </w:rPr>
        <w:t>In addition</w:t>
      </w:r>
      <w:r w:rsidR="003F2CDC" w:rsidRPr="00475EEE">
        <w:rPr>
          <w:rFonts w:eastAsia="Calibri"/>
          <w:lang w:val="en-US" w:eastAsia="en-US"/>
        </w:rPr>
        <w:t xml:space="preserve">, </w:t>
      </w:r>
      <w:r w:rsidR="00CC4E03" w:rsidRPr="00475EEE">
        <w:rPr>
          <w:rFonts w:eastAsia="Calibri"/>
          <w:lang w:val="en-US" w:eastAsia="en-US"/>
        </w:rPr>
        <w:t xml:space="preserve">those participants reporting less than 600 MET-minutes/week of PA </w:t>
      </w:r>
      <w:r w:rsidR="00E600EC" w:rsidRPr="00475EEE">
        <w:rPr>
          <w:rFonts w:eastAsia="Calibri"/>
          <w:lang w:val="en-US" w:eastAsia="en-US"/>
        </w:rPr>
        <w:t xml:space="preserve">were found to have </w:t>
      </w:r>
      <w:r w:rsidR="00C70669">
        <w:rPr>
          <w:rFonts w:eastAsia="Calibri"/>
          <w:lang w:val="en-US" w:eastAsia="en-US"/>
        </w:rPr>
        <w:t>significant higher odds for experiencing</w:t>
      </w:r>
      <w:r w:rsidR="00CC4E03" w:rsidRPr="00475EEE">
        <w:rPr>
          <w:rFonts w:eastAsia="Calibri"/>
          <w:lang w:val="en-US" w:eastAsia="en-US"/>
        </w:rPr>
        <w:t xml:space="preserve"> low</w:t>
      </w:r>
      <w:r w:rsidR="00A651D2">
        <w:rPr>
          <w:rFonts w:eastAsia="Calibri"/>
          <w:lang w:val="en-US" w:eastAsia="en-US"/>
        </w:rPr>
        <w:t>-</w:t>
      </w:r>
      <w:r w:rsidR="00CC4E03" w:rsidRPr="00475EEE">
        <w:rPr>
          <w:rFonts w:eastAsia="Calibri"/>
          <w:lang w:val="en-US" w:eastAsia="en-US"/>
        </w:rPr>
        <w:t>back pain and anxiety</w:t>
      </w:r>
      <w:r w:rsidR="00C425C7">
        <w:rPr>
          <w:rFonts w:eastAsia="Calibri"/>
          <w:lang w:val="en-US" w:eastAsia="en-US"/>
        </w:rPr>
        <w:t xml:space="preserve">. </w:t>
      </w:r>
      <w:r w:rsidR="00E600EC" w:rsidRPr="00475EEE">
        <w:rPr>
          <w:rFonts w:eastAsia="Calibri"/>
          <w:lang w:val="en-US" w:eastAsia="en-US"/>
        </w:rPr>
        <w:t>Th</w:t>
      </w:r>
      <w:r w:rsidR="00C425C7">
        <w:rPr>
          <w:rFonts w:eastAsia="Calibri"/>
          <w:lang w:val="en-US" w:eastAsia="en-US"/>
        </w:rPr>
        <w:t>ese</w:t>
      </w:r>
      <w:r w:rsidR="00E600EC" w:rsidRPr="00475EEE">
        <w:rPr>
          <w:rFonts w:eastAsia="Calibri"/>
          <w:lang w:val="en-US" w:eastAsia="en-US"/>
        </w:rPr>
        <w:t xml:space="preserve"> </w:t>
      </w:r>
      <w:r w:rsidR="00860864" w:rsidRPr="00475EEE">
        <w:rPr>
          <w:rFonts w:eastAsia="Calibri"/>
          <w:lang w:val="en-US" w:eastAsia="en-US"/>
        </w:rPr>
        <w:t xml:space="preserve">results are </w:t>
      </w:r>
      <w:r w:rsidR="00C70669">
        <w:rPr>
          <w:rFonts w:eastAsia="Calibri"/>
          <w:lang w:val="en-US" w:eastAsia="en-US"/>
        </w:rPr>
        <w:t>consistent</w:t>
      </w:r>
      <w:r w:rsidR="00860864" w:rsidRPr="00475EEE">
        <w:rPr>
          <w:rFonts w:eastAsia="Calibri"/>
          <w:lang w:val="en-US" w:eastAsia="en-US"/>
        </w:rPr>
        <w:t xml:space="preserve"> with </w:t>
      </w:r>
      <w:r w:rsidR="003832A5">
        <w:rPr>
          <w:rFonts w:eastAsia="Calibri"/>
          <w:lang w:val="en-US" w:eastAsia="en-US"/>
        </w:rPr>
        <w:t xml:space="preserve">our </w:t>
      </w:r>
      <w:r w:rsidR="00A651D2">
        <w:rPr>
          <w:rFonts w:eastAsia="Calibri"/>
          <w:lang w:val="en-US" w:eastAsia="en-US"/>
        </w:rPr>
        <w:t>hypothesi</w:t>
      </w:r>
      <w:r w:rsidR="003832A5">
        <w:rPr>
          <w:rFonts w:eastAsia="Calibri"/>
          <w:lang w:val="en-US" w:eastAsia="en-US"/>
        </w:rPr>
        <w:t xml:space="preserve">s </w:t>
      </w:r>
      <w:r w:rsidR="00A651D2">
        <w:rPr>
          <w:rFonts w:eastAsia="Calibri"/>
          <w:lang w:val="en-US" w:eastAsia="en-US"/>
        </w:rPr>
        <w:t>as well as with</w:t>
      </w:r>
      <w:r w:rsidR="003832A5">
        <w:rPr>
          <w:rFonts w:eastAsia="Calibri"/>
          <w:lang w:val="en-US" w:eastAsia="en-US"/>
        </w:rPr>
        <w:t xml:space="preserve"> </w:t>
      </w:r>
      <w:r w:rsidR="00C70669">
        <w:rPr>
          <w:rFonts w:eastAsia="Calibri"/>
          <w:lang w:val="en-US" w:eastAsia="en-US"/>
        </w:rPr>
        <w:t>previous research</w:t>
      </w:r>
      <w:r w:rsidR="00860864" w:rsidRPr="00475EEE">
        <w:rPr>
          <w:rFonts w:eastAsia="Calibri"/>
          <w:lang w:val="en-US" w:eastAsia="en-US"/>
        </w:rPr>
        <w:t xml:space="preserve">, which has observed </w:t>
      </w:r>
      <w:r w:rsidR="00942459">
        <w:rPr>
          <w:rFonts w:eastAsia="Calibri"/>
          <w:lang w:val="en-US" w:eastAsia="en-US"/>
        </w:rPr>
        <w:t>significant</w:t>
      </w:r>
      <w:r w:rsidR="00942459" w:rsidRPr="00475EEE">
        <w:rPr>
          <w:rFonts w:eastAsia="Calibri"/>
          <w:lang w:val="en-US" w:eastAsia="en-US"/>
        </w:rPr>
        <w:t xml:space="preserve"> </w:t>
      </w:r>
      <w:r w:rsidR="00860864" w:rsidRPr="00475EEE">
        <w:rPr>
          <w:rFonts w:eastAsia="Calibri"/>
          <w:lang w:val="en-US" w:eastAsia="en-US"/>
        </w:rPr>
        <w:t xml:space="preserve">associations between lower PA and </w:t>
      </w:r>
      <w:r w:rsidR="00376AED" w:rsidRPr="00475EEE">
        <w:rPr>
          <w:rFonts w:eastAsia="Calibri"/>
          <w:lang w:val="en-US" w:eastAsia="en-US"/>
        </w:rPr>
        <w:t xml:space="preserve">chronic </w:t>
      </w:r>
      <w:r w:rsidR="00C425C7">
        <w:rPr>
          <w:rFonts w:eastAsia="Calibri"/>
          <w:lang w:val="en-US" w:eastAsia="en-US"/>
        </w:rPr>
        <w:t>conditions</w:t>
      </w:r>
      <w:r w:rsidR="00860864" w:rsidRPr="00475EEE">
        <w:rPr>
          <w:rFonts w:eastAsia="Calibri"/>
          <w:lang w:val="en-US" w:eastAsia="en-US"/>
        </w:rPr>
        <w:t xml:space="preserve"> a</w:t>
      </w:r>
      <w:r w:rsidR="00D06E01" w:rsidRPr="00475EEE">
        <w:rPr>
          <w:rFonts w:eastAsia="Calibri"/>
          <w:lang w:val="en-US" w:eastAsia="en-US"/>
        </w:rPr>
        <w:t xml:space="preserve">mong a </w:t>
      </w:r>
      <w:r w:rsidR="007A1EC9">
        <w:rPr>
          <w:rFonts w:eastAsia="Calibri"/>
          <w:lang w:val="en-US" w:eastAsia="en-US"/>
        </w:rPr>
        <w:t xml:space="preserve">Spanish </w:t>
      </w:r>
      <w:r w:rsidR="002A1A6C">
        <w:rPr>
          <w:rFonts w:eastAsia="Calibri"/>
          <w:lang w:val="en-US" w:eastAsia="en-US"/>
        </w:rPr>
        <w:t xml:space="preserve">adult population </w:t>
      </w:r>
      <w:r w:rsidR="00FC5BB9" w:rsidRPr="00475EEE">
        <w:rPr>
          <w:rFonts w:eastAsia="Calibri"/>
          <w:noProof/>
          <w:lang w:val="en-US" w:eastAsia="en-US"/>
        </w:rPr>
        <w:fldChar w:fldCharType="begin" w:fldLock="1"/>
      </w:r>
      <w:r w:rsidR="002F36A0">
        <w:rPr>
          <w:rFonts w:eastAsia="Calibri"/>
          <w:noProof/>
          <w:lang w:val="en-US" w:eastAsia="en-US"/>
        </w:rPr>
        <w:instrText>ADDIN CSL_CITATION {"citationItems":[{"id":"ITEM-1","itemData":{"DOI":"10.1371/journal.pone.0191542","ISBN":"1111111111","ISSN":"19326203","PMID":"29352280","abstract":"Our aims were to describe physical activity (PA) behaviour in Spain and to examine its association with the prevalence of some of the major non-communicable diseases and with the use of prescription medication. Individualized secondary data retrieved from the 2014 European Health Interview Survey (EHIS) for Spain were used to conduct a cross-sectional epidemiological study (n = 18926). PA was assessed by two different measures: a specific designed variable for EHIS and a leisure time PA frequency-based query of the national survey. Diseases analyzed were hypertension, diabetes, hypercholesterolemia, depression and anxiety. The use of prescription medication was also included in the study. Weighted percentages were computed and contingency tables were calculated to describe PA by levels of the traits and sociodemographic characteristics. Chi-square test was used to compare percentages between groups and weighted logistic regression models were used to assess the relationship between PA and the prevalence of the disease. About 73% of the Spanish population performs no PA at all or only occasionally during their leisure time, and only one third meets minimum PA international guidelines (≥ 150min/week). Men are considerably more active than women and less PA is observed as the education level decreases and as age increases. The risk of the diseases evaluated was up to three times higher among inactive individuals. This study provides national population-based estimations highlighting the impact of PA in Spain, not only in the prevalence of some of the major non-communicable diseases but also in reducing prescription medication, and the potential sex and socioeconomic influence.","author":[{"dropping-particle":"","family":"Fernandez-Navarro","given":"Pablo","non-dropping-particle":"","parse-names":false,"suffix":""},{"dropping-particle":"","family":"Aragones","given":"María Teresa","non-dropping-particle":"","parse-names":false,"suffix":""},{"dropping-particle":"","family":"Ley","given":"Victoria","non-dropping-particle":"","parse-names":false,"suffix":""}],"container-title":"PLoS ONE","id":"ITEM-1","issue":"1","issued":{"date-parts":[["2018"]]},"page":"1-13","title":"Leisure-time physical activity and prevalence of non-communicable pathologies and prescription medication in Spain","type":"article-journal","volume":"13"},"uris":["http://www.mendeley.com/documents/?uuid=ab956931-e7d2-4622-a991-c96442bd7908"]}],"mendeley":{"formattedCitation":"(8)","plainTextFormattedCitation":"(8)","previouslyFormattedCitation":"(8)"},"properties":{"noteIndex":0},"schema":"https://github.com/citation-style-language/schema/raw/master/csl-citation.json"}</w:instrText>
      </w:r>
      <w:r w:rsidR="00FC5BB9" w:rsidRPr="00475EEE">
        <w:rPr>
          <w:rFonts w:eastAsia="Calibri"/>
          <w:noProof/>
          <w:lang w:val="en-US" w:eastAsia="en-US"/>
        </w:rPr>
        <w:fldChar w:fldCharType="separate"/>
      </w:r>
      <w:r w:rsidR="007E6799" w:rsidRPr="007E6799">
        <w:rPr>
          <w:rFonts w:eastAsia="Calibri"/>
          <w:noProof/>
          <w:lang w:val="en-US" w:eastAsia="en-US"/>
        </w:rPr>
        <w:t>(8)</w:t>
      </w:r>
      <w:r w:rsidR="00FC5BB9" w:rsidRPr="00475EEE">
        <w:rPr>
          <w:rFonts w:eastAsia="Calibri"/>
          <w:noProof/>
          <w:lang w:val="en-US" w:eastAsia="en-US"/>
        </w:rPr>
        <w:fldChar w:fldCharType="end"/>
      </w:r>
      <w:r w:rsidR="002A1A6C">
        <w:rPr>
          <w:rFonts w:eastAsia="Calibri"/>
          <w:noProof/>
          <w:lang w:val="en-US" w:eastAsia="en-US"/>
        </w:rPr>
        <w:t>.</w:t>
      </w:r>
      <w:r w:rsidR="00860864" w:rsidRPr="00475EEE">
        <w:rPr>
          <w:rFonts w:eastAsia="Calibri"/>
          <w:lang w:val="en-US" w:eastAsia="en-US"/>
        </w:rPr>
        <w:t xml:space="preserve"> </w:t>
      </w:r>
      <w:r w:rsidRPr="00475EEE">
        <w:rPr>
          <w:rFonts w:eastAsia="Calibri"/>
          <w:lang w:val="en-US" w:eastAsia="en-US"/>
        </w:rPr>
        <w:t>The present study</w:t>
      </w:r>
      <w:r w:rsidR="00376AED" w:rsidRPr="00475EEE">
        <w:rPr>
          <w:rFonts w:eastAsia="Calibri"/>
          <w:lang w:val="en-US" w:eastAsia="en-US"/>
        </w:rPr>
        <w:t xml:space="preserve"> adds </w:t>
      </w:r>
      <w:r w:rsidR="008078BD" w:rsidRPr="00475EEE">
        <w:rPr>
          <w:rFonts w:eastAsia="Calibri"/>
          <w:lang w:val="en-US" w:eastAsia="en-US"/>
        </w:rPr>
        <w:t xml:space="preserve">to </w:t>
      </w:r>
      <w:r w:rsidR="00376AED" w:rsidRPr="00475EEE">
        <w:rPr>
          <w:rFonts w:eastAsia="Calibri"/>
          <w:lang w:val="en-US" w:eastAsia="en-US"/>
        </w:rPr>
        <w:t>the</w:t>
      </w:r>
      <w:r w:rsidR="008078BD" w:rsidRPr="00475EEE">
        <w:rPr>
          <w:rFonts w:eastAsia="Calibri"/>
          <w:lang w:val="en-US" w:eastAsia="en-US"/>
        </w:rPr>
        <w:t xml:space="preserve"> existing literature</w:t>
      </w:r>
      <w:r w:rsidR="00376AED" w:rsidRPr="00475EEE">
        <w:rPr>
          <w:rFonts w:eastAsia="Calibri"/>
          <w:lang w:val="en-US" w:eastAsia="en-US"/>
        </w:rPr>
        <w:t xml:space="preserve"> the </w:t>
      </w:r>
      <w:r w:rsidR="003A3BD1">
        <w:rPr>
          <w:rFonts w:eastAsia="Calibri"/>
          <w:lang w:val="en-US" w:eastAsia="en-US"/>
        </w:rPr>
        <w:t xml:space="preserve">importance to achieve </w:t>
      </w:r>
      <w:r w:rsidR="00376AED" w:rsidRPr="00475EEE">
        <w:rPr>
          <w:rFonts w:eastAsia="Calibri"/>
          <w:lang w:val="en-US" w:eastAsia="en-US"/>
        </w:rPr>
        <w:t xml:space="preserve">PA international guidelines </w:t>
      </w:r>
      <w:r w:rsidR="003A3BD1">
        <w:rPr>
          <w:rFonts w:eastAsia="Calibri"/>
          <w:lang w:val="en-US" w:eastAsia="en-US"/>
        </w:rPr>
        <w:t xml:space="preserve">in order to prevent some of the most prevalent chronic conditions </w:t>
      </w:r>
      <w:r w:rsidR="00C425C7">
        <w:rPr>
          <w:rFonts w:eastAsia="Calibri"/>
          <w:lang w:val="en-US" w:eastAsia="en-US"/>
        </w:rPr>
        <w:t xml:space="preserve">usually experienced by working populations. </w:t>
      </w:r>
    </w:p>
    <w:p w14:paraId="5303BD79" w14:textId="3E0F41D5" w:rsidR="0085161F" w:rsidRDefault="00C425C7" w:rsidP="006B3578">
      <w:pPr>
        <w:spacing w:after="160" w:line="480" w:lineRule="auto"/>
        <w:jc w:val="both"/>
        <w:rPr>
          <w:rFonts w:eastAsia="Calibri"/>
          <w:lang w:val="en-US" w:eastAsia="en-US"/>
        </w:rPr>
      </w:pPr>
      <w:r>
        <w:rPr>
          <w:rFonts w:eastAsia="Calibri"/>
          <w:lang w:val="en-US" w:eastAsia="en-US"/>
        </w:rPr>
        <w:t>Because chronic conditions have been identified as major causes</w:t>
      </w:r>
      <w:r w:rsidR="006E1D97">
        <w:rPr>
          <w:rFonts w:eastAsia="Calibri"/>
          <w:lang w:val="en-US" w:eastAsia="en-US"/>
        </w:rPr>
        <w:t xml:space="preserve"> for sickness absenteeism</w:t>
      </w:r>
      <w:r>
        <w:rPr>
          <w:rFonts w:eastAsia="Calibri"/>
          <w:lang w:val="en-US" w:eastAsia="en-US"/>
        </w:rPr>
        <w:t xml:space="preserve"> and disability pension</w:t>
      </w:r>
      <w:r w:rsidR="004E6DD9">
        <w:rPr>
          <w:rFonts w:eastAsia="Calibri"/>
          <w:lang w:val="en-US" w:eastAsia="en-US"/>
        </w:rPr>
        <w:t xml:space="preserve"> </w:t>
      </w:r>
      <w:r w:rsidR="004E6DD9">
        <w:rPr>
          <w:rFonts w:eastAsia="Calibri"/>
          <w:lang w:val="en-US" w:eastAsia="en-US"/>
        </w:rPr>
        <w:fldChar w:fldCharType="begin" w:fldLock="1"/>
      </w:r>
      <w:r w:rsidR="002F36A0">
        <w:rPr>
          <w:rFonts w:eastAsia="Calibri"/>
          <w:lang w:val="en-US" w:eastAsia="en-US"/>
        </w:rPr>
        <w:instrText>ADDIN CSL_CITATION {"citationItems":[{"id":"ITEM-1","itemData":{"DOI":"10.2478/s13382-014-0256-x","ISSN":"12321087","abstract":"Objectives: Data on the prevalence of chronic diseases and their relationship with sickness absence in the Italian public employees are rather scarce. Therefore, in the first place, we assessed the distribution of chronic diseases in the employees of the University of Ferrara. As a next step, we investigated the possible associations between each chronic disease and cumulative days of all-cause sickness absence, and finally we investigated the odds ratio of each single chronic disease on sickness absence. Material and Methods: A total of 514 employees, 269 sick-listed and 245 not sick-listed in 2012, were studied. Demographical/clinical characteristics and chronic diseases were obtained from all study participants during medical surveillance procedures. Sickness absence days and job seniority data were obtained from the administrative office. Results: Gastrointestinal and psychiatric diseases were the most reported in the sick-listed sample (p = 0.01 and p = 0.02, respectively, compared to the not sick-listed). In the interquantile regression analysis, the sickness absence days were as?sociated with psychiatric diseases (β = 65.1, 95% CI: 13.2-117.1, p = 0.01) and with the presence of 2 or more chronic diseases (β = 23.3, 95% CI: 4.5-42, p = 0.02). Furthermore, the logistic regression analysis showed that the odds of sickness absence were increased 2 fold by psychiatric diseases (OR = 2.2, 95% CI: 1.01-4.93, p = 0.04), and gastrointestinal diseases (OR = 1.9, 95% CI: 1.07-3.42, p = 0.02) and, to a lesser extent, by high body mass index (OR = 1.05, 95% CI: 1-1.11, p = 0.03). Conversely, female gender reduced by half the odds of sickness absence (OR = 0.5, 95% CI: 0.3-0.8, p = 0.04). Conclusions: This study highlights the relevant association between chronic diseases and sickness absence in Italian public employees. Our findings indicate the importance of considering the health status when designing preventive interventions aimed at decreasing sickness absences in this population. © 2014 Versita Warsaw and Springer-Verlag Wien.","author":[{"dropping-particle":"","family":"Casimirri","given":"Enrico","non-dropping-particle":"","parse-names":false,"suffix":""},{"dropping-particle":"","family":"Vaccari","given":"Alice","non-dropping-particle":"","parse-names":false,"suffix":""},{"dropping-particle":"","family":"Schito","given":"Michela","non-dropping-particle":"","parse-names":false,"suffix":""},{"dropping-particle":"","family":"Bonci","given":"Melissa","non-dropping-particle":"","parse-names":false,"suffix":""},{"dropping-particle":"","family":"Stendardo","given":"Mariarita","non-dropping-particle":"","parse-names":false,"suffix":""},{"dropping-particle":"","family":"Stefanati","given":"Armando","non-dropping-particle":"","parse-names":false,"suffix":""},{"dropping-particle":"","family":"Nardini","given":"Marco","non-dropping-particle":"","parse-names":false,"suffix":""},{"dropping-particle":"","family":"Boschetto","given":"Piera","non-dropping-particle":"","parse-names":false,"suffix":""}],"container-title":"International Journal of Occupational Medicine and Environmental Health","id":"ITEM-1","issue":"3","issued":{"date-parts":[["2014"]]},"page":"343-354","title":"Chronic diseases are strongly associated with sickness absences in a sample of Italian public employees","type":"article-journal","volume":"27"},"uris":["http://www.mendeley.com/documents/?uuid=99f4acca-9737-4686-a4f7-872742007524"]},{"id":"ITEM-2","itemData":{"DOI":"10.1136/bmjopen-2017-020874","author":[{"dropping-particle":"","family":"Nexo","given":"Mette Andersen","non-dropping-particle":"","parse-names":false,"suffix":""},{"dropping-particle":"","family":"Carlsen","given":"Kathrine","non-dropping-particle":"","parse-names":false,"suffix":""},{"dropping-particle":"","family":"Pedersen","given":"Jacob","non-dropping-particle":"","parse-names":false,"suffix":""},{"dropping-particle":"","family":"Hetland","given":"Merete Lund","non-dropping-particle":"","parse-names":false,"suffix":""},{"dropping-particle":"","family":"Watt","given":"Torquil","non-dropping-particle":"","parse-names":false,"suffix":""},{"dropping-particle":"","family":"Hansen","given":"Sofie Mandrup","non-dropping-particle":"","parse-names":false,"suffix":""},{"dropping-particle":"","family":"Bjorner","given":"Jakob Bue","non-dropping-particle":"","parse-names":false,"suffix":""}],"id":"ITEM-2","issued":{"date-parts":[["2018"]]},"page":"1-10","title":"Long-term sickness absence of 32 chronic conditions : a Danish register- based longitudinal study with up to 17 years of follow-up","type":"article-journal"},"uris":["http://www.mendeley.com/documents/?uuid=fd3fdf7b-9fc3-475d-8552-e1328faced16"]}],"mendeley":{"formattedCitation":"(25,26)","plainTextFormattedCitation":"(25,26)","previouslyFormattedCitation":"(25,26)"},"properties":{"noteIndex":0},"schema":"https://github.com/citation-style-language/schema/raw/master/csl-citation.json"}</w:instrText>
      </w:r>
      <w:r w:rsidR="004E6DD9">
        <w:rPr>
          <w:rFonts w:eastAsia="Calibri"/>
          <w:lang w:val="en-US" w:eastAsia="en-US"/>
        </w:rPr>
        <w:fldChar w:fldCharType="separate"/>
      </w:r>
      <w:r w:rsidR="007E6799" w:rsidRPr="007E6799">
        <w:rPr>
          <w:rFonts w:eastAsia="Calibri"/>
          <w:noProof/>
          <w:lang w:val="en-US" w:eastAsia="en-US"/>
        </w:rPr>
        <w:t>(25,26)</w:t>
      </w:r>
      <w:r w:rsidR="004E6DD9">
        <w:rPr>
          <w:rFonts w:eastAsia="Calibri"/>
          <w:lang w:val="en-US" w:eastAsia="en-US"/>
        </w:rPr>
        <w:fldChar w:fldCharType="end"/>
      </w:r>
      <w:r>
        <w:rPr>
          <w:rFonts w:eastAsia="Calibri"/>
          <w:lang w:val="en-US" w:eastAsia="en-US"/>
        </w:rPr>
        <w:t xml:space="preserve">, it is of upmost importance to implement strategies in order to reduce </w:t>
      </w:r>
      <w:r w:rsidR="006E1D97">
        <w:rPr>
          <w:rFonts w:eastAsia="Calibri"/>
          <w:lang w:val="en-US" w:eastAsia="en-US"/>
        </w:rPr>
        <w:t xml:space="preserve">the current figures, and this study suggest that perform the recommended values </w:t>
      </w:r>
      <w:r w:rsidR="006E1D97">
        <w:rPr>
          <w:rFonts w:eastAsia="Calibri"/>
          <w:lang w:val="en-US" w:eastAsia="en-US"/>
        </w:rPr>
        <w:lastRenderedPageBreak/>
        <w:t>of PA could be a way forward. Both sickness absenteeism and disability pension entail a substantial</w:t>
      </w:r>
      <w:r w:rsidR="006E1D97" w:rsidRPr="006E1D97">
        <w:rPr>
          <w:rFonts w:eastAsia="Calibri"/>
          <w:lang w:val="en-US" w:eastAsia="en-US"/>
        </w:rPr>
        <w:t xml:space="preserve"> economic cost to society</w:t>
      </w:r>
      <w:r w:rsidR="0085161F">
        <w:rPr>
          <w:rFonts w:eastAsia="Calibri"/>
          <w:lang w:val="en-US" w:eastAsia="en-US"/>
        </w:rPr>
        <w:t xml:space="preserve"> </w:t>
      </w:r>
      <w:r w:rsidR="0085161F">
        <w:rPr>
          <w:rFonts w:eastAsia="Calibri"/>
          <w:lang w:val="en-US" w:eastAsia="en-US"/>
        </w:rPr>
        <w:fldChar w:fldCharType="begin" w:fldLock="1"/>
      </w:r>
      <w:r w:rsidR="002F36A0">
        <w:rPr>
          <w:rFonts w:eastAsia="Calibri"/>
          <w:lang w:val="en-US" w:eastAsia="en-US"/>
        </w:rPr>
        <w:instrText xml:space="preserve">ADDIN CSL_CITATION {"citationItems":[{"id":"ITEM-1","itemData":{"DOI":"10.1007/s41669-019-0150-3","ISBN":"0123456789","ISSN":"2509-4254","author":[{"dropping-particle":"","family":"Karampampa","given":"Korinna","non-dropping-particle":"","parse-names":false,"suffix":""},{"dropping-particle":"","family":"Gyllensten","given":"Hanna","non-dropping-particle":"","parse-names":false,"suffix":""},{"dropping-particle":"","family":"Yang","given":"Fei","non-dropping-particle":"","parse-names":false,"suffix":""},{"dropping-particle":"","family":"Murley","given":"Chantelle","non-dropping-particle":"","parse-names":false,"suffix":""},{"dropping-particle":"","family":"Friberg","given":"Emilie","non-dropping-particle":"","parse-names":false,"suffix":""},{"dropping-particle":"","family":"Hillert","given":"Jan","non-dropping-particle":"","parse-names":false,"suffix":""}],"container-title":"PharmacoEconomics - Open","id":"ITEM-1","issue":"1","issued":{"date-parts":[["2020"]]},"page":"91-103","publisher":"Springer International Publishing","title":"Healthcare , Sickness Absence , and Disability Pension Cost Trajectories in the First 5 Years After Diagnosis with Multiple Sclerosis : A Prospective Register </w:instrText>
      </w:r>
      <w:r w:rsidR="002F36A0">
        <w:rPr>
          <w:rFonts w:ascii="Cambria Math" w:eastAsia="Calibri" w:hAnsi="Cambria Math" w:cs="Cambria Math"/>
          <w:lang w:val="en-US" w:eastAsia="en-US"/>
        </w:rPr>
        <w:instrText>‑</w:instrText>
      </w:r>
      <w:r w:rsidR="002F36A0">
        <w:rPr>
          <w:rFonts w:eastAsia="Calibri"/>
          <w:lang w:val="en-US" w:eastAsia="en-US"/>
        </w:rPr>
        <w:instrText xml:space="preserve"> Based Cohort Study in Sweden","type":"article-journal","volume":"4"},"uris":["http://www.mendeley.com/documents/?uuid=17eace80-dc8c-4100-a65d-c7777f55419e"]}],"mendeley":{"formattedCitation":"(27)","plainTextFormattedCitation":"(27)","previouslyFormattedCitation":"(27)"},"properties":{"noteIndex":0},"schema":"https://github.com/citation-style-language/schema/raw/master/csl-citation.json"}</w:instrText>
      </w:r>
      <w:r w:rsidR="0085161F">
        <w:rPr>
          <w:rFonts w:eastAsia="Calibri"/>
          <w:lang w:val="en-US" w:eastAsia="en-US"/>
        </w:rPr>
        <w:fldChar w:fldCharType="separate"/>
      </w:r>
      <w:r w:rsidR="007E6799" w:rsidRPr="007E6799">
        <w:rPr>
          <w:rFonts w:eastAsia="Calibri"/>
          <w:noProof/>
          <w:lang w:val="en-US" w:eastAsia="en-US"/>
        </w:rPr>
        <w:t>(27)</w:t>
      </w:r>
      <w:r w:rsidR="0085161F">
        <w:rPr>
          <w:rFonts w:eastAsia="Calibri"/>
          <w:lang w:val="en-US" w:eastAsia="en-US"/>
        </w:rPr>
        <w:fldChar w:fldCharType="end"/>
      </w:r>
      <w:r w:rsidR="004E6DD9">
        <w:rPr>
          <w:rFonts w:eastAsia="Calibri"/>
          <w:lang w:val="en-US" w:eastAsia="en-US"/>
        </w:rPr>
        <w:t xml:space="preserve">, and </w:t>
      </w:r>
      <w:r w:rsidR="005915F7">
        <w:rPr>
          <w:rFonts w:eastAsia="Calibri"/>
          <w:lang w:val="en-US" w:eastAsia="en-US"/>
        </w:rPr>
        <w:t xml:space="preserve">constitute a </w:t>
      </w:r>
      <w:r w:rsidR="0085161F">
        <w:rPr>
          <w:rFonts w:eastAsia="Calibri"/>
          <w:lang w:val="en-US" w:eastAsia="en-US"/>
        </w:rPr>
        <w:t>public health issue</w:t>
      </w:r>
      <w:r w:rsidR="004E6DD9">
        <w:rPr>
          <w:rFonts w:eastAsia="Calibri"/>
          <w:lang w:val="en-US" w:eastAsia="en-US"/>
        </w:rPr>
        <w:t xml:space="preserve"> </w:t>
      </w:r>
      <w:r w:rsidR="004E6DD9">
        <w:rPr>
          <w:rFonts w:eastAsia="Calibri"/>
          <w:lang w:val="en-US" w:eastAsia="en-US"/>
        </w:rPr>
        <w:fldChar w:fldCharType="begin" w:fldLock="1"/>
      </w:r>
      <w:r w:rsidR="002F36A0">
        <w:rPr>
          <w:rFonts w:eastAsia="Calibri"/>
          <w:lang w:val="en-US" w:eastAsia="en-US"/>
        </w:rPr>
        <w:instrText>ADDIN CSL_CITATION {"citationItems":[{"id":"ITEM-1","itemData":{"author":[{"dropping-particle":"","family":"Björkenstam","given":"Charlotte","non-dropping-particle":"","parse-names":false,"suffix":""},{"dropping-particle":"","family":"Alexanderson","given":"Kristina","non-dropping-particle":"","parse-names":false,"suffix":""},{"dropping-particle":"","family":"Björkenstam","given":"Emma","non-dropping-particle":"","parse-names":false,"suffix":""},{"dropping-particle":"","family":"Lindholm","given":"Christina","non-dropping-particle":"","parse-names":false,"suffix":""},{"dropping-particle":"","family":"Mittendorfer-rutz","given":"Ellenor","non-dropping-particle":"","parse-names":false,"suffix":""}],"id":"ITEM-1","issued":{"date-parts":[["2014"]]},"page":"1-11","title":"Diagnosis-specific disability pension and risk of all-cause and cause-specific mortality – a cohort study of 4 . 9 million inhabitants in Sweden","type":"article-journal"},"uris":["http://www.mendeley.com/documents/?uuid=3647a89d-2a71-40d5-869f-67ffeff9ef86"]},{"id":"ITEM-2","itemData":{"DOI":"10.1136/jech.2008.074369","author":[{"dropping-particle":"","family":"Ferrie","given":"J E","non-dropping-particle":"","parse-names":false,"suffix":""},{"dropping-particle":"","family":"Vahtera","given":"J","non-dropping-particle":"","parse-names":false,"suffix":""},{"dropping-particle":"","family":"Kivima","given":"M","non-dropping-particle":"","parse-names":false,"suffix":""},{"dropping-particle":"","family":"Westerlund","given":"H","non-dropping-particle":"","parse-names":false,"suffix":""},{"dropping-particle":"","family":"Melchior","given":"M","non-dropping-particle":"","parse-names":false,"suffix":""},{"dropping-particle":"","family":"Alexanderson","given":"K","non-dropping-particle":"","parse-names":false,"suffix":""},{"dropping-particle":"","family":"Head","given":"J","non-dropping-particle":"","parse-names":false,"suffix":""},{"dropping-particle":"","family":"Chevalier","given":"A","non-dropping-particle":"","parse-names":false,"suffix":""},{"dropping-particle":"","family":"Leclerc","given":"A","non-dropping-particle":"","parse-names":false,"suffix":""},{"dropping-particle":"","family":"Zins","given":"M","non-dropping-particle":"","parse-names":false,"suffix":""},{"dropping-particle":"","family":"Goldberg","given":"M","non-dropping-particle":"","parse-names":false,"suffix":""}],"container-title":"Journal of Epidemiology &amp; Community Health","id":"ITEM-2","issue":"1","issued":{"date-parts":[["2009"]]},"page":"50-55","title":"Diagnosis-specific sickness absence and all-cause mortality in the GAZEL study","type":"article-journal","volume":"63"},"uris":["http://www.mendeley.com/documents/?uuid=d016076b-e723-4085-abf6-6da94d8504d3"]}],"mendeley":{"formattedCitation":"(28,29)","plainTextFormattedCitation":"(28,29)","previouslyFormattedCitation":"(28,29)"},"properties":{"noteIndex":0},"schema":"https://github.com/citation-style-language/schema/raw/master/csl-citation.json"}</w:instrText>
      </w:r>
      <w:r w:rsidR="004E6DD9">
        <w:rPr>
          <w:rFonts w:eastAsia="Calibri"/>
          <w:lang w:val="en-US" w:eastAsia="en-US"/>
        </w:rPr>
        <w:fldChar w:fldCharType="separate"/>
      </w:r>
      <w:r w:rsidR="007E6799" w:rsidRPr="007E6799">
        <w:rPr>
          <w:rFonts w:eastAsia="Calibri"/>
          <w:noProof/>
          <w:lang w:val="en-US" w:eastAsia="en-US"/>
        </w:rPr>
        <w:t>(28,29)</w:t>
      </w:r>
      <w:r w:rsidR="004E6DD9">
        <w:rPr>
          <w:rFonts w:eastAsia="Calibri"/>
          <w:lang w:val="en-US" w:eastAsia="en-US"/>
        </w:rPr>
        <w:fldChar w:fldCharType="end"/>
      </w:r>
      <w:r w:rsidR="004E6DD9">
        <w:rPr>
          <w:rFonts w:eastAsia="Calibri"/>
          <w:lang w:val="en-US" w:eastAsia="en-US"/>
        </w:rPr>
        <w:t xml:space="preserve">. </w:t>
      </w:r>
    </w:p>
    <w:p w14:paraId="69AF799E" w14:textId="030663D0" w:rsidR="0003755E" w:rsidRDefault="00C70D97" w:rsidP="006B3578">
      <w:pPr>
        <w:spacing w:after="160" w:line="480" w:lineRule="auto"/>
        <w:jc w:val="both"/>
        <w:rPr>
          <w:rFonts w:eastAsia="Calibri"/>
          <w:lang w:val="en-US" w:eastAsia="en-US"/>
        </w:rPr>
      </w:pPr>
      <w:r>
        <w:rPr>
          <w:rFonts w:eastAsia="Calibri"/>
          <w:lang w:val="en-US" w:eastAsia="en-US"/>
        </w:rPr>
        <w:t>Interestingly</w:t>
      </w:r>
      <w:r w:rsidR="00FE4BBF">
        <w:rPr>
          <w:rFonts w:eastAsia="Calibri"/>
          <w:lang w:val="en-US" w:eastAsia="en-US"/>
        </w:rPr>
        <w:t>, f</w:t>
      </w:r>
      <w:r w:rsidR="00411677" w:rsidRPr="00411677">
        <w:rPr>
          <w:rFonts w:eastAsia="Calibri"/>
          <w:lang w:val="en-US" w:eastAsia="en-US"/>
        </w:rPr>
        <w:t xml:space="preserve">indings from the present study </w:t>
      </w:r>
      <w:r w:rsidR="00411677">
        <w:rPr>
          <w:rFonts w:eastAsia="Calibri"/>
          <w:lang w:val="en-US" w:eastAsia="en-US"/>
        </w:rPr>
        <w:t xml:space="preserve">also </w:t>
      </w:r>
      <w:r w:rsidR="00411677" w:rsidRPr="00411677">
        <w:rPr>
          <w:rFonts w:eastAsia="Calibri"/>
          <w:lang w:val="en-US" w:eastAsia="en-US"/>
        </w:rPr>
        <w:t xml:space="preserve">suggest that older workers </w:t>
      </w:r>
      <w:r w:rsidR="00411677">
        <w:rPr>
          <w:rFonts w:eastAsia="Calibri"/>
          <w:lang w:val="en-US" w:eastAsia="en-US"/>
        </w:rPr>
        <w:t xml:space="preserve">not performing </w:t>
      </w:r>
      <w:r w:rsidR="0014577D">
        <w:rPr>
          <w:rFonts w:eastAsia="Calibri"/>
          <w:lang w:val="en-US" w:eastAsia="en-US"/>
        </w:rPr>
        <w:t xml:space="preserve">current </w:t>
      </w:r>
      <w:r w:rsidR="00411677">
        <w:rPr>
          <w:rFonts w:eastAsia="Calibri"/>
          <w:lang w:val="en-US" w:eastAsia="en-US"/>
        </w:rPr>
        <w:t xml:space="preserve">PA </w:t>
      </w:r>
      <w:r w:rsidR="0014577D">
        <w:rPr>
          <w:rFonts w:eastAsia="Calibri"/>
          <w:lang w:val="en-US" w:eastAsia="en-US"/>
        </w:rPr>
        <w:t xml:space="preserve">guidelines </w:t>
      </w:r>
      <w:r w:rsidR="00411677" w:rsidRPr="00411677">
        <w:rPr>
          <w:rFonts w:eastAsia="Calibri"/>
          <w:lang w:val="en-US" w:eastAsia="en-US"/>
        </w:rPr>
        <w:t xml:space="preserve">are more likely </w:t>
      </w:r>
      <w:r w:rsidR="0014577D">
        <w:rPr>
          <w:rFonts w:eastAsia="Calibri"/>
          <w:lang w:val="en-US" w:eastAsia="en-US"/>
        </w:rPr>
        <w:t>to experience chronic conditions that their younger counterparts</w:t>
      </w:r>
      <w:r w:rsidR="00411677" w:rsidRPr="00411677">
        <w:rPr>
          <w:rFonts w:eastAsia="Calibri"/>
          <w:lang w:val="en-US" w:eastAsia="en-US"/>
        </w:rPr>
        <w:t xml:space="preserve">. The aging process </w:t>
      </w:r>
      <w:r w:rsidR="0014577D">
        <w:rPr>
          <w:rFonts w:eastAsia="Calibri"/>
          <w:lang w:val="en-US" w:eastAsia="en-US"/>
        </w:rPr>
        <w:t xml:space="preserve">itself </w:t>
      </w:r>
      <w:r w:rsidR="00411677" w:rsidRPr="00411677">
        <w:rPr>
          <w:rFonts w:eastAsia="Calibri"/>
          <w:lang w:val="en-US" w:eastAsia="en-US"/>
        </w:rPr>
        <w:t xml:space="preserve">is usually related </w:t>
      </w:r>
      <w:r w:rsidR="00FD1066">
        <w:rPr>
          <w:rFonts w:eastAsia="Calibri"/>
          <w:lang w:val="en-US" w:eastAsia="en-US"/>
        </w:rPr>
        <w:t>to</w:t>
      </w:r>
      <w:r w:rsidR="00411677" w:rsidRPr="00411677">
        <w:rPr>
          <w:rFonts w:eastAsia="Calibri"/>
          <w:lang w:val="en-US" w:eastAsia="en-US"/>
        </w:rPr>
        <w:t xml:space="preserve"> a higher probability of </w:t>
      </w:r>
      <w:r w:rsidR="0014577D">
        <w:rPr>
          <w:rFonts w:eastAsia="Calibri"/>
          <w:lang w:val="en-US" w:eastAsia="en-US"/>
        </w:rPr>
        <w:t>experiencing</w:t>
      </w:r>
      <w:r w:rsidR="00411677" w:rsidRPr="00411677">
        <w:rPr>
          <w:rFonts w:eastAsia="Calibri"/>
          <w:lang w:val="en-US" w:eastAsia="en-US"/>
        </w:rPr>
        <w:t xml:space="preserve"> </w:t>
      </w:r>
      <w:r w:rsidR="0014577D">
        <w:rPr>
          <w:rFonts w:eastAsia="Calibri"/>
          <w:lang w:val="en-US" w:eastAsia="en-US"/>
        </w:rPr>
        <w:t xml:space="preserve">chronic conditions </w:t>
      </w:r>
      <w:r w:rsidR="0014577D">
        <w:rPr>
          <w:rFonts w:eastAsia="Calibri"/>
          <w:lang w:val="en-US" w:eastAsia="en-US"/>
        </w:rPr>
        <w:fldChar w:fldCharType="begin" w:fldLock="1"/>
      </w:r>
      <w:r w:rsidR="002F36A0">
        <w:rPr>
          <w:rFonts w:eastAsia="Calibri"/>
          <w:lang w:val="en-US" w:eastAsia="en-US"/>
        </w:rPr>
        <w:instrText>ADDIN CSL_CITATION {"citationItems":[{"id":"ITEM-1","itemData":{"DOI":"10.1016/j.cub.2012.07.024","ISSN":"09609822","abstract":"Age is the main risk factor for the prevalent diseases of developed countries: cancer, cardiovascular disease and neurodegeneration. The ageing process is deleterious for fitness, but can nonetheless evolve as a consequence of the declining force of natural selection at later ages, attributable to extrinsic hazards to survival: ageing can then occur as a side-effect of accumulation of mutations that lower fitness at later ages, or of natural selection in favour of mutations that increase fitness of the young but at the cost of a higher subsequent rate of ageing. Once thought of as an inexorable, complex and lineage-specific process of accumulation of damage, ageing has turned out to be influenced by mechanisms that show strong evolutionary conservation. Lowered activity of the nutrient-sensing insulin/insulin-like growth factor/Target of Rapamycin signalling network can extend healthy lifespan in yeast, multicellular invertebrates, mice and, possibly, humans. Mitochondrial activity can also promote ageing, while genome maintenance and autophagy can protect against it. We discuss the relationship between evolutionarily conserved mechanisms of ageing and disease, and the associated scientific challenges and opportunities. © 2012 Elsevier Ltd. All rights reserved.","author":[{"dropping-particle":"","family":"Niccoli","given":"Teresa","non-dropping-particle":"","parse-names":false,"suffix":""},{"dropping-particle":"","family":"Partridge","given":"Linda","non-dropping-particle":"","parse-names":false,"suffix":""}],"container-title":"Current Biology","id":"ITEM-1","issue":"17","issued":{"date-parts":[["2012"]]},"page":"R741-R752","publisher":"Elsevier Ltd","title":"Ageing as a risk factor for disease","type":"article-journal","volume":"22"},"uris":["http://www.mendeley.com/documents/?uuid=3fca7b75-6750-4357-8939-0d5c7a726ab7"]}],"mendeley":{"formattedCitation":"(30)","plainTextFormattedCitation":"(30)","previouslyFormattedCitation":"(30)"},"properties":{"noteIndex":0},"schema":"https://github.com/citation-style-language/schema/raw/master/csl-citation.json"}</w:instrText>
      </w:r>
      <w:r w:rsidR="0014577D">
        <w:rPr>
          <w:rFonts w:eastAsia="Calibri"/>
          <w:lang w:val="en-US" w:eastAsia="en-US"/>
        </w:rPr>
        <w:fldChar w:fldCharType="separate"/>
      </w:r>
      <w:r w:rsidR="007E6799" w:rsidRPr="007E6799">
        <w:rPr>
          <w:rFonts w:eastAsia="Calibri"/>
          <w:noProof/>
          <w:lang w:val="en-US" w:eastAsia="en-US"/>
        </w:rPr>
        <w:t>(30)</w:t>
      </w:r>
      <w:r w:rsidR="0014577D">
        <w:rPr>
          <w:rFonts w:eastAsia="Calibri"/>
          <w:lang w:val="en-US" w:eastAsia="en-US"/>
        </w:rPr>
        <w:fldChar w:fldCharType="end"/>
      </w:r>
      <w:r w:rsidR="00411677" w:rsidRPr="00411677">
        <w:rPr>
          <w:rFonts w:eastAsia="Calibri"/>
          <w:lang w:val="en-US" w:eastAsia="en-US"/>
        </w:rPr>
        <w:t xml:space="preserve">; however, </w:t>
      </w:r>
      <w:r>
        <w:rPr>
          <w:rFonts w:eastAsia="Calibri"/>
          <w:lang w:val="en-US" w:eastAsia="en-US"/>
        </w:rPr>
        <w:t>as observed</w:t>
      </w:r>
      <w:r w:rsidR="00FD1066">
        <w:rPr>
          <w:rFonts w:eastAsia="Calibri"/>
          <w:lang w:val="en-US" w:eastAsia="en-US"/>
        </w:rPr>
        <w:t xml:space="preserve"> in our results</w:t>
      </w:r>
      <w:r>
        <w:rPr>
          <w:rFonts w:eastAsia="Calibri"/>
          <w:lang w:val="en-US" w:eastAsia="en-US"/>
        </w:rPr>
        <w:t xml:space="preserve">, </w:t>
      </w:r>
      <w:r w:rsidR="0014577D">
        <w:rPr>
          <w:rFonts w:eastAsia="Calibri"/>
          <w:lang w:val="en-US" w:eastAsia="en-US"/>
        </w:rPr>
        <w:t xml:space="preserve">healthy habits such as performing regular PA could contribute to reduce the prevalence </w:t>
      </w:r>
      <w:r>
        <w:rPr>
          <w:rFonts w:eastAsia="Calibri"/>
          <w:lang w:val="en-US" w:eastAsia="en-US"/>
        </w:rPr>
        <w:t xml:space="preserve">of chronic conditions in </w:t>
      </w:r>
      <w:r w:rsidR="00DE3294">
        <w:rPr>
          <w:rFonts w:eastAsia="Calibri"/>
          <w:lang w:val="en-US" w:eastAsia="en-US"/>
        </w:rPr>
        <w:t xml:space="preserve">this </w:t>
      </w:r>
      <w:r w:rsidR="0003755E">
        <w:rPr>
          <w:rFonts w:eastAsia="Calibri"/>
          <w:lang w:val="en-US" w:eastAsia="en-US"/>
        </w:rPr>
        <w:t xml:space="preserve">specific </w:t>
      </w:r>
      <w:r w:rsidR="00432E5B">
        <w:rPr>
          <w:rFonts w:eastAsia="Calibri"/>
          <w:lang w:val="en-US" w:eastAsia="en-US"/>
        </w:rPr>
        <w:t xml:space="preserve">age </w:t>
      </w:r>
      <w:r w:rsidR="00DE3294">
        <w:rPr>
          <w:rFonts w:eastAsia="Calibri"/>
          <w:lang w:val="en-US" w:eastAsia="en-US"/>
        </w:rPr>
        <w:t xml:space="preserve">range. </w:t>
      </w:r>
      <w:r w:rsidR="002C15B9">
        <w:rPr>
          <w:rFonts w:eastAsia="Calibri"/>
          <w:lang w:val="en-US" w:eastAsia="en-US"/>
        </w:rPr>
        <w:t xml:space="preserve">As suggested by Brawner et al. </w:t>
      </w:r>
      <w:r w:rsidR="002C15B9">
        <w:rPr>
          <w:rFonts w:eastAsia="Calibri"/>
          <w:lang w:val="en-US" w:eastAsia="en-US"/>
        </w:rPr>
        <w:fldChar w:fldCharType="begin" w:fldLock="1"/>
      </w:r>
      <w:r w:rsidR="002F36A0">
        <w:rPr>
          <w:rFonts w:eastAsia="Calibri"/>
          <w:lang w:val="en-US" w:eastAsia="en-US"/>
        </w:rPr>
        <w:instrText>ADDIN CSL_CITATION {"citationItems":[{"id":"ITEM-1","itemData":{"DOI":"10.1249/MSS.0000000000000861","ISBN":"0000000000000","ISSN":"15300315","abstract":"Introduction Physical inactivity is associated with increased risk for morbidity and mortality and contributes to health care costs. Although data supporting the secondary preventive benefits of being physically active continues to grow, there is limited data on the prevalence of sufficient volume of leisure-time physical activity among individuals diagnosed with chronic disease. Purpose To describe the association between select chronic diseases and the prevalence of sufficient volume of aerobic leisure-time physical activity to achieve substantial health benefits (i.e., ≥150 min·wk -1) among adults in the United States. Methods Self-reported leisure-time physical activity (LTPA) and history of select chronic diseases were obtained from a nationally representative sample of noninstitutionalized civilian adults 18 yr or older in the United States who participated in the 2014 National Health Interview Survey (n = 36,697). Results Among all adults, the prevalence of sufficient volume of aerobic LTPA was 50.1% ± 0.5% (mean ± standard error). This prevalence was inversely related to age and was lower in women (47.1% ± 0.6%) compared with men (53.4% ± 0.6%; P &lt; 0.001). Prevalence of sufficient volume of aerobic LTPA was lower for each chronic disease (prevalence range = 26.1%-48.6%) compared with apparently healthy adults (53.6% ± 0.7%). Relative to no chronic disease, each additional chronic disease was associated with an odds ratio of 0.83 (95% confidence interval, 0.81-0.85; P &lt; 0.001) for sufficient volume of aerobic LTPA. Conclusions The prevalence of sufficient volume of aerobic LTPA to achieve substantial health benefits is inversely related to age and is lower among women and individuals with a chronic disease. Systems to regularly assess physical activity are needed as well as programs to help individuals be more active.","author":[{"dropping-particle":"","family":"Brawner","given":"Clinton A.","non-dropping-particle":"","parse-names":false,"suffix":""},{"dropping-particle":"","family":"Churilla","given":"James R.","non-dropping-particle":"","parse-names":false,"suffix":""},{"dropping-particle":"","family":"Keteyian","given":"Steven J.","non-dropping-particle":"","parse-names":false,"suffix":""}],"container-title":"Medicine and Science in Sports and Exercise","id":"ITEM-1","issue":"6","issued":{"date-parts":[["2016"]]},"page":"1062-1067","title":"Prevalence of physical activity is lower among individuals with chronic disease","type":"article-journal","volume":"48"},"uris":["http://www.mendeley.com/documents/?uuid=db4e9462-c323-46ea-82a2-b8af82cde762"]}],"mendeley":{"formattedCitation":"(11)","plainTextFormattedCitation":"(11)","previouslyFormattedCitation":"(11)"},"properties":{"noteIndex":0},"schema":"https://github.com/citation-style-language/schema/raw/master/csl-citation.json"}</w:instrText>
      </w:r>
      <w:r w:rsidR="002C15B9">
        <w:rPr>
          <w:rFonts w:eastAsia="Calibri"/>
          <w:lang w:val="en-US" w:eastAsia="en-US"/>
        </w:rPr>
        <w:fldChar w:fldCharType="separate"/>
      </w:r>
      <w:r w:rsidR="007E6799" w:rsidRPr="007E6799">
        <w:rPr>
          <w:rFonts w:eastAsia="Calibri"/>
          <w:noProof/>
          <w:lang w:val="en-US" w:eastAsia="en-US"/>
        </w:rPr>
        <w:t>(11)</w:t>
      </w:r>
      <w:r w:rsidR="002C15B9">
        <w:rPr>
          <w:rFonts w:eastAsia="Calibri"/>
          <w:lang w:val="en-US" w:eastAsia="en-US"/>
        </w:rPr>
        <w:fldChar w:fldCharType="end"/>
      </w:r>
      <w:r w:rsidR="002C15B9">
        <w:rPr>
          <w:rFonts w:eastAsia="Calibri"/>
          <w:lang w:val="en-US" w:eastAsia="en-US"/>
        </w:rPr>
        <w:t xml:space="preserve">, </w:t>
      </w:r>
      <w:r w:rsidR="00DE3294">
        <w:rPr>
          <w:rFonts w:eastAsia="Calibri"/>
          <w:lang w:val="en-US" w:eastAsia="en-US"/>
        </w:rPr>
        <w:t>there is still a chance that such association were bidirectional</w:t>
      </w:r>
      <w:r w:rsidR="002C15B9">
        <w:rPr>
          <w:rFonts w:eastAsia="Calibri"/>
          <w:lang w:val="en-US" w:eastAsia="en-US"/>
        </w:rPr>
        <w:t xml:space="preserve">, since </w:t>
      </w:r>
      <w:r w:rsidR="00FD1066">
        <w:rPr>
          <w:rFonts w:eastAsia="Calibri"/>
          <w:lang w:val="en-US" w:eastAsia="en-US"/>
        </w:rPr>
        <w:t>older adults</w:t>
      </w:r>
      <w:r w:rsidR="002C15B9">
        <w:rPr>
          <w:rFonts w:eastAsia="Calibri"/>
          <w:lang w:val="en-US" w:eastAsia="en-US"/>
        </w:rPr>
        <w:t xml:space="preserve"> with chronic conditions have been associated with lower PA levels. </w:t>
      </w:r>
      <w:r w:rsidR="0003755E">
        <w:rPr>
          <w:rFonts w:eastAsia="Calibri"/>
          <w:lang w:val="en-US" w:eastAsia="en-US"/>
        </w:rPr>
        <w:t xml:space="preserve">Particularly, our study found </w:t>
      </w:r>
      <w:r w:rsidR="001D2A34">
        <w:rPr>
          <w:rFonts w:eastAsia="Calibri"/>
          <w:lang w:val="en-US" w:eastAsia="en-US"/>
        </w:rPr>
        <w:t xml:space="preserve">PA significantly linked with lower prevalence </w:t>
      </w:r>
      <w:r w:rsidR="00845297">
        <w:rPr>
          <w:rFonts w:eastAsia="Calibri"/>
          <w:lang w:val="en-US" w:eastAsia="en-US"/>
        </w:rPr>
        <w:t>of low-back pain and anxiety, which supports the results of previous studies specifically focused on these conditions</w:t>
      </w:r>
      <w:r w:rsidR="00A651D2">
        <w:rPr>
          <w:rFonts w:eastAsia="Calibri"/>
          <w:lang w:val="en-US" w:eastAsia="en-US"/>
        </w:rPr>
        <w:t xml:space="preserve">; a meta-analysis of prospective cohort studies found </w:t>
      </w:r>
      <w:r w:rsidR="00A651D2" w:rsidRPr="00A651D2">
        <w:rPr>
          <w:rFonts w:eastAsia="Calibri"/>
          <w:lang w:val="en-US" w:eastAsia="en-US"/>
        </w:rPr>
        <w:t xml:space="preserve">risk of chronic </w:t>
      </w:r>
      <w:r w:rsidR="00A651D2">
        <w:rPr>
          <w:rFonts w:eastAsia="Calibri"/>
          <w:lang w:val="en-US" w:eastAsia="en-US"/>
        </w:rPr>
        <w:t>low-back pain reduced</w:t>
      </w:r>
      <w:r w:rsidR="00156E8B">
        <w:rPr>
          <w:rFonts w:eastAsia="Calibri"/>
          <w:lang w:val="en-US" w:eastAsia="en-US"/>
        </w:rPr>
        <w:t xml:space="preserve"> by 11%-</w:t>
      </w:r>
      <w:r w:rsidR="00A651D2" w:rsidRPr="00A651D2">
        <w:rPr>
          <w:rFonts w:eastAsia="Calibri"/>
          <w:lang w:val="en-US" w:eastAsia="en-US"/>
        </w:rPr>
        <w:t>16%</w:t>
      </w:r>
      <w:r w:rsidR="00845297">
        <w:rPr>
          <w:rFonts w:eastAsia="Calibri"/>
          <w:lang w:val="en-US" w:eastAsia="en-US"/>
        </w:rPr>
        <w:t xml:space="preserve"> </w:t>
      </w:r>
      <w:r w:rsidR="00156E8B">
        <w:rPr>
          <w:rFonts w:eastAsia="Calibri"/>
          <w:lang w:val="en-US" w:eastAsia="en-US"/>
        </w:rPr>
        <w:t xml:space="preserve">with leisure-time PA, whereas other observational study found </w:t>
      </w:r>
      <w:r w:rsidR="00CE6E39">
        <w:rPr>
          <w:rFonts w:eastAsia="Calibri"/>
          <w:lang w:val="en-US" w:eastAsia="en-US"/>
        </w:rPr>
        <w:t xml:space="preserve">that </w:t>
      </w:r>
      <w:r w:rsidR="00156E8B" w:rsidRPr="00156E8B">
        <w:t xml:space="preserve">meeting </w:t>
      </w:r>
      <w:r w:rsidR="00156E8B">
        <w:t>PA</w:t>
      </w:r>
      <w:r w:rsidR="00156E8B" w:rsidRPr="00156E8B">
        <w:t xml:space="preserve"> guidelines was associated with 13.5% lower odds of anxiety</w:t>
      </w:r>
      <w:r w:rsidR="00156E8B">
        <w:rPr>
          <w:rFonts w:eastAsia="Calibri"/>
          <w:lang w:val="en-US" w:eastAsia="en-US"/>
        </w:rPr>
        <w:t xml:space="preserve"> </w:t>
      </w:r>
      <w:r w:rsidR="00845297">
        <w:rPr>
          <w:rFonts w:eastAsia="Calibri"/>
          <w:lang w:val="en-US" w:eastAsia="en-US"/>
        </w:rPr>
        <w:fldChar w:fldCharType="begin" w:fldLock="1"/>
      </w:r>
      <w:r w:rsidR="002F36A0">
        <w:rPr>
          <w:rFonts w:eastAsia="Calibri"/>
          <w:lang w:val="en-US" w:eastAsia="en-US"/>
        </w:rPr>
        <w:instrText>ADDIN CSL_CITATION {"citationItems":[{"id":"ITEM-1","itemData":{"author":[{"dropping-particle":"","family":"Dowell","given":"Cillian P Mc","non-dropping-particle":"","parse-names":false,"suffix":""},{"dropping-particle":"","family":"Carlin","given":"Angela","non-dropping-particle":"","parse-names":false,"suffix":""},{"dropping-particle":"","family":"Capranica","given":"Laura","non-dropping-particle":"","parse-names":false,"suffix":""},{"dropping-particle":"","family":"Dillon","given":"Christina","non-dropping-particle":"","parse-names":false,"suffix":""},{"dropping-particle":"","family":"Harrington","given":"Janas M","non-dropping-particle":"","parse-names":false,"suffix":""},{"dropping-particle":"","family":"Lakerveld","given":"Jeroen","non-dropping-particle":"","parse-names":false,"suffix":""},{"dropping-particle":"","family":"Loyen","given":"Anne","non-dropping-particle":"","parse-names":false,"suffix":""},{"dropping-particle":"","family":"Chun","given":"Fiona","non-dropping-particle":"","parse-names":false,"suffix":""},{"dropping-particle":"","family":"Ling","given":"Man","non-dropping-particle":"","parse-names":false,"suffix":""},{"dropping-particle":"","family":"Brug","given":"Johannes","non-dropping-particle":"","parse-names":false,"suffix":""},{"dropping-particle":"","family":"Macdonncha","given":"Ciaran","non-dropping-particle":"","parse-names":false,"suffix":""}],"id":"ITEM-1","issued":{"date-parts":[["2020"]]},"page":"1-11","publisher":"BMC Public Health","title":"Associations of self-reported physical activity and anxiety symptoms and status among 7 , 874 Irish adults across harmonised datasets : a DEDIPAC-study","type":"article-journal"},"uris":["http://www.mendeley.com/documents/?uuid=14f54c93-2991-46d1-be89-c1e2e98cd54c"]},{"id":"ITEM-2","itemData":{"DOI":"10.1136/bjsports-2016-097352","ISSN":"14730480","abstract":"BACKGROUND There are plausible mechanisms whereby leisure time physical activity may protect against low back pain (LBP) but there have been no quality systematic reviews and meta-analyses of the subject. OBJECTIVE This review aims to assess the effect of leisure time physical activity on non-specific LBP. METHODS Literature searches were conducted in PubMed, Embase, Web of Science, Scopus and Google Scholar databases from their inception through July 2016. Methodological quality of included studies was evaluated. A random-effects meta-analysis was performed, and heterogeneity and publication bias were assessed. RESULTS Thirty-six prospective cohort studies (n=158 475 participants) qualified for meta-analyses. Participation in sport or other leisure physical activity reduced the risk of frequent or chronic LBP, but not LBP for &gt;1 day in the past month or past 6-12 months. Risk of frequent/chronic LBP was 11% lower (adjusted risk ratio (RR)=0.89, CI 0.82 to 0.97, I(2)=31%, n=48 520) in moderately/highly active individuals, 14% lower (RR=0.86, CI 0.79 to 0.94, I(2)=0%, n=33 032) in moderately active individuals and 16% lower (RR=0.84, CI 0.75 to 0.93, I(2)=0%, n=33 032) in highly active individuals in comparison with individuals without regular physical activity. For LBP in the past 1-12 months, adjusted RR was 0.98 (CI 0.93 to 1.03, I(2)=50%, n=32 654) for moderate/high level of activity, 0.94 (CI 0.84 to 1.05, I(2)=3%, n=8549) for moderate level of activity and 1.06 (CI 0.89 to 1.25, I(2)=53%, n=8554) for high level of activity. CONCLUSIONS Leisure time physical activity may reduce the risk of chronic LBP by 11%-16%. The finding, however, should be interpreted cautiously due to limitations of the original studies. If this effect size is proven in future research, the public health implications would be substantial.","author":[{"dropping-particle":"","family":"Shiri","given":"Rahman","non-dropping-particle":"","parse-names":false,"suffix":""},{"dropping-particle":"","family":"Falah-Hassani","given":"Kobra","non-dropping-particle":"","parse-names":false,"suffix":""}],"container-title":"British Journal of Sports Medicine","id":"ITEM-2","issue":"19","issued":{"date-parts":[["2017"]]},"page":"1410-1418","title":"Does leisure time physical activity protect against low back pain? Systematic review and meta-analysis of 36 prospective cohort studies","type":"article","volume":"51"},"uris":["http://www.mendeley.com/documents/?uuid=d47391b4-202c-47c8-b1a6-219798a01236"]}],"mendeley":{"formattedCitation":"(31,32)","plainTextFormattedCitation":"(31,32)","previouslyFormattedCitation":"(31,32)"},"properties":{"noteIndex":0},"schema":"https://github.com/citation-style-language/schema/raw/master/csl-citation.json"}</w:instrText>
      </w:r>
      <w:r w:rsidR="00845297">
        <w:rPr>
          <w:rFonts w:eastAsia="Calibri"/>
          <w:lang w:val="en-US" w:eastAsia="en-US"/>
        </w:rPr>
        <w:fldChar w:fldCharType="separate"/>
      </w:r>
      <w:r w:rsidR="007E6799" w:rsidRPr="007E6799">
        <w:rPr>
          <w:rFonts w:eastAsia="Calibri"/>
          <w:noProof/>
          <w:lang w:val="en-US" w:eastAsia="en-US"/>
        </w:rPr>
        <w:t>(31,32)</w:t>
      </w:r>
      <w:r w:rsidR="00845297">
        <w:rPr>
          <w:rFonts w:eastAsia="Calibri"/>
          <w:lang w:val="en-US" w:eastAsia="en-US"/>
        </w:rPr>
        <w:fldChar w:fldCharType="end"/>
      </w:r>
      <w:r w:rsidR="00845297">
        <w:rPr>
          <w:rFonts w:eastAsia="Calibri"/>
          <w:lang w:val="en-US" w:eastAsia="en-US"/>
        </w:rPr>
        <w:t xml:space="preserve">. </w:t>
      </w:r>
    </w:p>
    <w:p w14:paraId="447FB6B1" w14:textId="22A6799D" w:rsidR="003C1F65" w:rsidRPr="00475EEE" w:rsidRDefault="0085161F" w:rsidP="006B3578">
      <w:pPr>
        <w:spacing w:after="160" w:line="480" w:lineRule="auto"/>
        <w:jc w:val="both"/>
        <w:rPr>
          <w:rFonts w:eastAsia="Calibri"/>
          <w:lang w:val="en-US" w:eastAsia="en-US"/>
        </w:rPr>
      </w:pPr>
      <w:r>
        <w:rPr>
          <w:rFonts w:eastAsia="Calibri"/>
          <w:lang w:val="en-US" w:eastAsia="en-US"/>
        </w:rPr>
        <w:t xml:space="preserve">Although our study did not discriminate among PA domains, </w:t>
      </w:r>
      <w:r w:rsidR="00411677">
        <w:rPr>
          <w:rFonts w:eastAsia="Calibri"/>
          <w:lang w:val="en-US" w:eastAsia="en-US"/>
        </w:rPr>
        <w:t>previous research has underscored the benefits of both leisure-time and commuting P</w:t>
      </w:r>
      <w:r w:rsidR="00FD1066">
        <w:rPr>
          <w:rFonts w:eastAsia="Calibri"/>
          <w:lang w:val="en-US" w:eastAsia="en-US"/>
        </w:rPr>
        <w:t>A</w:t>
      </w:r>
      <w:r w:rsidR="00411677">
        <w:rPr>
          <w:rFonts w:eastAsia="Calibri"/>
          <w:lang w:val="en-US" w:eastAsia="en-US"/>
        </w:rPr>
        <w:t xml:space="preserve">, whereas the opposite has been observed for occupational PA </w:t>
      </w:r>
      <w:r w:rsidR="00411677">
        <w:rPr>
          <w:rFonts w:eastAsia="Calibri"/>
          <w:lang w:val="en-US" w:eastAsia="en-US"/>
        </w:rPr>
        <w:fldChar w:fldCharType="begin" w:fldLock="1"/>
      </w:r>
      <w:r w:rsidR="002F36A0">
        <w:rPr>
          <w:rFonts w:eastAsia="Calibri"/>
          <w:lang w:val="en-US" w:eastAsia="en-US"/>
        </w:rPr>
        <w:instrText>ADDIN CSL_CITATION {"citationItems":[{"id":"ITEM-1","itemData":{"DOI":"10.1136/bjsm.2010.079582","ISSN":"03063674","abstract":"BACKGROUND: Occupational and leisure-time physical activity are considered to provide similar health benefits. The authors tested this hypothesis.\\n\\nMETHODS: A representative sample of Danish employees (n=7144, 52% females) reported levels of occupational and leisure-time physical activity in 2005. Long-term sickness absence (LTSA) spells of ≥3 consecutive weeks were retrieved from a social-transfer payment register from 2005 to 2007.\\n\\nRESULTS: 341 men and 620 females experienced a spell of LTSA during the period. Cox analyses adjusted for age, gender, smoking, alcohol, body mass index, chronic disease, social support from immediate superior, emotional demands, social class and occupational or leisure-time physical activity showed a decreased risk for LTSA among workers with moderate (HR 0.85, CI 0.72 to 1.01) and high (HR 0.77, CI 0.62 to 0.95) leisure-time physical activity in reference to those with low leisure-time physical activity. In contrast, an increased risk for LTSA was shown among workers with moderate (HR 1.59, CI 1.35 to 1.88) and high (HR 1.84, CI 1.55 to 2.18) occupational physical activity referencing those with low occupational physical activity.\\n\\nCONCLUSION: The hypothesis was rejected. In a dose-response manner, occupational physical activity increased the risk for LTSA, while leisure-time physical activity decreased the risk for LTSA. The findings indicate opposing effects of occupational and leisure-time physical activity on global health.","author":[{"dropping-particle":"","family":"Holtermann","given":"A.","non-dropping-particle":"","parse-names":false,"suffix":""},{"dropping-particle":"V.","family":"Hansen","given":"J.","non-dropping-particle":"","parse-names":false,"suffix":""},{"dropping-particle":"","family":"Burr","given":"H.","non-dropping-particle":"","parse-names":false,"suffix":""},{"dropping-particle":"","family":"Søgaard","given":"K.","non-dropping-particle":"","parse-names":false,"suffix":""},{"dropping-particle":"","family":"Sjøgaard","given":"G.","non-dropping-particle":"","parse-names":false,"suffix":""}],"container-title":"British Journal of Sports Medicine","id":"ITEM-1","issue":"4","issued":{"date-parts":[["2012"]]},"page":"291-295","title":"The health paradox of occupational and leisure-time physical activity","type":"article-journal","volume":"46"},"uris":["http://www.mendeley.com/documents/?uuid=ea92dbb1-8eb6-4ba7-93b9-453c1947c356"]},{"id":"ITEM-2","itemData":{"DOI":"10.1016/j.ypmed.2010.09.003","ISSN":"00917435","abstract":"Objectives: The aim of this study was to examine the relationship between walking or cycling to work and prevalence of metabolic syndrome (MetS) and its components. Methods: Cross-sectional analysis of 6401 randomly selected individuals (3297 men and 3104 women) aged 20-74 years, who participated in the National Multicentre Health Survey WOBASZ, Poland (2002-2005). Commuting physical activity (PA) was assessed by asking about type and time spent on transportation to/from work using an interviewer-administered questionnaire. Weight, height, waist circumference (WC), blood pressure (BP), fasting plasma glucose (FPG), triglycerides (TG) and high-density cholesterol, (HDL-C) were measured by standard methods. MetS was defined according to the NCEP-ATP III and IDF criteria. Results: Active commuting was associated with decreased likelihood of abdominal obesity (WC ≥ 94 cm), lower HDL-C and elevated TG in men and abdominal obesity (WC ≥ 80 cm) in women. In a subgroup of postmenopausal women (n. = 317) active commuting was favourably associated with abdominal obesity, low HDL-C and elevated FPG. Prevalence of MetS was significantly lower among those who spent above 30 min/day daily on walking/cycling to work than among other gender subgroups. Conclusion: Increasing of commuting PA level may have an important influence on reducing the prevalence of metabolic disorders. © 2010 Elsevier Inc.","author":[{"dropping-particle":"","family":"Kwaśniewska","given":"Magdalena","non-dropping-particle":"","parse-names":false,"suffix":""},{"dropping-particle":"","family":"Kaczmarczyk-Chałas","given":"Krystyna","non-dropping-particle":"","parse-names":false,"suffix":""},{"dropping-particle":"","family":"Pikala","given":"Małgorzata","non-dropping-particle":"","parse-names":false,"suffix":""},{"dropping-particle":"","family":"Broda","given":"Grazyna","non-dropping-particle":"","parse-names":false,"suffix":""},{"dropping-particle":"","family":"Kozakiewicz","given":"Krystyna","non-dropping-particle":"","parse-names":false,"suffix":""},{"dropping-particle":"","family":"Pajaogonekk","given":"Andrzej","non-dropping-particle":"","parse-names":false,"suffix":""},{"dropping-particle":"","family":"Tykarski","given":"Andrzej","non-dropping-particle":"","parse-names":false,"suffix":""},{"dropping-particle":"","family":"Zdrojewski","given":"Tomasz","non-dropping-particle":"","parse-names":false,"suffix":""},{"dropping-particle":"","family":"Drygas","given":"Wojciech","non-dropping-particle":"","parse-names":false,"suffix":""}],"container-title":"Preventive Medicine","id":"ITEM-2","issue":"6","issued":{"date-parts":[["2010"]]},"page":"482-487","title":"Commuting physical activity and prevalence of metabolic disorders in Poland","type":"article-journal","volume":"51"},"uris":["http://www.mendeley.com/documents/?uuid=271831fa-348a-479a-8add-28c9a631ae73"]}],"mendeley":{"formattedCitation":"(9,33)","plainTextFormattedCitation":"(9,33)","previouslyFormattedCitation":"(9,33)"},"properties":{"noteIndex":0},"schema":"https://github.com/citation-style-language/schema/raw/master/csl-citation.json"}</w:instrText>
      </w:r>
      <w:r w:rsidR="00411677">
        <w:rPr>
          <w:rFonts w:eastAsia="Calibri"/>
          <w:lang w:val="en-US" w:eastAsia="en-US"/>
        </w:rPr>
        <w:fldChar w:fldCharType="separate"/>
      </w:r>
      <w:r w:rsidR="007E6799" w:rsidRPr="007E6799">
        <w:rPr>
          <w:rFonts w:eastAsia="Calibri"/>
          <w:noProof/>
          <w:lang w:val="en-US" w:eastAsia="en-US"/>
        </w:rPr>
        <w:t>(9,33)</w:t>
      </w:r>
      <w:r w:rsidR="00411677">
        <w:rPr>
          <w:rFonts w:eastAsia="Calibri"/>
          <w:lang w:val="en-US" w:eastAsia="en-US"/>
        </w:rPr>
        <w:fldChar w:fldCharType="end"/>
      </w:r>
      <w:r w:rsidR="00411677">
        <w:rPr>
          <w:rFonts w:eastAsia="Calibri"/>
          <w:lang w:val="en-US" w:eastAsia="en-US"/>
        </w:rPr>
        <w:t>.</w:t>
      </w:r>
      <w:r w:rsidR="00FD1066">
        <w:rPr>
          <w:rFonts w:eastAsia="Calibri"/>
          <w:lang w:val="en-US" w:eastAsia="en-US"/>
        </w:rPr>
        <w:t xml:space="preserve"> </w:t>
      </w:r>
      <w:r w:rsidR="00E04A95">
        <w:rPr>
          <w:rFonts w:eastAsia="Calibri"/>
          <w:lang w:val="en-US" w:eastAsia="en-US"/>
        </w:rPr>
        <w:t xml:space="preserve">Thus, because differences regarding PA </w:t>
      </w:r>
      <w:r w:rsidR="0003755E">
        <w:rPr>
          <w:rFonts w:eastAsia="Calibri"/>
          <w:lang w:val="en-US" w:eastAsia="en-US"/>
        </w:rPr>
        <w:t xml:space="preserve">levels and domains </w:t>
      </w:r>
      <w:r w:rsidR="00E04A95">
        <w:rPr>
          <w:rFonts w:eastAsia="Calibri"/>
          <w:lang w:val="en-US" w:eastAsia="en-US"/>
        </w:rPr>
        <w:t xml:space="preserve">have been observed among </w:t>
      </w:r>
      <w:r w:rsidR="0003755E">
        <w:rPr>
          <w:rFonts w:eastAsia="Calibri"/>
          <w:lang w:val="en-US" w:eastAsia="en-US"/>
        </w:rPr>
        <w:t xml:space="preserve">European </w:t>
      </w:r>
      <w:r w:rsidR="00E04A95">
        <w:rPr>
          <w:rFonts w:eastAsia="Calibri"/>
          <w:lang w:val="en-US" w:eastAsia="en-US"/>
        </w:rPr>
        <w:t>countries</w:t>
      </w:r>
      <w:r w:rsidR="0003755E">
        <w:rPr>
          <w:rFonts w:eastAsia="Calibri"/>
          <w:lang w:val="en-US" w:eastAsia="en-US"/>
        </w:rPr>
        <w:t xml:space="preserve"> </w:t>
      </w:r>
      <w:r w:rsidR="0003755E">
        <w:rPr>
          <w:rFonts w:eastAsia="Calibri"/>
          <w:lang w:val="en-US" w:eastAsia="en-US"/>
        </w:rPr>
        <w:fldChar w:fldCharType="begin" w:fldLock="1"/>
      </w:r>
      <w:r w:rsidR="002F36A0">
        <w:rPr>
          <w:rFonts w:eastAsia="Calibri"/>
          <w:lang w:val="en-US" w:eastAsia="en-US"/>
        </w:rPr>
        <w:instrText>ADDIN CSL_CITATION {"citationItems":[{"id":"ITEM-1","itemData":{"DOI":"10.2766/483047","ISBN":"9789279802423","ISSN":"0391-5387","author":[{"dropping-particle":"","family":"European Commission","given":"","non-dropping-particle":"","parse-names":false,"suffix":""}],"id":"ITEM-1","issue":"December 2017","issued":{"date-parts":[["2018"]]},"number-of-pages":"38","publisher-place":"Brussels","title":"Special Eurobarometer 472 Report Sport and physical activity Fieldwork","type":"report"},"uris":["http://www.mendeley.com/documents/?uuid=dcc7258e-478e-4fd0-82e5-d747bab770d4"]}],"mendeley":{"formattedCitation":"(14)","plainTextFormattedCitation":"(14)","previouslyFormattedCitation":"(14)"},"properties":{"noteIndex":0},"schema":"https://github.com/citation-style-language/schema/raw/master/csl-citation.json"}</w:instrText>
      </w:r>
      <w:r w:rsidR="0003755E">
        <w:rPr>
          <w:rFonts w:eastAsia="Calibri"/>
          <w:lang w:val="en-US" w:eastAsia="en-US"/>
        </w:rPr>
        <w:fldChar w:fldCharType="separate"/>
      </w:r>
      <w:r w:rsidR="007E6799" w:rsidRPr="007E6799">
        <w:rPr>
          <w:rFonts w:eastAsia="Calibri"/>
          <w:noProof/>
          <w:lang w:val="en-US" w:eastAsia="en-US"/>
        </w:rPr>
        <w:t>(14)</w:t>
      </w:r>
      <w:r w:rsidR="0003755E">
        <w:rPr>
          <w:rFonts w:eastAsia="Calibri"/>
          <w:lang w:val="en-US" w:eastAsia="en-US"/>
        </w:rPr>
        <w:fldChar w:fldCharType="end"/>
      </w:r>
      <w:r w:rsidR="00E04A95">
        <w:rPr>
          <w:rFonts w:eastAsia="Calibri"/>
          <w:lang w:val="en-US" w:eastAsia="en-US"/>
        </w:rPr>
        <w:t xml:space="preserve">, generalizations over working populations from other countries might be mediated for these </w:t>
      </w:r>
      <w:r w:rsidR="0003755E">
        <w:rPr>
          <w:rFonts w:eastAsia="Calibri"/>
          <w:lang w:val="en-US" w:eastAsia="en-US"/>
        </w:rPr>
        <w:t>variations.</w:t>
      </w:r>
      <w:r w:rsidR="00845297">
        <w:rPr>
          <w:rFonts w:eastAsia="Calibri"/>
          <w:lang w:val="en-US" w:eastAsia="en-US"/>
        </w:rPr>
        <w:t xml:space="preserve"> Furthermore, </w:t>
      </w:r>
      <w:r w:rsidR="00CB4DB5" w:rsidRPr="00475EEE">
        <w:rPr>
          <w:rFonts w:eastAsia="Calibri"/>
          <w:lang w:val="en-US" w:eastAsia="en-US"/>
        </w:rPr>
        <w:t>the strong influence that both higher occupational class and lower education</w:t>
      </w:r>
      <w:r w:rsidR="002777E4" w:rsidRPr="00475EEE">
        <w:rPr>
          <w:rFonts w:eastAsia="Calibri"/>
          <w:lang w:val="en-US" w:eastAsia="en-US"/>
        </w:rPr>
        <w:t xml:space="preserve"> level</w:t>
      </w:r>
      <w:r w:rsidR="00DA1D7D" w:rsidRPr="00475EEE">
        <w:rPr>
          <w:rFonts w:eastAsia="Calibri"/>
          <w:lang w:val="en-US" w:eastAsia="en-US"/>
        </w:rPr>
        <w:t xml:space="preserve"> </w:t>
      </w:r>
      <w:r w:rsidR="00845297">
        <w:rPr>
          <w:rFonts w:eastAsia="Calibri"/>
          <w:lang w:val="en-US" w:eastAsia="en-US"/>
        </w:rPr>
        <w:t>had over the relationship between</w:t>
      </w:r>
      <w:r w:rsidR="002777E4" w:rsidRPr="00475EEE">
        <w:rPr>
          <w:rFonts w:eastAsia="Calibri"/>
          <w:lang w:val="en-US" w:eastAsia="en-US"/>
        </w:rPr>
        <w:t xml:space="preserve"> PA and </w:t>
      </w:r>
      <w:r w:rsidR="00DA1D7D" w:rsidRPr="00475EEE">
        <w:rPr>
          <w:rFonts w:eastAsia="Calibri"/>
          <w:lang w:val="en-US" w:eastAsia="en-US"/>
        </w:rPr>
        <w:t xml:space="preserve">chronic </w:t>
      </w:r>
      <w:r w:rsidR="00845297">
        <w:rPr>
          <w:rFonts w:eastAsia="Calibri"/>
          <w:lang w:val="en-US" w:eastAsia="en-US"/>
        </w:rPr>
        <w:t xml:space="preserve">conditions suggest that </w:t>
      </w:r>
      <w:r w:rsidR="006506D6">
        <w:rPr>
          <w:rFonts w:eastAsia="Calibri"/>
          <w:lang w:val="en-US" w:eastAsia="en-US"/>
        </w:rPr>
        <w:t>other socioeconomic characteristics could also exacerbate these variation; pre</w:t>
      </w:r>
      <w:r w:rsidR="00903B0D" w:rsidRPr="00475EEE">
        <w:rPr>
          <w:rFonts w:eastAsia="Calibri"/>
          <w:lang w:val="en-US" w:eastAsia="en-US"/>
        </w:rPr>
        <w:t xml:space="preserve">vious research has already appointed the strong association between </w:t>
      </w:r>
      <w:r w:rsidR="006506D6">
        <w:rPr>
          <w:rFonts w:eastAsia="Calibri"/>
          <w:lang w:val="en-US" w:eastAsia="en-US"/>
        </w:rPr>
        <w:t xml:space="preserve">PA and both occupational class and educational level </w:t>
      </w:r>
      <w:r w:rsidR="005D5DD3" w:rsidRPr="00475EEE">
        <w:rPr>
          <w:rFonts w:eastAsia="Calibri"/>
          <w:lang w:val="en-US" w:eastAsia="en-US"/>
        </w:rPr>
        <w:t xml:space="preserve">(i.e. those from lower occupational classes and educational levels </w:t>
      </w:r>
      <w:r w:rsidR="00B17B1C">
        <w:rPr>
          <w:rFonts w:eastAsia="Calibri"/>
          <w:lang w:val="en-US" w:eastAsia="en-US"/>
        </w:rPr>
        <w:t xml:space="preserve">tend </w:t>
      </w:r>
      <w:r w:rsidR="00B17B1C">
        <w:rPr>
          <w:rFonts w:eastAsia="Calibri"/>
          <w:lang w:val="en-US" w:eastAsia="en-US"/>
        </w:rPr>
        <w:lastRenderedPageBreak/>
        <w:t>to perform</w:t>
      </w:r>
      <w:r w:rsidR="002777E4" w:rsidRPr="00475EEE">
        <w:rPr>
          <w:rFonts w:eastAsia="Calibri"/>
          <w:lang w:val="en-US" w:eastAsia="en-US"/>
        </w:rPr>
        <w:t xml:space="preserve"> lower levels of PA and </w:t>
      </w:r>
      <w:r w:rsidR="00B17B1C">
        <w:rPr>
          <w:rFonts w:eastAsia="Calibri"/>
          <w:lang w:val="en-US" w:eastAsia="en-US"/>
        </w:rPr>
        <w:t>have worse</w:t>
      </w:r>
      <w:r w:rsidR="00B17B1C" w:rsidRPr="00475EEE">
        <w:rPr>
          <w:rFonts w:eastAsia="Calibri"/>
          <w:lang w:val="en-US" w:eastAsia="en-US"/>
        </w:rPr>
        <w:t xml:space="preserve"> </w:t>
      </w:r>
      <w:r w:rsidR="00B17B1C">
        <w:rPr>
          <w:rFonts w:eastAsia="Calibri"/>
          <w:lang w:val="en-US" w:eastAsia="en-US"/>
        </w:rPr>
        <w:t>health-related</w:t>
      </w:r>
      <w:r w:rsidR="00B17B1C" w:rsidRPr="00475EEE">
        <w:rPr>
          <w:rFonts w:eastAsia="Calibri"/>
          <w:lang w:val="en-US" w:eastAsia="en-US"/>
        </w:rPr>
        <w:t xml:space="preserve"> </w:t>
      </w:r>
      <w:r w:rsidR="002777E4" w:rsidRPr="00475EEE">
        <w:rPr>
          <w:rFonts w:eastAsia="Calibri"/>
          <w:lang w:val="en-US" w:eastAsia="en-US"/>
        </w:rPr>
        <w:t>habits and, consequently,</w:t>
      </w:r>
      <w:r w:rsidR="005D5DD3" w:rsidRPr="00475EEE">
        <w:rPr>
          <w:rFonts w:eastAsia="Calibri"/>
          <w:lang w:val="en-US" w:eastAsia="en-US"/>
        </w:rPr>
        <w:t xml:space="preserve"> </w:t>
      </w:r>
      <w:r w:rsidR="002777E4" w:rsidRPr="00475EEE">
        <w:rPr>
          <w:rFonts w:eastAsia="Calibri"/>
          <w:lang w:val="en-US" w:eastAsia="en-US"/>
        </w:rPr>
        <w:t xml:space="preserve">more likely </w:t>
      </w:r>
      <w:r w:rsidR="005D5DD3" w:rsidRPr="00475EEE">
        <w:rPr>
          <w:rFonts w:eastAsia="Calibri"/>
          <w:lang w:val="en-US" w:eastAsia="en-US"/>
        </w:rPr>
        <w:t xml:space="preserve">to suffer from </w:t>
      </w:r>
      <w:r w:rsidR="006E30BE" w:rsidRPr="00475EEE">
        <w:rPr>
          <w:rFonts w:eastAsia="Calibri"/>
          <w:lang w:val="en-US" w:eastAsia="en-US"/>
        </w:rPr>
        <w:t xml:space="preserve">chronic </w:t>
      </w:r>
      <w:r w:rsidR="00B94CCC">
        <w:rPr>
          <w:rFonts w:eastAsia="Calibri"/>
          <w:lang w:val="en-US" w:eastAsia="en-US"/>
        </w:rPr>
        <w:t>condition</w:t>
      </w:r>
      <w:r w:rsidR="005D5DD3" w:rsidRPr="00475EEE">
        <w:rPr>
          <w:rFonts w:eastAsia="Calibri"/>
          <w:lang w:val="en-US" w:eastAsia="en-US"/>
        </w:rPr>
        <w:t>)</w:t>
      </w:r>
      <w:r w:rsidR="002A1A6C">
        <w:rPr>
          <w:rFonts w:eastAsia="Calibri"/>
          <w:lang w:val="en-US" w:eastAsia="en-US"/>
        </w:rPr>
        <w:t xml:space="preserve"> </w:t>
      </w:r>
      <w:r w:rsidR="003F01DB" w:rsidRPr="00475EEE">
        <w:rPr>
          <w:rFonts w:eastAsia="Calibri"/>
          <w:lang w:val="en-US" w:eastAsia="en-US"/>
        </w:rPr>
        <w:fldChar w:fldCharType="begin" w:fldLock="1"/>
      </w:r>
      <w:r w:rsidR="002F36A0">
        <w:rPr>
          <w:rFonts w:eastAsia="Calibri"/>
          <w:lang w:val="en-US" w:eastAsia="en-US"/>
        </w:rPr>
        <w:instrText>ADDIN CSL_CITATION {"citationItems":[{"id":"ITEM-1","itemData":{"DOI":"10.1186/1479-5868-9-121","ISSN":"14795868","abstract":"BACKGROUND: The aim of this study was to explore long-term predictors of leisure time physical activity in the general population.\\n\\nMETHODS: This study comprised 718 men and women who participated in the national Mini-Finland Health Survey from 1978-1980 and were re-examined in 2001. Participants were aged 30-80 at baseline. Measurements included interviews, health examinations, and self-administered questionnaires, with information on socioeconomic position, occupational and leisure time physical activity, physical fitness, body mass index, smoking, alcohol consumption, and physical functional capacity. Analyses included persons who were working and had no limitations in functional capacity at baseline.\\n\\nRESULTS: The strongest predictor of being physically active at the follow-up was participation in physical activity at baseline, with an OR 13.82 (95%CI 5.50-34.70) for 3 or more types of regular activity, OR 2.33 (95%CI 1.22-4.47) for 1-2 types of regular activity, and OR 3.26 (95%CI 2.07-5.15) for irregular activity, as compared to no activity. Other determinants for being physically active were moving upwards in occupational status, a high level of baseline occupational physical activity and remaining healthy weight during the follow-up.\\n\\nCONCLUSIONS: To prevent physical inactivity among older adults, it is important to promote physical activity already in young adulthood and in middle age and to emphasize the importance of participating in many types of physical activity.","author":[{"dropping-particle":"","family":"Borodulin","given":"Katja","non-dropping-particle":"","parse-names":false,"suffix":""},{"dropping-particle":"","family":"Mäkinen","given":"Tomi E.","non-dropping-particle":"","parse-names":false,"suffix":""},{"dropping-particle":"","family":"Leino-Arjas","given":"Päivi","non-dropping-particle":"","parse-names":false,"suffix":""},{"dropping-particle":"","family":"Tammelin","given":"Tuija H.","non-dropping-particle":"","parse-names":false,"suffix":""},{"dropping-particle":"","family":"Heliövaara","given":"Markku","non-dropping-particle":"","parse-names":false,"suffix":""},{"dropping-particle":"","family":"Martelin","given":"Tuija","non-dropping-particle":"","parse-names":false,"suffix":""},{"dropping-particle":"","family":"Kestilä","given":"Laura","non-dropping-particle":"","parse-names":false,"suffix":""},{"dropping-particle":"","family":"Prättälä","given":"Ritva","non-dropping-particle":"","parse-names":false,"suffix":""}],"container-title":"International Journal of Behavioral Nutrition and Physical Activity","id":"ITEM-1","issued":{"date-parts":[["2012"]]},"page":"1-6","title":"Leisure time physical activity in a 22-year follow-up among Finnish adults","type":"article-journal","volume":"9"},"uris":["http://www.mendeley.com/documents/?uuid=2f0e0135-445f-4024-baa9-7fb68a6df454"]},{"id":"ITEM-2","itemData":{"DOI":"10.1111/j.1600-0838.2010.01234.x","ISSN":"09057188","abstract":"Although educational differences in leisure-time physical activity (LTPA) exist across Europe, the independent effect of educational level on leisure-time physical activity has rarely been explored. This study examines the relative contribution of occupational class, employment status, and educational level to LTPA across 12 European countries. The data were obtained from 12 European health surveys conducted at the turn of the century and identified in the EUROTHINE project. All information was self-reported. Logistic regression was applied and relative inequality index (RII) was calculated. Analyses were limited to those in the prime working-age (age 30-59; total N=137,646) men and women. In all 12 European countries, LTPA was more common in the high-educated than in the low-educated. The association between education and LTPA remained mostly unchanged after adjusting for marital status, urbanization, and self-rated health. After further adjusting for occupational class and employment status, the educational differences in LTPA were only slightly attenuated. An inverse association was found between educational level and LTPA across almost all 12 European countries. Occupational class and employment status had only a modest effect on educational differences in LTPA in most of the examined countries, suggesting that education remains an important predictor of LTPA.","author":[{"dropping-particle":"","family":"Mäkinen","given":"T. E.","non-dropping-particle":"","parse-names":false,"suffix":""},{"dropping-particle":"","family":"Sippola","given":"R.","non-dropping-particle":"","parse-names":false,"suffix":""},{"dropping-particle":"","family":"Borodulin","given":"K.","non-dropping-particle":"","parse-names":false,"suffix":""},{"dropping-particle":"","family":"Rahkonen","given":"O.","non-dropping-particle":"","parse-names":false,"suffix":""},{"dropping-particle":"","family":"Kunst","given":"A.","non-dropping-particle":"","parse-names":false,"suffix":""},{"dropping-particle":"","family":"Klumbiene","given":"J.","non-dropping-particle":"","parse-names":false,"suffix":""},{"dropping-particle":"","family":"Regidor","given":"E.","non-dropping-particle":"","parse-names":false,"suffix":""},{"dropping-particle":"","family":"Ekholm","given":"O.","non-dropping-particle":"","parse-names":false,"suffix":""},{"dropping-particle":"","family":"MacKenbach","given":"J.","non-dropping-particle":"","parse-names":false,"suffix":""},{"dropping-particle":"","family":"Prättälä","given":"R.","non-dropping-particle":"","parse-names":false,"suffix":""}],"container-title":"Scandinavian Journal of Medicine and Science in Sports","id":"ITEM-2","issue":"3","issued":{"date-parts":[["2012"]]},"page":"439-447","title":"Explaining educational differences in leisure-time physical activity in Europe: The contribution of work-related factors","type":"article-journal","volume":"22"},"uris":["http://www.mendeley.com/documents/?uuid=d63b3db4-976f-4397-8f65-3c6086829076"]}],"mendeley":{"formattedCitation":"(34,35)","plainTextFormattedCitation":"(34,35)","previouslyFormattedCitation":"(34,35)"},"properties":{"noteIndex":0},"schema":"https://github.com/citation-style-language/schema/raw/master/csl-citation.json"}</w:instrText>
      </w:r>
      <w:r w:rsidR="003F01DB" w:rsidRPr="00475EEE">
        <w:rPr>
          <w:rFonts w:eastAsia="Calibri"/>
          <w:lang w:val="en-US" w:eastAsia="en-US"/>
        </w:rPr>
        <w:fldChar w:fldCharType="separate"/>
      </w:r>
      <w:r w:rsidR="007E6799" w:rsidRPr="007E6799">
        <w:rPr>
          <w:rFonts w:eastAsia="Calibri"/>
          <w:noProof/>
          <w:lang w:val="en-US" w:eastAsia="en-US"/>
        </w:rPr>
        <w:t>(34,35)</w:t>
      </w:r>
      <w:r w:rsidR="003F01DB" w:rsidRPr="00475EEE">
        <w:rPr>
          <w:rFonts w:eastAsia="Calibri"/>
          <w:lang w:val="en-US" w:eastAsia="en-US"/>
        </w:rPr>
        <w:fldChar w:fldCharType="end"/>
      </w:r>
      <w:r w:rsidR="002A1A6C">
        <w:rPr>
          <w:rFonts w:eastAsia="Calibri"/>
          <w:lang w:val="en-US" w:eastAsia="en-US"/>
        </w:rPr>
        <w:t>.</w:t>
      </w:r>
    </w:p>
    <w:p w14:paraId="018A4109" w14:textId="69EFE527" w:rsidR="005E0AF9" w:rsidRPr="00475EEE" w:rsidRDefault="002777E4" w:rsidP="006B3578">
      <w:pPr>
        <w:spacing w:after="160" w:line="480" w:lineRule="auto"/>
        <w:jc w:val="both"/>
        <w:rPr>
          <w:rFonts w:eastAsia="Calibri"/>
          <w:lang w:val="en-US" w:eastAsia="en-US"/>
        </w:rPr>
      </w:pPr>
      <w:r w:rsidRPr="00475EEE">
        <w:rPr>
          <w:rFonts w:eastAsia="Calibri"/>
          <w:lang w:val="en-US" w:eastAsia="en-US"/>
        </w:rPr>
        <w:t>The strengths of the present study</w:t>
      </w:r>
      <w:r w:rsidR="00A64B07" w:rsidRPr="00475EEE">
        <w:rPr>
          <w:rFonts w:eastAsia="Calibri"/>
          <w:lang w:val="en-US" w:eastAsia="en-US"/>
        </w:rPr>
        <w:t xml:space="preserve"> </w:t>
      </w:r>
      <w:r w:rsidR="00400E63">
        <w:rPr>
          <w:rFonts w:eastAsia="Calibri"/>
          <w:lang w:val="en-US" w:eastAsia="en-US"/>
        </w:rPr>
        <w:t>consist of using a large</w:t>
      </w:r>
      <w:r w:rsidR="00A64B07" w:rsidRPr="00475EEE">
        <w:rPr>
          <w:rFonts w:eastAsia="Calibri"/>
          <w:lang w:val="en-US" w:eastAsia="en-US"/>
        </w:rPr>
        <w:t xml:space="preserve"> representative sample</w:t>
      </w:r>
      <w:r w:rsidR="00400E63">
        <w:rPr>
          <w:rFonts w:eastAsia="Calibri"/>
          <w:lang w:val="en-US" w:eastAsia="en-US"/>
        </w:rPr>
        <w:t>, as well as est</w:t>
      </w:r>
      <w:r w:rsidR="0026536A">
        <w:rPr>
          <w:rFonts w:eastAsia="Calibri"/>
          <w:lang w:val="en-US" w:eastAsia="en-US"/>
        </w:rPr>
        <w:t>imating PA through a validated tool. In addition, a</w:t>
      </w:r>
      <w:r w:rsidR="00A64B07" w:rsidRPr="00475EEE">
        <w:rPr>
          <w:rFonts w:eastAsia="Calibri"/>
          <w:lang w:val="en-US" w:eastAsia="en-US"/>
        </w:rPr>
        <w:t xml:space="preserve"> broad range of covariates</w:t>
      </w:r>
      <w:r w:rsidR="00E43609" w:rsidRPr="00475EEE">
        <w:rPr>
          <w:rFonts w:eastAsia="Calibri"/>
          <w:lang w:val="en-US" w:eastAsia="en-US"/>
        </w:rPr>
        <w:t xml:space="preserve"> </w:t>
      </w:r>
      <w:r w:rsidR="0026536A">
        <w:rPr>
          <w:rFonts w:eastAsia="Calibri"/>
          <w:lang w:val="en-US" w:eastAsia="en-US"/>
        </w:rPr>
        <w:t>were used to control the relationship between the exposure and the outcome variables. Nevertheless,</w:t>
      </w:r>
      <w:r w:rsidR="00A64B07" w:rsidRPr="00475EEE">
        <w:rPr>
          <w:rFonts w:eastAsia="Calibri"/>
          <w:lang w:val="en-US" w:eastAsia="en-US"/>
        </w:rPr>
        <w:t xml:space="preserve"> </w:t>
      </w:r>
      <w:r w:rsidR="00B17B1C">
        <w:rPr>
          <w:rFonts w:eastAsia="Calibri"/>
          <w:lang w:val="en-US" w:eastAsia="en-US"/>
        </w:rPr>
        <w:t xml:space="preserve">for a better interpretation of the results, </w:t>
      </w:r>
      <w:r w:rsidR="00A64B07" w:rsidRPr="00475EEE">
        <w:rPr>
          <w:rFonts w:eastAsia="Calibri"/>
          <w:lang w:val="en-US" w:eastAsia="en-US"/>
        </w:rPr>
        <w:t xml:space="preserve">several limitations </w:t>
      </w:r>
      <w:r w:rsidR="00B17B1C">
        <w:rPr>
          <w:rFonts w:eastAsia="Calibri"/>
          <w:lang w:val="en-US" w:eastAsia="en-US"/>
        </w:rPr>
        <w:t>should</w:t>
      </w:r>
      <w:r w:rsidR="00B17B1C" w:rsidRPr="00475EEE">
        <w:rPr>
          <w:rFonts w:eastAsia="Calibri"/>
          <w:lang w:val="en-US" w:eastAsia="en-US"/>
        </w:rPr>
        <w:t xml:space="preserve"> </w:t>
      </w:r>
      <w:r w:rsidR="00A64B07" w:rsidRPr="00475EEE">
        <w:rPr>
          <w:rFonts w:eastAsia="Calibri"/>
          <w:lang w:val="en-US" w:eastAsia="en-US"/>
        </w:rPr>
        <w:t>be considered</w:t>
      </w:r>
      <w:r w:rsidR="00B17B1C">
        <w:rPr>
          <w:rFonts w:eastAsia="Calibri"/>
          <w:lang w:val="en-US" w:eastAsia="en-US"/>
        </w:rPr>
        <w:t>.</w:t>
      </w:r>
      <w:r w:rsidR="00A64B07" w:rsidRPr="00475EEE">
        <w:rPr>
          <w:rFonts w:eastAsia="Calibri"/>
          <w:lang w:val="en-US" w:eastAsia="en-US"/>
        </w:rPr>
        <w:t xml:space="preserve"> </w:t>
      </w:r>
      <w:r w:rsidR="00B17B1C">
        <w:rPr>
          <w:rFonts w:eastAsia="Calibri"/>
          <w:lang w:val="en-US" w:eastAsia="en-US"/>
        </w:rPr>
        <w:t>F</w:t>
      </w:r>
      <w:r w:rsidR="00A64B07" w:rsidRPr="00475EEE">
        <w:rPr>
          <w:rFonts w:eastAsia="Calibri"/>
          <w:lang w:val="en-US" w:eastAsia="en-US"/>
        </w:rPr>
        <w:t>irst,</w:t>
      </w:r>
      <w:r w:rsidR="00B17B1C">
        <w:rPr>
          <w:rFonts w:eastAsia="Calibri"/>
          <w:lang w:val="en-US" w:eastAsia="en-US"/>
        </w:rPr>
        <w:t xml:space="preserve"> </w:t>
      </w:r>
      <w:r w:rsidR="00BD1348">
        <w:rPr>
          <w:rFonts w:eastAsia="Calibri"/>
          <w:lang w:val="en-US" w:eastAsia="en-US"/>
        </w:rPr>
        <w:t>since answers</w:t>
      </w:r>
      <w:r w:rsidR="00BD1348" w:rsidRPr="00BD1348">
        <w:rPr>
          <w:rFonts w:eastAsia="Calibri"/>
          <w:lang w:val="en-US" w:eastAsia="en-US"/>
        </w:rPr>
        <w:t xml:space="preserve"> may </w:t>
      </w:r>
      <w:r w:rsidR="00BD1348">
        <w:rPr>
          <w:rFonts w:eastAsia="Calibri"/>
          <w:lang w:val="en-US" w:eastAsia="en-US"/>
        </w:rPr>
        <w:t xml:space="preserve">have </w:t>
      </w:r>
      <w:r w:rsidR="00BD1348" w:rsidRPr="00BD1348">
        <w:rPr>
          <w:rFonts w:eastAsia="Calibri"/>
          <w:lang w:val="en-US" w:eastAsia="en-US"/>
        </w:rPr>
        <w:t>be</w:t>
      </w:r>
      <w:r w:rsidR="00BD1348">
        <w:rPr>
          <w:rFonts w:eastAsia="Calibri"/>
          <w:lang w:val="en-US" w:eastAsia="en-US"/>
        </w:rPr>
        <w:t xml:space="preserve">en </w:t>
      </w:r>
      <w:r w:rsidR="00BD1348" w:rsidRPr="00BD1348">
        <w:rPr>
          <w:rFonts w:eastAsia="Calibri"/>
          <w:lang w:val="en-US" w:eastAsia="en-US"/>
        </w:rPr>
        <w:t xml:space="preserve">influenced by common method variance, </w:t>
      </w:r>
      <w:r w:rsidR="00BD1348">
        <w:rPr>
          <w:rFonts w:eastAsia="Calibri"/>
          <w:lang w:val="en-US" w:eastAsia="en-US"/>
        </w:rPr>
        <w:t>in which</w:t>
      </w:r>
      <w:r w:rsidR="00BD1348" w:rsidRPr="00BD1348">
        <w:rPr>
          <w:rFonts w:eastAsia="Calibri"/>
          <w:lang w:val="en-US" w:eastAsia="en-US"/>
        </w:rPr>
        <w:t xml:space="preserve"> a person’s mood</w:t>
      </w:r>
      <w:r w:rsidR="00BD1348">
        <w:rPr>
          <w:rFonts w:eastAsia="Calibri"/>
          <w:lang w:val="en-US" w:eastAsia="en-US"/>
        </w:rPr>
        <w:t xml:space="preserve"> or </w:t>
      </w:r>
      <w:r w:rsidR="00BD1348" w:rsidRPr="00BD1348">
        <w:rPr>
          <w:rFonts w:eastAsia="Calibri"/>
          <w:lang w:val="en-US" w:eastAsia="en-US"/>
        </w:rPr>
        <w:t>disease status have affected the answers</w:t>
      </w:r>
      <w:r w:rsidR="00BD1348">
        <w:rPr>
          <w:rFonts w:eastAsia="Calibri"/>
          <w:lang w:val="en-US" w:eastAsia="en-US"/>
        </w:rPr>
        <w:t xml:space="preserve">, </w:t>
      </w:r>
      <w:r w:rsidR="00290E41">
        <w:rPr>
          <w:rFonts w:eastAsia="Calibri"/>
          <w:lang w:val="en-US" w:eastAsia="en-US"/>
        </w:rPr>
        <w:t>the possibility of</w:t>
      </w:r>
      <w:r w:rsidR="00BD1348" w:rsidRPr="00BD1348">
        <w:rPr>
          <w:rFonts w:eastAsia="Calibri"/>
          <w:lang w:val="en-US" w:eastAsia="en-US"/>
        </w:rPr>
        <w:t xml:space="preserve"> a recall bias</w:t>
      </w:r>
      <w:r w:rsidR="00290E41">
        <w:rPr>
          <w:rFonts w:eastAsia="Calibri"/>
          <w:lang w:val="en-US" w:eastAsia="en-US"/>
        </w:rPr>
        <w:t xml:space="preserve"> exist</w:t>
      </w:r>
      <w:r w:rsidR="00BD1348">
        <w:rPr>
          <w:rFonts w:eastAsia="Calibri"/>
          <w:lang w:val="en-US" w:eastAsia="en-US"/>
        </w:rPr>
        <w:t xml:space="preserve">. </w:t>
      </w:r>
      <w:r w:rsidR="00A64B07" w:rsidRPr="00475EEE">
        <w:rPr>
          <w:rFonts w:eastAsia="Calibri"/>
          <w:lang w:val="en-US" w:eastAsia="en-US"/>
        </w:rPr>
        <w:t xml:space="preserve">Second, </w:t>
      </w:r>
      <w:r w:rsidR="008A1642">
        <w:rPr>
          <w:rFonts w:eastAsia="Calibri"/>
          <w:lang w:val="en-US" w:eastAsia="en-US"/>
        </w:rPr>
        <w:t xml:space="preserve">the IPAQ short form do not discriminate PA domains, which could shed more light on the </w:t>
      </w:r>
      <w:proofErr w:type="spellStart"/>
      <w:r w:rsidR="008A1642">
        <w:rPr>
          <w:rFonts w:eastAsia="Calibri"/>
          <w:lang w:val="en-US" w:eastAsia="en-US"/>
        </w:rPr>
        <w:t>circunstances</w:t>
      </w:r>
      <w:proofErr w:type="spellEnd"/>
      <w:r w:rsidR="008A1642">
        <w:rPr>
          <w:rFonts w:eastAsia="Calibri"/>
          <w:lang w:val="en-US" w:eastAsia="en-US"/>
        </w:rPr>
        <w:t xml:space="preserve"> that PA usually have higher beneficial properties concerning chronic conditions. </w:t>
      </w:r>
      <w:r w:rsidR="00BD1348">
        <w:rPr>
          <w:rFonts w:eastAsia="Calibri"/>
          <w:lang w:val="en-US" w:eastAsia="en-US"/>
        </w:rPr>
        <w:t>Last</w:t>
      </w:r>
      <w:r w:rsidR="00A64B07" w:rsidRPr="00475EEE">
        <w:rPr>
          <w:rFonts w:eastAsia="Calibri"/>
          <w:lang w:val="en-US" w:eastAsia="en-US"/>
        </w:rPr>
        <w:t xml:space="preserve">, the </w:t>
      </w:r>
      <w:r w:rsidR="00FA07BA" w:rsidRPr="00475EEE">
        <w:rPr>
          <w:rFonts w:eastAsia="Calibri"/>
          <w:lang w:val="en-US" w:eastAsia="en-US"/>
        </w:rPr>
        <w:t>cross-sectional study design does not allow causal interpretations</w:t>
      </w:r>
      <w:r w:rsidR="008A1642">
        <w:rPr>
          <w:rFonts w:eastAsia="Calibri"/>
          <w:lang w:val="en-US" w:eastAsia="en-US"/>
        </w:rPr>
        <w:t>, t</w:t>
      </w:r>
      <w:r w:rsidR="003C1F65" w:rsidRPr="00475EEE">
        <w:rPr>
          <w:rFonts w:eastAsia="Calibri"/>
          <w:lang w:val="en-US" w:eastAsia="en-US"/>
        </w:rPr>
        <w:t xml:space="preserve">hus, some of the chronic </w:t>
      </w:r>
      <w:r w:rsidR="006F2CFC">
        <w:rPr>
          <w:rFonts w:eastAsia="Calibri"/>
          <w:lang w:val="en-US" w:eastAsia="en-US"/>
        </w:rPr>
        <w:t>conditions</w:t>
      </w:r>
      <w:r w:rsidR="006F2CFC" w:rsidRPr="00475EEE">
        <w:rPr>
          <w:rFonts w:eastAsia="Calibri"/>
          <w:lang w:val="en-US" w:eastAsia="en-US"/>
        </w:rPr>
        <w:t xml:space="preserve"> </w:t>
      </w:r>
      <w:r w:rsidR="003C1F65" w:rsidRPr="00475EEE">
        <w:rPr>
          <w:rFonts w:eastAsia="Calibri"/>
          <w:lang w:val="en-US" w:eastAsia="en-US"/>
        </w:rPr>
        <w:t xml:space="preserve">may reduce participation in </w:t>
      </w:r>
      <w:r w:rsidR="00830075" w:rsidRPr="00475EEE">
        <w:rPr>
          <w:rFonts w:eastAsia="Calibri"/>
          <w:lang w:val="en-US" w:eastAsia="en-US"/>
        </w:rPr>
        <w:t>PA</w:t>
      </w:r>
      <w:r w:rsidR="003C1F65" w:rsidRPr="00475EEE">
        <w:rPr>
          <w:rFonts w:eastAsia="Calibri"/>
          <w:lang w:val="en-US" w:eastAsia="en-US"/>
        </w:rPr>
        <w:t xml:space="preserve">. </w:t>
      </w:r>
    </w:p>
    <w:p w14:paraId="0983472F" w14:textId="72DDFD8D" w:rsidR="002C002E" w:rsidRDefault="002777E4" w:rsidP="00290E41">
      <w:pPr>
        <w:spacing w:after="160" w:line="480" w:lineRule="auto"/>
        <w:jc w:val="both"/>
        <w:rPr>
          <w:rFonts w:eastAsia="Calibri"/>
          <w:lang w:val="en-US" w:eastAsia="en-US"/>
        </w:rPr>
      </w:pPr>
      <w:r w:rsidRPr="00475EEE">
        <w:rPr>
          <w:rFonts w:eastAsia="Calibri"/>
          <w:lang w:val="en-US" w:eastAsia="en-US"/>
        </w:rPr>
        <w:t xml:space="preserve">In conclusion, </w:t>
      </w:r>
      <w:r w:rsidR="00BD1348">
        <w:rPr>
          <w:rFonts w:eastAsia="Calibri"/>
          <w:lang w:val="en-US" w:eastAsia="en-US"/>
        </w:rPr>
        <w:t xml:space="preserve">the results of </w:t>
      </w:r>
      <w:r w:rsidR="00290E41">
        <w:rPr>
          <w:rFonts w:eastAsia="Calibri"/>
          <w:lang w:val="en-US" w:eastAsia="en-US"/>
        </w:rPr>
        <w:t>this</w:t>
      </w:r>
      <w:r w:rsidR="00BD1348">
        <w:rPr>
          <w:rFonts w:eastAsia="Calibri"/>
          <w:lang w:val="en-US" w:eastAsia="en-US"/>
        </w:rPr>
        <w:t xml:space="preserve"> study suggest</w:t>
      </w:r>
      <w:r w:rsidR="00017E89">
        <w:rPr>
          <w:rFonts w:eastAsia="Calibri"/>
          <w:lang w:val="en-US" w:eastAsia="en-US"/>
        </w:rPr>
        <w:t xml:space="preserve"> </w:t>
      </w:r>
      <w:r w:rsidR="00BD1348">
        <w:rPr>
          <w:rFonts w:eastAsia="Calibri"/>
          <w:lang w:val="en-US" w:eastAsia="en-US"/>
        </w:rPr>
        <w:t xml:space="preserve">that </w:t>
      </w:r>
      <w:r w:rsidR="0001780E">
        <w:rPr>
          <w:rFonts w:eastAsia="Calibri"/>
          <w:lang w:val="en-US" w:eastAsia="en-US"/>
        </w:rPr>
        <w:t>achieving</w:t>
      </w:r>
      <w:r w:rsidR="0001780E" w:rsidRPr="00475EEE">
        <w:rPr>
          <w:rFonts w:eastAsia="Calibri"/>
          <w:lang w:val="en-US" w:eastAsia="en-US"/>
        </w:rPr>
        <w:t xml:space="preserve"> </w:t>
      </w:r>
      <w:r w:rsidRPr="00475EEE">
        <w:rPr>
          <w:rFonts w:eastAsia="Calibri"/>
          <w:lang w:val="en-US" w:eastAsia="en-US"/>
        </w:rPr>
        <w:t xml:space="preserve">WHO guidelines regarding PA </w:t>
      </w:r>
      <w:r w:rsidR="00290E41">
        <w:rPr>
          <w:rFonts w:eastAsia="Calibri"/>
          <w:lang w:val="en-US" w:eastAsia="en-US"/>
        </w:rPr>
        <w:t>might be an essential component to reduce</w:t>
      </w:r>
      <w:r w:rsidR="0001780E">
        <w:rPr>
          <w:rFonts w:eastAsia="Calibri"/>
          <w:lang w:val="en-US" w:eastAsia="en-US"/>
        </w:rPr>
        <w:t xml:space="preserve"> </w:t>
      </w:r>
      <w:r w:rsidR="004D235A" w:rsidRPr="00475EEE">
        <w:rPr>
          <w:rFonts w:eastAsia="Calibri"/>
          <w:lang w:val="en-US" w:eastAsia="en-US"/>
        </w:rPr>
        <w:t xml:space="preserve">chronic </w:t>
      </w:r>
      <w:r w:rsidR="0001780E">
        <w:rPr>
          <w:rFonts w:eastAsia="Calibri"/>
          <w:lang w:val="en-US" w:eastAsia="en-US"/>
        </w:rPr>
        <w:t>conditions</w:t>
      </w:r>
      <w:r w:rsidRPr="00475EEE">
        <w:rPr>
          <w:rFonts w:eastAsia="Calibri"/>
          <w:lang w:val="en-US" w:eastAsia="en-US"/>
        </w:rPr>
        <w:t xml:space="preserve"> </w:t>
      </w:r>
      <w:r w:rsidR="0001780E">
        <w:rPr>
          <w:rFonts w:eastAsia="Calibri"/>
          <w:lang w:val="en-US" w:eastAsia="en-US"/>
        </w:rPr>
        <w:t xml:space="preserve">in </w:t>
      </w:r>
      <w:r w:rsidR="00290E41">
        <w:rPr>
          <w:rFonts w:eastAsia="Calibri"/>
          <w:lang w:val="en-US" w:eastAsia="en-US"/>
        </w:rPr>
        <w:t>the studied population</w:t>
      </w:r>
      <w:r w:rsidRPr="00475EEE">
        <w:rPr>
          <w:rFonts w:eastAsia="Calibri"/>
          <w:lang w:val="en-US" w:eastAsia="en-US"/>
        </w:rPr>
        <w:t xml:space="preserve">. </w:t>
      </w:r>
      <w:r w:rsidR="0001780E">
        <w:rPr>
          <w:rFonts w:eastAsia="Calibri"/>
          <w:lang w:val="en-US" w:eastAsia="en-US"/>
        </w:rPr>
        <w:t>Particularly, older</w:t>
      </w:r>
      <w:r w:rsidR="00B74BF6" w:rsidRPr="00475EEE">
        <w:rPr>
          <w:rFonts w:eastAsia="Calibri"/>
          <w:lang w:val="en-US" w:eastAsia="en-US"/>
        </w:rPr>
        <w:t xml:space="preserve"> workers </w:t>
      </w:r>
      <w:r w:rsidR="0001780E">
        <w:rPr>
          <w:rFonts w:eastAsia="Calibri"/>
          <w:lang w:val="en-US" w:eastAsia="en-US"/>
        </w:rPr>
        <w:t xml:space="preserve">and those experiencing either </w:t>
      </w:r>
      <w:r w:rsidR="00B74BF6" w:rsidRPr="00475EEE">
        <w:rPr>
          <w:rFonts w:eastAsia="Calibri"/>
          <w:lang w:val="en-US" w:eastAsia="en-US"/>
        </w:rPr>
        <w:t xml:space="preserve">low-back </w:t>
      </w:r>
      <w:r w:rsidR="00017E89">
        <w:rPr>
          <w:rFonts w:eastAsia="Calibri"/>
          <w:lang w:val="en-US" w:eastAsia="en-US"/>
        </w:rPr>
        <w:t xml:space="preserve">or </w:t>
      </w:r>
      <w:proofErr w:type="spellStart"/>
      <w:r w:rsidR="00017E89">
        <w:rPr>
          <w:rFonts w:eastAsia="Calibri"/>
          <w:lang w:val="en-US" w:eastAsia="en-US"/>
        </w:rPr>
        <w:t>anxierty</w:t>
      </w:r>
      <w:proofErr w:type="spellEnd"/>
      <w:r w:rsidR="00017E89">
        <w:rPr>
          <w:rFonts w:eastAsia="Calibri"/>
          <w:lang w:val="en-US" w:eastAsia="en-US"/>
        </w:rPr>
        <w:t xml:space="preserve"> were observed to be the most adverse</w:t>
      </w:r>
      <w:r w:rsidR="002C002E">
        <w:rPr>
          <w:rFonts w:eastAsia="Calibri"/>
          <w:lang w:val="en-US" w:eastAsia="en-US"/>
        </w:rPr>
        <w:t xml:space="preserve">ly influenced by insufficient PA; thus, </w:t>
      </w:r>
      <w:r w:rsidR="00017E89" w:rsidRPr="00017E89">
        <w:rPr>
          <w:rFonts w:eastAsia="Calibri"/>
          <w:lang w:val="en-US" w:eastAsia="en-US"/>
        </w:rPr>
        <w:t xml:space="preserve">strategies aimed at </w:t>
      </w:r>
      <w:r w:rsidR="00017E89">
        <w:rPr>
          <w:rFonts w:eastAsia="Calibri"/>
          <w:lang w:val="en-US" w:eastAsia="en-US"/>
        </w:rPr>
        <w:t xml:space="preserve">workers with these features </w:t>
      </w:r>
      <w:r w:rsidR="002C002E">
        <w:rPr>
          <w:rFonts w:eastAsia="Calibri"/>
          <w:lang w:val="en-US" w:eastAsia="en-US"/>
        </w:rPr>
        <w:t xml:space="preserve">could be critical to prevent from experiencing chronic conditions. </w:t>
      </w:r>
    </w:p>
    <w:p w14:paraId="15EF47EB" w14:textId="77777777" w:rsidR="002A1A6C" w:rsidRDefault="002A1A6C" w:rsidP="006B3578">
      <w:pPr>
        <w:spacing w:after="160" w:line="480" w:lineRule="auto"/>
        <w:jc w:val="both"/>
        <w:rPr>
          <w:rFonts w:eastAsia="Calibri"/>
          <w:b/>
          <w:lang w:val="en-US" w:eastAsia="en-US"/>
        </w:rPr>
      </w:pPr>
    </w:p>
    <w:p w14:paraId="05ADE9CA" w14:textId="06F4013D" w:rsidR="005C38CF" w:rsidRDefault="00D15C3A" w:rsidP="006B3578">
      <w:pPr>
        <w:spacing w:after="160" w:line="480" w:lineRule="auto"/>
        <w:jc w:val="both"/>
        <w:rPr>
          <w:rFonts w:eastAsia="Calibri"/>
          <w:b/>
          <w:lang w:val="en-US" w:eastAsia="en-US"/>
        </w:rPr>
      </w:pPr>
      <w:r w:rsidRPr="00D15C3A">
        <w:rPr>
          <w:rFonts w:eastAsia="Calibri"/>
          <w:b/>
          <w:lang w:val="en-US" w:eastAsia="en-US"/>
        </w:rPr>
        <w:t>Acknowledgments</w:t>
      </w:r>
    </w:p>
    <w:p w14:paraId="0E83C3E9" w14:textId="77777777" w:rsidR="00D15C3A" w:rsidRDefault="00D15C3A" w:rsidP="00D15C3A">
      <w:pPr>
        <w:spacing w:line="480" w:lineRule="auto"/>
        <w:jc w:val="both"/>
        <w:rPr>
          <w:lang w:val="en-US"/>
        </w:rPr>
      </w:pPr>
      <w:r w:rsidRPr="004A11FA">
        <w:rPr>
          <w:lang w:val="en-US"/>
        </w:rPr>
        <w:t>The survey was funded by the Spanish Ministry of Health, Social Services and Equality, and the National Statistics Institute.</w:t>
      </w:r>
    </w:p>
    <w:p w14:paraId="68EB0428" w14:textId="77777777" w:rsidR="0037552C" w:rsidRDefault="0037552C" w:rsidP="00D15C3A">
      <w:pPr>
        <w:spacing w:line="480" w:lineRule="auto"/>
        <w:jc w:val="both"/>
        <w:rPr>
          <w:b/>
          <w:sz w:val="28"/>
          <w:szCs w:val="28"/>
          <w:lang w:val="en-US"/>
        </w:rPr>
      </w:pPr>
    </w:p>
    <w:p w14:paraId="1B33A39B" w14:textId="27182922" w:rsidR="001D2F23" w:rsidRPr="0037552C" w:rsidRDefault="001D2F23" w:rsidP="00D15C3A">
      <w:pPr>
        <w:spacing w:line="480" w:lineRule="auto"/>
        <w:jc w:val="both"/>
        <w:rPr>
          <w:b/>
          <w:sz w:val="28"/>
          <w:szCs w:val="28"/>
          <w:lang w:val="en-US"/>
        </w:rPr>
      </w:pPr>
      <w:r w:rsidRPr="0037552C">
        <w:rPr>
          <w:b/>
          <w:sz w:val="28"/>
          <w:szCs w:val="28"/>
          <w:lang w:val="en-US"/>
        </w:rPr>
        <w:lastRenderedPageBreak/>
        <w:t>Summary</w:t>
      </w:r>
    </w:p>
    <w:p w14:paraId="3D42F93B" w14:textId="77777777" w:rsidR="001D2F23" w:rsidRDefault="001D2F23" w:rsidP="006B3578">
      <w:pPr>
        <w:spacing w:after="160" w:line="480" w:lineRule="auto"/>
        <w:jc w:val="both"/>
        <w:rPr>
          <w:rFonts w:eastAsia="Calibri"/>
          <w:b/>
          <w:lang w:val="en-US" w:eastAsia="en-US"/>
        </w:rPr>
      </w:pPr>
      <w:r w:rsidRPr="001D2F23">
        <w:rPr>
          <w:rFonts w:eastAsia="Calibri"/>
          <w:b/>
          <w:lang w:val="en-US" w:eastAsia="en-US"/>
        </w:rPr>
        <w:t xml:space="preserve">What is already known on this topic? </w:t>
      </w:r>
    </w:p>
    <w:p w14:paraId="64EEBD30" w14:textId="5DC011E1" w:rsidR="001D2F23" w:rsidRPr="001D2F23" w:rsidRDefault="001D2F23" w:rsidP="006B3578">
      <w:pPr>
        <w:spacing w:after="160" w:line="480" w:lineRule="auto"/>
        <w:jc w:val="both"/>
        <w:rPr>
          <w:rFonts w:eastAsia="Calibri"/>
          <w:lang w:val="en-US" w:eastAsia="en-US"/>
        </w:rPr>
      </w:pPr>
      <w:r>
        <w:rPr>
          <w:rFonts w:eastAsia="Calibri"/>
          <w:lang w:val="en-US" w:eastAsia="en-US"/>
        </w:rPr>
        <w:t xml:space="preserve">There is high-quality evidence that physical activity reduces risk of the most prevalent </w:t>
      </w:r>
      <w:r w:rsidR="00096286">
        <w:rPr>
          <w:rFonts w:eastAsia="Calibri"/>
          <w:lang w:val="en-US" w:eastAsia="en-US"/>
        </w:rPr>
        <w:t xml:space="preserve">chronic conditions. </w:t>
      </w:r>
      <w:r>
        <w:rPr>
          <w:rFonts w:eastAsia="Calibri"/>
          <w:lang w:val="en-US" w:eastAsia="en-US"/>
        </w:rPr>
        <w:t xml:space="preserve"> </w:t>
      </w:r>
    </w:p>
    <w:p w14:paraId="756AF09F" w14:textId="77777777" w:rsidR="001D2F23" w:rsidRDefault="001D2F23" w:rsidP="006B3578">
      <w:pPr>
        <w:spacing w:after="160" w:line="480" w:lineRule="auto"/>
        <w:jc w:val="both"/>
        <w:rPr>
          <w:rFonts w:eastAsia="Calibri"/>
          <w:b/>
          <w:lang w:val="en-US" w:eastAsia="en-US"/>
        </w:rPr>
      </w:pPr>
      <w:r w:rsidRPr="001D2F23">
        <w:rPr>
          <w:rFonts w:eastAsia="Calibri"/>
          <w:b/>
          <w:lang w:val="en-US" w:eastAsia="en-US"/>
        </w:rPr>
        <w:t>Wh</w:t>
      </w:r>
      <w:r>
        <w:rPr>
          <w:rFonts w:eastAsia="Calibri"/>
          <w:b/>
          <w:lang w:val="en-US" w:eastAsia="en-US"/>
        </w:rPr>
        <w:t xml:space="preserve">at is added by this report? </w:t>
      </w:r>
    </w:p>
    <w:p w14:paraId="0798D054" w14:textId="414D1558" w:rsidR="001D2F23" w:rsidRDefault="00096286" w:rsidP="006B3578">
      <w:pPr>
        <w:spacing w:after="160" w:line="480" w:lineRule="auto"/>
        <w:jc w:val="both"/>
        <w:rPr>
          <w:rFonts w:eastAsia="Calibri"/>
          <w:b/>
          <w:lang w:val="en-US" w:eastAsia="en-US"/>
        </w:rPr>
      </w:pPr>
      <w:r>
        <w:rPr>
          <w:lang w:val="en-US"/>
        </w:rPr>
        <w:t xml:space="preserve">Insufficient </w:t>
      </w:r>
      <w:r w:rsidR="001D2F23">
        <w:rPr>
          <w:lang w:val="en-US"/>
        </w:rPr>
        <w:t xml:space="preserve">weekly levels regarding physical activity associates with </w:t>
      </w:r>
      <w:r>
        <w:rPr>
          <w:lang w:val="en-US"/>
        </w:rPr>
        <w:t>higher odds</w:t>
      </w:r>
      <w:r w:rsidR="001D2F23">
        <w:rPr>
          <w:lang w:val="en-US"/>
        </w:rPr>
        <w:t xml:space="preserve"> of chronic </w:t>
      </w:r>
      <w:r>
        <w:rPr>
          <w:lang w:val="en-US"/>
        </w:rPr>
        <w:t xml:space="preserve">conditions among a Spanish population of workers. </w:t>
      </w:r>
    </w:p>
    <w:p w14:paraId="1DECDE93" w14:textId="229DE94B" w:rsidR="00D15C3A" w:rsidRPr="00D15C3A" w:rsidRDefault="001D2F23" w:rsidP="006B3578">
      <w:pPr>
        <w:spacing w:after="160" w:line="480" w:lineRule="auto"/>
        <w:jc w:val="both"/>
        <w:rPr>
          <w:rFonts w:eastAsia="Calibri"/>
          <w:b/>
          <w:lang w:val="en-US" w:eastAsia="en-US"/>
        </w:rPr>
      </w:pPr>
      <w:r w:rsidRPr="001D2F23">
        <w:rPr>
          <w:rFonts w:eastAsia="Calibri"/>
          <w:b/>
          <w:lang w:val="en-US" w:eastAsia="en-US"/>
        </w:rPr>
        <w:t>What are the implications for public health practice?</w:t>
      </w:r>
    </w:p>
    <w:p w14:paraId="59E0226D" w14:textId="29EC59A6" w:rsidR="00D15C3A" w:rsidRPr="003C4EED" w:rsidRDefault="001D2F23" w:rsidP="006B3578">
      <w:pPr>
        <w:spacing w:after="160" w:line="480" w:lineRule="auto"/>
        <w:jc w:val="both"/>
        <w:rPr>
          <w:rFonts w:eastAsia="Calibri"/>
          <w:lang w:val="en-US" w:eastAsia="en-US"/>
        </w:rPr>
      </w:pPr>
      <w:r w:rsidRPr="003C4EED">
        <w:rPr>
          <w:rFonts w:eastAsia="Calibri"/>
          <w:lang w:val="en-US" w:eastAsia="en-US"/>
        </w:rPr>
        <w:t xml:space="preserve">Physical activity strategies </w:t>
      </w:r>
      <w:r w:rsidR="003C4EED" w:rsidRPr="003C4EED">
        <w:rPr>
          <w:rFonts w:eastAsia="Calibri"/>
          <w:lang w:val="en-US" w:eastAsia="en-US"/>
        </w:rPr>
        <w:t>reaching recommended guidelines</w:t>
      </w:r>
      <w:r w:rsidRPr="003C4EED">
        <w:rPr>
          <w:rFonts w:eastAsia="Calibri"/>
          <w:lang w:val="en-US" w:eastAsia="en-US"/>
        </w:rPr>
        <w:t xml:space="preserve"> might reduce levels of some of the most prevalent chronic </w:t>
      </w:r>
      <w:r w:rsidR="006F2CFC">
        <w:rPr>
          <w:rFonts w:eastAsia="Calibri"/>
          <w:lang w:val="en-US" w:eastAsia="en-US"/>
        </w:rPr>
        <w:t>condition</w:t>
      </w:r>
      <w:r w:rsidR="006F2CFC" w:rsidRPr="003C4EED">
        <w:rPr>
          <w:rFonts w:eastAsia="Calibri"/>
          <w:lang w:val="en-US" w:eastAsia="en-US"/>
        </w:rPr>
        <w:t xml:space="preserve">s </w:t>
      </w:r>
      <w:r w:rsidRPr="003C4EED">
        <w:rPr>
          <w:rFonts w:eastAsia="Calibri"/>
          <w:lang w:val="en-US" w:eastAsia="en-US"/>
        </w:rPr>
        <w:t xml:space="preserve">among the workforce. </w:t>
      </w:r>
    </w:p>
    <w:p w14:paraId="0695A251" w14:textId="77777777" w:rsidR="00D15C3A" w:rsidRPr="00D15C3A" w:rsidRDefault="00D15C3A" w:rsidP="006B3578">
      <w:pPr>
        <w:spacing w:after="160" w:line="480" w:lineRule="auto"/>
        <w:jc w:val="both"/>
        <w:rPr>
          <w:rFonts w:eastAsia="Calibri"/>
          <w:b/>
          <w:lang w:val="en-US" w:eastAsia="en-US"/>
        </w:rPr>
      </w:pPr>
    </w:p>
    <w:p w14:paraId="3580B46D" w14:textId="77777777" w:rsidR="00D15C3A" w:rsidRPr="00D15C3A" w:rsidRDefault="00D15C3A" w:rsidP="006B3578">
      <w:pPr>
        <w:spacing w:after="160" w:line="480" w:lineRule="auto"/>
        <w:jc w:val="both"/>
        <w:rPr>
          <w:rFonts w:eastAsia="Calibri"/>
          <w:b/>
          <w:lang w:val="en-US" w:eastAsia="en-US"/>
        </w:rPr>
      </w:pPr>
    </w:p>
    <w:p w14:paraId="25967983" w14:textId="77777777" w:rsidR="00D15C3A" w:rsidRDefault="00D15C3A" w:rsidP="006B3578">
      <w:pPr>
        <w:spacing w:after="160" w:line="480" w:lineRule="auto"/>
        <w:jc w:val="both"/>
        <w:rPr>
          <w:rFonts w:eastAsia="Calibri"/>
          <w:b/>
          <w:lang w:val="en-US" w:eastAsia="en-US"/>
        </w:rPr>
      </w:pPr>
    </w:p>
    <w:p w14:paraId="2BD72552" w14:textId="77777777" w:rsidR="00162EC4" w:rsidRDefault="00162EC4" w:rsidP="006B3578">
      <w:pPr>
        <w:spacing w:after="160" w:line="480" w:lineRule="auto"/>
        <w:jc w:val="both"/>
        <w:rPr>
          <w:rFonts w:eastAsia="Calibri"/>
          <w:b/>
          <w:lang w:val="en-US" w:eastAsia="en-US"/>
        </w:rPr>
      </w:pPr>
    </w:p>
    <w:p w14:paraId="6DEBA386" w14:textId="77777777" w:rsidR="00162EC4" w:rsidRDefault="00162EC4" w:rsidP="006B3578">
      <w:pPr>
        <w:spacing w:after="160" w:line="480" w:lineRule="auto"/>
        <w:jc w:val="both"/>
        <w:rPr>
          <w:rFonts w:eastAsia="Calibri"/>
          <w:b/>
          <w:lang w:val="en-US" w:eastAsia="en-US"/>
        </w:rPr>
      </w:pPr>
    </w:p>
    <w:p w14:paraId="03ED44B1" w14:textId="77777777" w:rsidR="00162EC4" w:rsidRPr="00D15C3A" w:rsidRDefault="00162EC4" w:rsidP="006B3578">
      <w:pPr>
        <w:spacing w:after="160" w:line="480" w:lineRule="auto"/>
        <w:jc w:val="both"/>
        <w:rPr>
          <w:rFonts w:eastAsia="Calibri"/>
          <w:b/>
          <w:lang w:val="en-US" w:eastAsia="en-US"/>
        </w:rPr>
      </w:pPr>
    </w:p>
    <w:p w14:paraId="22E3F2F8" w14:textId="77777777" w:rsidR="00D15C3A" w:rsidRDefault="00D15C3A" w:rsidP="006B3578">
      <w:pPr>
        <w:spacing w:after="160" w:line="480" w:lineRule="auto"/>
        <w:jc w:val="both"/>
        <w:rPr>
          <w:rFonts w:eastAsia="Calibri"/>
          <w:b/>
          <w:lang w:val="en-US" w:eastAsia="en-US"/>
        </w:rPr>
      </w:pPr>
    </w:p>
    <w:p w14:paraId="1B0B62ED" w14:textId="77777777" w:rsidR="0037552C" w:rsidRDefault="0037552C" w:rsidP="006B3578">
      <w:pPr>
        <w:spacing w:after="160" w:line="480" w:lineRule="auto"/>
        <w:jc w:val="both"/>
        <w:rPr>
          <w:rFonts w:eastAsia="Calibri"/>
          <w:b/>
          <w:lang w:val="en-US" w:eastAsia="en-US"/>
        </w:rPr>
      </w:pPr>
    </w:p>
    <w:p w14:paraId="5FE8369A" w14:textId="77777777" w:rsidR="00E1513B" w:rsidRDefault="00E1513B" w:rsidP="006B3578">
      <w:pPr>
        <w:spacing w:after="160" w:line="480" w:lineRule="auto"/>
        <w:jc w:val="both"/>
        <w:rPr>
          <w:rFonts w:eastAsia="Calibri"/>
          <w:b/>
          <w:lang w:val="en-US" w:eastAsia="en-US"/>
        </w:rPr>
      </w:pPr>
    </w:p>
    <w:p w14:paraId="6A838C3B" w14:textId="77777777" w:rsidR="00E1513B" w:rsidRDefault="00E1513B" w:rsidP="006B3578">
      <w:pPr>
        <w:spacing w:after="160" w:line="480" w:lineRule="auto"/>
        <w:jc w:val="both"/>
        <w:rPr>
          <w:rFonts w:eastAsia="Calibri"/>
          <w:b/>
          <w:lang w:val="en-US" w:eastAsia="en-US"/>
        </w:rPr>
      </w:pPr>
    </w:p>
    <w:p w14:paraId="53A7AEEA" w14:textId="77777777" w:rsidR="00E1513B" w:rsidRPr="00D15C3A" w:rsidRDefault="00E1513B" w:rsidP="006B3578">
      <w:pPr>
        <w:spacing w:after="160" w:line="480" w:lineRule="auto"/>
        <w:jc w:val="both"/>
        <w:rPr>
          <w:rFonts w:eastAsia="Calibri"/>
          <w:b/>
          <w:lang w:val="en-US" w:eastAsia="en-US"/>
        </w:rPr>
      </w:pPr>
    </w:p>
    <w:p w14:paraId="4D5C3DBE" w14:textId="4EFB77C1" w:rsidR="00C15659" w:rsidRPr="00BA4F12" w:rsidRDefault="00733C2C" w:rsidP="006B3578">
      <w:pPr>
        <w:spacing w:after="160" w:line="480" w:lineRule="auto"/>
        <w:jc w:val="both"/>
        <w:rPr>
          <w:rFonts w:eastAsia="Calibri"/>
          <w:b/>
          <w:lang w:val="en-US" w:eastAsia="en-US"/>
        </w:rPr>
      </w:pPr>
      <w:r w:rsidRPr="00BA4F12">
        <w:rPr>
          <w:rFonts w:eastAsia="Calibri"/>
          <w:b/>
          <w:lang w:val="en-US" w:eastAsia="en-US"/>
        </w:rPr>
        <w:lastRenderedPageBreak/>
        <w:t>References</w:t>
      </w:r>
    </w:p>
    <w:p w14:paraId="6D10039D" w14:textId="19C8139D" w:rsidR="002F36A0" w:rsidRPr="002F36A0" w:rsidRDefault="005E72EA" w:rsidP="002F36A0">
      <w:pPr>
        <w:widowControl w:val="0"/>
        <w:autoSpaceDE w:val="0"/>
        <w:autoSpaceDN w:val="0"/>
        <w:adjustRightInd w:val="0"/>
        <w:spacing w:line="480" w:lineRule="auto"/>
        <w:ind w:left="640" w:hanging="640"/>
        <w:rPr>
          <w:noProof/>
        </w:rPr>
      </w:pPr>
      <w:r w:rsidRPr="00475EEE">
        <w:rPr>
          <w:noProof/>
        </w:rPr>
        <w:fldChar w:fldCharType="begin" w:fldLock="1"/>
      </w:r>
      <w:r w:rsidRPr="00475EEE">
        <w:rPr>
          <w:noProof/>
        </w:rPr>
        <w:instrText xml:space="preserve">ADDIN Mendeley Bibliography CSL_BIBLIOGRAPHY </w:instrText>
      </w:r>
      <w:r w:rsidRPr="00475EEE">
        <w:rPr>
          <w:noProof/>
        </w:rPr>
        <w:fldChar w:fldCharType="separate"/>
      </w:r>
      <w:r w:rsidR="002F36A0" w:rsidRPr="002F36A0">
        <w:rPr>
          <w:noProof/>
        </w:rPr>
        <w:t xml:space="preserve">1. </w:t>
      </w:r>
      <w:r w:rsidR="002F36A0" w:rsidRPr="002F36A0">
        <w:rPr>
          <w:noProof/>
        </w:rPr>
        <w:tab/>
        <w:t xml:space="preserve">Sundstrup E, Due Jakobsen M, Mortensen OS, Andersen LL. Joint association of multimorbidity and work ability with risk of long-term sickness absence: a prospective cohort study with register follow-up. Scand J Work Environ Heal. 2017;43(2):146–54. </w:t>
      </w:r>
    </w:p>
    <w:p w14:paraId="1A678FEE" w14:textId="5E8D686D"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 </w:t>
      </w:r>
      <w:r w:rsidRPr="002F36A0">
        <w:rPr>
          <w:noProof/>
        </w:rPr>
        <w:tab/>
        <w:t xml:space="preserve">Vuorio T, Suominen S, Kautiainen H, Korhonen P. Determinants of sickness absence rate among Finnish municipal employees. Scand J Prim Health Care. 2019;37(1):3–9. </w:t>
      </w:r>
    </w:p>
    <w:p w14:paraId="12095489"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3. </w:t>
      </w:r>
      <w:r w:rsidRPr="002F36A0">
        <w:rPr>
          <w:noProof/>
        </w:rPr>
        <w:tab/>
        <w:t xml:space="preserve">de Vroome EMM, Uegaki K, van der Ploeg CPB, Treutlein DB, Steenbeek R, de Weerd M, et al. Burden of Sickness Absence Due to Chronic Disease in the Dutch Workforce from 2007 to 2011. J Occup Rehabil. 2015;25(4):675–84. </w:t>
      </w:r>
    </w:p>
    <w:p w14:paraId="0AFCD2A8" w14:textId="059448F3"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4. </w:t>
      </w:r>
      <w:r w:rsidRPr="002F36A0">
        <w:rPr>
          <w:noProof/>
        </w:rPr>
        <w:tab/>
        <w:t>Soriano JB, Rojas-Rueda D, Alonso J, Antó JM, Cardona P-J, Fernández E, et al. The burden of disease in Spain: Results from the Global Burden of Disease 2016. Med Clínica (English Ed.</w:t>
      </w:r>
      <w:r w:rsidR="00582732">
        <w:rPr>
          <w:noProof/>
        </w:rPr>
        <w:t>)</w:t>
      </w:r>
      <w:r w:rsidRPr="002F36A0">
        <w:rPr>
          <w:noProof/>
        </w:rPr>
        <w:t xml:space="preserve"> 2018 Sep;151(5):171–90. </w:t>
      </w:r>
    </w:p>
    <w:p w14:paraId="202A2411" w14:textId="1164F858"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5. </w:t>
      </w:r>
      <w:r w:rsidRPr="002F36A0">
        <w:rPr>
          <w:noProof/>
        </w:rPr>
        <w:tab/>
        <w:t xml:space="preserve">Huerta JM, Chirlaque DM, María José T, Buckland G, Ardanaz E, Arriola L, et al. Work , household , and leisure-time physical activity and risk of mortality in the EPIC-Spain cohort. Prev Med (Baltim). 2016;85(2016):106–12. </w:t>
      </w:r>
    </w:p>
    <w:p w14:paraId="0BB65A06"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6. </w:t>
      </w:r>
      <w:r w:rsidRPr="002F36A0">
        <w:rPr>
          <w:noProof/>
        </w:rPr>
        <w:tab/>
        <w:t xml:space="preserve">Coenen P, Huysmans MA, Holtermann A, Krause N, Van Mechelen W, Straker LM, et al. Do highly physically active workers die early? A systematic review with meta-analysis of data from 193 696 participants. Br J Sports Med. 2018;52(20):1320–6. </w:t>
      </w:r>
    </w:p>
    <w:p w14:paraId="6DA85458"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7. </w:t>
      </w:r>
      <w:r w:rsidRPr="002F36A0">
        <w:rPr>
          <w:noProof/>
        </w:rPr>
        <w:tab/>
        <w:t xml:space="preserve">Arem H, Moore SC, Patel A, Hartge P, Berrington De Gonzalez A, Visvanathan K, et al. Leisure time physical activity and mortality: A detailed pooled analysis of the dose-response relationship. JAMA Intern Med. 2015;175(6):959–67. </w:t>
      </w:r>
    </w:p>
    <w:p w14:paraId="6DB8AEB3"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8. </w:t>
      </w:r>
      <w:r w:rsidRPr="002F36A0">
        <w:rPr>
          <w:noProof/>
        </w:rPr>
        <w:tab/>
        <w:t xml:space="preserve">Fernandez-Navarro P, Aragones MT, Ley V. Leisure-time physical activity and </w:t>
      </w:r>
      <w:r w:rsidRPr="002F36A0">
        <w:rPr>
          <w:noProof/>
        </w:rPr>
        <w:lastRenderedPageBreak/>
        <w:t xml:space="preserve">prevalence of non-communicable pathologies and prescription medication in Spain. PLoS One. 2018;13(1):1–13. </w:t>
      </w:r>
    </w:p>
    <w:p w14:paraId="6112F73F"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9. </w:t>
      </w:r>
      <w:r w:rsidRPr="002F36A0">
        <w:rPr>
          <w:noProof/>
        </w:rPr>
        <w:tab/>
        <w:t xml:space="preserve">Holtermann A, Hansen J V., Burr H, Søgaard K, Sjøgaard G. The health paradox of occupational and leisure-time physical activity. Br J Sports Med. 2012;46(4):291–5. </w:t>
      </w:r>
    </w:p>
    <w:p w14:paraId="2FA40D38"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10. </w:t>
      </w:r>
      <w:r w:rsidRPr="002F36A0">
        <w:rPr>
          <w:noProof/>
        </w:rPr>
        <w:tab/>
        <w:t xml:space="preserve">Fimland MS, Vie G, Holtermann A, Krokstad S, Nilsen TIL. Occupational and leisure-time physical activity and risk of disability pension: Prospective data from the HUNT study, Norway. Occup Environ Med. 2018;75(1):23–8. </w:t>
      </w:r>
    </w:p>
    <w:p w14:paraId="439BF54F"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11. </w:t>
      </w:r>
      <w:r w:rsidRPr="002F36A0">
        <w:rPr>
          <w:noProof/>
        </w:rPr>
        <w:tab/>
        <w:t xml:space="preserve">Brawner CA, Churilla JR, Keteyian SJ. Prevalence of physical activity is lower among individuals with chronic disease. Med Sci Sports Exerc. 2016;48(6):1062–7. </w:t>
      </w:r>
    </w:p>
    <w:p w14:paraId="511EBAFA"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12. </w:t>
      </w:r>
      <w:r w:rsidRPr="002F36A0">
        <w:rPr>
          <w:noProof/>
        </w:rPr>
        <w:tab/>
        <w:t xml:space="preserve">López-Sánchez GF, Grabovac I, Pizzol D, Yang L, Smith L. The association between difficulty seeing and physical activity among 17,777 adults residing in Spain. Int J Environ Res Public Health. 2019;16(21). </w:t>
      </w:r>
    </w:p>
    <w:p w14:paraId="22F7FC83"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13. </w:t>
      </w:r>
      <w:r w:rsidRPr="002F36A0">
        <w:rPr>
          <w:noProof/>
        </w:rPr>
        <w:tab/>
        <w:t xml:space="preserve">Mielgo-Ayuso J, Aparicio-Ugarriza R, Castillo A, Ruiz E, Ávila JM, Aranceta-Batrina J, et al. Physical activity patterns of the spanish population are mostly determined by sex and age: Findings in the ANIBES study. PLoS One. 2016;11(2):1–22. </w:t>
      </w:r>
    </w:p>
    <w:p w14:paraId="1E9EF274" w14:textId="62546806"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14. </w:t>
      </w:r>
      <w:r w:rsidRPr="002F36A0">
        <w:rPr>
          <w:noProof/>
        </w:rPr>
        <w:tab/>
        <w:t>European Commission. Special Eurobarometer 472 Report Sport and physical activity Fieldwork. Brussels</w:t>
      </w:r>
      <w:r w:rsidR="00670495">
        <w:rPr>
          <w:noProof/>
        </w:rPr>
        <w:t>: European Comission;</w:t>
      </w:r>
      <w:r w:rsidRPr="002F36A0">
        <w:rPr>
          <w:noProof/>
        </w:rPr>
        <w:t xml:space="preserve"> 2018. http://ec.europa.eu/commfrontoffice/publicopinion/index.cfm/survey/getsurveydetail/instruments/special/surveyky/2164</w:t>
      </w:r>
      <w:r w:rsidR="00670495">
        <w:rPr>
          <w:noProof/>
        </w:rPr>
        <w:t>. Accessed January 22</w:t>
      </w:r>
      <w:r w:rsidR="00670495" w:rsidRPr="00670495">
        <w:rPr>
          <w:noProof/>
        </w:rPr>
        <w:t>, 2020.</w:t>
      </w:r>
    </w:p>
    <w:p w14:paraId="52C7FCD8" w14:textId="0129FDF3"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15. </w:t>
      </w:r>
      <w:r w:rsidRPr="002F36A0">
        <w:rPr>
          <w:noProof/>
        </w:rPr>
        <w:tab/>
      </w:r>
      <w:r w:rsidR="00670495" w:rsidRPr="002F36A0">
        <w:rPr>
          <w:noProof/>
        </w:rPr>
        <w:t>Eu</w:t>
      </w:r>
      <w:r w:rsidR="00670495">
        <w:rPr>
          <w:noProof/>
        </w:rPr>
        <w:t>ropean Comission</w:t>
      </w:r>
      <w:r w:rsidRPr="002F36A0">
        <w:rPr>
          <w:noProof/>
        </w:rPr>
        <w:t>. Average number of usual weekly hours of work in main job, by sex, professional status, full-time/part-time and occupation (hours).</w:t>
      </w:r>
      <w:r w:rsidR="00582732">
        <w:rPr>
          <w:noProof/>
        </w:rPr>
        <w:t xml:space="preserve"> Brussels</w:t>
      </w:r>
      <w:r w:rsidR="00670495">
        <w:rPr>
          <w:noProof/>
        </w:rPr>
        <w:t>: European Comission;</w:t>
      </w:r>
      <w:r w:rsidRPr="002F36A0">
        <w:rPr>
          <w:noProof/>
        </w:rPr>
        <w:t xml:space="preserve"> 2019.</w:t>
      </w:r>
      <w:r w:rsidR="00670495">
        <w:rPr>
          <w:noProof/>
        </w:rPr>
        <w:t xml:space="preserve"> </w:t>
      </w:r>
      <w:r w:rsidRPr="002F36A0">
        <w:rPr>
          <w:noProof/>
        </w:rPr>
        <w:lastRenderedPageBreak/>
        <w:t>https://appsso.eurostat.ec.europa.eu/nui/show.do?dataset=lfsq_ewhuis&amp;lang=en</w:t>
      </w:r>
      <w:r w:rsidR="00670495">
        <w:rPr>
          <w:noProof/>
        </w:rPr>
        <w:t>. Accessed January 18</w:t>
      </w:r>
      <w:r w:rsidR="00670495" w:rsidRPr="00670495">
        <w:rPr>
          <w:noProof/>
        </w:rPr>
        <w:t>, 2020.</w:t>
      </w:r>
    </w:p>
    <w:p w14:paraId="5D3BC6DB" w14:textId="076E0934"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16. </w:t>
      </w:r>
      <w:r w:rsidRPr="002F36A0">
        <w:rPr>
          <w:noProof/>
        </w:rPr>
        <w:tab/>
        <w:t>Ministerio de Sanidad Servicios Sociales e Igualdad &amp; Instituto Nacional de Estadística. Spanish National Health Survey 2017: Methodology</w:t>
      </w:r>
      <w:r w:rsidR="00582732">
        <w:rPr>
          <w:noProof/>
        </w:rPr>
        <w:t xml:space="preserve">. Madrid: </w:t>
      </w:r>
      <w:r w:rsidR="00582732" w:rsidRPr="00582732">
        <w:rPr>
          <w:noProof/>
        </w:rPr>
        <w:t>Ministerio de Sanidad Servicios Sociales e Igualdad &amp; Instituto Nacional de Estadística</w:t>
      </w:r>
      <w:r w:rsidR="00670495">
        <w:rPr>
          <w:noProof/>
        </w:rPr>
        <w:t>;</w:t>
      </w:r>
      <w:r w:rsidR="00582732">
        <w:rPr>
          <w:noProof/>
        </w:rPr>
        <w:t xml:space="preserve"> 2017.</w:t>
      </w:r>
      <w:r w:rsidR="00582732" w:rsidRPr="00582732" w:rsidDel="00582732">
        <w:rPr>
          <w:noProof/>
        </w:rPr>
        <w:t xml:space="preserve"> </w:t>
      </w:r>
      <w:r w:rsidRPr="002F36A0">
        <w:rPr>
          <w:noProof/>
        </w:rPr>
        <w:t>https://www.ine.es/metodologia/t15/t153041917.pdf</w:t>
      </w:r>
      <w:r w:rsidR="00582732">
        <w:rPr>
          <w:noProof/>
        </w:rPr>
        <w:t>. Accessed January 25, 2020.</w:t>
      </w:r>
    </w:p>
    <w:p w14:paraId="594897F9"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17. </w:t>
      </w:r>
      <w:r w:rsidRPr="002F36A0">
        <w:rPr>
          <w:noProof/>
        </w:rPr>
        <w:tab/>
        <w:t xml:space="preserve">Craig CL, Marshall AL, Sjöström M, Bauman AE, Booth ML, Ainsworth BE, et al. International physical activity questionnaire: 12-Country reliability and validity. Med Sci Sports Exerc. 2003;35(8):1381–95. </w:t>
      </w:r>
    </w:p>
    <w:p w14:paraId="50FB122F" w14:textId="45F3F71A"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18. </w:t>
      </w:r>
      <w:r w:rsidRPr="002F36A0">
        <w:rPr>
          <w:noProof/>
        </w:rPr>
        <w:tab/>
        <w:t>Ipaq. Guidelines for Data Processing and Analysis of the International Physical Activity Questionnaire ( IPAQ ) – Short and Long Forms. Ipaq. 2005. https://sites.google.com/site/theipaq/scoring-protocol</w:t>
      </w:r>
      <w:r w:rsidR="0091426D">
        <w:rPr>
          <w:noProof/>
        </w:rPr>
        <w:t>. Accessed January 8</w:t>
      </w:r>
      <w:r w:rsidR="0091426D" w:rsidRPr="0091426D">
        <w:rPr>
          <w:noProof/>
        </w:rPr>
        <w:t>, 2020.</w:t>
      </w:r>
    </w:p>
    <w:p w14:paraId="4AF57009"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19. </w:t>
      </w:r>
      <w:r w:rsidRPr="002F36A0">
        <w:rPr>
          <w:noProof/>
        </w:rPr>
        <w:tab/>
        <w:t xml:space="preserve">Virdis A, Giannarelli C, Fritsch Neves M, Taddei S, Ghiadoni L. Cigarette Smoking and Hypertension. Curr Pharm Des. 2010;16(23):2518–25. </w:t>
      </w:r>
    </w:p>
    <w:p w14:paraId="44D7F6BD"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20. </w:t>
      </w:r>
      <w:r w:rsidRPr="002F36A0">
        <w:rPr>
          <w:noProof/>
        </w:rPr>
        <w:tab/>
        <w:t xml:space="preserve">Andersen LL, Clausen T, Persson R, Holtermann A. Perceived physical exertion during healthcare work and risk of chronic pain in different body regions: Prospective cohort study. Int Arch Occup Environ Health. 2013;86(6):681–7. </w:t>
      </w:r>
    </w:p>
    <w:p w14:paraId="2C2198F6" w14:textId="3CF6B0A5"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21. </w:t>
      </w:r>
      <w:r w:rsidRPr="002F36A0">
        <w:rPr>
          <w:noProof/>
        </w:rPr>
        <w:tab/>
        <w:t xml:space="preserve">Wang X, Ouyang Y, Liu J, Zhu M, Zhao G, Bao W, et al. Fruit and vegetable consumption and mortality from all causes, cardiovascular disease, and cancer: Systematic review and dose-response meta-analysis of prospective cohort studies. BMJ. 2014;349(July):1–14. </w:t>
      </w:r>
    </w:p>
    <w:p w14:paraId="1FF5E937"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22. </w:t>
      </w:r>
      <w:r w:rsidRPr="002F36A0">
        <w:rPr>
          <w:noProof/>
        </w:rPr>
        <w:tab/>
        <w:t xml:space="preserve">Höfelmann DA, Gonzalez-Chica DA, Peres KG, Boing AF, Peres MA. Chronic diseases and socioeconomic inequalities in quality of life among Brazilian adults: Findings from a population-based study in Southern Brazil. Eur J Public Health. </w:t>
      </w:r>
      <w:r w:rsidRPr="002F36A0">
        <w:rPr>
          <w:noProof/>
        </w:rPr>
        <w:lastRenderedPageBreak/>
        <w:t xml:space="preserve">2018;28(4):603–10. </w:t>
      </w:r>
    </w:p>
    <w:p w14:paraId="3800A046" w14:textId="6D96472B"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23. </w:t>
      </w:r>
      <w:r w:rsidRPr="002F36A0">
        <w:rPr>
          <w:noProof/>
        </w:rPr>
        <w:tab/>
        <w:t xml:space="preserve">Instituto Nacional de Estadística. Clasificación Nacional de Ocupaciones (CNO). </w:t>
      </w:r>
      <w:r w:rsidR="0091426D">
        <w:rPr>
          <w:noProof/>
        </w:rPr>
        <w:t xml:space="preserve">Madrid: </w:t>
      </w:r>
      <w:r w:rsidRPr="002F36A0">
        <w:rPr>
          <w:noProof/>
        </w:rPr>
        <w:t>Instituto Nacional de Estadística</w:t>
      </w:r>
      <w:r w:rsidR="0091426D">
        <w:rPr>
          <w:noProof/>
        </w:rPr>
        <w:t xml:space="preserve">; </w:t>
      </w:r>
      <w:r w:rsidRPr="002F36A0">
        <w:rPr>
          <w:noProof/>
        </w:rPr>
        <w:t xml:space="preserve">2011. </w:t>
      </w:r>
      <w:r w:rsidR="0091426D" w:rsidRPr="0091426D">
        <w:rPr>
          <w:noProof/>
        </w:rPr>
        <w:t xml:space="preserve">Accessed </w:t>
      </w:r>
      <w:r w:rsidR="0091426D">
        <w:rPr>
          <w:noProof/>
        </w:rPr>
        <w:t>May 2</w:t>
      </w:r>
      <w:r w:rsidR="0091426D" w:rsidRPr="0091426D">
        <w:rPr>
          <w:noProof/>
        </w:rPr>
        <w:t>, 2020.</w:t>
      </w:r>
      <w:r w:rsidR="0091426D">
        <w:rPr>
          <w:noProof/>
        </w:rPr>
        <w:t xml:space="preserve"> </w:t>
      </w:r>
      <w:r w:rsidRPr="002F36A0">
        <w:rPr>
          <w:noProof/>
        </w:rPr>
        <w:t>https://www.ine.es/dyngs/INEbase/es/operacion.htm?c=Estadistica_C&amp;cid=1254736177033&amp;menu=ultiDatos&amp;idp=1254735976614</w:t>
      </w:r>
    </w:p>
    <w:p w14:paraId="0B11673D" w14:textId="38DB7C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24. </w:t>
      </w:r>
      <w:r w:rsidRPr="002F36A0">
        <w:rPr>
          <w:noProof/>
        </w:rPr>
        <w:tab/>
        <w:t xml:space="preserve">Pyakurel P, Karki P, Lamsal M, Ghimire A, Pokharel PK. Cardiovascular risk factors among industrial workers: A cross-sectional study from eastern Nepal. J Occup Med Toxicol. 2016;11(1):1–7. </w:t>
      </w:r>
    </w:p>
    <w:p w14:paraId="35B23F6A"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25. </w:t>
      </w:r>
      <w:r w:rsidRPr="002F36A0">
        <w:rPr>
          <w:noProof/>
        </w:rPr>
        <w:tab/>
        <w:t xml:space="preserve">Casimirri E, Vaccari A, Schito M, Bonci M, Stendardo M, Stefanati A, et al. Chronic diseases are strongly associated with sickness absences in a sample of Italian public employees. Int J Occup Med Environ Health. 2014;27(3):343–54. </w:t>
      </w:r>
    </w:p>
    <w:p w14:paraId="12379E73" w14:textId="35013F5E"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26. </w:t>
      </w:r>
      <w:r w:rsidRPr="002F36A0">
        <w:rPr>
          <w:noProof/>
        </w:rPr>
        <w:tab/>
      </w:r>
      <w:r w:rsidR="00F219B1" w:rsidRPr="00F219B1">
        <w:rPr>
          <w:noProof/>
        </w:rPr>
        <w:t xml:space="preserve">Nexo MA, Carlsen K, Pedersen J, Hetland ML, Watt T, Hansen SM, et al. Long-term sickness absence of 32 chronic conditions: A Danish register-based longitudinal study with up to 17 years of follow-up. BMJ Open. 2018;8(6):1–10. </w:t>
      </w:r>
    </w:p>
    <w:p w14:paraId="7AC66C8D" w14:textId="634431B5"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27. </w:t>
      </w:r>
      <w:r w:rsidRPr="002F36A0">
        <w:rPr>
          <w:noProof/>
        </w:rPr>
        <w:tab/>
        <w:t xml:space="preserve">Karampampa K, Gyllensten H, Yang F, Murley C, Friberg E, Hillert J. Healthcare , Sickness Absence , and Disability Pension Cost Trajectories in the First 5 Years After Diagnosis with Multiple Sclerosis : A Prospective Register ‑ Based Cohort Study in Sweden. PharmacoEconomics - Open. 2020;4(1):91–103. </w:t>
      </w:r>
    </w:p>
    <w:p w14:paraId="293F6811"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28. </w:t>
      </w:r>
      <w:r w:rsidRPr="002F36A0">
        <w:rPr>
          <w:noProof/>
        </w:rPr>
        <w:tab/>
        <w:t xml:space="preserve">Björkenstam C, Alexanderson K, Björkenstam E, Lindholm C, Mittendorfer-rutz E. Diagnosis-specific disability pension and risk of all-cause and cause-specific mortality – a cohort study of 4 . 9 million inhabitants in Sweden. 2014;1–11. </w:t>
      </w:r>
    </w:p>
    <w:p w14:paraId="00881DFC"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29. </w:t>
      </w:r>
      <w:r w:rsidRPr="002F36A0">
        <w:rPr>
          <w:noProof/>
        </w:rPr>
        <w:tab/>
        <w:t xml:space="preserve">Ferrie JE, Vahtera J, Kivima M, Westerlund H, Melchior M, Alexanderson K, et al. Diagnosis-specific sickness absence and all-cause mortality in the GAZEL study. J Epidemiol Community Heal. 2009;63(1):50–5. </w:t>
      </w:r>
    </w:p>
    <w:p w14:paraId="00F2FCCE" w14:textId="63A8FF00"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30. </w:t>
      </w:r>
      <w:r w:rsidRPr="002F36A0">
        <w:rPr>
          <w:noProof/>
        </w:rPr>
        <w:tab/>
        <w:t xml:space="preserve">Niccoli T, Partridge L. Ageing as a risk factor for disease. Curr Biol. </w:t>
      </w:r>
      <w:r w:rsidRPr="002F36A0">
        <w:rPr>
          <w:noProof/>
        </w:rPr>
        <w:lastRenderedPageBreak/>
        <w:t xml:space="preserve">2012;22(17):741–52. </w:t>
      </w:r>
    </w:p>
    <w:p w14:paraId="04D91D6B"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31. </w:t>
      </w:r>
      <w:r w:rsidRPr="002F36A0">
        <w:rPr>
          <w:noProof/>
        </w:rPr>
        <w:tab/>
        <w:t xml:space="preserve">Dowell CPM, Carlin A, Capranica L, Dillon C, Harrington JM, Lakerveld J, et al. Associations of self-reported physical activity and anxiety symptoms and status among 7 , 874 Irish adults across harmonised datasets : a DEDIPAC-study. 2020;1–11. </w:t>
      </w:r>
    </w:p>
    <w:p w14:paraId="184A41CA" w14:textId="52CFAF8C"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32. </w:t>
      </w:r>
      <w:r w:rsidRPr="002F36A0">
        <w:rPr>
          <w:noProof/>
        </w:rPr>
        <w:tab/>
        <w:t>Shiri R, Falah-Hassani K. Does leisure time physical activity protect against low back pain? Systematic review and meta-analysis of 36 prospective cohort studies. British Journal of Sports Medicine. 2017</w:t>
      </w:r>
      <w:r w:rsidR="00F219B1">
        <w:rPr>
          <w:noProof/>
        </w:rPr>
        <w:t>;51(19):</w:t>
      </w:r>
      <w:r w:rsidRPr="002F36A0">
        <w:rPr>
          <w:noProof/>
        </w:rPr>
        <w:t xml:space="preserve">1410–8. </w:t>
      </w:r>
    </w:p>
    <w:p w14:paraId="73CA9827"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33. </w:t>
      </w:r>
      <w:r w:rsidRPr="002F36A0">
        <w:rPr>
          <w:noProof/>
        </w:rPr>
        <w:tab/>
        <w:t xml:space="preserve">Kwaśniewska M, Kaczmarczyk-Chałas K, Pikala M, Broda G, Kozakiewicz K, Pajaogonekk A, et al. Commuting physical activity and prevalence of metabolic disorders in Poland. Prev Med (Baltim). 2010;51(6):482–7. </w:t>
      </w:r>
    </w:p>
    <w:p w14:paraId="3E3BF2A0"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34. </w:t>
      </w:r>
      <w:r w:rsidRPr="002F36A0">
        <w:rPr>
          <w:noProof/>
        </w:rPr>
        <w:tab/>
        <w:t xml:space="preserve">Borodulin K, Mäkinen TE, Leino-Arjas P, Tammelin TH, Heliövaara M, Martelin T, et al. Leisure time physical activity in a 22-year follow-up among Finnish adults. Int J Behav Nutr Phys Act. 2012;9:1–6. </w:t>
      </w:r>
    </w:p>
    <w:p w14:paraId="1CD7B1AE" w14:textId="77777777" w:rsidR="002F36A0" w:rsidRPr="002F36A0" w:rsidRDefault="002F36A0" w:rsidP="002F36A0">
      <w:pPr>
        <w:widowControl w:val="0"/>
        <w:autoSpaceDE w:val="0"/>
        <w:autoSpaceDN w:val="0"/>
        <w:adjustRightInd w:val="0"/>
        <w:spacing w:line="480" w:lineRule="auto"/>
        <w:ind w:left="640" w:hanging="640"/>
        <w:rPr>
          <w:noProof/>
        </w:rPr>
      </w:pPr>
      <w:r w:rsidRPr="002F36A0">
        <w:rPr>
          <w:noProof/>
        </w:rPr>
        <w:t xml:space="preserve">35. </w:t>
      </w:r>
      <w:r w:rsidRPr="002F36A0">
        <w:rPr>
          <w:noProof/>
        </w:rPr>
        <w:tab/>
        <w:t xml:space="preserve">Mäkinen TE, Sippola R, Borodulin K, Rahkonen O, Kunst A, Klumbiene J, et al. Explaining educational differences in leisure-time physical activity in Europe: The contribution of work-related factors. Scand J Med Sci Sport. 2012;22(3):439–47. </w:t>
      </w:r>
    </w:p>
    <w:p w14:paraId="2DEF9EC9" w14:textId="35B6EE6A" w:rsidR="00733C2C" w:rsidRPr="00475EEE" w:rsidRDefault="005E72EA" w:rsidP="005E72EA">
      <w:pPr>
        <w:widowControl w:val="0"/>
        <w:autoSpaceDE w:val="0"/>
        <w:autoSpaceDN w:val="0"/>
        <w:adjustRightInd w:val="0"/>
        <w:spacing w:line="480" w:lineRule="auto"/>
        <w:ind w:left="480" w:hanging="480"/>
        <w:jc w:val="both"/>
        <w:rPr>
          <w:noProof/>
        </w:rPr>
      </w:pPr>
      <w:r w:rsidRPr="00475EEE">
        <w:rPr>
          <w:noProof/>
        </w:rPr>
        <w:fldChar w:fldCharType="end"/>
      </w:r>
    </w:p>
    <w:p w14:paraId="541E765F" w14:textId="34A044B4" w:rsidR="00C15659" w:rsidRPr="00475EEE" w:rsidRDefault="00C15659" w:rsidP="006B3578">
      <w:pPr>
        <w:spacing w:line="480" w:lineRule="auto"/>
        <w:jc w:val="both"/>
      </w:pPr>
    </w:p>
    <w:p w14:paraId="2FB00FB3" w14:textId="77777777" w:rsidR="00C15659" w:rsidRDefault="00C15659" w:rsidP="006B3578">
      <w:pPr>
        <w:jc w:val="both"/>
      </w:pPr>
    </w:p>
    <w:p w14:paraId="368A7848" w14:textId="77777777" w:rsidR="000F20C6" w:rsidRPr="00475EEE" w:rsidRDefault="000F20C6" w:rsidP="006B3578">
      <w:pPr>
        <w:jc w:val="both"/>
      </w:pPr>
    </w:p>
    <w:tbl>
      <w:tblPr>
        <w:tblpPr w:leftFromText="141" w:rightFromText="141" w:vertAnchor="text" w:horzAnchor="margin" w:tblpXSpec="center" w:tblpY="-211"/>
        <w:tblW w:w="5839" w:type="dxa"/>
        <w:tblBorders>
          <w:insideH w:val="single" w:sz="4" w:space="0" w:color="auto"/>
          <w:insideV w:val="single" w:sz="4" w:space="0" w:color="auto"/>
        </w:tblBorders>
        <w:tblLook w:val="04A0" w:firstRow="1" w:lastRow="0" w:firstColumn="1" w:lastColumn="0" w:noHBand="0" w:noVBand="1"/>
      </w:tblPr>
      <w:tblGrid>
        <w:gridCol w:w="1590"/>
        <w:gridCol w:w="1176"/>
        <w:gridCol w:w="1056"/>
        <w:gridCol w:w="856"/>
        <w:gridCol w:w="1161"/>
      </w:tblGrid>
      <w:tr w:rsidR="003877E0" w:rsidRPr="00475EEE" w14:paraId="79ECD3A0" w14:textId="77777777" w:rsidTr="00E1513B">
        <w:trPr>
          <w:trHeight w:val="272"/>
        </w:trPr>
        <w:tc>
          <w:tcPr>
            <w:tcW w:w="5839" w:type="dxa"/>
            <w:gridSpan w:val="5"/>
            <w:tcBorders>
              <w:bottom w:val="single" w:sz="4" w:space="0" w:color="auto"/>
            </w:tcBorders>
            <w:shd w:val="clear" w:color="auto" w:fill="auto"/>
            <w:vAlign w:val="center"/>
          </w:tcPr>
          <w:p w14:paraId="1057232B" w14:textId="1EDEF997" w:rsidR="003877E0" w:rsidRPr="00475EEE" w:rsidRDefault="003877E0" w:rsidP="006B3578">
            <w:pPr>
              <w:jc w:val="both"/>
              <w:rPr>
                <w:rFonts w:eastAsia="Calibri"/>
                <w:lang w:val="en-US"/>
              </w:rPr>
            </w:pPr>
            <w:r w:rsidRPr="00475EEE">
              <w:rPr>
                <w:rFonts w:eastAsia="Calibri"/>
                <w:b/>
                <w:lang w:val="en-US" w:eastAsia="en-US"/>
              </w:rPr>
              <w:lastRenderedPageBreak/>
              <w:t>Table 1</w:t>
            </w:r>
            <w:r w:rsidR="00D748EE" w:rsidRPr="00475EEE">
              <w:rPr>
                <w:rFonts w:eastAsia="Calibri"/>
                <w:b/>
                <w:lang w:val="en-US" w:eastAsia="en-US"/>
              </w:rPr>
              <w:t>.</w:t>
            </w:r>
            <w:r w:rsidR="00F361D6">
              <w:t xml:space="preserve"> </w:t>
            </w:r>
            <w:r w:rsidR="00F361D6" w:rsidRPr="00F361D6">
              <w:rPr>
                <w:rFonts w:eastAsia="Calibri"/>
                <w:lang w:val="en-US"/>
              </w:rPr>
              <w:t>Participant Characteristics, 2017 Spanish National Health Survey</w:t>
            </w:r>
          </w:p>
        </w:tc>
      </w:tr>
      <w:tr w:rsidR="003877E0" w:rsidRPr="00475EEE" w14:paraId="63AF890B" w14:textId="77777777" w:rsidTr="00E1513B">
        <w:trPr>
          <w:trHeight w:val="272"/>
        </w:trPr>
        <w:tc>
          <w:tcPr>
            <w:tcW w:w="3822" w:type="dxa"/>
            <w:gridSpan w:val="3"/>
            <w:tcBorders>
              <w:top w:val="single" w:sz="4" w:space="0" w:color="auto"/>
              <w:bottom w:val="nil"/>
              <w:right w:val="nil"/>
            </w:tcBorders>
            <w:shd w:val="clear" w:color="auto" w:fill="auto"/>
            <w:vAlign w:val="center"/>
          </w:tcPr>
          <w:p w14:paraId="0D7FAB5F" w14:textId="77777777" w:rsidR="003877E0" w:rsidRPr="00475EEE" w:rsidRDefault="003877E0" w:rsidP="006B3578">
            <w:pPr>
              <w:jc w:val="both"/>
              <w:rPr>
                <w:rFonts w:eastAsia="Calibri"/>
                <w:lang w:val="en-US"/>
              </w:rPr>
            </w:pPr>
          </w:p>
        </w:tc>
        <w:tc>
          <w:tcPr>
            <w:tcW w:w="2017" w:type="dxa"/>
            <w:gridSpan w:val="2"/>
            <w:tcBorders>
              <w:top w:val="single" w:sz="4" w:space="0" w:color="auto"/>
              <w:left w:val="nil"/>
              <w:bottom w:val="single" w:sz="4" w:space="0" w:color="auto"/>
            </w:tcBorders>
            <w:shd w:val="clear" w:color="auto" w:fill="auto"/>
            <w:vAlign w:val="center"/>
          </w:tcPr>
          <w:p w14:paraId="75DE13EE" w14:textId="6B19DD43" w:rsidR="003877E0" w:rsidRPr="00475EEE" w:rsidRDefault="00ED25F4" w:rsidP="00AD12E5">
            <w:pPr>
              <w:jc w:val="both"/>
              <w:rPr>
                <w:rFonts w:eastAsia="Calibri"/>
                <w:b/>
                <w:lang w:val="en-US"/>
              </w:rPr>
            </w:pPr>
            <w:proofErr w:type="spellStart"/>
            <w:r w:rsidRPr="00E1513B">
              <w:rPr>
                <w:rFonts w:eastAsia="Calibri"/>
                <w:b/>
                <w:vertAlign w:val="superscript"/>
                <w:lang w:val="en-US"/>
              </w:rPr>
              <w:t>a</w:t>
            </w:r>
            <w:r>
              <w:rPr>
                <w:rFonts w:eastAsia="Calibri"/>
                <w:b/>
                <w:lang w:val="en-US"/>
              </w:rPr>
              <w:t>Has</w:t>
            </w:r>
            <w:proofErr w:type="spellEnd"/>
            <w:r>
              <w:rPr>
                <w:rFonts w:eastAsia="Calibri"/>
                <w:b/>
                <w:lang w:val="en-US"/>
              </w:rPr>
              <w:t xml:space="preserve"> one or more chronic condition</w:t>
            </w:r>
          </w:p>
        </w:tc>
      </w:tr>
      <w:tr w:rsidR="003877E0" w:rsidRPr="00475EEE" w14:paraId="433B976F" w14:textId="77777777" w:rsidTr="00E1513B">
        <w:trPr>
          <w:trHeight w:val="272"/>
        </w:trPr>
        <w:tc>
          <w:tcPr>
            <w:tcW w:w="1590" w:type="dxa"/>
            <w:tcBorders>
              <w:top w:val="nil"/>
              <w:bottom w:val="single" w:sz="4" w:space="0" w:color="auto"/>
              <w:right w:val="nil"/>
            </w:tcBorders>
            <w:shd w:val="clear" w:color="auto" w:fill="auto"/>
            <w:vAlign w:val="center"/>
          </w:tcPr>
          <w:p w14:paraId="6029674D" w14:textId="77777777" w:rsidR="003877E0" w:rsidRPr="00475EEE" w:rsidRDefault="003877E0" w:rsidP="00E1513B">
            <w:pPr>
              <w:jc w:val="center"/>
              <w:rPr>
                <w:rFonts w:eastAsia="Calibri"/>
                <w:lang w:val="en-US"/>
              </w:rPr>
            </w:pPr>
          </w:p>
          <w:p w14:paraId="2F6CDBED" w14:textId="5A4A3126" w:rsidR="003877E0" w:rsidRPr="00E1513B" w:rsidRDefault="008E46A6" w:rsidP="00E1513B">
            <w:pPr>
              <w:jc w:val="center"/>
              <w:rPr>
                <w:rFonts w:eastAsia="Calibri"/>
                <w:b/>
                <w:lang w:val="en-US"/>
              </w:rPr>
            </w:pPr>
            <w:r w:rsidRPr="00E1513B">
              <w:rPr>
                <w:rFonts w:eastAsia="Calibri"/>
                <w:b/>
                <w:lang w:val="en-US"/>
              </w:rPr>
              <w:t>Total (</w:t>
            </w:r>
            <w:r w:rsidR="003877E0" w:rsidRPr="00E1513B">
              <w:rPr>
                <w:rFonts w:eastAsia="Calibri"/>
                <w:b/>
                <w:lang w:val="en-US"/>
              </w:rPr>
              <w:t>N</w:t>
            </w:r>
            <w:r w:rsidR="00DB306E" w:rsidRPr="00E1513B">
              <w:rPr>
                <w:rFonts w:eastAsia="Calibri"/>
                <w:b/>
                <w:lang w:val="en-US"/>
              </w:rPr>
              <w:t xml:space="preserve"> </w:t>
            </w:r>
            <w:r w:rsidR="003877E0" w:rsidRPr="00E1513B">
              <w:rPr>
                <w:rFonts w:eastAsia="Calibri"/>
                <w:b/>
                <w:lang w:val="en-US"/>
              </w:rPr>
              <w:t>=</w:t>
            </w:r>
            <w:r w:rsidR="00DB306E" w:rsidRPr="00E1513B">
              <w:rPr>
                <w:rFonts w:eastAsia="Calibri"/>
                <w:b/>
                <w:lang w:val="en-US"/>
              </w:rPr>
              <w:t xml:space="preserve"> </w:t>
            </w:r>
            <w:r w:rsidR="00D23784" w:rsidRPr="00E1513B">
              <w:rPr>
                <w:rFonts w:eastAsia="Calibri"/>
                <w:b/>
                <w:lang w:val="en-US"/>
              </w:rPr>
              <w:t>9695</w:t>
            </w:r>
            <w:r w:rsidRPr="00E1513B">
              <w:rPr>
                <w:rFonts w:eastAsia="Calibri"/>
                <w:b/>
                <w:lang w:val="en-US"/>
              </w:rPr>
              <w:t>)</w:t>
            </w:r>
          </w:p>
        </w:tc>
        <w:tc>
          <w:tcPr>
            <w:tcW w:w="1176" w:type="dxa"/>
            <w:tcBorders>
              <w:top w:val="nil"/>
              <w:left w:val="nil"/>
              <w:bottom w:val="single" w:sz="4" w:space="0" w:color="auto"/>
              <w:right w:val="nil"/>
            </w:tcBorders>
            <w:shd w:val="clear" w:color="auto" w:fill="auto"/>
            <w:vAlign w:val="center"/>
          </w:tcPr>
          <w:p w14:paraId="7E3DDC99" w14:textId="77777777" w:rsidR="003877E0" w:rsidRPr="00475EEE" w:rsidRDefault="003877E0" w:rsidP="00E1513B">
            <w:pPr>
              <w:jc w:val="center"/>
              <w:rPr>
                <w:rFonts w:eastAsia="Calibri"/>
                <w:b/>
                <w:lang w:val="en-US"/>
              </w:rPr>
            </w:pPr>
          </w:p>
          <w:p w14:paraId="2644E10E" w14:textId="73595E1A" w:rsidR="003877E0" w:rsidRPr="00475EEE" w:rsidRDefault="003877E0" w:rsidP="00E1513B">
            <w:pPr>
              <w:jc w:val="center"/>
              <w:rPr>
                <w:rFonts w:eastAsia="Calibri"/>
                <w:b/>
                <w:lang w:val="en-US"/>
              </w:rPr>
            </w:pPr>
            <w:r w:rsidRPr="00475EEE">
              <w:rPr>
                <w:rFonts w:eastAsia="Calibri"/>
                <w:b/>
                <w:lang w:val="en-US"/>
              </w:rPr>
              <w:t>n</w:t>
            </w:r>
          </w:p>
        </w:tc>
        <w:tc>
          <w:tcPr>
            <w:tcW w:w="1056" w:type="dxa"/>
            <w:tcBorders>
              <w:top w:val="nil"/>
              <w:left w:val="nil"/>
              <w:bottom w:val="single" w:sz="4" w:space="0" w:color="auto"/>
              <w:right w:val="nil"/>
            </w:tcBorders>
            <w:shd w:val="clear" w:color="auto" w:fill="auto"/>
            <w:vAlign w:val="center"/>
          </w:tcPr>
          <w:p w14:paraId="3B7A9926" w14:textId="77777777" w:rsidR="003877E0" w:rsidRPr="00475EEE" w:rsidRDefault="003877E0" w:rsidP="00E1513B">
            <w:pPr>
              <w:jc w:val="center"/>
              <w:rPr>
                <w:rFonts w:eastAsia="Calibri"/>
                <w:b/>
                <w:lang w:val="en-US"/>
              </w:rPr>
            </w:pPr>
          </w:p>
          <w:p w14:paraId="69521015" w14:textId="6D52E832" w:rsidR="003877E0" w:rsidRPr="00475EEE" w:rsidRDefault="003877E0" w:rsidP="00E1513B">
            <w:pPr>
              <w:jc w:val="center"/>
              <w:rPr>
                <w:rFonts w:eastAsia="Calibri"/>
                <w:b/>
                <w:lang w:val="en-US"/>
              </w:rPr>
            </w:pPr>
            <w:r w:rsidRPr="00475EEE">
              <w:rPr>
                <w:rFonts w:eastAsia="Calibri"/>
                <w:b/>
                <w:lang w:val="en-US"/>
              </w:rPr>
              <w:t>%</w:t>
            </w:r>
          </w:p>
        </w:tc>
        <w:tc>
          <w:tcPr>
            <w:tcW w:w="856" w:type="dxa"/>
            <w:tcBorders>
              <w:top w:val="single" w:sz="4" w:space="0" w:color="auto"/>
              <w:left w:val="nil"/>
              <w:bottom w:val="single" w:sz="4" w:space="0" w:color="auto"/>
              <w:right w:val="nil"/>
            </w:tcBorders>
            <w:shd w:val="clear" w:color="auto" w:fill="auto"/>
            <w:vAlign w:val="center"/>
          </w:tcPr>
          <w:p w14:paraId="0C3FE833" w14:textId="77777777" w:rsidR="003877E0" w:rsidRPr="00475EEE" w:rsidRDefault="003877E0" w:rsidP="00E1513B">
            <w:pPr>
              <w:jc w:val="center"/>
              <w:rPr>
                <w:rFonts w:eastAsia="Calibri"/>
                <w:b/>
                <w:lang w:val="en-US"/>
              </w:rPr>
            </w:pPr>
          </w:p>
          <w:p w14:paraId="0ABB9597" w14:textId="77777777" w:rsidR="003877E0" w:rsidRPr="00475EEE" w:rsidRDefault="003877E0" w:rsidP="00E1513B">
            <w:pPr>
              <w:jc w:val="center"/>
              <w:rPr>
                <w:rFonts w:eastAsia="Calibri"/>
                <w:b/>
                <w:lang w:val="en-US"/>
              </w:rPr>
            </w:pPr>
            <w:r w:rsidRPr="00475EEE">
              <w:rPr>
                <w:rFonts w:eastAsia="Calibri"/>
                <w:b/>
                <w:lang w:val="en-US"/>
              </w:rPr>
              <w:t>%</w:t>
            </w:r>
          </w:p>
        </w:tc>
        <w:tc>
          <w:tcPr>
            <w:tcW w:w="1161" w:type="dxa"/>
            <w:tcBorders>
              <w:top w:val="single" w:sz="4" w:space="0" w:color="auto"/>
              <w:left w:val="nil"/>
              <w:bottom w:val="single" w:sz="4" w:space="0" w:color="auto"/>
            </w:tcBorders>
            <w:shd w:val="clear" w:color="auto" w:fill="auto"/>
            <w:vAlign w:val="center"/>
          </w:tcPr>
          <w:p w14:paraId="59668A03" w14:textId="77777777" w:rsidR="003877E0" w:rsidRPr="00475EEE" w:rsidRDefault="003877E0" w:rsidP="00E1513B">
            <w:pPr>
              <w:jc w:val="center"/>
              <w:rPr>
                <w:rFonts w:eastAsia="Calibri"/>
                <w:b/>
                <w:lang w:val="en-US"/>
              </w:rPr>
            </w:pPr>
          </w:p>
          <w:p w14:paraId="4DC96BDB" w14:textId="2A351E49" w:rsidR="003877E0" w:rsidRPr="00475EEE" w:rsidRDefault="00ED25F4" w:rsidP="00E1513B">
            <w:pPr>
              <w:jc w:val="center"/>
              <w:rPr>
                <w:rFonts w:eastAsia="Calibri"/>
                <w:b/>
                <w:i/>
                <w:lang w:val="en-US"/>
              </w:rPr>
            </w:pPr>
            <w:proofErr w:type="spellStart"/>
            <w:r>
              <w:rPr>
                <w:rFonts w:eastAsia="Calibri"/>
                <w:b/>
                <w:i/>
                <w:vertAlign w:val="superscript"/>
                <w:lang w:val="en-US"/>
              </w:rPr>
              <w:t>b</w:t>
            </w:r>
            <w:r w:rsidR="008E46A6">
              <w:rPr>
                <w:rFonts w:eastAsia="Calibri"/>
                <w:b/>
                <w:i/>
                <w:lang w:val="en-US"/>
              </w:rPr>
              <w:t>P</w:t>
            </w:r>
            <w:proofErr w:type="spellEnd"/>
            <w:r w:rsidR="008E46A6">
              <w:rPr>
                <w:rFonts w:eastAsia="Calibri"/>
                <w:b/>
                <w:i/>
                <w:lang w:val="en-US"/>
              </w:rPr>
              <w:t xml:space="preserve"> Value</w:t>
            </w:r>
          </w:p>
        </w:tc>
      </w:tr>
      <w:tr w:rsidR="003877E0" w:rsidRPr="00475EEE" w14:paraId="09B1B82E" w14:textId="77777777" w:rsidTr="00E1513B">
        <w:trPr>
          <w:trHeight w:val="270"/>
        </w:trPr>
        <w:tc>
          <w:tcPr>
            <w:tcW w:w="1590" w:type="dxa"/>
            <w:tcBorders>
              <w:top w:val="single" w:sz="4" w:space="0" w:color="auto"/>
              <w:bottom w:val="nil"/>
              <w:right w:val="nil"/>
            </w:tcBorders>
            <w:shd w:val="clear" w:color="auto" w:fill="auto"/>
            <w:vAlign w:val="center"/>
          </w:tcPr>
          <w:p w14:paraId="602D6639" w14:textId="259E1DFA" w:rsidR="003877E0" w:rsidRPr="00E1513B" w:rsidRDefault="003877E0" w:rsidP="00E1513B">
            <w:pPr>
              <w:jc w:val="center"/>
              <w:rPr>
                <w:rFonts w:eastAsia="Calibri"/>
                <w:b/>
                <w:lang w:val="en-US"/>
              </w:rPr>
            </w:pPr>
            <w:r w:rsidRPr="00E1513B">
              <w:rPr>
                <w:rFonts w:eastAsia="Calibri"/>
                <w:b/>
                <w:lang w:val="en-US"/>
              </w:rPr>
              <w:t>Age</w:t>
            </w:r>
            <w:r w:rsidR="00B84247" w:rsidRPr="00E1513B">
              <w:rPr>
                <w:rFonts w:eastAsia="Calibri"/>
                <w:b/>
                <w:lang w:val="en-US"/>
              </w:rPr>
              <w:t xml:space="preserve"> (years)</w:t>
            </w:r>
          </w:p>
        </w:tc>
        <w:tc>
          <w:tcPr>
            <w:tcW w:w="3088" w:type="dxa"/>
            <w:gridSpan w:val="3"/>
            <w:tcBorders>
              <w:top w:val="single" w:sz="4" w:space="0" w:color="auto"/>
              <w:left w:val="nil"/>
              <w:bottom w:val="nil"/>
              <w:right w:val="nil"/>
            </w:tcBorders>
            <w:shd w:val="clear" w:color="auto" w:fill="auto"/>
            <w:vAlign w:val="center"/>
          </w:tcPr>
          <w:p w14:paraId="48B77DEF" w14:textId="77777777" w:rsidR="003877E0" w:rsidRPr="00475EEE" w:rsidRDefault="003877E0" w:rsidP="00E1513B">
            <w:pPr>
              <w:jc w:val="center"/>
              <w:rPr>
                <w:rFonts w:eastAsia="Calibri"/>
                <w:lang w:val="en-US"/>
              </w:rPr>
            </w:pPr>
          </w:p>
        </w:tc>
        <w:tc>
          <w:tcPr>
            <w:tcW w:w="1161" w:type="dxa"/>
            <w:tcBorders>
              <w:top w:val="single" w:sz="4" w:space="0" w:color="auto"/>
              <w:left w:val="nil"/>
              <w:bottom w:val="nil"/>
            </w:tcBorders>
            <w:shd w:val="clear" w:color="auto" w:fill="auto"/>
            <w:vAlign w:val="center"/>
          </w:tcPr>
          <w:p w14:paraId="426722E0" w14:textId="52D7A438" w:rsidR="003877E0" w:rsidRPr="00475EEE" w:rsidRDefault="008E46A6" w:rsidP="00E1513B">
            <w:pPr>
              <w:jc w:val="center"/>
              <w:rPr>
                <w:rFonts w:eastAsia="Calibri"/>
                <w:lang w:val="en-US"/>
              </w:rPr>
            </w:pPr>
            <w:r>
              <w:rPr>
                <w:rFonts w:eastAsia="Calibri"/>
                <w:lang w:val="en-US"/>
              </w:rPr>
              <w:t>&lt; .001</w:t>
            </w:r>
          </w:p>
        </w:tc>
      </w:tr>
      <w:tr w:rsidR="003877E0" w:rsidRPr="00475EEE" w14:paraId="5C9BC610" w14:textId="77777777" w:rsidTr="00E1513B">
        <w:trPr>
          <w:trHeight w:val="268"/>
        </w:trPr>
        <w:tc>
          <w:tcPr>
            <w:tcW w:w="1590" w:type="dxa"/>
            <w:tcBorders>
              <w:top w:val="nil"/>
              <w:bottom w:val="nil"/>
              <w:right w:val="nil"/>
            </w:tcBorders>
            <w:shd w:val="clear" w:color="auto" w:fill="auto"/>
            <w:vAlign w:val="center"/>
          </w:tcPr>
          <w:p w14:paraId="01F37729" w14:textId="1D53CE06" w:rsidR="003877E0" w:rsidRPr="00475EEE" w:rsidRDefault="003877E0" w:rsidP="00E1513B">
            <w:pPr>
              <w:jc w:val="center"/>
              <w:rPr>
                <w:rFonts w:eastAsia="Calibri"/>
                <w:lang w:val="en-US"/>
              </w:rPr>
            </w:pPr>
            <w:r w:rsidRPr="00475EEE">
              <w:rPr>
                <w:rFonts w:eastAsia="Calibri"/>
                <w:lang w:val="en-US"/>
              </w:rPr>
              <w:t>17-44</w:t>
            </w:r>
          </w:p>
        </w:tc>
        <w:tc>
          <w:tcPr>
            <w:tcW w:w="1176" w:type="dxa"/>
            <w:tcBorders>
              <w:top w:val="nil"/>
              <w:left w:val="nil"/>
              <w:bottom w:val="nil"/>
              <w:right w:val="nil"/>
            </w:tcBorders>
            <w:shd w:val="clear" w:color="auto" w:fill="auto"/>
            <w:vAlign w:val="center"/>
          </w:tcPr>
          <w:p w14:paraId="742F0714" w14:textId="35C3E00C" w:rsidR="003877E0" w:rsidRPr="00475EEE" w:rsidRDefault="0048059A" w:rsidP="00E1513B">
            <w:pPr>
              <w:jc w:val="center"/>
              <w:rPr>
                <w:rFonts w:eastAsia="Calibri"/>
                <w:lang w:val="en-US"/>
              </w:rPr>
            </w:pPr>
            <w:r>
              <w:rPr>
                <w:rFonts w:eastAsia="Calibri"/>
                <w:lang w:val="en-US"/>
              </w:rPr>
              <w:t>4915</w:t>
            </w:r>
          </w:p>
        </w:tc>
        <w:tc>
          <w:tcPr>
            <w:tcW w:w="1056" w:type="dxa"/>
            <w:tcBorders>
              <w:top w:val="nil"/>
              <w:left w:val="nil"/>
              <w:bottom w:val="nil"/>
              <w:right w:val="nil"/>
            </w:tcBorders>
            <w:shd w:val="clear" w:color="auto" w:fill="auto"/>
            <w:vAlign w:val="center"/>
          </w:tcPr>
          <w:p w14:paraId="4B2F8A65" w14:textId="77777777" w:rsidR="003877E0" w:rsidRPr="00475EEE" w:rsidRDefault="003877E0" w:rsidP="00E1513B">
            <w:pPr>
              <w:jc w:val="center"/>
              <w:rPr>
                <w:rFonts w:eastAsia="Calibri"/>
                <w:lang w:val="en-US"/>
              </w:rPr>
            </w:pPr>
            <w:r w:rsidRPr="00475EEE">
              <w:rPr>
                <w:rFonts w:eastAsia="Calibri"/>
                <w:lang w:val="en-US"/>
              </w:rPr>
              <w:t>50.7</w:t>
            </w:r>
          </w:p>
        </w:tc>
        <w:tc>
          <w:tcPr>
            <w:tcW w:w="856" w:type="dxa"/>
            <w:tcBorders>
              <w:top w:val="nil"/>
              <w:left w:val="nil"/>
              <w:bottom w:val="nil"/>
              <w:right w:val="nil"/>
            </w:tcBorders>
            <w:shd w:val="clear" w:color="auto" w:fill="auto"/>
            <w:vAlign w:val="center"/>
          </w:tcPr>
          <w:p w14:paraId="79DD2678" w14:textId="33137893" w:rsidR="003877E0" w:rsidRPr="00475EEE" w:rsidRDefault="003877E0" w:rsidP="00E1513B">
            <w:pPr>
              <w:jc w:val="center"/>
              <w:rPr>
                <w:rFonts w:eastAsia="Calibri"/>
                <w:lang w:val="en-US"/>
              </w:rPr>
            </w:pPr>
            <w:r w:rsidRPr="00475EEE">
              <w:rPr>
                <w:rFonts w:eastAsia="Calibri"/>
                <w:lang w:val="en-US"/>
              </w:rPr>
              <w:t>20.3</w:t>
            </w:r>
          </w:p>
        </w:tc>
        <w:tc>
          <w:tcPr>
            <w:tcW w:w="1161" w:type="dxa"/>
            <w:tcBorders>
              <w:top w:val="nil"/>
              <w:left w:val="nil"/>
              <w:bottom w:val="nil"/>
            </w:tcBorders>
            <w:shd w:val="clear" w:color="auto" w:fill="auto"/>
            <w:vAlign w:val="center"/>
          </w:tcPr>
          <w:p w14:paraId="3419CB5F" w14:textId="77777777" w:rsidR="003877E0" w:rsidRPr="00475EEE" w:rsidRDefault="003877E0" w:rsidP="00E1513B">
            <w:pPr>
              <w:jc w:val="center"/>
              <w:rPr>
                <w:rFonts w:eastAsia="Calibri"/>
                <w:lang w:val="en-US"/>
              </w:rPr>
            </w:pPr>
          </w:p>
        </w:tc>
      </w:tr>
      <w:tr w:rsidR="003877E0" w:rsidRPr="00475EEE" w14:paraId="4F9CDEAD" w14:textId="77777777" w:rsidTr="00E1513B">
        <w:trPr>
          <w:trHeight w:val="272"/>
        </w:trPr>
        <w:tc>
          <w:tcPr>
            <w:tcW w:w="1590" w:type="dxa"/>
            <w:tcBorders>
              <w:top w:val="nil"/>
              <w:bottom w:val="nil"/>
              <w:right w:val="nil"/>
            </w:tcBorders>
            <w:shd w:val="clear" w:color="auto" w:fill="auto"/>
            <w:vAlign w:val="center"/>
          </w:tcPr>
          <w:p w14:paraId="5F0A49C0" w14:textId="0D056251" w:rsidR="003877E0" w:rsidRPr="00475EEE" w:rsidRDefault="003877E0" w:rsidP="00E1513B">
            <w:pPr>
              <w:jc w:val="center"/>
              <w:rPr>
                <w:rFonts w:eastAsia="Calibri"/>
                <w:lang w:val="en-US"/>
              </w:rPr>
            </w:pPr>
            <w:r w:rsidRPr="00475EEE">
              <w:rPr>
                <w:rFonts w:eastAsia="Calibri"/>
                <w:lang w:val="en-US"/>
              </w:rPr>
              <w:t>45-69</w:t>
            </w:r>
          </w:p>
        </w:tc>
        <w:tc>
          <w:tcPr>
            <w:tcW w:w="1176" w:type="dxa"/>
            <w:tcBorders>
              <w:top w:val="nil"/>
              <w:left w:val="nil"/>
              <w:bottom w:val="nil"/>
              <w:right w:val="nil"/>
            </w:tcBorders>
            <w:shd w:val="clear" w:color="auto" w:fill="auto"/>
            <w:vAlign w:val="center"/>
          </w:tcPr>
          <w:p w14:paraId="28BC20D8" w14:textId="3676EED2" w:rsidR="003877E0" w:rsidRPr="00475EEE" w:rsidRDefault="0048059A" w:rsidP="00E1513B">
            <w:pPr>
              <w:jc w:val="center"/>
              <w:rPr>
                <w:rFonts w:eastAsia="Calibri"/>
                <w:lang w:val="en-US"/>
              </w:rPr>
            </w:pPr>
            <w:r>
              <w:rPr>
                <w:rFonts w:eastAsia="Calibri"/>
                <w:lang w:val="en-US"/>
              </w:rPr>
              <w:t>4780</w:t>
            </w:r>
          </w:p>
        </w:tc>
        <w:tc>
          <w:tcPr>
            <w:tcW w:w="1056" w:type="dxa"/>
            <w:tcBorders>
              <w:top w:val="nil"/>
              <w:left w:val="nil"/>
              <w:bottom w:val="nil"/>
              <w:right w:val="nil"/>
            </w:tcBorders>
            <w:shd w:val="clear" w:color="auto" w:fill="auto"/>
            <w:vAlign w:val="center"/>
          </w:tcPr>
          <w:p w14:paraId="5444CCFE" w14:textId="77777777" w:rsidR="003877E0" w:rsidRPr="00475EEE" w:rsidRDefault="003877E0" w:rsidP="00E1513B">
            <w:pPr>
              <w:jc w:val="center"/>
              <w:rPr>
                <w:rFonts w:eastAsia="Calibri"/>
                <w:lang w:val="en-US"/>
              </w:rPr>
            </w:pPr>
            <w:r w:rsidRPr="00475EEE">
              <w:rPr>
                <w:rFonts w:eastAsia="Calibri"/>
                <w:lang w:val="en-US"/>
              </w:rPr>
              <w:t>49.3</w:t>
            </w:r>
          </w:p>
        </w:tc>
        <w:tc>
          <w:tcPr>
            <w:tcW w:w="856" w:type="dxa"/>
            <w:tcBorders>
              <w:top w:val="nil"/>
              <w:left w:val="nil"/>
              <w:bottom w:val="nil"/>
              <w:right w:val="nil"/>
            </w:tcBorders>
            <w:shd w:val="clear" w:color="auto" w:fill="auto"/>
            <w:vAlign w:val="center"/>
          </w:tcPr>
          <w:p w14:paraId="6E7913E6" w14:textId="0BB4CC8D" w:rsidR="003877E0" w:rsidRPr="00475EEE" w:rsidRDefault="003877E0" w:rsidP="00E1513B">
            <w:pPr>
              <w:jc w:val="center"/>
              <w:rPr>
                <w:rFonts w:eastAsia="Calibri"/>
                <w:lang w:val="en-US"/>
              </w:rPr>
            </w:pPr>
            <w:r w:rsidRPr="00475EEE">
              <w:rPr>
                <w:rFonts w:eastAsia="Calibri"/>
                <w:lang w:val="en-US"/>
              </w:rPr>
              <w:t>44.</w:t>
            </w:r>
            <w:r w:rsidR="009439B6">
              <w:rPr>
                <w:rFonts w:eastAsia="Calibri"/>
                <w:lang w:val="en-US"/>
              </w:rPr>
              <w:t>5</w:t>
            </w:r>
          </w:p>
        </w:tc>
        <w:tc>
          <w:tcPr>
            <w:tcW w:w="1161" w:type="dxa"/>
            <w:tcBorders>
              <w:top w:val="nil"/>
              <w:left w:val="nil"/>
              <w:bottom w:val="nil"/>
            </w:tcBorders>
            <w:shd w:val="clear" w:color="auto" w:fill="auto"/>
            <w:vAlign w:val="center"/>
          </w:tcPr>
          <w:p w14:paraId="35FD4069" w14:textId="77777777" w:rsidR="003877E0" w:rsidRPr="00475EEE" w:rsidRDefault="003877E0" w:rsidP="00E1513B">
            <w:pPr>
              <w:jc w:val="center"/>
              <w:rPr>
                <w:rFonts w:eastAsia="Calibri"/>
                <w:lang w:val="en-US"/>
              </w:rPr>
            </w:pPr>
          </w:p>
        </w:tc>
      </w:tr>
      <w:tr w:rsidR="003877E0" w:rsidRPr="00475EEE" w14:paraId="17D8FC3D" w14:textId="77777777" w:rsidTr="00E1513B">
        <w:trPr>
          <w:trHeight w:val="270"/>
        </w:trPr>
        <w:tc>
          <w:tcPr>
            <w:tcW w:w="1590" w:type="dxa"/>
            <w:tcBorders>
              <w:top w:val="nil"/>
              <w:bottom w:val="nil"/>
              <w:right w:val="nil"/>
            </w:tcBorders>
            <w:shd w:val="clear" w:color="auto" w:fill="auto"/>
            <w:vAlign w:val="center"/>
          </w:tcPr>
          <w:p w14:paraId="50176737" w14:textId="77777777" w:rsidR="003877E0" w:rsidRPr="00E1513B" w:rsidRDefault="003877E0" w:rsidP="00E1513B">
            <w:pPr>
              <w:jc w:val="center"/>
              <w:rPr>
                <w:rFonts w:eastAsia="Calibri"/>
                <w:b/>
                <w:lang w:val="en-US"/>
              </w:rPr>
            </w:pPr>
            <w:r w:rsidRPr="00E1513B">
              <w:rPr>
                <w:rFonts w:eastAsia="Calibri"/>
                <w:b/>
                <w:lang w:val="en-US"/>
              </w:rPr>
              <w:t>Sex</w:t>
            </w:r>
          </w:p>
        </w:tc>
        <w:tc>
          <w:tcPr>
            <w:tcW w:w="3088" w:type="dxa"/>
            <w:gridSpan w:val="3"/>
            <w:tcBorders>
              <w:top w:val="nil"/>
              <w:left w:val="nil"/>
              <w:bottom w:val="nil"/>
              <w:right w:val="nil"/>
            </w:tcBorders>
            <w:shd w:val="clear" w:color="auto" w:fill="auto"/>
            <w:vAlign w:val="center"/>
          </w:tcPr>
          <w:p w14:paraId="2CDF970D" w14:textId="77777777" w:rsidR="003877E0" w:rsidRPr="00475EEE" w:rsidRDefault="003877E0" w:rsidP="00E1513B">
            <w:pPr>
              <w:jc w:val="center"/>
              <w:rPr>
                <w:rFonts w:eastAsia="Calibri"/>
                <w:lang w:val="en-US"/>
              </w:rPr>
            </w:pPr>
          </w:p>
        </w:tc>
        <w:tc>
          <w:tcPr>
            <w:tcW w:w="1161" w:type="dxa"/>
            <w:tcBorders>
              <w:top w:val="nil"/>
              <w:left w:val="nil"/>
              <w:bottom w:val="nil"/>
            </w:tcBorders>
            <w:shd w:val="clear" w:color="auto" w:fill="auto"/>
            <w:vAlign w:val="center"/>
          </w:tcPr>
          <w:p w14:paraId="18B2A10C" w14:textId="32180408" w:rsidR="003877E0" w:rsidRPr="00475EEE" w:rsidRDefault="008E46A6" w:rsidP="00E1513B">
            <w:pPr>
              <w:jc w:val="center"/>
              <w:rPr>
                <w:rFonts w:eastAsia="Calibri"/>
                <w:lang w:val="en-US"/>
              </w:rPr>
            </w:pPr>
            <w:r w:rsidRPr="008E46A6">
              <w:rPr>
                <w:rFonts w:eastAsia="Calibri"/>
                <w:lang w:val="en-US"/>
              </w:rPr>
              <w:t>&lt; .001</w:t>
            </w:r>
          </w:p>
        </w:tc>
      </w:tr>
      <w:tr w:rsidR="003877E0" w:rsidRPr="00475EEE" w14:paraId="5B45E81C" w14:textId="77777777" w:rsidTr="00E1513B">
        <w:trPr>
          <w:trHeight w:val="278"/>
        </w:trPr>
        <w:tc>
          <w:tcPr>
            <w:tcW w:w="1590" w:type="dxa"/>
            <w:tcBorders>
              <w:top w:val="nil"/>
              <w:bottom w:val="nil"/>
              <w:right w:val="nil"/>
            </w:tcBorders>
            <w:shd w:val="clear" w:color="auto" w:fill="auto"/>
            <w:vAlign w:val="center"/>
          </w:tcPr>
          <w:p w14:paraId="7A517072" w14:textId="229978C5" w:rsidR="003877E0" w:rsidRPr="00475EEE" w:rsidRDefault="003877E0" w:rsidP="00E1513B">
            <w:pPr>
              <w:jc w:val="center"/>
              <w:rPr>
                <w:rFonts w:eastAsia="Calibri"/>
                <w:lang w:val="en-US"/>
              </w:rPr>
            </w:pPr>
            <w:r w:rsidRPr="00475EEE">
              <w:rPr>
                <w:rFonts w:eastAsia="Calibri"/>
                <w:lang w:val="en-US"/>
              </w:rPr>
              <w:t>Men</w:t>
            </w:r>
          </w:p>
        </w:tc>
        <w:tc>
          <w:tcPr>
            <w:tcW w:w="1176" w:type="dxa"/>
            <w:tcBorders>
              <w:top w:val="nil"/>
              <w:left w:val="nil"/>
              <w:bottom w:val="nil"/>
              <w:right w:val="nil"/>
            </w:tcBorders>
            <w:shd w:val="clear" w:color="auto" w:fill="auto"/>
            <w:vAlign w:val="center"/>
          </w:tcPr>
          <w:p w14:paraId="2153BFC6" w14:textId="5E5F7355" w:rsidR="003877E0" w:rsidRPr="00475EEE" w:rsidRDefault="003877E0" w:rsidP="00E1513B">
            <w:pPr>
              <w:jc w:val="center"/>
              <w:rPr>
                <w:rFonts w:eastAsia="Calibri"/>
                <w:lang w:val="en-US"/>
              </w:rPr>
            </w:pPr>
            <w:r w:rsidRPr="00475EEE">
              <w:rPr>
                <w:rFonts w:eastAsia="Calibri"/>
                <w:lang w:val="en-US"/>
              </w:rPr>
              <w:t>51</w:t>
            </w:r>
            <w:r w:rsidR="0048059A">
              <w:rPr>
                <w:rFonts w:eastAsia="Calibri"/>
                <w:lang w:val="en-US"/>
              </w:rPr>
              <w:t>00</w:t>
            </w:r>
          </w:p>
        </w:tc>
        <w:tc>
          <w:tcPr>
            <w:tcW w:w="1056" w:type="dxa"/>
            <w:tcBorders>
              <w:top w:val="nil"/>
              <w:left w:val="nil"/>
              <w:bottom w:val="nil"/>
              <w:right w:val="nil"/>
            </w:tcBorders>
            <w:shd w:val="clear" w:color="auto" w:fill="auto"/>
            <w:vAlign w:val="center"/>
          </w:tcPr>
          <w:p w14:paraId="24F0DA3C" w14:textId="77777777" w:rsidR="003877E0" w:rsidRPr="00475EEE" w:rsidRDefault="003877E0" w:rsidP="00E1513B">
            <w:pPr>
              <w:jc w:val="center"/>
              <w:rPr>
                <w:rFonts w:eastAsia="Calibri"/>
                <w:lang w:val="en-US"/>
              </w:rPr>
            </w:pPr>
            <w:r w:rsidRPr="00475EEE">
              <w:rPr>
                <w:rFonts w:eastAsia="Calibri"/>
                <w:lang w:val="en-US"/>
              </w:rPr>
              <w:t>52.6</w:t>
            </w:r>
          </w:p>
        </w:tc>
        <w:tc>
          <w:tcPr>
            <w:tcW w:w="856" w:type="dxa"/>
            <w:tcBorders>
              <w:top w:val="nil"/>
              <w:left w:val="nil"/>
              <w:bottom w:val="nil"/>
              <w:right w:val="nil"/>
            </w:tcBorders>
            <w:shd w:val="clear" w:color="auto" w:fill="auto"/>
            <w:vAlign w:val="center"/>
          </w:tcPr>
          <w:p w14:paraId="46F0F854" w14:textId="77777777" w:rsidR="003877E0" w:rsidRPr="00475EEE" w:rsidRDefault="003877E0" w:rsidP="00E1513B">
            <w:pPr>
              <w:jc w:val="center"/>
              <w:rPr>
                <w:rFonts w:eastAsia="Calibri"/>
                <w:lang w:val="en-US"/>
              </w:rPr>
            </w:pPr>
            <w:r w:rsidRPr="00475EEE">
              <w:rPr>
                <w:rFonts w:eastAsia="Calibri"/>
                <w:lang w:val="en-US"/>
              </w:rPr>
              <w:t>29.8</w:t>
            </w:r>
          </w:p>
        </w:tc>
        <w:tc>
          <w:tcPr>
            <w:tcW w:w="1161" w:type="dxa"/>
            <w:tcBorders>
              <w:top w:val="nil"/>
              <w:left w:val="nil"/>
              <w:bottom w:val="nil"/>
            </w:tcBorders>
            <w:shd w:val="clear" w:color="auto" w:fill="auto"/>
            <w:vAlign w:val="center"/>
          </w:tcPr>
          <w:p w14:paraId="257381C3" w14:textId="77777777" w:rsidR="003877E0" w:rsidRPr="00475EEE" w:rsidRDefault="003877E0" w:rsidP="00E1513B">
            <w:pPr>
              <w:jc w:val="center"/>
              <w:rPr>
                <w:rFonts w:eastAsia="Calibri"/>
                <w:lang w:val="en-US"/>
              </w:rPr>
            </w:pPr>
          </w:p>
        </w:tc>
      </w:tr>
      <w:tr w:rsidR="003877E0" w:rsidRPr="00475EEE" w14:paraId="069B00A4" w14:textId="77777777" w:rsidTr="00E1513B">
        <w:trPr>
          <w:trHeight w:val="268"/>
        </w:trPr>
        <w:tc>
          <w:tcPr>
            <w:tcW w:w="1590" w:type="dxa"/>
            <w:tcBorders>
              <w:top w:val="nil"/>
              <w:bottom w:val="nil"/>
              <w:right w:val="nil"/>
            </w:tcBorders>
            <w:shd w:val="clear" w:color="auto" w:fill="auto"/>
            <w:vAlign w:val="center"/>
          </w:tcPr>
          <w:p w14:paraId="23E664F2" w14:textId="74BAF202" w:rsidR="003877E0" w:rsidRPr="00475EEE" w:rsidRDefault="003877E0" w:rsidP="00E1513B">
            <w:pPr>
              <w:jc w:val="center"/>
              <w:rPr>
                <w:rFonts w:eastAsia="Calibri"/>
                <w:lang w:val="en-US"/>
              </w:rPr>
            </w:pPr>
            <w:r w:rsidRPr="00475EEE">
              <w:rPr>
                <w:rFonts w:eastAsia="Calibri"/>
                <w:lang w:val="en-US"/>
              </w:rPr>
              <w:t>Women</w:t>
            </w:r>
          </w:p>
        </w:tc>
        <w:tc>
          <w:tcPr>
            <w:tcW w:w="1176" w:type="dxa"/>
            <w:tcBorders>
              <w:top w:val="nil"/>
              <w:left w:val="nil"/>
              <w:bottom w:val="nil"/>
              <w:right w:val="nil"/>
            </w:tcBorders>
            <w:shd w:val="clear" w:color="auto" w:fill="auto"/>
            <w:vAlign w:val="center"/>
          </w:tcPr>
          <w:p w14:paraId="58BB6B88" w14:textId="0ED86836" w:rsidR="003877E0" w:rsidRPr="00475EEE" w:rsidRDefault="003877E0" w:rsidP="00E1513B">
            <w:pPr>
              <w:jc w:val="center"/>
              <w:rPr>
                <w:rFonts w:eastAsia="Calibri"/>
                <w:lang w:val="en-US"/>
              </w:rPr>
            </w:pPr>
            <w:r w:rsidRPr="00475EEE">
              <w:rPr>
                <w:rFonts w:eastAsia="Calibri"/>
                <w:lang w:val="en-US"/>
              </w:rPr>
              <w:t>4</w:t>
            </w:r>
            <w:r w:rsidR="0048059A">
              <w:rPr>
                <w:rFonts w:eastAsia="Calibri"/>
                <w:lang w:val="en-US"/>
              </w:rPr>
              <w:t>595</w:t>
            </w:r>
          </w:p>
        </w:tc>
        <w:tc>
          <w:tcPr>
            <w:tcW w:w="1056" w:type="dxa"/>
            <w:tcBorders>
              <w:top w:val="nil"/>
              <w:left w:val="nil"/>
              <w:bottom w:val="nil"/>
              <w:right w:val="nil"/>
            </w:tcBorders>
            <w:shd w:val="clear" w:color="auto" w:fill="auto"/>
            <w:vAlign w:val="center"/>
          </w:tcPr>
          <w:p w14:paraId="29193585" w14:textId="77777777" w:rsidR="003877E0" w:rsidRPr="00475EEE" w:rsidRDefault="003877E0" w:rsidP="00E1513B">
            <w:pPr>
              <w:jc w:val="center"/>
              <w:rPr>
                <w:rFonts w:eastAsia="Calibri"/>
                <w:lang w:val="en-US"/>
              </w:rPr>
            </w:pPr>
            <w:r w:rsidRPr="00475EEE">
              <w:rPr>
                <w:rFonts w:eastAsia="Calibri"/>
                <w:lang w:val="en-US"/>
              </w:rPr>
              <w:t>47.4</w:t>
            </w:r>
          </w:p>
        </w:tc>
        <w:tc>
          <w:tcPr>
            <w:tcW w:w="856" w:type="dxa"/>
            <w:tcBorders>
              <w:top w:val="nil"/>
              <w:left w:val="nil"/>
              <w:bottom w:val="nil"/>
              <w:right w:val="nil"/>
            </w:tcBorders>
            <w:shd w:val="clear" w:color="auto" w:fill="auto"/>
            <w:vAlign w:val="center"/>
          </w:tcPr>
          <w:p w14:paraId="4727057C" w14:textId="1F229B6A" w:rsidR="003877E0" w:rsidRPr="00475EEE" w:rsidRDefault="003877E0" w:rsidP="00E1513B">
            <w:pPr>
              <w:jc w:val="center"/>
              <w:rPr>
                <w:rFonts w:eastAsia="Calibri"/>
                <w:lang w:val="en-US"/>
              </w:rPr>
            </w:pPr>
            <w:r w:rsidRPr="00475EEE">
              <w:rPr>
                <w:rFonts w:eastAsia="Calibri"/>
                <w:lang w:val="en-US"/>
              </w:rPr>
              <w:t>34.</w:t>
            </w:r>
            <w:r w:rsidR="009439B6">
              <w:rPr>
                <w:rFonts w:eastAsia="Calibri"/>
                <w:lang w:val="en-US"/>
              </w:rPr>
              <w:t>9</w:t>
            </w:r>
          </w:p>
        </w:tc>
        <w:tc>
          <w:tcPr>
            <w:tcW w:w="1161" w:type="dxa"/>
            <w:tcBorders>
              <w:top w:val="nil"/>
              <w:left w:val="nil"/>
              <w:bottom w:val="nil"/>
            </w:tcBorders>
            <w:shd w:val="clear" w:color="auto" w:fill="auto"/>
            <w:vAlign w:val="center"/>
          </w:tcPr>
          <w:p w14:paraId="3F0A3B8A" w14:textId="77777777" w:rsidR="003877E0" w:rsidRPr="00475EEE" w:rsidRDefault="003877E0" w:rsidP="00E1513B">
            <w:pPr>
              <w:jc w:val="center"/>
              <w:rPr>
                <w:rFonts w:eastAsia="Calibri"/>
                <w:lang w:val="en-US"/>
              </w:rPr>
            </w:pPr>
          </w:p>
        </w:tc>
      </w:tr>
      <w:tr w:rsidR="003877E0" w:rsidRPr="00475EEE" w14:paraId="68E2A595" w14:textId="77777777" w:rsidTr="00E1513B">
        <w:trPr>
          <w:trHeight w:val="270"/>
        </w:trPr>
        <w:tc>
          <w:tcPr>
            <w:tcW w:w="1590" w:type="dxa"/>
            <w:tcBorders>
              <w:top w:val="nil"/>
              <w:bottom w:val="nil"/>
              <w:right w:val="nil"/>
            </w:tcBorders>
            <w:shd w:val="clear" w:color="auto" w:fill="auto"/>
            <w:vAlign w:val="center"/>
          </w:tcPr>
          <w:p w14:paraId="03744F73" w14:textId="77777777" w:rsidR="003877E0" w:rsidRPr="00E1513B" w:rsidRDefault="001721C3" w:rsidP="00E1513B">
            <w:pPr>
              <w:jc w:val="center"/>
              <w:rPr>
                <w:rFonts w:eastAsia="Calibri"/>
                <w:b/>
                <w:lang w:val="en-US"/>
              </w:rPr>
            </w:pPr>
            <w:r w:rsidRPr="00E1513B">
              <w:rPr>
                <w:rFonts w:eastAsia="Calibri"/>
                <w:b/>
                <w:lang w:val="en-US"/>
              </w:rPr>
              <w:t>Body Mass Index</w:t>
            </w:r>
          </w:p>
        </w:tc>
        <w:tc>
          <w:tcPr>
            <w:tcW w:w="3088" w:type="dxa"/>
            <w:gridSpan w:val="3"/>
            <w:tcBorders>
              <w:top w:val="nil"/>
              <w:left w:val="nil"/>
              <w:bottom w:val="nil"/>
              <w:right w:val="nil"/>
            </w:tcBorders>
            <w:shd w:val="clear" w:color="auto" w:fill="auto"/>
            <w:vAlign w:val="center"/>
          </w:tcPr>
          <w:p w14:paraId="2018A747" w14:textId="77777777" w:rsidR="003877E0" w:rsidRPr="00475EEE" w:rsidRDefault="003877E0" w:rsidP="00E1513B">
            <w:pPr>
              <w:jc w:val="center"/>
              <w:rPr>
                <w:rFonts w:eastAsia="Calibri"/>
                <w:lang w:val="en-US"/>
              </w:rPr>
            </w:pPr>
          </w:p>
        </w:tc>
        <w:tc>
          <w:tcPr>
            <w:tcW w:w="1161" w:type="dxa"/>
            <w:tcBorders>
              <w:top w:val="nil"/>
              <w:left w:val="nil"/>
              <w:bottom w:val="nil"/>
            </w:tcBorders>
            <w:shd w:val="clear" w:color="auto" w:fill="auto"/>
            <w:vAlign w:val="center"/>
          </w:tcPr>
          <w:p w14:paraId="6CD6009E" w14:textId="0DB0E30A" w:rsidR="003877E0" w:rsidRPr="00475EEE" w:rsidRDefault="008E46A6" w:rsidP="00E1513B">
            <w:pPr>
              <w:jc w:val="center"/>
              <w:rPr>
                <w:rFonts w:eastAsia="Calibri"/>
                <w:lang w:val="en-US"/>
              </w:rPr>
            </w:pPr>
            <w:r w:rsidRPr="008E46A6">
              <w:rPr>
                <w:rFonts w:eastAsia="Calibri"/>
                <w:lang w:val="en-US"/>
              </w:rPr>
              <w:t>&lt; .001</w:t>
            </w:r>
          </w:p>
        </w:tc>
      </w:tr>
      <w:tr w:rsidR="003877E0" w:rsidRPr="00475EEE" w14:paraId="7C9F35A5" w14:textId="77777777" w:rsidTr="00E1513B">
        <w:trPr>
          <w:trHeight w:val="279"/>
        </w:trPr>
        <w:tc>
          <w:tcPr>
            <w:tcW w:w="1590" w:type="dxa"/>
            <w:tcBorders>
              <w:top w:val="nil"/>
              <w:bottom w:val="nil"/>
              <w:right w:val="nil"/>
            </w:tcBorders>
            <w:shd w:val="clear" w:color="auto" w:fill="auto"/>
            <w:vAlign w:val="center"/>
          </w:tcPr>
          <w:p w14:paraId="59F72C74" w14:textId="42E32BC4" w:rsidR="003877E0" w:rsidRPr="00475EEE" w:rsidRDefault="003877E0" w:rsidP="00E1513B">
            <w:pPr>
              <w:jc w:val="center"/>
              <w:rPr>
                <w:rFonts w:eastAsia="Calibri"/>
                <w:lang w:val="en-US"/>
              </w:rPr>
            </w:pPr>
            <w:r w:rsidRPr="00475EEE">
              <w:rPr>
                <w:rFonts w:eastAsia="Calibri"/>
                <w:lang w:val="en-US"/>
              </w:rPr>
              <w:t>Underweight</w:t>
            </w:r>
          </w:p>
        </w:tc>
        <w:tc>
          <w:tcPr>
            <w:tcW w:w="1176" w:type="dxa"/>
            <w:tcBorders>
              <w:top w:val="nil"/>
              <w:left w:val="nil"/>
              <w:bottom w:val="nil"/>
              <w:right w:val="nil"/>
            </w:tcBorders>
            <w:shd w:val="clear" w:color="auto" w:fill="auto"/>
            <w:vAlign w:val="center"/>
          </w:tcPr>
          <w:p w14:paraId="7A714A7C" w14:textId="77777777" w:rsidR="003877E0" w:rsidRPr="00475EEE" w:rsidRDefault="003877E0" w:rsidP="00E1513B">
            <w:pPr>
              <w:jc w:val="center"/>
              <w:rPr>
                <w:rFonts w:eastAsia="Calibri"/>
                <w:lang w:val="en-US"/>
              </w:rPr>
            </w:pPr>
            <w:r w:rsidRPr="00475EEE">
              <w:rPr>
                <w:rFonts w:eastAsia="Calibri"/>
                <w:lang w:val="en-US"/>
              </w:rPr>
              <w:t>180</w:t>
            </w:r>
          </w:p>
        </w:tc>
        <w:tc>
          <w:tcPr>
            <w:tcW w:w="1056" w:type="dxa"/>
            <w:tcBorders>
              <w:top w:val="nil"/>
              <w:left w:val="nil"/>
              <w:bottom w:val="nil"/>
              <w:right w:val="nil"/>
            </w:tcBorders>
            <w:shd w:val="clear" w:color="auto" w:fill="auto"/>
            <w:vAlign w:val="center"/>
          </w:tcPr>
          <w:p w14:paraId="674369E9" w14:textId="5602AC95" w:rsidR="003877E0" w:rsidRPr="00475EEE" w:rsidRDefault="003877E0" w:rsidP="00E1513B">
            <w:pPr>
              <w:jc w:val="center"/>
              <w:rPr>
                <w:rFonts w:eastAsia="Calibri"/>
                <w:lang w:val="en-US"/>
              </w:rPr>
            </w:pPr>
            <w:r w:rsidRPr="00475EEE">
              <w:rPr>
                <w:rFonts w:eastAsia="Calibri"/>
                <w:lang w:val="en-US"/>
              </w:rPr>
              <w:t>1.</w:t>
            </w:r>
            <w:r w:rsidR="0048059A">
              <w:rPr>
                <w:rFonts w:eastAsia="Calibri"/>
                <w:lang w:val="en-US"/>
              </w:rPr>
              <w:t>9</w:t>
            </w:r>
          </w:p>
        </w:tc>
        <w:tc>
          <w:tcPr>
            <w:tcW w:w="856" w:type="dxa"/>
            <w:tcBorders>
              <w:top w:val="nil"/>
              <w:left w:val="nil"/>
              <w:bottom w:val="nil"/>
              <w:right w:val="nil"/>
            </w:tcBorders>
            <w:shd w:val="clear" w:color="auto" w:fill="auto"/>
            <w:vAlign w:val="center"/>
          </w:tcPr>
          <w:p w14:paraId="2042FB05" w14:textId="77777777" w:rsidR="003877E0" w:rsidRPr="00475EEE" w:rsidRDefault="003877E0" w:rsidP="00E1513B">
            <w:pPr>
              <w:jc w:val="center"/>
              <w:rPr>
                <w:rFonts w:eastAsia="Calibri"/>
                <w:lang w:val="en-US"/>
              </w:rPr>
            </w:pPr>
            <w:r w:rsidRPr="00475EEE">
              <w:rPr>
                <w:rFonts w:eastAsia="Calibri"/>
                <w:lang w:val="en-US"/>
              </w:rPr>
              <w:t>25.0</w:t>
            </w:r>
          </w:p>
        </w:tc>
        <w:tc>
          <w:tcPr>
            <w:tcW w:w="1161" w:type="dxa"/>
            <w:tcBorders>
              <w:top w:val="nil"/>
              <w:left w:val="nil"/>
              <w:bottom w:val="nil"/>
            </w:tcBorders>
            <w:shd w:val="clear" w:color="auto" w:fill="auto"/>
            <w:vAlign w:val="center"/>
          </w:tcPr>
          <w:p w14:paraId="44A4AD75" w14:textId="77777777" w:rsidR="003877E0" w:rsidRPr="00475EEE" w:rsidRDefault="003877E0" w:rsidP="00E1513B">
            <w:pPr>
              <w:jc w:val="center"/>
              <w:rPr>
                <w:rFonts w:eastAsia="Calibri"/>
                <w:lang w:val="en-US"/>
              </w:rPr>
            </w:pPr>
          </w:p>
        </w:tc>
      </w:tr>
      <w:tr w:rsidR="003877E0" w:rsidRPr="00475EEE" w14:paraId="5C1F5D29" w14:textId="77777777" w:rsidTr="00E1513B">
        <w:trPr>
          <w:trHeight w:val="270"/>
        </w:trPr>
        <w:tc>
          <w:tcPr>
            <w:tcW w:w="1590" w:type="dxa"/>
            <w:tcBorders>
              <w:top w:val="nil"/>
              <w:bottom w:val="nil"/>
              <w:right w:val="nil"/>
            </w:tcBorders>
            <w:shd w:val="clear" w:color="auto" w:fill="auto"/>
            <w:vAlign w:val="center"/>
          </w:tcPr>
          <w:p w14:paraId="02D9FA79" w14:textId="2012CD8E" w:rsidR="003877E0" w:rsidRPr="00475EEE" w:rsidRDefault="003877E0" w:rsidP="00E1513B">
            <w:pPr>
              <w:jc w:val="center"/>
              <w:rPr>
                <w:rFonts w:eastAsia="Calibri"/>
                <w:lang w:val="en-US"/>
              </w:rPr>
            </w:pPr>
            <w:r w:rsidRPr="00475EEE">
              <w:rPr>
                <w:rFonts w:eastAsia="Calibri"/>
                <w:lang w:val="en-US"/>
              </w:rPr>
              <w:t>Normal</w:t>
            </w:r>
          </w:p>
        </w:tc>
        <w:tc>
          <w:tcPr>
            <w:tcW w:w="1176" w:type="dxa"/>
            <w:tcBorders>
              <w:top w:val="nil"/>
              <w:left w:val="nil"/>
              <w:bottom w:val="nil"/>
              <w:right w:val="nil"/>
            </w:tcBorders>
            <w:shd w:val="clear" w:color="auto" w:fill="auto"/>
            <w:vAlign w:val="center"/>
          </w:tcPr>
          <w:p w14:paraId="7F6AAD6C" w14:textId="77777777" w:rsidR="003877E0" w:rsidRPr="00475EEE" w:rsidRDefault="003877E0" w:rsidP="00E1513B">
            <w:pPr>
              <w:jc w:val="center"/>
              <w:rPr>
                <w:rFonts w:eastAsia="Calibri"/>
                <w:lang w:val="en-US"/>
              </w:rPr>
            </w:pPr>
            <w:r w:rsidRPr="00475EEE">
              <w:rPr>
                <w:rFonts w:eastAsia="Calibri"/>
                <w:lang w:val="en-US"/>
              </w:rPr>
              <w:t>4556</w:t>
            </w:r>
          </w:p>
        </w:tc>
        <w:tc>
          <w:tcPr>
            <w:tcW w:w="1056" w:type="dxa"/>
            <w:tcBorders>
              <w:top w:val="nil"/>
              <w:left w:val="nil"/>
              <w:bottom w:val="nil"/>
              <w:right w:val="nil"/>
            </w:tcBorders>
            <w:shd w:val="clear" w:color="auto" w:fill="auto"/>
            <w:vAlign w:val="center"/>
          </w:tcPr>
          <w:p w14:paraId="3A8C14A7" w14:textId="037A6F41" w:rsidR="003877E0" w:rsidRPr="00475EEE" w:rsidRDefault="003877E0" w:rsidP="00E1513B">
            <w:pPr>
              <w:jc w:val="center"/>
              <w:rPr>
                <w:rFonts w:eastAsia="Calibri"/>
                <w:lang w:val="en-US"/>
              </w:rPr>
            </w:pPr>
            <w:r w:rsidRPr="00475EEE">
              <w:rPr>
                <w:rFonts w:eastAsia="Calibri"/>
                <w:lang w:val="en-US"/>
              </w:rPr>
              <w:t>4</w:t>
            </w:r>
            <w:r w:rsidR="0048059A">
              <w:rPr>
                <w:rFonts w:eastAsia="Calibri"/>
                <w:lang w:val="en-US"/>
              </w:rPr>
              <w:t>7</w:t>
            </w:r>
            <w:r w:rsidRPr="00475EEE">
              <w:rPr>
                <w:rFonts w:eastAsia="Calibri"/>
                <w:lang w:val="en-US"/>
              </w:rPr>
              <w:t>.</w:t>
            </w:r>
            <w:r w:rsidR="0048059A">
              <w:rPr>
                <w:rFonts w:eastAsia="Calibri"/>
                <w:lang w:val="en-US"/>
              </w:rPr>
              <w:t>0</w:t>
            </w:r>
          </w:p>
        </w:tc>
        <w:tc>
          <w:tcPr>
            <w:tcW w:w="856" w:type="dxa"/>
            <w:tcBorders>
              <w:top w:val="nil"/>
              <w:left w:val="nil"/>
              <w:bottom w:val="nil"/>
              <w:right w:val="nil"/>
            </w:tcBorders>
            <w:shd w:val="clear" w:color="auto" w:fill="auto"/>
            <w:vAlign w:val="center"/>
          </w:tcPr>
          <w:p w14:paraId="2B01245C" w14:textId="77777777" w:rsidR="003877E0" w:rsidRPr="00475EEE" w:rsidRDefault="003877E0" w:rsidP="00E1513B">
            <w:pPr>
              <w:jc w:val="center"/>
              <w:rPr>
                <w:rFonts w:eastAsia="Calibri"/>
                <w:lang w:val="en-US"/>
              </w:rPr>
            </w:pPr>
            <w:r w:rsidRPr="00475EEE">
              <w:rPr>
                <w:rFonts w:eastAsia="Calibri"/>
                <w:lang w:val="en-US"/>
              </w:rPr>
              <w:t>26.1</w:t>
            </w:r>
          </w:p>
        </w:tc>
        <w:tc>
          <w:tcPr>
            <w:tcW w:w="1161" w:type="dxa"/>
            <w:tcBorders>
              <w:top w:val="nil"/>
              <w:left w:val="nil"/>
              <w:bottom w:val="nil"/>
            </w:tcBorders>
            <w:shd w:val="clear" w:color="auto" w:fill="auto"/>
            <w:vAlign w:val="center"/>
          </w:tcPr>
          <w:p w14:paraId="65DCA128" w14:textId="77777777" w:rsidR="003877E0" w:rsidRPr="00475EEE" w:rsidRDefault="003877E0" w:rsidP="00E1513B">
            <w:pPr>
              <w:jc w:val="center"/>
              <w:rPr>
                <w:rFonts w:eastAsia="Calibri"/>
                <w:lang w:val="en-US"/>
              </w:rPr>
            </w:pPr>
          </w:p>
        </w:tc>
      </w:tr>
      <w:tr w:rsidR="003877E0" w:rsidRPr="00475EEE" w14:paraId="2F089E96" w14:textId="77777777" w:rsidTr="00E1513B">
        <w:trPr>
          <w:trHeight w:val="287"/>
        </w:trPr>
        <w:tc>
          <w:tcPr>
            <w:tcW w:w="1590" w:type="dxa"/>
            <w:tcBorders>
              <w:top w:val="nil"/>
              <w:bottom w:val="nil"/>
              <w:right w:val="nil"/>
            </w:tcBorders>
            <w:shd w:val="clear" w:color="auto" w:fill="auto"/>
            <w:vAlign w:val="center"/>
          </w:tcPr>
          <w:p w14:paraId="3A45E1BC" w14:textId="0C6481C7" w:rsidR="003877E0" w:rsidRPr="00475EEE" w:rsidRDefault="003877E0" w:rsidP="00E1513B">
            <w:pPr>
              <w:jc w:val="center"/>
              <w:rPr>
                <w:rFonts w:eastAsia="Calibri"/>
                <w:lang w:val="en-US"/>
              </w:rPr>
            </w:pPr>
            <w:r w:rsidRPr="00475EEE">
              <w:rPr>
                <w:rFonts w:eastAsia="Calibri"/>
                <w:lang w:val="en-US"/>
              </w:rPr>
              <w:t>Overweight</w:t>
            </w:r>
          </w:p>
        </w:tc>
        <w:tc>
          <w:tcPr>
            <w:tcW w:w="1176" w:type="dxa"/>
            <w:tcBorders>
              <w:top w:val="nil"/>
              <w:left w:val="nil"/>
              <w:bottom w:val="nil"/>
              <w:right w:val="nil"/>
            </w:tcBorders>
            <w:shd w:val="clear" w:color="auto" w:fill="auto"/>
            <w:vAlign w:val="center"/>
          </w:tcPr>
          <w:p w14:paraId="25F1BC18" w14:textId="77777777" w:rsidR="003877E0" w:rsidRPr="00475EEE" w:rsidRDefault="003877E0" w:rsidP="00E1513B">
            <w:pPr>
              <w:jc w:val="center"/>
              <w:rPr>
                <w:rFonts w:eastAsia="Calibri"/>
                <w:lang w:val="en-US"/>
              </w:rPr>
            </w:pPr>
            <w:r w:rsidRPr="00475EEE">
              <w:rPr>
                <w:rFonts w:eastAsia="Calibri"/>
                <w:lang w:val="en-US"/>
              </w:rPr>
              <w:t>3600</w:t>
            </w:r>
          </w:p>
        </w:tc>
        <w:tc>
          <w:tcPr>
            <w:tcW w:w="1056" w:type="dxa"/>
            <w:tcBorders>
              <w:top w:val="nil"/>
              <w:left w:val="nil"/>
              <w:bottom w:val="nil"/>
              <w:right w:val="nil"/>
            </w:tcBorders>
            <w:shd w:val="clear" w:color="auto" w:fill="auto"/>
            <w:vAlign w:val="center"/>
          </w:tcPr>
          <w:p w14:paraId="45C9B38B" w14:textId="372E36BC" w:rsidR="003877E0" w:rsidRPr="00475EEE" w:rsidRDefault="003877E0" w:rsidP="00E1513B">
            <w:pPr>
              <w:jc w:val="center"/>
              <w:rPr>
                <w:rFonts w:eastAsia="Calibri"/>
                <w:lang w:val="en-US"/>
              </w:rPr>
            </w:pPr>
            <w:r w:rsidRPr="00475EEE">
              <w:rPr>
                <w:rFonts w:eastAsia="Calibri"/>
                <w:lang w:val="en-US"/>
              </w:rPr>
              <w:t>3</w:t>
            </w:r>
            <w:r w:rsidR="0048059A">
              <w:rPr>
                <w:rFonts w:eastAsia="Calibri"/>
                <w:lang w:val="en-US"/>
              </w:rPr>
              <w:t>7</w:t>
            </w:r>
            <w:r w:rsidRPr="00475EEE">
              <w:rPr>
                <w:rFonts w:eastAsia="Calibri"/>
                <w:lang w:val="en-US"/>
              </w:rPr>
              <w:t>.</w:t>
            </w:r>
            <w:r w:rsidR="0048059A">
              <w:rPr>
                <w:rFonts w:eastAsia="Calibri"/>
                <w:lang w:val="en-US"/>
              </w:rPr>
              <w:t>1</w:t>
            </w:r>
          </w:p>
        </w:tc>
        <w:tc>
          <w:tcPr>
            <w:tcW w:w="856" w:type="dxa"/>
            <w:tcBorders>
              <w:top w:val="nil"/>
              <w:left w:val="nil"/>
              <w:bottom w:val="nil"/>
              <w:right w:val="nil"/>
            </w:tcBorders>
            <w:shd w:val="clear" w:color="auto" w:fill="auto"/>
            <w:vAlign w:val="center"/>
          </w:tcPr>
          <w:p w14:paraId="65F9B8A1" w14:textId="02F6A0D8" w:rsidR="003877E0" w:rsidRPr="00475EEE" w:rsidRDefault="003877E0" w:rsidP="00E1513B">
            <w:pPr>
              <w:jc w:val="center"/>
              <w:rPr>
                <w:rFonts w:eastAsia="Calibri"/>
                <w:lang w:val="en-US"/>
              </w:rPr>
            </w:pPr>
            <w:r w:rsidRPr="00475EEE">
              <w:rPr>
                <w:rFonts w:eastAsia="Calibri"/>
                <w:lang w:val="en-US"/>
              </w:rPr>
              <w:t>35.</w:t>
            </w:r>
            <w:r w:rsidR="009439B6">
              <w:rPr>
                <w:rFonts w:eastAsia="Calibri"/>
                <w:lang w:val="en-US"/>
              </w:rPr>
              <w:t>4</w:t>
            </w:r>
          </w:p>
        </w:tc>
        <w:tc>
          <w:tcPr>
            <w:tcW w:w="1161" w:type="dxa"/>
            <w:tcBorders>
              <w:top w:val="nil"/>
              <w:left w:val="nil"/>
              <w:bottom w:val="nil"/>
            </w:tcBorders>
            <w:shd w:val="clear" w:color="auto" w:fill="auto"/>
            <w:vAlign w:val="center"/>
          </w:tcPr>
          <w:p w14:paraId="382CF039" w14:textId="77777777" w:rsidR="003877E0" w:rsidRPr="00475EEE" w:rsidRDefault="003877E0" w:rsidP="00E1513B">
            <w:pPr>
              <w:jc w:val="center"/>
              <w:rPr>
                <w:rFonts w:eastAsia="Calibri"/>
                <w:lang w:val="en-US"/>
              </w:rPr>
            </w:pPr>
          </w:p>
        </w:tc>
      </w:tr>
      <w:tr w:rsidR="003877E0" w:rsidRPr="00475EEE" w14:paraId="69402ED1" w14:textId="77777777" w:rsidTr="00E1513B">
        <w:trPr>
          <w:trHeight w:val="264"/>
        </w:trPr>
        <w:tc>
          <w:tcPr>
            <w:tcW w:w="1590" w:type="dxa"/>
            <w:tcBorders>
              <w:top w:val="nil"/>
              <w:bottom w:val="nil"/>
              <w:right w:val="nil"/>
            </w:tcBorders>
            <w:shd w:val="clear" w:color="auto" w:fill="auto"/>
            <w:vAlign w:val="center"/>
          </w:tcPr>
          <w:p w14:paraId="78B8BF33" w14:textId="06D363D2" w:rsidR="003877E0" w:rsidRPr="00475EEE" w:rsidRDefault="003877E0" w:rsidP="00E1513B">
            <w:pPr>
              <w:jc w:val="center"/>
              <w:rPr>
                <w:rFonts w:eastAsia="Calibri"/>
                <w:lang w:val="en-US"/>
              </w:rPr>
            </w:pPr>
            <w:r w:rsidRPr="00475EEE">
              <w:rPr>
                <w:rFonts w:eastAsia="Calibri"/>
                <w:lang w:val="en-US"/>
              </w:rPr>
              <w:t>Obese</w:t>
            </w:r>
          </w:p>
        </w:tc>
        <w:tc>
          <w:tcPr>
            <w:tcW w:w="1176" w:type="dxa"/>
            <w:tcBorders>
              <w:top w:val="nil"/>
              <w:left w:val="nil"/>
              <w:bottom w:val="nil"/>
              <w:right w:val="nil"/>
            </w:tcBorders>
            <w:shd w:val="clear" w:color="auto" w:fill="auto"/>
            <w:vAlign w:val="center"/>
          </w:tcPr>
          <w:p w14:paraId="628BF825" w14:textId="77777777" w:rsidR="003877E0" w:rsidRPr="00475EEE" w:rsidRDefault="003877E0" w:rsidP="00E1513B">
            <w:pPr>
              <w:jc w:val="center"/>
              <w:rPr>
                <w:rFonts w:eastAsia="Calibri"/>
                <w:lang w:val="en-US"/>
              </w:rPr>
            </w:pPr>
            <w:r w:rsidRPr="00475EEE">
              <w:rPr>
                <w:rFonts w:eastAsia="Calibri"/>
                <w:lang w:val="en-US"/>
              </w:rPr>
              <w:t>1359</w:t>
            </w:r>
          </w:p>
        </w:tc>
        <w:tc>
          <w:tcPr>
            <w:tcW w:w="1056" w:type="dxa"/>
            <w:tcBorders>
              <w:top w:val="nil"/>
              <w:left w:val="nil"/>
              <w:bottom w:val="nil"/>
              <w:right w:val="nil"/>
            </w:tcBorders>
            <w:shd w:val="clear" w:color="auto" w:fill="auto"/>
            <w:vAlign w:val="center"/>
          </w:tcPr>
          <w:p w14:paraId="2EBB7D95" w14:textId="71AC102A" w:rsidR="003877E0" w:rsidRPr="00475EEE" w:rsidRDefault="003877E0" w:rsidP="00E1513B">
            <w:pPr>
              <w:jc w:val="center"/>
              <w:rPr>
                <w:rFonts w:eastAsia="Calibri"/>
                <w:lang w:val="en-US"/>
              </w:rPr>
            </w:pPr>
            <w:r w:rsidRPr="00475EEE">
              <w:rPr>
                <w:rFonts w:eastAsia="Calibri"/>
                <w:lang w:val="en-US"/>
              </w:rPr>
              <w:t>1</w:t>
            </w:r>
            <w:r w:rsidR="0048059A">
              <w:rPr>
                <w:rFonts w:eastAsia="Calibri"/>
                <w:lang w:val="en-US"/>
              </w:rPr>
              <w:t>4</w:t>
            </w:r>
            <w:r w:rsidRPr="00475EEE">
              <w:rPr>
                <w:rFonts w:eastAsia="Calibri"/>
                <w:lang w:val="en-US"/>
              </w:rPr>
              <w:t>.</w:t>
            </w:r>
            <w:r w:rsidR="0048059A">
              <w:rPr>
                <w:rFonts w:eastAsia="Calibri"/>
                <w:lang w:val="en-US"/>
              </w:rPr>
              <w:t>0</w:t>
            </w:r>
          </w:p>
        </w:tc>
        <w:tc>
          <w:tcPr>
            <w:tcW w:w="856" w:type="dxa"/>
            <w:tcBorders>
              <w:top w:val="nil"/>
              <w:left w:val="nil"/>
              <w:bottom w:val="nil"/>
              <w:right w:val="nil"/>
            </w:tcBorders>
            <w:shd w:val="clear" w:color="auto" w:fill="auto"/>
            <w:vAlign w:val="center"/>
          </w:tcPr>
          <w:p w14:paraId="69CD844F" w14:textId="77777777" w:rsidR="003877E0" w:rsidRPr="00475EEE" w:rsidRDefault="003877E0" w:rsidP="00E1513B">
            <w:pPr>
              <w:jc w:val="center"/>
              <w:rPr>
                <w:rFonts w:eastAsia="Calibri"/>
                <w:lang w:val="en-US"/>
              </w:rPr>
            </w:pPr>
            <w:r w:rsidRPr="00475EEE">
              <w:rPr>
                <w:rFonts w:eastAsia="Calibri"/>
                <w:lang w:val="en-US"/>
              </w:rPr>
              <w:t>45.0</w:t>
            </w:r>
          </w:p>
        </w:tc>
        <w:tc>
          <w:tcPr>
            <w:tcW w:w="1161" w:type="dxa"/>
            <w:tcBorders>
              <w:top w:val="nil"/>
              <w:left w:val="nil"/>
              <w:bottom w:val="nil"/>
            </w:tcBorders>
            <w:shd w:val="clear" w:color="auto" w:fill="auto"/>
            <w:vAlign w:val="center"/>
          </w:tcPr>
          <w:p w14:paraId="0C59B9F9" w14:textId="77777777" w:rsidR="003877E0" w:rsidRPr="00475EEE" w:rsidRDefault="003877E0" w:rsidP="00E1513B">
            <w:pPr>
              <w:jc w:val="center"/>
              <w:rPr>
                <w:rFonts w:eastAsia="Calibri"/>
                <w:lang w:val="en-US"/>
              </w:rPr>
            </w:pPr>
          </w:p>
        </w:tc>
      </w:tr>
      <w:tr w:rsidR="003877E0" w:rsidRPr="00475EEE" w14:paraId="78D99208" w14:textId="77777777" w:rsidTr="00E1513B">
        <w:trPr>
          <w:trHeight w:val="255"/>
        </w:trPr>
        <w:tc>
          <w:tcPr>
            <w:tcW w:w="1590" w:type="dxa"/>
            <w:tcBorders>
              <w:top w:val="nil"/>
              <w:bottom w:val="nil"/>
              <w:right w:val="nil"/>
            </w:tcBorders>
            <w:shd w:val="clear" w:color="auto" w:fill="auto"/>
            <w:vAlign w:val="center"/>
          </w:tcPr>
          <w:p w14:paraId="77026964" w14:textId="70F5165D" w:rsidR="003877E0" w:rsidRPr="00E1513B" w:rsidRDefault="003877E0" w:rsidP="00E1513B">
            <w:pPr>
              <w:jc w:val="center"/>
              <w:rPr>
                <w:rFonts w:eastAsia="Calibri"/>
                <w:b/>
                <w:lang w:val="en-US"/>
              </w:rPr>
            </w:pPr>
            <w:r w:rsidRPr="00E1513B">
              <w:rPr>
                <w:rFonts w:eastAsia="Calibri"/>
                <w:b/>
                <w:lang w:val="en-US"/>
              </w:rPr>
              <w:t>Smok</w:t>
            </w:r>
            <w:r w:rsidR="004C4B8B" w:rsidRPr="00E1513B">
              <w:rPr>
                <w:rFonts w:eastAsia="Calibri"/>
                <w:b/>
                <w:lang w:val="en-US"/>
              </w:rPr>
              <w:t>ing status</w:t>
            </w:r>
          </w:p>
        </w:tc>
        <w:tc>
          <w:tcPr>
            <w:tcW w:w="3088" w:type="dxa"/>
            <w:gridSpan w:val="3"/>
            <w:tcBorders>
              <w:top w:val="nil"/>
              <w:left w:val="nil"/>
              <w:bottom w:val="nil"/>
              <w:right w:val="nil"/>
            </w:tcBorders>
            <w:shd w:val="clear" w:color="auto" w:fill="auto"/>
            <w:vAlign w:val="center"/>
          </w:tcPr>
          <w:p w14:paraId="32920C07" w14:textId="77777777" w:rsidR="003877E0" w:rsidRPr="00475EEE" w:rsidRDefault="003877E0" w:rsidP="00E1513B">
            <w:pPr>
              <w:jc w:val="center"/>
              <w:rPr>
                <w:rFonts w:eastAsia="Calibri"/>
                <w:lang w:val="en-US"/>
              </w:rPr>
            </w:pPr>
          </w:p>
        </w:tc>
        <w:tc>
          <w:tcPr>
            <w:tcW w:w="1161" w:type="dxa"/>
            <w:tcBorders>
              <w:top w:val="nil"/>
              <w:left w:val="nil"/>
              <w:bottom w:val="nil"/>
            </w:tcBorders>
            <w:shd w:val="clear" w:color="auto" w:fill="auto"/>
            <w:vAlign w:val="center"/>
          </w:tcPr>
          <w:p w14:paraId="27E43532" w14:textId="0567D869" w:rsidR="003877E0" w:rsidRPr="00475EEE" w:rsidRDefault="008E46A6" w:rsidP="00E1513B">
            <w:pPr>
              <w:jc w:val="center"/>
              <w:rPr>
                <w:rFonts w:eastAsia="Calibri"/>
                <w:lang w:val="en-US"/>
              </w:rPr>
            </w:pPr>
            <w:r w:rsidRPr="008E46A6">
              <w:rPr>
                <w:rFonts w:eastAsia="Calibri"/>
                <w:lang w:val="en-US"/>
              </w:rPr>
              <w:t>&lt; .001</w:t>
            </w:r>
          </w:p>
        </w:tc>
      </w:tr>
      <w:tr w:rsidR="003877E0" w:rsidRPr="00475EEE" w14:paraId="5EFFD259" w14:textId="77777777" w:rsidTr="00E1513B">
        <w:trPr>
          <w:trHeight w:val="272"/>
        </w:trPr>
        <w:tc>
          <w:tcPr>
            <w:tcW w:w="1590" w:type="dxa"/>
            <w:tcBorders>
              <w:top w:val="nil"/>
              <w:bottom w:val="nil"/>
              <w:right w:val="nil"/>
            </w:tcBorders>
            <w:shd w:val="clear" w:color="auto" w:fill="auto"/>
            <w:vAlign w:val="center"/>
          </w:tcPr>
          <w:p w14:paraId="4DC43910" w14:textId="538D5505" w:rsidR="003877E0" w:rsidRPr="00475EEE" w:rsidRDefault="003877E0" w:rsidP="00E1513B">
            <w:pPr>
              <w:jc w:val="center"/>
              <w:rPr>
                <w:rFonts w:eastAsia="Calibri"/>
                <w:lang w:val="en-US"/>
              </w:rPr>
            </w:pPr>
            <w:r w:rsidRPr="00475EEE">
              <w:rPr>
                <w:rFonts w:eastAsia="Calibri"/>
                <w:lang w:val="en-US"/>
              </w:rPr>
              <w:t>Never</w:t>
            </w:r>
          </w:p>
        </w:tc>
        <w:tc>
          <w:tcPr>
            <w:tcW w:w="1176" w:type="dxa"/>
            <w:tcBorders>
              <w:top w:val="nil"/>
              <w:left w:val="nil"/>
              <w:bottom w:val="nil"/>
              <w:right w:val="nil"/>
            </w:tcBorders>
            <w:shd w:val="clear" w:color="auto" w:fill="auto"/>
            <w:vAlign w:val="center"/>
          </w:tcPr>
          <w:p w14:paraId="7BCDF3E6" w14:textId="7BE5F9E6" w:rsidR="003877E0" w:rsidRPr="00475EEE" w:rsidRDefault="003877E0" w:rsidP="00E1513B">
            <w:pPr>
              <w:jc w:val="center"/>
              <w:rPr>
                <w:rFonts w:eastAsia="Calibri"/>
              </w:rPr>
            </w:pPr>
            <w:r w:rsidRPr="00475EEE">
              <w:rPr>
                <w:rFonts w:eastAsia="Calibri"/>
              </w:rPr>
              <w:t>4</w:t>
            </w:r>
            <w:r w:rsidR="00D5541A">
              <w:rPr>
                <w:rFonts w:eastAsia="Calibri"/>
              </w:rPr>
              <w:t>188</w:t>
            </w:r>
          </w:p>
        </w:tc>
        <w:tc>
          <w:tcPr>
            <w:tcW w:w="1056" w:type="dxa"/>
            <w:tcBorders>
              <w:top w:val="nil"/>
              <w:left w:val="nil"/>
              <w:bottom w:val="nil"/>
              <w:right w:val="nil"/>
            </w:tcBorders>
            <w:shd w:val="clear" w:color="auto" w:fill="auto"/>
            <w:vAlign w:val="center"/>
          </w:tcPr>
          <w:p w14:paraId="2712BDA3" w14:textId="77777777" w:rsidR="003877E0" w:rsidRPr="00475EEE" w:rsidRDefault="003877E0" w:rsidP="00E1513B">
            <w:pPr>
              <w:jc w:val="center"/>
              <w:rPr>
                <w:rFonts w:eastAsia="Calibri"/>
              </w:rPr>
            </w:pPr>
            <w:r w:rsidRPr="00475EEE">
              <w:rPr>
                <w:rFonts w:eastAsia="Calibri"/>
              </w:rPr>
              <w:t>43.2</w:t>
            </w:r>
          </w:p>
        </w:tc>
        <w:tc>
          <w:tcPr>
            <w:tcW w:w="856" w:type="dxa"/>
            <w:tcBorders>
              <w:top w:val="nil"/>
              <w:left w:val="nil"/>
              <w:bottom w:val="nil"/>
              <w:right w:val="nil"/>
            </w:tcBorders>
            <w:shd w:val="clear" w:color="auto" w:fill="auto"/>
            <w:vAlign w:val="center"/>
          </w:tcPr>
          <w:p w14:paraId="1501CC17" w14:textId="77777777" w:rsidR="003877E0" w:rsidRPr="00475EEE" w:rsidRDefault="003877E0" w:rsidP="00E1513B">
            <w:pPr>
              <w:jc w:val="center"/>
              <w:rPr>
                <w:rFonts w:eastAsia="Calibri"/>
              </w:rPr>
            </w:pPr>
            <w:r w:rsidRPr="00475EEE">
              <w:rPr>
                <w:rFonts w:eastAsia="Calibri"/>
              </w:rPr>
              <w:t>27.7</w:t>
            </w:r>
          </w:p>
        </w:tc>
        <w:tc>
          <w:tcPr>
            <w:tcW w:w="1161" w:type="dxa"/>
            <w:tcBorders>
              <w:top w:val="nil"/>
              <w:left w:val="nil"/>
              <w:bottom w:val="nil"/>
            </w:tcBorders>
            <w:shd w:val="clear" w:color="auto" w:fill="auto"/>
            <w:vAlign w:val="center"/>
          </w:tcPr>
          <w:p w14:paraId="00FF58D7" w14:textId="77777777" w:rsidR="003877E0" w:rsidRPr="00475EEE" w:rsidRDefault="003877E0" w:rsidP="00E1513B">
            <w:pPr>
              <w:jc w:val="center"/>
              <w:rPr>
                <w:rFonts w:eastAsia="Calibri"/>
              </w:rPr>
            </w:pPr>
          </w:p>
        </w:tc>
      </w:tr>
      <w:tr w:rsidR="003877E0" w:rsidRPr="00475EEE" w14:paraId="23E4CF9F" w14:textId="77777777" w:rsidTr="00E1513B">
        <w:trPr>
          <w:trHeight w:val="270"/>
        </w:trPr>
        <w:tc>
          <w:tcPr>
            <w:tcW w:w="1590" w:type="dxa"/>
            <w:tcBorders>
              <w:top w:val="nil"/>
              <w:bottom w:val="nil"/>
              <w:right w:val="nil"/>
            </w:tcBorders>
            <w:shd w:val="clear" w:color="auto" w:fill="auto"/>
            <w:vAlign w:val="center"/>
          </w:tcPr>
          <w:p w14:paraId="17357A8D" w14:textId="7003745C" w:rsidR="003877E0" w:rsidRPr="00475EEE" w:rsidRDefault="003877E0" w:rsidP="00E1513B">
            <w:pPr>
              <w:jc w:val="center"/>
              <w:rPr>
                <w:rFonts w:eastAsia="Calibri"/>
              </w:rPr>
            </w:pPr>
            <w:r w:rsidRPr="00475EEE">
              <w:rPr>
                <w:rFonts w:eastAsia="Calibri"/>
              </w:rPr>
              <w:t>Former</w:t>
            </w:r>
          </w:p>
        </w:tc>
        <w:tc>
          <w:tcPr>
            <w:tcW w:w="1176" w:type="dxa"/>
            <w:tcBorders>
              <w:top w:val="nil"/>
              <w:left w:val="nil"/>
              <w:bottom w:val="nil"/>
              <w:right w:val="nil"/>
            </w:tcBorders>
            <w:shd w:val="clear" w:color="auto" w:fill="auto"/>
            <w:vAlign w:val="center"/>
          </w:tcPr>
          <w:p w14:paraId="79AB2678" w14:textId="40B0F0E1" w:rsidR="003877E0" w:rsidRPr="00475EEE" w:rsidRDefault="003877E0" w:rsidP="00E1513B">
            <w:pPr>
              <w:jc w:val="center"/>
              <w:rPr>
                <w:rFonts w:eastAsia="Calibri"/>
              </w:rPr>
            </w:pPr>
            <w:r w:rsidRPr="00475EEE">
              <w:rPr>
                <w:rFonts w:eastAsia="Calibri"/>
              </w:rPr>
              <w:t>26</w:t>
            </w:r>
            <w:r w:rsidR="00D5541A">
              <w:rPr>
                <w:rFonts w:eastAsia="Calibri"/>
              </w:rPr>
              <w:t>08</w:t>
            </w:r>
          </w:p>
        </w:tc>
        <w:tc>
          <w:tcPr>
            <w:tcW w:w="1056" w:type="dxa"/>
            <w:tcBorders>
              <w:top w:val="nil"/>
              <w:left w:val="nil"/>
              <w:bottom w:val="nil"/>
              <w:right w:val="nil"/>
            </w:tcBorders>
            <w:shd w:val="clear" w:color="auto" w:fill="auto"/>
            <w:vAlign w:val="center"/>
          </w:tcPr>
          <w:p w14:paraId="35EFD317" w14:textId="5F6E2AEC" w:rsidR="003877E0" w:rsidRPr="00475EEE" w:rsidRDefault="003877E0" w:rsidP="00E1513B">
            <w:pPr>
              <w:jc w:val="center"/>
              <w:rPr>
                <w:rFonts w:eastAsia="Calibri"/>
              </w:rPr>
            </w:pPr>
            <w:r w:rsidRPr="00475EEE">
              <w:rPr>
                <w:rFonts w:eastAsia="Calibri"/>
              </w:rPr>
              <w:t>2</w:t>
            </w:r>
            <w:r w:rsidR="00D5541A">
              <w:rPr>
                <w:rFonts w:eastAsia="Calibri"/>
              </w:rPr>
              <w:t>7</w:t>
            </w:r>
            <w:r w:rsidRPr="00475EEE">
              <w:rPr>
                <w:rFonts w:eastAsia="Calibri"/>
              </w:rPr>
              <w:t>.</w:t>
            </w:r>
            <w:r w:rsidR="00D5541A">
              <w:rPr>
                <w:rFonts w:eastAsia="Calibri"/>
              </w:rPr>
              <w:t>0</w:t>
            </w:r>
          </w:p>
        </w:tc>
        <w:tc>
          <w:tcPr>
            <w:tcW w:w="856" w:type="dxa"/>
            <w:tcBorders>
              <w:top w:val="nil"/>
              <w:left w:val="nil"/>
              <w:bottom w:val="nil"/>
              <w:right w:val="nil"/>
            </w:tcBorders>
            <w:shd w:val="clear" w:color="auto" w:fill="auto"/>
            <w:vAlign w:val="center"/>
          </w:tcPr>
          <w:p w14:paraId="4C81D8D2" w14:textId="77777777" w:rsidR="003877E0" w:rsidRPr="00475EEE" w:rsidRDefault="003877E0" w:rsidP="00E1513B">
            <w:pPr>
              <w:jc w:val="center"/>
              <w:rPr>
                <w:rFonts w:eastAsia="Calibri"/>
              </w:rPr>
            </w:pPr>
            <w:r w:rsidRPr="00475EEE">
              <w:rPr>
                <w:rFonts w:eastAsia="Calibri"/>
              </w:rPr>
              <w:t>38.2</w:t>
            </w:r>
          </w:p>
        </w:tc>
        <w:tc>
          <w:tcPr>
            <w:tcW w:w="1161" w:type="dxa"/>
            <w:tcBorders>
              <w:top w:val="nil"/>
              <w:left w:val="nil"/>
              <w:bottom w:val="nil"/>
            </w:tcBorders>
            <w:shd w:val="clear" w:color="auto" w:fill="auto"/>
            <w:vAlign w:val="center"/>
          </w:tcPr>
          <w:p w14:paraId="2C67C45C" w14:textId="77777777" w:rsidR="003877E0" w:rsidRPr="00475EEE" w:rsidRDefault="003877E0" w:rsidP="00E1513B">
            <w:pPr>
              <w:jc w:val="center"/>
              <w:rPr>
                <w:rFonts w:eastAsia="Calibri"/>
              </w:rPr>
            </w:pPr>
          </w:p>
        </w:tc>
      </w:tr>
      <w:tr w:rsidR="003877E0" w:rsidRPr="00475EEE" w14:paraId="2829C1D1" w14:textId="77777777" w:rsidTr="00E1513B">
        <w:trPr>
          <w:trHeight w:val="280"/>
        </w:trPr>
        <w:tc>
          <w:tcPr>
            <w:tcW w:w="1590" w:type="dxa"/>
            <w:tcBorders>
              <w:top w:val="nil"/>
              <w:bottom w:val="nil"/>
              <w:right w:val="nil"/>
            </w:tcBorders>
            <w:shd w:val="clear" w:color="auto" w:fill="auto"/>
            <w:vAlign w:val="center"/>
          </w:tcPr>
          <w:p w14:paraId="1BFDC435" w14:textId="4F93DB91" w:rsidR="003877E0" w:rsidRPr="00475EEE" w:rsidRDefault="003877E0" w:rsidP="00E1513B">
            <w:pPr>
              <w:jc w:val="center"/>
              <w:rPr>
                <w:rFonts w:eastAsia="Calibri"/>
              </w:rPr>
            </w:pPr>
            <w:r w:rsidRPr="00475EEE">
              <w:rPr>
                <w:rFonts w:eastAsia="Calibri"/>
              </w:rPr>
              <w:t>Smoker</w:t>
            </w:r>
          </w:p>
        </w:tc>
        <w:tc>
          <w:tcPr>
            <w:tcW w:w="1176" w:type="dxa"/>
            <w:tcBorders>
              <w:top w:val="nil"/>
              <w:left w:val="nil"/>
              <w:bottom w:val="nil"/>
              <w:right w:val="nil"/>
            </w:tcBorders>
            <w:shd w:val="clear" w:color="auto" w:fill="auto"/>
            <w:vAlign w:val="center"/>
          </w:tcPr>
          <w:p w14:paraId="715CD6A1" w14:textId="20717A53" w:rsidR="003877E0" w:rsidRPr="00475EEE" w:rsidRDefault="003877E0" w:rsidP="00E1513B">
            <w:pPr>
              <w:jc w:val="center"/>
              <w:rPr>
                <w:rFonts w:eastAsia="Calibri"/>
              </w:rPr>
            </w:pPr>
            <w:r w:rsidRPr="00475EEE">
              <w:rPr>
                <w:rFonts w:eastAsia="Calibri"/>
              </w:rPr>
              <w:t>2</w:t>
            </w:r>
            <w:r w:rsidR="00D5541A">
              <w:rPr>
                <w:rFonts w:eastAsia="Calibri"/>
              </w:rPr>
              <w:t>889</w:t>
            </w:r>
          </w:p>
        </w:tc>
        <w:tc>
          <w:tcPr>
            <w:tcW w:w="1056" w:type="dxa"/>
            <w:tcBorders>
              <w:top w:val="nil"/>
              <w:left w:val="nil"/>
              <w:bottom w:val="nil"/>
              <w:right w:val="nil"/>
            </w:tcBorders>
            <w:shd w:val="clear" w:color="auto" w:fill="auto"/>
            <w:vAlign w:val="center"/>
          </w:tcPr>
          <w:p w14:paraId="11A2D33B" w14:textId="77777777" w:rsidR="003877E0" w:rsidRPr="00475EEE" w:rsidRDefault="003877E0" w:rsidP="00E1513B">
            <w:pPr>
              <w:jc w:val="center"/>
              <w:rPr>
                <w:rFonts w:eastAsia="Calibri"/>
              </w:rPr>
            </w:pPr>
            <w:r w:rsidRPr="00475EEE">
              <w:rPr>
                <w:rFonts w:eastAsia="Calibri"/>
              </w:rPr>
              <w:t>29.8</w:t>
            </w:r>
          </w:p>
        </w:tc>
        <w:tc>
          <w:tcPr>
            <w:tcW w:w="856" w:type="dxa"/>
            <w:tcBorders>
              <w:top w:val="nil"/>
              <w:left w:val="nil"/>
              <w:bottom w:val="nil"/>
              <w:right w:val="nil"/>
            </w:tcBorders>
            <w:shd w:val="clear" w:color="auto" w:fill="auto"/>
            <w:vAlign w:val="center"/>
          </w:tcPr>
          <w:p w14:paraId="2E8E31E9" w14:textId="3C6E8CC8" w:rsidR="003877E0" w:rsidRPr="00475EEE" w:rsidRDefault="003877E0" w:rsidP="00E1513B">
            <w:pPr>
              <w:jc w:val="center"/>
              <w:rPr>
                <w:rFonts w:eastAsia="Calibri"/>
              </w:rPr>
            </w:pPr>
            <w:r w:rsidRPr="00475EEE">
              <w:rPr>
                <w:rFonts w:eastAsia="Calibri"/>
              </w:rPr>
              <w:t>32.</w:t>
            </w:r>
            <w:r w:rsidR="009439B6">
              <w:rPr>
                <w:rFonts w:eastAsia="Calibri"/>
              </w:rPr>
              <w:t>7</w:t>
            </w:r>
          </w:p>
        </w:tc>
        <w:tc>
          <w:tcPr>
            <w:tcW w:w="1161" w:type="dxa"/>
            <w:tcBorders>
              <w:top w:val="nil"/>
              <w:left w:val="nil"/>
              <w:bottom w:val="nil"/>
            </w:tcBorders>
            <w:shd w:val="clear" w:color="auto" w:fill="auto"/>
            <w:vAlign w:val="center"/>
          </w:tcPr>
          <w:p w14:paraId="201D8952" w14:textId="77777777" w:rsidR="003877E0" w:rsidRPr="00475EEE" w:rsidRDefault="003877E0" w:rsidP="00E1513B">
            <w:pPr>
              <w:jc w:val="center"/>
              <w:rPr>
                <w:rFonts w:eastAsia="Calibri"/>
              </w:rPr>
            </w:pPr>
          </w:p>
        </w:tc>
      </w:tr>
      <w:tr w:rsidR="003877E0" w:rsidRPr="00475EEE" w14:paraId="4ABCB199" w14:textId="77777777" w:rsidTr="00E1513B">
        <w:trPr>
          <w:trHeight w:val="255"/>
        </w:trPr>
        <w:tc>
          <w:tcPr>
            <w:tcW w:w="1590" w:type="dxa"/>
            <w:tcBorders>
              <w:top w:val="nil"/>
              <w:bottom w:val="nil"/>
              <w:right w:val="nil"/>
            </w:tcBorders>
            <w:shd w:val="clear" w:color="auto" w:fill="auto"/>
            <w:vAlign w:val="center"/>
          </w:tcPr>
          <w:p w14:paraId="3A387556" w14:textId="4304D9A9" w:rsidR="003877E0" w:rsidRPr="00E1513B" w:rsidRDefault="003877E0" w:rsidP="00E1513B">
            <w:pPr>
              <w:jc w:val="center"/>
              <w:rPr>
                <w:rFonts w:eastAsia="Calibri"/>
                <w:b/>
              </w:rPr>
            </w:pPr>
            <w:r w:rsidRPr="00E1513B">
              <w:rPr>
                <w:rFonts w:eastAsia="Calibri"/>
                <w:b/>
              </w:rPr>
              <w:t>Education</w:t>
            </w:r>
            <w:r w:rsidR="004C4B8B" w:rsidRPr="00E1513B">
              <w:rPr>
                <w:rFonts w:eastAsia="Calibri"/>
                <w:b/>
              </w:rPr>
              <w:t>al level</w:t>
            </w:r>
          </w:p>
        </w:tc>
        <w:tc>
          <w:tcPr>
            <w:tcW w:w="3088" w:type="dxa"/>
            <w:gridSpan w:val="3"/>
            <w:tcBorders>
              <w:top w:val="nil"/>
              <w:left w:val="nil"/>
              <w:bottom w:val="nil"/>
              <w:right w:val="nil"/>
            </w:tcBorders>
            <w:shd w:val="clear" w:color="auto" w:fill="auto"/>
            <w:vAlign w:val="center"/>
          </w:tcPr>
          <w:p w14:paraId="22FA3E9C" w14:textId="77777777" w:rsidR="003877E0" w:rsidRPr="00475EEE" w:rsidRDefault="003877E0" w:rsidP="00E1513B">
            <w:pPr>
              <w:jc w:val="center"/>
              <w:rPr>
                <w:rFonts w:eastAsia="Calibri"/>
              </w:rPr>
            </w:pPr>
          </w:p>
        </w:tc>
        <w:tc>
          <w:tcPr>
            <w:tcW w:w="1161" w:type="dxa"/>
            <w:tcBorders>
              <w:top w:val="nil"/>
              <w:left w:val="nil"/>
              <w:bottom w:val="nil"/>
            </w:tcBorders>
            <w:shd w:val="clear" w:color="auto" w:fill="auto"/>
            <w:vAlign w:val="center"/>
          </w:tcPr>
          <w:p w14:paraId="75409C64" w14:textId="781BAB32" w:rsidR="003877E0" w:rsidRPr="00475EEE" w:rsidRDefault="008E46A6" w:rsidP="00E1513B">
            <w:pPr>
              <w:jc w:val="center"/>
              <w:rPr>
                <w:rFonts w:eastAsia="Calibri"/>
              </w:rPr>
            </w:pPr>
            <w:r w:rsidRPr="008E46A6">
              <w:rPr>
                <w:rFonts w:eastAsia="Calibri"/>
              </w:rPr>
              <w:t>&lt; .001</w:t>
            </w:r>
          </w:p>
        </w:tc>
      </w:tr>
      <w:tr w:rsidR="003877E0" w:rsidRPr="00475EEE" w14:paraId="5CA4D037" w14:textId="77777777" w:rsidTr="00E1513B">
        <w:trPr>
          <w:trHeight w:val="274"/>
        </w:trPr>
        <w:tc>
          <w:tcPr>
            <w:tcW w:w="1590" w:type="dxa"/>
            <w:tcBorders>
              <w:top w:val="nil"/>
              <w:bottom w:val="nil"/>
              <w:right w:val="nil"/>
            </w:tcBorders>
            <w:shd w:val="clear" w:color="auto" w:fill="auto"/>
            <w:vAlign w:val="center"/>
          </w:tcPr>
          <w:p w14:paraId="43F60B6E" w14:textId="21854F98" w:rsidR="003877E0" w:rsidRPr="00475EEE" w:rsidRDefault="003877E0" w:rsidP="00E1513B">
            <w:pPr>
              <w:jc w:val="center"/>
              <w:rPr>
                <w:rFonts w:eastAsia="Calibri"/>
              </w:rPr>
            </w:pPr>
            <w:r w:rsidRPr="00475EEE">
              <w:rPr>
                <w:rFonts w:eastAsia="Calibri"/>
                <w:lang w:val="en-US"/>
              </w:rPr>
              <w:t>≤</w:t>
            </w:r>
            <w:r w:rsidRPr="00475EEE">
              <w:rPr>
                <w:rFonts w:eastAsia="Calibri"/>
              </w:rPr>
              <w:t>Primary</w:t>
            </w:r>
          </w:p>
        </w:tc>
        <w:tc>
          <w:tcPr>
            <w:tcW w:w="1176" w:type="dxa"/>
            <w:tcBorders>
              <w:top w:val="nil"/>
              <w:left w:val="nil"/>
              <w:bottom w:val="nil"/>
              <w:right w:val="nil"/>
            </w:tcBorders>
            <w:shd w:val="clear" w:color="auto" w:fill="auto"/>
            <w:vAlign w:val="center"/>
          </w:tcPr>
          <w:p w14:paraId="5121546D" w14:textId="5883957F" w:rsidR="003877E0" w:rsidRPr="00475EEE" w:rsidRDefault="003877E0" w:rsidP="00E1513B">
            <w:pPr>
              <w:jc w:val="center"/>
              <w:rPr>
                <w:rFonts w:eastAsia="Calibri"/>
              </w:rPr>
            </w:pPr>
            <w:r w:rsidRPr="00475EEE">
              <w:rPr>
                <w:rFonts w:eastAsia="Calibri"/>
              </w:rPr>
              <w:t>9</w:t>
            </w:r>
            <w:r w:rsidR="00D5541A">
              <w:rPr>
                <w:rFonts w:eastAsia="Calibri"/>
              </w:rPr>
              <w:t>50</w:t>
            </w:r>
          </w:p>
        </w:tc>
        <w:tc>
          <w:tcPr>
            <w:tcW w:w="1056" w:type="dxa"/>
            <w:tcBorders>
              <w:top w:val="nil"/>
              <w:left w:val="nil"/>
              <w:bottom w:val="nil"/>
              <w:right w:val="nil"/>
            </w:tcBorders>
            <w:shd w:val="clear" w:color="auto" w:fill="auto"/>
            <w:vAlign w:val="center"/>
          </w:tcPr>
          <w:p w14:paraId="06B0AECC" w14:textId="77777777" w:rsidR="003877E0" w:rsidRPr="00475EEE" w:rsidRDefault="003877E0" w:rsidP="00E1513B">
            <w:pPr>
              <w:jc w:val="center"/>
              <w:rPr>
                <w:rFonts w:eastAsia="Calibri"/>
              </w:rPr>
            </w:pPr>
            <w:r w:rsidRPr="00475EEE">
              <w:rPr>
                <w:rFonts w:eastAsia="Calibri"/>
              </w:rPr>
              <w:t>9.8</w:t>
            </w:r>
          </w:p>
        </w:tc>
        <w:tc>
          <w:tcPr>
            <w:tcW w:w="856" w:type="dxa"/>
            <w:tcBorders>
              <w:top w:val="nil"/>
              <w:left w:val="nil"/>
              <w:bottom w:val="nil"/>
              <w:right w:val="nil"/>
            </w:tcBorders>
            <w:shd w:val="clear" w:color="auto" w:fill="auto"/>
            <w:vAlign w:val="center"/>
          </w:tcPr>
          <w:p w14:paraId="432E6961" w14:textId="77777777" w:rsidR="003877E0" w:rsidRPr="00475EEE" w:rsidRDefault="003877E0" w:rsidP="00E1513B">
            <w:pPr>
              <w:jc w:val="center"/>
              <w:rPr>
                <w:rFonts w:eastAsia="Calibri"/>
              </w:rPr>
            </w:pPr>
            <w:r w:rsidRPr="00475EEE">
              <w:rPr>
                <w:rFonts w:eastAsia="Calibri"/>
              </w:rPr>
              <w:t>45.6</w:t>
            </w:r>
          </w:p>
        </w:tc>
        <w:tc>
          <w:tcPr>
            <w:tcW w:w="1161" w:type="dxa"/>
            <w:tcBorders>
              <w:top w:val="nil"/>
              <w:left w:val="nil"/>
              <w:bottom w:val="nil"/>
            </w:tcBorders>
            <w:shd w:val="clear" w:color="auto" w:fill="auto"/>
            <w:vAlign w:val="center"/>
          </w:tcPr>
          <w:p w14:paraId="668D7A97" w14:textId="77777777" w:rsidR="003877E0" w:rsidRPr="00475EEE" w:rsidRDefault="003877E0" w:rsidP="00E1513B">
            <w:pPr>
              <w:jc w:val="center"/>
              <w:rPr>
                <w:rFonts w:eastAsia="Calibri"/>
              </w:rPr>
            </w:pPr>
          </w:p>
        </w:tc>
      </w:tr>
      <w:tr w:rsidR="003877E0" w:rsidRPr="00475EEE" w14:paraId="6784ECE3" w14:textId="77777777" w:rsidTr="00E1513B">
        <w:trPr>
          <w:trHeight w:val="291"/>
        </w:trPr>
        <w:tc>
          <w:tcPr>
            <w:tcW w:w="1590" w:type="dxa"/>
            <w:tcBorders>
              <w:top w:val="nil"/>
              <w:bottom w:val="nil"/>
              <w:right w:val="nil"/>
            </w:tcBorders>
            <w:shd w:val="clear" w:color="auto" w:fill="auto"/>
            <w:vAlign w:val="center"/>
          </w:tcPr>
          <w:p w14:paraId="39D4B442" w14:textId="124B32CB" w:rsidR="003877E0" w:rsidRPr="00475EEE" w:rsidRDefault="003877E0" w:rsidP="00E1513B">
            <w:pPr>
              <w:jc w:val="center"/>
              <w:rPr>
                <w:rFonts w:eastAsia="Calibri"/>
              </w:rPr>
            </w:pPr>
            <w:r w:rsidRPr="00475EEE">
              <w:rPr>
                <w:rFonts w:eastAsia="Calibri"/>
              </w:rPr>
              <w:t>Secondary</w:t>
            </w:r>
          </w:p>
        </w:tc>
        <w:tc>
          <w:tcPr>
            <w:tcW w:w="1176" w:type="dxa"/>
            <w:tcBorders>
              <w:top w:val="nil"/>
              <w:left w:val="nil"/>
              <w:bottom w:val="nil"/>
              <w:right w:val="nil"/>
            </w:tcBorders>
            <w:shd w:val="clear" w:color="auto" w:fill="auto"/>
            <w:vAlign w:val="center"/>
          </w:tcPr>
          <w:p w14:paraId="30141F7E" w14:textId="4B0B1E8D" w:rsidR="003877E0" w:rsidRPr="00475EEE" w:rsidRDefault="00D5541A" w:rsidP="00E1513B">
            <w:pPr>
              <w:jc w:val="center"/>
              <w:rPr>
                <w:rFonts w:eastAsia="Calibri"/>
              </w:rPr>
            </w:pPr>
            <w:r>
              <w:rPr>
                <w:rFonts w:eastAsia="Calibri"/>
              </w:rPr>
              <w:t>5885</w:t>
            </w:r>
          </w:p>
        </w:tc>
        <w:tc>
          <w:tcPr>
            <w:tcW w:w="1056" w:type="dxa"/>
            <w:tcBorders>
              <w:top w:val="nil"/>
              <w:left w:val="nil"/>
              <w:bottom w:val="nil"/>
              <w:right w:val="nil"/>
            </w:tcBorders>
            <w:shd w:val="clear" w:color="auto" w:fill="auto"/>
            <w:vAlign w:val="center"/>
          </w:tcPr>
          <w:p w14:paraId="0F09049C" w14:textId="77777777" w:rsidR="003877E0" w:rsidRPr="00475EEE" w:rsidRDefault="003877E0" w:rsidP="00E1513B">
            <w:pPr>
              <w:jc w:val="center"/>
              <w:rPr>
                <w:rFonts w:eastAsia="Calibri"/>
              </w:rPr>
            </w:pPr>
            <w:r w:rsidRPr="00475EEE">
              <w:rPr>
                <w:rFonts w:eastAsia="Calibri"/>
              </w:rPr>
              <w:t>60.7</w:t>
            </w:r>
          </w:p>
        </w:tc>
        <w:tc>
          <w:tcPr>
            <w:tcW w:w="856" w:type="dxa"/>
            <w:tcBorders>
              <w:top w:val="nil"/>
              <w:left w:val="nil"/>
              <w:bottom w:val="nil"/>
              <w:right w:val="nil"/>
            </w:tcBorders>
            <w:shd w:val="clear" w:color="auto" w:fill="auto"/>
            <w:vAlign w:val="center"/>
          </w:tcPr>
          <w:p w14:paraId="6802945C" w14:textId="77777777" w:rsidR="003877E0" w:rsidRPr="00475EEE" w:rsidRDefault="003877E0" w:rsidP="00E1513B">
            <w:pPr>
              <w:jc w:val="center"/>
              <w:rPr>
                <w:rFonts w:eastAsia="Calibri"/>
              </w:rPr>
            </w:pPr>
            <w:r w:rsidRPr="00475EEE">
              <w:rPr>
                <w:rFonts w:eastAsia="Calibri"/>
              </w:rPr>
              <w:t>33.6</w:t>
            </w:r>
          </w:p>
        </w:tc>
        <w:tc>
          <w:tcPr>
            <w:tcW w:w="1161" w:type="dxa"/>
            <w:tcBorders>
              <w:top w:val="nil"/>
              <w:left w:val="nil"/>
              <w:bottom w:val="nil"/>
            </w:tcBorders>
            <w:shd w:val="clear" w:color="auto" w:fill="auto"/>
            <w:vAlign w:val="center"/>
          </w:tcPr>
          <w:p w14:paraId="46027665" w14:textId="77777777" w:rsidR="003877E0" w:rsidRPr="00475EEE" w:rsidRDefault="003877E0" w:rsidP="00E1513B">
            <w:pPr>
              <w:jc w:val="center"/>
              <w:rPr>
                <w:rFonts w:eastAsia="Calibri"/>
              </w:rPr>
            </w:pPr>
          </w:p>
        </w:tc>
      </w:tr>
      <w:tr w:rsidR="003877E0" w:rsidRPr="00475EEE" w14:paraId="61BDCFAA" w14:textId="77777777" w:rsidTr="00E1513B">
        <w:trPr>
          <w:trHeight w:val="254"/>
        </w:trPr>
        <w:tc>
          <w:tcPr>
            <w:tcW w:w="1590" w:type="dxa"/>
            <w:tcBorders>
              <w:top w:val="nil"/>
              <w:bottom w:val="nil"/>
              <w:right w:val="nil"/>
            </w:tcBorders>
            <w:shd w:val="clear" w:color="auto" w:fill="auto"/>
            <w:vAlign w:val="center"/>
          </w:tcPr>
          <w:p w14:paraId="7180A564" w14:textId="69E84E8A" w:rsidR="003877E0" w:rsidRPr="00475EEE" w:rsidRDefault="003877E0" w:rsidP="00E1513B">
            <w:pPr>
              <w:jc w:val="center"/>
              <w:rPr>
                <w:rFonts w:eastAsia="Calibri"/>
              </w:rPr>
            </w:pPr>
            <w:r w:rsidRPr="00475EEE">
              <w:rPr>
                <w:rFonts w:eastAsia="Calibri"/>
              </w:rPr>
              <w:t>≥Tertiary</w:t>
            </w:r>
          </w:p>
        </w:tc>
        <w:tc>
          <w:tcPr>
            <w:tcW w:w="1176" w:type="dxa"/>
            <w:tcBorders>
              <w:top w:val="nil"/>
              <w:left w:val="nil"/>
              <w:bottom w:val="nil"/>
              <w:right w:val="nil"/>
            </w:tcBorders>
            <w:shd w:val="clear" w:color="auto" w:fill="auto"/>
            <w:vAlign w:val="center"/>
          </w:tcPr>
          <w:p w14:paraId="6F55E0DD" w14:textId="77777777" w:rsidR="003877E0" w:rsidRPr="00475EEE" w:rsidRDefault="003877E0" w:rsidP="00E1513B">
            <w:pPr>
              <w:jc w:val="center"/>
              <w:rPr>
                <w:rFonts w:eastAsia="Calibri"/>
              </w:rPr>
            </w:pPr>
            <w:r w:rsidRPr="00475EEE">
              <w:rPr>
                <w:rFonts w:eastAsia="Calibri"/>
              </w:rPr>
              <w:t>2914</w:t>
            </w:r>
          </w:p>
        </w:tc>
        <w:tc>
          <w:tcPr>
            <w:tcW w:w="1056" w:type="dxa"/>
            <w:tcBorders>
              <w:top w:val="nil"/>
              <w:left w:val="nil"/>
              <w:bottom w:val="nil"/>
              <w:right w:val="nil"/>
            </w:tcBorders>
            <w:shd w:val="clear" w:color="auto" w:fill="auto"/>
            <w:vAlign w:val="center"/>
          </w:tcPr>
          <w:p w14:paraId="4CA08215" w14:textId="77777777" w:rsidR="003877E0" w:rsidRPr="00475EEE" w:rsidRDefault="003877E0" w:rsidP="00E1513B">
            <w:pPr>
              <w:jc w:val="center"/>
              <w:rPr>
                <w:rFonts w:eastAsia="Calibri"/>
              </w:rPr>
            </w:pPr>
            <w:r w:rsidRPr="00475EEE">
              <w:rPr>
                <w:rFonts w:eastAsia="Calibri"/>
              </w:rPr>
              <w:t>29.5</w:t>
            </w:r>
          </w:p>
        </w:tc>
        <w:tc>
          <w:tcPr>
            <w:tcW w:w="856" w:type="dxa"/>
            <w:tcBorders>
              <w:top w:val="nil"/>
              <w:left w:val="nil"/>
              <w:bottom w:val="nil"/>
              <w:right w:val="nil"/>
            </w:tcBorders>
            <w:shd w:val="clear" w:color="auto" w:fill="auto"/>
            <w:vAlign w:val="center"/>
          </w:tcPr>
          <w:p w14:paraId="44AB4CF3" w14:textId="77777777" w:rsidR="003877E0" w:rsidRPr="00475EEE" w:rsidRDefault="003877E0" w:rsidP="00E1513B">
            <w:pPr>
              <w:jc w:val="center"/>
              <w:rPr>
                <w:rFonts w:eastAsia="Calibri"/>
              </w:rPr>
            </w:pPr>
            <w:r w:rsidRPr="00475EEE">
              <w:rPr>
                <w:rFonts w:eastAsia="Calibri"/>
              </w:rPr>
              <w:t>24.8</w:t>
            </w:r>
          </w:p>
        </w:tc>
        <w:tc>
          <w:tcPr>
            <w:tcW w:w="1161" w:type="dxa"/>
            <w:tcBorders>
              <w:top w:val="nil"/>
              <w:left w:val="nil"/>
              <w:bottom w:val="nil"/>
            </w:tcBorders>
            <w:shd w:val="clear" w:color="auto" w:fill="auto"/>
            <w:vAlign w:val="center"/>
          </w:tcPr>
          <w:p w14:paraId="7AB3E0A3" w14:textId="77777777" w:rsidR="003877E0" w:rsidRPr="00475EEE" w:rsidRDefault="003877E0" w:rsidP="00E1513B">
            <w:pPr>
              <w:jc w:val="center"/>
              <w:rPr>
                <w:rFonts w:eastAsia="Calibri"/>
              </w:rPr>
            </w:pPr>
          </w:p>
        </w:tc>
      </w:tr>
      <w:tr w:rsidR="003877E0" w:rsidRPr="00475EEE" w14:paraId="7EF49D66" w14:textId="77777777" w:rsidTr="00E1513B">
        <w:trPr>
          <w:trHeight w:val="255"/>
        </w:trPr>
        <w:tc>
          <w:tcPr>
            <w:tcW w:w="1590" w:type="dxa"/>
            <w:tcBorders>
              <w:top w:val="nil"/>
              <w:bottom w:val="nil"/>
              <w:right w:val="nil"/>
            </w:tcBorders>
            <w:shd w:val="clear" w:color="auto" w:fill="auto"/>
            <w:vAlign w:val="center"/>
          </w:tcPr>
          <w:p w14:paraId="49D48FBD" w14:textId="77777777" w:rsidR="003877E0" w:rsidRPr="00E1513B" w:rsidRDefault="003877E0" w:rsidP="00E1513B">
            <w:pPr>
              <w:jc w:val="center"/>
              <w:rPr>
                <w:rFonts w:eastAsia="Calibri"/>
                <w:b/>
              </w:rPr>
            </w:pPr>
            <w:r w:rsidRPr="00E1513B">
              <w:rPr>
                <w:rFonts w:eastAsia="Calibri"/>
                <w:b/>
              </w:rPr>
              <w:t>Occupational Class</w:t>
            </w:r>
          </w:p>
        </w:tc>
        <w:tc>
          <w:tcPr>
            <w:tcW w:w="3088" w:type="dxa"/>
            <w:gridSpan w:val="3"/>
            <w:tcBorders>
              <w:top w:val="nil"/>
              <w:left w:val="nil"/>
              <w:bottom w:val="nil"/>
              <w:right w:val="nil"/>
            </w:tcBorders>
            <w:shd w:val="clear" w:color="auto" w:fill="auto"/>
            <w:vAlign w:val="center"/>
          </w:tcPr>
          <w:p w14:paraId="7A9B1D79" w14:textId="77777777" w:rsidR="003877E0" w:rsidRPr="00475EEE" w:rsidRDefault="003877E0" w:rsidP="00E1513B">
            <w:pPr>
              <w:jc w:val="center"/>
              <w:rPr>
                <w:rFonts w:eastAsia="Calibri"/>
              </w:rPr>
            </w:pPr>
          </w:p>
        </w:tc>
        <w:tc>
          <w:tcPr>
            <w:tcW w:w="1161" w:type="dxa"/>
            <w:tcBorders>
              <w:top w:val="nil"/>
              <w:left w:val="nil"/>
              <w:bottom w:val="nil"/>
            </w:tcBorders>
            <w:shd w:val="clear" w:color="auto" w:fill="auto"/>
            <w:vAlign w:val="center"/>
          </w:tcPr>
          <w:p w14:paraId="2BC6A6AA" w14:textId="049FD2E7" w:rsidR="003877E0" w:rsidRPr="00475EEE" w:rsidRDefault="008E46A6" w:rsidP="00E1513B">
            <w:pPr>
              <w:jc w:val="center"/>
              <w:rPr>
                <w:rFonts w:eastAsia="Calibri"/>
              </w:rPr>
            </w:pPr>
            <w:r w:rsidRPr="008E46A6">
              <w:rPr>
                <w:rFonts w:eastAsia="Calibri"/>
              </w:rPr>
              <w:t>&lt; .001</w:t>
            </w:r>
          </w:p>
        </w:tc>
      </w:tr>
      <w:tr w:rsidR="003877E0" w:rsidRPr="00475EEE" w14:paraId="5637C646" w14:textId="77777777" w:rsidTr="00E1513B">
        <w:trPr>
          <w:trHeight w:val="270"/>
        </w:trPr>
        <w:tc>
          <w:tcPr>
            <w:tcW w:w="1590" w:type="dxa"/>
            <w:tcBorders>
              <w:top w:val="nil"/>
              <w:bottom w:val="nil"/>
              <w:right w:val="nil"/>
            </w:tcBorders>
            <w:shd w:val="clear" w:color="auto" w:fill="auto"/>
            <w:vAlign w:val="center"/>
          </w:tcPr>
          <w:p w14:paraId="09474380" w14:textId="1019F833" w:rsidR="003877E0" w:rsidRPr="00475EEE" w:rsidRDefault="003877E0" w:rsidP="00E1513B">
            <w:pPr>
              <w:jc w:val="center"/>
              <w:rPr>
                <w:rFonts w:eastAsia="Calibri"/>
              </w:rPr>
            </w:pPr>
            <w:r w:rsidRPr="00475EEE">
              <w:rPr>
                <w:rFonts w:eastAsia="Calibri"/>
              </w:rPr>
              <w:t>I</w:t>
            </w:r>
          </w:p>
        </w:tc>
        <w:tc>
          <w:tcPr>
            <w:tcW w:w="1176" w:type="dxa"/>
            <w:tcBorders>
              <w:top w:val="nil"/>
              <w:left w:val="nil"/>
              <w:bottom w:val="nil"/>
              <w:right w:val="nil"/>
            </w:tcBorders>
            <w:shd w:val="clear" w:color="auto" w:fill="auto"/>
            <w:vAlign w:val="center"/>
          </w:tcPr>
          <w:p w14:paraId="0DF53947" w14:textId="026AACEE" w:rsidR="003877E0" w:rsidRPr="00475EEE" w:rsidRDefault="00D5541A" w:rsidP="00E1513B">
            <w:pPr>
              <w:jc w:val="center"/>
              <w:rPr>
                <w:rFonts w:eastAsia="Calibri"/>
              </w:rPr>
            </w:pPr>
            <w:r>
              <w:rPr>
                <w:rFonts w:eastAsia="Calibri"/>
              </w:rPr>
              <w:t>1299</w:t>
            </w:r>
          </w:p>
        </w:tc>
        <w:tc>
          <w:tcPr>
            <w:tcW w:w="1056" w:type="dxa"/>
            <w:tcBorders>
              <w:top w:val="nil"/>
              <w:left w:val="nil"/>
              <w:bottom w:val="nil"/>
              <w:right w:val="nil"/>
            </w:tcBorders>
            <w:shd w:val="clear" w:color="auto" w:fill="auto"/>
            <w:vAlign w:val="center"/>
          </w:tcPr>
          <w:p w14:paraId="13A31FFA" w14:textId="77777777" w:rsidR="003877E0" w:rsidRPr="00475EEE" w:rsidRDefault="003877E0" w:rsidP="00E1513B">
            <w:pPr>
              <w:jc w:val="center"/>
              <w:rPr>
                <w:rFonts w:eastAsia="Calibri"/>
              </w:rPr>
            </w:pPr>
            <w:r w:rsidRPr="00475EEE">
              <w:rPr>
                <w:rFonts w:eastAsia="Calibri"/>
              </w:rPr>
              <w:t>13.4</w:t>
            </w:r>
          </w:p>
        </w:tc>
        <w:tc>
          <w:tcPr>
            <w:tcW w:w="856" w:type="dxa"/>
            <w:tcBorders>
              <w:top w:val="nil"/>
              <w:left w:val="nil"/>
              <w:bottom w:val="nil"/>
              <w:right w:val="nil"/>
            </w:tcBorders>
            <w:shd w:val="clear" w:color="auto" w:fill="auto"/>
            <w:vAlign w:val="center"/>
          </w:tcPr>
          <w:p w14:paraId="740E82B9" w14:textId="77777777" w:rsidR="003877E0" w:rsidRPr="00475EEE" w:rsidRDefault="003877E0" w:rsidP="00E1513B">
            <w:pPr>
              <w:jc w:val="center"/>
              <w:rPr>
                <w:rFonts w:eastAsia="Calibri"/>
              </w:rPr>
            </w:pPr>
            <w:r w:rsidRPr="00475EEE">
              <w:rPr>
                <w:rFonts w:eastAsia="Calibri"/>
              </w:rPr>
              <w:t>22.4</w:t>
            </w:r>
          </w:p>
        </w:tc>
        <w:tc>
          <w:tcPr>
            <w:tcW w:w="1161" w:type="dxa"/>
            <w:tcBorders>
              <w:top w:val="nil"/>
              <w:left w:val="nil"/>
              <w:bottom w:val="nil"/>
            </w:tcBorders>
            <w:shd w:val="clear" w:color="auto" w:fill="auto"/>
            <w:vAlign w:val="center"/>
          </w:tcPr>
          <w:p w14:paraId="6BB9E94B" w14:textId="77777777" w:rsidR="003877E0" w:rsidRPr="00475EEE" w:rsidRDefault="003877E0" w:rsidP="00E1513B">
            <w:pPr>
              <w:jc w:val="center"/>
              <w:rPr>
                <w:rFonts w:eastAsia="Calibri"/>
              </w:rPr>
            </w:pPr>
          </w:p>
        </w:tc>
      </w:tr>
      <w:tr w:rsidR="003877E0" w:rsidRPr="00475EEE" w14:paraId="4AF09E4E" w14:textId="77777777" w:rsidTr="00E1513B">
        <w:trPr>
          <w:trHeight w:val="255"/>
        </w:trPr>
        <w:tc>
          <w:tcPr>
            <w:tcW w:w="1590" w:type="dxa"/>
            <w:tcBorders>
              <w:top w:val="nil"/>
              <w:bottom w:val="nil"/>
              <w:right w:val="nil"/>
            </w:tcBorders>
            <w:shd w:val="clear" w:color="auto" w:fill="auto"/>
            <w:vAlign w:val="center"/>
          </w:tcPr>
          <w:p w14:paraId="34BE5827" w14:textId="4F537DDD" w:rsidR="003877E0" w:rsidRPr="00475EEE" w:rsidRDefault="003877E0" w:rsidP="00E1513B">
            <w:pPr>
              <w:jc w:val="center"/>
              <w:rPr>
                <w:rFonts w:eastAsia="Calibri"/>
              </w:rPr>
            </w:pPr>
            <w:r w:rsidRPr="00475EEE">
              <w:rPr>
                <w:rFonts w:eastAsia="Calibri"/>
              </w:rPr>
              <w:t>II</w:t>
            </w:r>
          </w:p>
        </w:tc>
        <w:tc>
          <w:tcPr>
            <w:tcW w:w="1176" w:type="dxa"/>
            <w:tcBorders>
              <w:top w:val="nil"/>
              <w:left w:val="nil"/>
              <w:bottom w:val="nil"/>
              <w:right w:val="nil"/>
            </w:tcBorders>
            <w:shd w:val="clear" w:color="auto" w:fill="auto"/>
            <w:vAlign w:val="center"/>
          </w:tcPr>
          <w:p w14:paraId="05489927" w14:textId="5178E51A" w:rsidR="003877E0" w:rsidRPr="00475EEE" w:rsidRDefault="00D5541A" w:rsidP="00E1513B">
            <w:pPr>
              <w:jc w:val="center"/>
              <w:rPr>
                <w:rFonts w:eastAsia="Calibri"/>
              </w:rPr>
            </w:pPr>
            <w:r>
              <w:rPr>
                <w:rFonts w:eastAsia="Calibri"/>
              </w:rPr>
              <w:t>979</w:t>
            </w:r>
          </w:p>
        </w:tc>
        <w:tc>
          <w:tcPr>
            <w:tcW w:w="1056" w:type="dxa"/>
            <w:tcBorders>
              <w:top w:val="nil"/>
              <w:left w:val="nil"/>
              <w:bottom w:val="nil"/>
              <w:right w:val="nil"/>
            </w:tcBorders>
            <w:shd w:val="clear" w:color="auto" w:fill="auto"/>
            <w:vAlign w:val="center"/>
          </w:tcPr>
          <w:p w14:paraId="4D281D7F" w14:textId="25F9EA98" w:rsidR="003877E0" w:rsidRPr="00475EEE" w:rsidRDefault="003877E0" w:rsidP="00E1513B">
            <w:pPr>
              <w:jc w:val="center"/>
              <w:rPr>
                <w:rFonts w:eastAsia="Calibri"/>
              </w:rPr>
            </w:pPr>
            <w:r w:rsidRPr="00475EEE">
              <w:rPr>
                <w:rFonts w:eastAsia="Calibri"/>
              </w:rPr>
              <w:t>10.</w:t>
            </w:r>
            <w:r w:rsidR="000C2B73">
              <w:rPr>
                <w:rFonts w:eastAsia="Calibri"/>
              </w:rPr>
              <w:t>2</w:t>
            </w:r>
          </w:p>
        </w:tc>
        <w:tc>
          <w:tcPr>
            <w:tcW w:w="856" w:type="dxa"/>
            <w:tcBorders>
              <w:top w:val="nil"/>
              <w:left w:val="nil"/>
              <w:bottom w:val="nil"/>
              <w:right w:val="nil"/>
            </w:tcBorders>
            <w:shd w:val="clear" w:color="auto" w:fill="auto"/>
            <w:vAlign w:val="center"/>
          </w:tcPr>
          <w:p w14:paraId="1700710C" w14:textId="77777777" w:rsidR="003877E0" w:rsidRPr="00475EEE" w:rsidRDefault="003877E0" w:rsidP="00E1513B">
            <w:pPr>
              <w:jc w:val="center"/>
              <w:rPr>
                <w:rFonts w:eastAsia="Calibri"/>
              </w:rPr>
            </w:pPr>
            <w:r w:rsidRPr="00475EEE">
              <w:rPr>
                <w:rFonts w:eastAsia="Calibri"/>
              </w:rPr>
              <w:t>23.7</w:t>
            </w:r>
          </w:p>
        </w:tc>
        <w:tc>
          <w:tcPr>
            <w:tcW w:w="1161" w:type="dxa"/>
            <w:tcBorders>
              <w:top w:val="nil"/>
              <w:left w:val="nil"/>
              <w:bottom w:val="nil"/>
            </w:tcBorders>
            <w:shd w:val="clear" w:color="auto" w:fill="auto"/>
            <w:vAlign w:val="center"/>
          </w:tcPr>
          <w:p w14:paraId="06FDA005" w14:textId="77777777" w:rsidR="003877E0" w:rsidRPr="00475EEE" w:rsidRDefault="003877E0" w:rsidP="00E1513B">
            <w:pPr>
              <w:jc w:val="center"/>
              <w:rPr>
                <w:rFonts w:eastAsia="Calibri"/>
              </w:rPr>
            </w:pPr>
          </w:p>
        </w:tc>
      </w:tr>
      <w:tr w:rsidR="003877E0" w:rsidRPr="00475EEE" w14:paraId="5A261B50" w14:textId="77777777" w:rsidTr="00E1513B">
        <w:trPr>
          <w:trHeight w:val="270"/>
        </w:trPr>
        <w:tc>
          <w:tcPr>
            <w:tcW w:w="1590" w:type="dxa"/>
            <w:tcBorders>
              <w:top w:val="nil"/>
              <w:bottom w:val="nil"/>
              <w:right w:val="nil"/>
            </w:tcBorders>
            <w:shd w:val="clear" w:color="auto" w:fill="auto"/>
            <w:vAlign w:val="center"/>
          </w:tcPr>
          <w:p w14:paraId="0BF602E9" w14:textId="5110701C" w:rsidR="003877E0" w:rsidRPr="00475EEE" w:rsidRDefault="003877E0" w:rsidP="00E1513B">
            <w:pPr>
              <w:jc w:val="center"/>
              <w:rPr>
                <w:rFonts w:eastAsia="Calibri"/>
              </w:rPr>
            </w:pPr>
            <w:r w:rsidRPr="00475EEE">
              <w:rPr>
                <w:rFonts w:eastAsia="Calibri"/>
              </w:rPr>
              <w:t>III</w:t>
            </w:r>
          </w:p>
        </w:tc>
        <w:tc>
          <w:tcPr>
            <w:tcW w:w="1176" w:type="dxa"/>
            <w:tcBorders>
              <w:top w:val="nil"/>
              <w:left w:val="nil"/>
              <w:bottom w:val="nil"/>
              <w:right w:val="nil"/>
            </w:tcBorders>
            <w:shd w:val="clear" w:color="auto" w:fill="auto"/>
            <w:vAlign w:val="center"/>
          </w:tcPr>
          <w:p w14:paraId="77DA5FAF" w14:textId="7FA99305" w:rsidR="003877E0" w:rsidRPr="00475EEE" w:rsidRDefault="003877E0" w:rsidP="00E1513B">
            <w:pPr>
              <w:jc w:val="center"/>
              <w:rPr>
                <w:rFonts w:eastAsia="Calibri"/>
              </w:rPr>
            </w:pPr>
            <w:r w:rsidRPr="00475EEE">
              <w:rPr>
                <w:rFonts w:eastAsia="Calibri"/>
              </w:rPr>
              <w:t>22</w:t>
            </w:r>
            <w:r w:rsidR="00D5541A">
              <w:rPr>
                <w:rFonts w:eastAsia="Calibri"/>
              </w:rPr>
              <w:t>10</w:t>
            </w:r>
          </w:p>
        </w:tc>
        <w:tc>
          <w:tcPr>
            <w:tcW w:w="1056" w:type="dxa"/>
            <w:tcBorders>
              <w:top w:val="nil"/>
              <w:left w:val="nil"/>
              <w:bottom w:val="nil"/>
              <w:right w:val="nil"/>
            </w:tcBorders>
            <w:shd w:val="clear" w:color="auto" w:fill="auto"/>
            <w:vAlign w:val="center"/>
          </w:tcPr>
          <w:p w14:paraId="0F95C1E0" w14:textId="277A23CC" w:rsidR="003877E0" w:rsidRPr="00475EEE" w:rsidRDefault="003877E0" w:rsidP="00E1513B">
            <w:pPr>
              <w:jc w:val="center"/>
              <w:rPr>
                <w:rFonts w:eastAsia="Calibri"/>
              </w:rPr>
            </w:pPr>
            <w:r w:rsidRPr="00475EEE">
              <w:rPr>
                <w:rFonts w:eastAsia="Calibri"/>
              </w:rPr>
              <w:t>22.</w:t>
            </w:r>
            <w:r w:rsidR="000C2B73">
              <w:rPr>
                <w:rFonts w:eastAsia="Calibri"/>
              </w:rPr>
              <w:t>8</w:t>
            </w:r>
          </w:p>
        </w:tc>
        <w:tc>
          <w:tcPr>
            <w:tcW w:w="856" w:type="dxa"/>
            <w:tcBorders>
              <w:top w:val="nil"/>
              <w:left w:val="nil"/>
              <w:bottom w:val="nil"/>
              <w:right w:val="nil"/>
            </w:tcBorders>
            <w:shd w:val="clear" w:color="auto" w:fill="auto"/>
            <w:vAlign w:val="center"/>
          </w:tcPr>
          <w:p w14:paraId="7F3B673E" w14:textId="77777777" w:rsidR="003877E0" w:rsidRPr="00475EEE" w:rsidRDefault="003877E0" w:rsidP="00E1513B">
            <w:pPr>
              <w:jc w:val="center"/>
              <w:rPr>
                <w:rFonts w:eastAsia="Calibri"/>
              </w:rPr>
            </w:pPr>
            <w:r w:rsidRPr="00475EEE">
              <w:rPr>
                <w:rFonts w:eastAsia="Calibri"/>
              </w:rPr>
              <w:t>30.5</w:t>
            </w:r>
          </w:p>
        </w:tc>
        <w:tc>
          <w:tcPr>
            <w:tcW w:w="1161" w:type="dxa"/>
            <w:tcBorders>
              <w:top w:val="nil"/>
              <w:left w:val="nil"/>
              <w:bottom w:val="nil"/>
            </w:tcBorders>
            <w:shd w:val="clear" w:color="auto" w:fill="auto"/>
            <w:vAlign w:val="center"/>
          </w:tcPr>
          <w:p w14:paraId="24F4B08F" w14:textId="77777777" w:rsidR="003877E0" w:rsidRPr="00475EEE" w:rsidRDefault="003877E0" w:rsidP="00E1513B">
            <w:pPr>
              <w:jc w:val="center"/>
              <w:rPr>
                <w:rFonts w:eastAsia="Calibri"/>
              </w:rPr>
            </w:pPr>
          </w:p>
        </w:tc>
      </w:tr>
      <w:tr w:rsidR="003877E0" w:rsidRPr="00475EEE" w14:paraId="067873B8" w14:textId="77777777" w:rsidTr="00E1513B">
        <w:trPr>
          <w:trHeight w:val="270"/>
        </w:trPr>
        <w:tc>
          <w:tcPr>
            <w:tcW w:w="1590" w:type="dxa"/>
            <w:tcBorders>
              <w:top w:val="nil"/>
              <w:bottom w:val="nil"/>
              <w:right w:val="nil"/>
            </w:tcBorders>
            <w:shd w:val="clear" w:color="auto" w:fill="auto"/>
            <w:vAlign w:val="center"/>
          </w:tcPr>
          <w:p w14:paraId="02F2C334" w14:textId="7EA9C06E" w:rsidR="003877E0" w:rsidRPr="00475EEE" w:rsidRDefault="003877E0" w:rsidP="00E1513B">
            <w:pPr>
              <w:jc w:val="center"/>
              <w:rPr>
                <w:rFonts w:eastAsia="Calibri"/>
              </w:rPr>
            </w:pPr>
            <w:r w:rsidRPr="00475EEE">
              <w:rPr>
                <w:rFonts w:eastAsia="Calibri"/>
              </w:rPr>
              <w:t>IV</w:t>
            </w:r>
          </w:p>
        </w:tc>
        <w:tc>
          <w:tcPr>
            <w:tcW w:w="1176" w:type="dxa"/>
            <w:tcBorders>
              <w:top w:val="nil"/>
              <w:left w:val="nil"/>
              <w:bottom w:val="nil"/>
              <w:right w:val="nil"/>
            </w:tcBorders>
            <w:shd w:val="clear" w:color="auto" w:fill="auto"/>
            <w:vAlign w:val="center"/>
          </w:tcPr>
          <w:p w14:paraId="36374E06" w14:textId="13BC220D" w:rsidR="003877E0" w:rsidRPr="00475EEE" w:rsidRDefault="003877E0" w:rsidP="00E1513B">
            <w:pPr>
              <w:jc w:val="center"/>
              <w:rPr>
                <w:rFonts w:eastAsia="Calibri"/>
              </w:rPr>
            </w:pPr>
            <w:r w:rsidRPr="00475EEE">
              <w:rPr>
                <w:rFonts w:eastAsia="Calibri"/>
              </w:rPr>
              <w:t>10</w:t>
            </w:r>
            <w:r w:rsidR="00D5541A">
              <w:rPr>
                <w:rFonts w:eastAsia="Calibri"/>
              </w:rPr>
              <w:t>18</w:t>
            </w:r>
          </w:p>
        </w:tc>
        <w:tc>
          <w:tcPr>
            <w:tcW w:w="1056" w:type="dxa"/>
            <w:tcBorders>
              <w:top w:val="nil"/>
              <w:left w:val="nil"/>
              <w:bottom w:val="nil"/>
              <w:right w:val="nil"/>
            </w:tcBorders>
            <w:shd w:val="clear" w:color="auto" w:fill="auto"/>
            <w:vAlign w:val="center"/>
          </w:tcPr>
          <w:p w14:paraId="02B91580" w14:textId="77777777" w:rsidR="003877E0" w:rsidRPr="00475EEE" w:rsidRDefault="003877E0" w:rsidP="00E1513B">
            <w:pPr>
              <w:jc w:val="center"/>
              <w:rPr>
                <w:rFonts w:eastAsia="Calibri"/>
              </w:rPr>
            </w:pPr>
            <w:r w:rsidRPr="00475EEE">
              <w:rPr>
                <w:rFonts w:eastAsia="Calibri"/>
              </w:rPr>
              <w:t>10.5</w:t>
            </w:r>
          </w:p>
        </w:tc>
        <w:tc>
          <w:tcPr>
            <w:tcW w:w="856" w:type="dxa"/>
            <w:tcBorders>
              <w:top w:val="nil"/>
              <w:left w:val="nil"/>
              <w:bottom w:val="nil"/>
              <w:right w:val="nil"/>
            </w:tcBorders>
            <w:shd w:val="clear" w:color="auto" w:fill="auto"/>
            <w:vAlign w:val="center"/>
          </w:tcPr>
          <w:p w14:paraId="117A8766" w14:textId="33731781" w:rsidR="003877E0" w:rsidRPr="00475EEE" w:rsidRDefault="003877E0" w:rsidP="00E1513B">
            <w:pPr>
              <w:jc w:val="center"/>
              <w:rPr>
                <w:rFonts w:eastAsia="Calibri"/>
              </w:rPr>
            </w:pPr>
            <w:r w:rsidRPr="00475EEE">
              <w:rPr>
                <w:rFonts w:eastAsia="Calibri"/>
              </w:rPr>
              <w:t>30.</w:t>
            </w:r>
            <w:r w:rsidR="009439B6">
              <w:rPr>
                <w:rFonts w:eastAsia="Calibri"/>
              </w:rPr>
              <w:t>2</w:t>
            </w:r>
          </w:p>
        </w:tc>
        <w:tc>
          <w:tcPr>
            <w:tcW w:w="1161" w:type="dxa"/>
            <w:tcBorders>
              <w:top w:val="nil"/>
              <w:left w:val="nil"/>
              <w:bottom w:val="nil"/>
            </w:tcBorders>
            <w:shd w:val="clear" w:color="auto" w:fill="auto"/>
            <w:vAlign w:val="center"/>
          </w:tcPr>
          <w:p w14:paraId="24A91ADE" w14:textId="77777777" w:rsidR="003877E0" w:rsidRPr="00475EEE" w:rsidRDefault="003877E0" w:rsidP="00E1513B">
            <w:pPr>
              <w:jc w:val="center"/>
              <w:rPr>
                <w:rFonts w:eastAsia="Calibri"/>
              </w:rPr>
            </w:pPr>
          </w:p>
        </w:tc>
      </w:tr>
      <w:tr w:rsidR="003877E0" w:rsidRPr="00475EEE" w14:paraId="50CF794A" w14:textId="77777777" w:rsidTr="00E1513B">
        <w:trPr>
          <w:trHeight w:val="270"/>
        </w:trPr>
        <w:tc>
          <w:tcPr>
            <w:tcW w:w="1590" w:type="dxa"/>
            <w:tcBorders>
              <w:top w:val="nil"/>
              <w:bottom w:val="nil"/>
              <w:right w:val="nil"/>
            </w:tcBorders>
            <w:shd w:val="clear" w:color="auto" w:fill="auto"/>
            <w:vAlign w:val="center"/>
          </w:tcPr>
          <w:p w14:paraId="55FC0EBE" w14:textId="51482921" w:rsidR="003877E0" w:rsidRPr="00475EEE" w:rsidRDefault="003877E0" w:rsidP="00E1513B">
            <w:pPr>
              <w:jc w:val="center"/>
              <w:rPr>
                <w:rFonts w:eastAsia="Calibri"/>
              </w:rPr>
            </w:pPr>
            <w:r w:rsidRPr="00475EEE">
              <w:rPr>
                <w:rFonts w:eastAsia="Calibri"/>
              </w:rPr>
              <w:t>V</w:t>
            </w:r>
          </w:p>
        </w:tc>
        <w:tc>
          <w:tcPr>
            <w:tcW w:w="1176" w:type="dxa"/>
            <w:tcBorders>
              <w:top w:val="nil"/>
              <w:left w:val="nil"/>
              <w:bottom w:val="nil"/>
              <w:right w:val="nil"/>
            </w:tcBorders>
            <w:shd w:val="clear" w:color="auto" w:fill="auto"/>
            <w:vAlign w:val="center"/>
          </w:tcPr>
          <w:p w14:paraId="41CE7201" w14:textId="61596DFA" w:rsidR="003877E0" w:rsidRPr="00475EEE" w:rsidRDefault="003877E0" w:rsidP="00E1513B">
            <w:pPr>
              <w:jc w:val="center"/>
              <w:rPr>
                <w:rFonts w:eastAsia="Calibri"/>
              </w:rPr>
            </w:pPr>
            <w:r w:rsidRPr="00475EEE">
              <w:rPr>
                <w:rFonts w:eastAsia="Calibri"/>
              </w:rPr>
              <w:t>2</w:t>
            </w:r>
            <w:r w:rsidR="00D5541A">
              <w:rPr>
                <w:rFonts w:eastAsia="Calibri"/>
              </w:rPr>
              <w:t>850</w:t>
            </w:r>
          </w:p>
        </w:tc>
        <w:tc>
          <w:tcPr>
            <w:tcW w:w="1056" w:type="dxa"/>
            <w:tcBorders>
              <w:top w:val="nil"/>
              <w:left w:val="nil"/>
              <w:bottom w:val="nil"/>
              <w:right w:val="nil"/>
            </w:tcBorders>
            <w:shd w:val="clear" w:color="auto" w:fill="auto"/>
            <w:vAlign w:val="center"/>
          </w:tcPr>
          <w:p w14:paraId="27F8682E" w14:textId="3EDCFFEA" w:rsidR="003877E0" w:rsidRPr="00475EEE" w:rsidRDefault="003877E0" w:rsidP="00E1513B">
            <w:pPr>
              <w:jc w:val="center"/>
              <w:rPr>
                <w:rFonts w:eastAsia="Calibri"/>
              </w:rPr>
            </w:pPr>
            <w:r w:rsidRPr="00475EEE">
              <w:rPr>
                <w:rFonts w:eastAsia="Calibri"/>
              </w:rPr>
              <w:t>29.</w:t>
            </w:r>
            <w:r w:rsidR="000C2B73">
              <w:rPr>
                <w:rFonts w:eastAsia="Calibri"/>
              </w:rPr>
              <w:t>4</w:t>
            </w:r>
          </w:p>
        </w:tc>
        <w:tc>
          <w:tcPr>
            <w:tcW w:w="856" w:type="dxa"/>
            <w:tcBorders>
              <w:top w:val="nil"/>
              <w:left w:val="nil"/>
              <w:bottom w:val="nil"/>
              <w:right w:val="nil"/>
            </w:tcBorders>
            <w:shd w:val="clear" w:color="auto" w:fill="auto"/>
            <w:vAlign w:val="center"/>
          </w:tcPr>
          <w:p w14:paraId="7FC1820D" w14:textId="77777777" w:rsidR="003877E0" w:rsidRPr="00475EEE" w:rsidRDefault="003877E0" w:rsidP="00E1513B">
            <w:pPr>
              <w:jc w:val="center"/>
              <w:rPr>
                <w:rFonts w:eastAsia="Calibri"/>
              </w:rPr>
            </w:pPr>
            <w:r w:rsidRPr="00475EEE">
              <w:rPr>
                <w:rFonts w:eastAsia="Calibri"/>
              </w:rPr>
              <w:t>32.8</w:t>
            </w:r>
          </w:p>
        </w:tc>
        <w:tc>
          <w:tcPr>
            <w:tcW w:w="1161" w:type="dxa"/>
            <w:tcBorders>
              <w:top w:val="nil"/>
              <w:left w:val="nil"/>
              <w:bottom w:val="nil"/>
            </w:tcBorders>
            <w:shd w:val="clear" w:color="auto" w:fill="auto"/>
            <w:vAlign w:val="center"/>
          </w:tcPr>
          <w:p w14:paraId="3DA728A8" w14:textId="77777777" w:rsidR="003877E0" w:rsidRPr="00475EEE" w:rsidRDefault="003877E0" w:rsidP="00E1513B">
            <w:pPr>
              <w:jc w:val="center"/>
              <w:rPr>
                <w:rFonts w:eastAsia="Calibri"/>
              </w:rPr>
            </w:pPr>
          </w:p>
        </w:tc>
      </w:tr>
      <w:tr w:rsidR="003877E0" w:rsidRPr="00475EEE" w14:paraId="2AAFFF8A" w14:textId="77777777" w:rsidTr="00E1513B">
        <w:trPr>
          <w:trHeight w:val="270"/>
        </w:trPr>
        <w:tc>
          <w:tcPr>
            <w:tcW w:w="1590" w:type="dxa"/>
            <w:tcBorders>
              <w:top w:val="nil"/>
              <w:bottom w:val="nil"/>
              <w:right w:val="nil"/>
            </w:tcBorders>
            <w:shd w:val="clear" w:color="auto" w:fill="auto"/>
            <w:vAlign w:val="center"/>
          </w:tcPr>
          <w:p w14:paraId="426CF7EE" w14:textId="585EC9DA" w:rsidR="003877E0" w:rsidRPr="00475EEE" w:rsidRDefault="003877E0" w:rsidP="00E1513B">
            <w:pPr>
              <w:jc w:val="center"/>
              <w:rPr>
                <w:rFonts w:eastAsia="Calibri"/>
              </w:rPr>
            </w:pPr>
            <w:r w:rsidRPr="00475EEE">
              <w:rPr>
                <w:rFonts w:eastAsia="Calibri"/>
              </w:rPr>
              <w:t>VI</w:t>
            </w:r>
          </w:p>
        </w:tc>
        <w:tc>
          <w:tcPr>
            <w:tcW w:w="1176" w:type="dxa"/>
            <w:tcBorders>
              <w:top w:val="nil"/>
              <w:left w:val="nil"/>
              <w:bottom w:val="nil"/>
              <w:right w:val="nil"/>
            </w:tcBorders>
            <w:shd w:val="clear" w:color="auto" w:fill="auto"/>
            <w:vAlign w:val="center"/>
          </w:tcPr>
          <w:p w14:paraId="69703C73" w14:textId="3F5283A8" w:rsidR="003877E0" w:rsidRPr="00475EEE" w:rsidRDefault="003877E0" w:rsidP="00E1513B">
            <w:pPr>
              <w:jc w:val="center"/>
              <w:rPr>
                <w:rFonts w:eastAsia="Calibri"/>
              </w:rPr>
            </w:pPr>
            <w:r w:rsidRPr="00475EEE">
              <w:rPr>
                <w:rFonts w:eastAsia="Calibri"/>
              </w:rPr>
              <w:t>13</w:t>
            </w:r>
            <w:r w:rsidR="000C2B73">
              <w:rPr>
                <w:rFonts w:eastAsia="Calibri"/>
              </w:rPr>
              <w:t>19</w:t>
            </w:r>
          </w:p>
        </w:tc>
        <w:tc>
          <w:tcPr>
            <w:tcW w:w="1056" w:type="dxa"/>
            <w:tcBorders>
              <w:top w:val="nil"/>
              <w:left w:val="nil"/>
              <w:bottom w:val="nil"/>
              <w:right w:val="nil"/>
            </w:tcBorders>
            <w:shd w:val="clear" w:color="auto" w:fill="auto"/>
            <w:vAlign w:val="center"/>
          </w:tcPr>
          <w:p w14:paraId="11CC0390" w14:textId="5B91A117" w:rsidR="003877E0" w:rsidRPr="00475EEE" w:rsidRDefault="003877E0" w:rsidP="00E1513B">
            <w:pPr>
              <w:jc w:val="center"/>
              <w:rPr>
                <w:rFonts w:eastAsia="Calibri"/>
              </w:rPr>
            </w:pPr>
            <w:r w:rsidRPr="00475EEE">
              <w:rPr>
                <w:rFonts w:eastAsia="Calibri"/>
              </w:rPr>
              <w:t>13.</w:t>
            </w:r>
            <w:r w:rsidR="000C2B73">
              <w:rPr>
                <w:rFonts w:eastAsia="Calibri"/>
              </w:rPr>
              <w:t>7</w:t>
            </w:r>
          </w:p>
        </w:tc>
        <w:tc>
          <w:tcPr>
            <w:tcW w:w="856" w:type="dxa"/>
            <w:tcBorders>
              <w:top w:val="nil"/>
              <w:left w:val="nil"/>
              <w:bottom w:val="nil"/>
              <w:right w:val="nil"/>
            </w:tcBorders>
            <w:shd w:val="clear" w:color="auto" w:fill="auto"/>
            <w:vAlign w:val="center"/>
          </w:tcPr>
          <w:p w14:paraId="5AB1617C" w14:textId="77777777" w:rsidR="003877E0" w:rsidRPr="00475EEE" w:rsidRDefault="003877E0" w:rsidP="00E1513B">
            <w:pPr>
              <w:jc w:val="center"/>
              <w:rPr>
                <w:rFonts w:eastAsia="Calibri"/>
              </w:rPr>
            </w:pPr>
            <w:r w:rsidRPr="00475EEE">
              <w:rPr>
                <w:rFonts w:eastAsia="Calibri"/>
              </w:rPr>
              <w:t>34.4</w:t>
            </w:r>
          </w:p>
        </w:tc>
        <w:tc>
          <w:tcPr>
            <w:tcW w:w="1161" w:type="dxa"/>
            <w:tcBorders>
              <w:top w:val="nil"/>
              <w:left w:val="nil"/>
              <w:bottom w:val="nil"/>
            </w:tcBorders>
            <w:shd w:val="clear" w:color="auto" w:fill="auto"/>
            <w:vAlign w:val="center"/>
          </w:tcPr>
          <w:p w14:paraId="61F5B866" w14:textId="77777777" w:rsidR="003877E0" w:rsidRPr="00475EEE" w:rsidRDefault="003877E0" w:rsidP="00E1513B">
            <w:pPr>
              <w:jc w:val="center"/>
              <w:rPr>
                <w:rFonts w:eastAsia="Calibri"/>
              </w:rPr>
            </w:pPr>
          </w:p>
        </w:tc>
      </w:tr>
      <w:tr w:rsidR="003877E0" w:rsidRPr="00475EEE" w14:paraId="4A0CCCF1" w14:textId="77777777" w:rsidTr="00E1513B">
        <w:trPr>
          <w:trHeight w:val="255"/>
        </w:trPr>
        <w:tc>
          <w:tcPr>
            <w:tcW w:w="1590" w:type="dxa"/>
            <w:tcBorders>
              <w:top w:val="nil"/>
              <w:bottom w:val="nil"/>
              <w:right w:val="nil"/>
            </w:tcBorders>
            <w:shd w:val="clear" w:color="auto" w:fill="auto"/>
            <w:vAlign w:val="center"/>
          </w:tcPr>
          <w:p w14:paraId="645EB850" w14:textId="7CDDE01F" w:rsidR="003877E0" w:rsidRPr="00E1513B" w:rsidRDefault="003877E0" w:rsidP="00E1513B">
            <w:pPr>
              <w:jc w:val="center"/>
              <w:rPr>
                <w:rFonts w:eastAsia="Calibri"/>
                <w:b/>
              </w:rPr>
            </w:pPr>
            <w:r w:rsidRPr="00E1513B">
              <w:rPr>
                <w:rFonts w:eastAsia="Calibri"/>
                <w:b/>
              </w:rPr>
              <w:t>PA weekly METS</w:t>
            </w:r>
          </w:p>
        </w:tc>
        <w:tc>
          <w:tcPr>
            <w:tcW w:w="3088" w:type="dxa"/>
            <w:gridSpan w:val="3"/>
            <w:tcBorders>
              <w:top w:val="nil"/>
              <w:left w:val="nil"/>
              <w:bottom w:val="nil"/>
              <w:right w:val="nil"/>
            </w:tcBorders>
            <w:shd w:val="clear" w:color="auto" w:fill="auto"/>
            <w:vAlign w:val="center"/>
          </w:tcPr>
          <w:p w14:paraId="20D1BE30" w14:textId="77777777" w:rsidR="003877E0" w:rsidRPr="00475EEE" w:rsidRDefault="003877E0" w:rsidP="00E1513B">
            <w:pPr>
              <w:jc w:val="center"/>
              <w:rPr>
                <w:rFonts w:eastAsia="Calibri"/>
              </w:rPr>
            </w:pPr>
          </w:p>
        </w:tc>
        <w:tc>
          <w:tcPr>
            <w:tcW w:w="1161" w:type="dxa"/>
            <w:tcBorders>
              <w:top w:val="nil"/>
              <w:left w:val="nil"/>
              <w:bottom w:val="nil"/>
            </w:tcBorders>
            <w:shd w:val="clear" w:color="auto" w:fill="auto"/>
            <w:vAlign w:val="center"/>
          </w:tcPr>
          <w:p w14:paraId="297A0B36" w14:textId="66EBED43" w:rsidR="003877E0" w:rsidRPr="00475EEE" w:rsidRDefault="008E46A6" w:rsidP="00E1513B">
            <w:pPr>
              <w:jc w:val="center"/>
              <w:rPr>
                <w:rFonts w:eastAsia="Calibri"/>
              </w:rPr>
            </w:pPr>
            <w:r w:rsidRPr="008E46A6">
              <w:rPr>
                <w:rFonts w:eastAsia="Calibri"/>
              </w:rPr>
              <w:t>&lt; .001</w:t>
            </w:r>
          </w:p>
        </w:tc>
      </w:tr>
      <w:tr w:rsidR="003877E0" w:rsidRPr="00475EEE" w14:paraId="2ED5AA55" w14:textId="77777777" w:rsidTr="00E1513B">
        <w:trPr>
          <w:trHeight w:val="270"/>
        </w:trPr>
        <w:tc>
          <w:tcPr>
            <w:tcW w:w="1590" w:type="dxa"/>
            <w:tcBorders>
              <w:top w:val="nil"/>
              <w:bottom w:val="nil"/>
              <w:right w:val="nil"/>
            </w:tcBorders>
            <w:shd w:val="clear" w:color="auto" w:fill="auto"/>
            <w:vAlign w:val="center"/>
          </w:tcPr>
          <w:p w14:paraId="681F0779" w14:textId="77777777" w:rsidR="003877E0" w:rsidRPr="00475EEE" w:rsidRDefault="003877E0" w:rsidP="00E1513B">
            <w:pPr>
              <w:jc w:val="center"/>
              <w:rPr>
                <w:rFonts w:eastAsia="Calibri"/>
              </w:rPr>
            </w:pPr>
            <w:r w:rsidRPr="00475EEE">
              <w:rPr>
                <w:rFonts w:eastAsia="Calibri"/>
              </w:rPr>
              <w:t>≥ 600</w:t>
            </w:r>
          </w:p>
        </w:tc>
        <w:tc>
          <w:tcPr>
            <w:tcW w:w="1176" w:type="dxa"/>
            <w:tcBorders>
              <w:top w:val="nil"/>
              <w:left w:val="nil"/>
              <w:bottom w:val="nil"/>
              <w:right w:val="nil"/>
            </w:tcBorders>
            <w:shd w:val="clear" w:color="auto" w:fill="auto"/>
            <w:vAlign w:val="center"/>
          </w:tcPr>
          <w:p w14:paraId="096EA991" w14:textId="03FA01AE" w:rsidR="003877E0" w:rsidRPr="00475EEE" w:rsidRDefault="009439B6" w:rsidP="00E1513B">
            <w:pPr>
              <w:jc w:val="center"/>
              <w:rPr>
                <w:rFonts w:eastAsia="Calibri"/>
              </w:rPr>
            </w:pPr>
            <w:r>
              <w:rPr>
                <w:rFonts w:eastAsia="Calibri"/>
              </w:rPr>
              <w:t>6748</w:t>
            </w:r>
          </w:p>
        </w:tc>
        <w:tc>
          <w:tcPr>
            <w:tcW w:w="1056" w:type="dxa"/>
            <w:tcBorders>
              <w:top w:val="nil"/>
              <w:left w:val="nil"/>
              <w:bottom w:val="nil"/>
              <w:right w:val="nil"/>
            </w:tcBorders>
            <w:shd w:val="clear" w:color="auto" w:fill="auto"/>
            <w:vAlign w:val="center"/>
          </w:tcPr>
          <w:p w14:paraId="756BD5C5" w14:textId="291F17A0" w:rsidR="003877E0" w:rsidRPr="00475EEE" w:rsidRDefault="003877E0" w:rsidP="00E1513B">
            <w:pPr>
              <w:jc w:val="center"/>
              <w:rPr>
                <w:rFonts w:eastAsia="Calibri"/>
              </w:rPr>
            </w:pPr>
            <w:r w:rsidRPr="00475EEE">
              <w:rPr>
                <w:rFonts w:eastAsia="Calibri"/>
              </w:rPr>
              <w:t>69.</w:t>
            </w:r>
            <w:r w:rsidR="009439B6">
              <w:rPr>
                <w:rFonts w:eastAsia="Calibri"/>
              </w:rPr>
              <w:t>6</w:t>
            </w:r>
          </w:p>
        </w:tc>
        <w:tc>
          <w:tcPr>
            <w:tcW w:w="856" w:type="dxa"/>
            <w:tcBorders>
              <w:top w:val="nil"/>
              <w:left w:val="nil"/>
              <w:bottom w:val="nil"/>
              <w:right w:val="nil"/>
            </w:tcBorders>
            <w:shd w:val="clear" w:color="auto" w:fill="auto"/>
            <w:vAlign w:val="center"/>
          </w:tcPr>
          <w:p w14:paraId="44F4EC50" w14:textId="77777777" w:rsidR="003877E0" w:rsidRPr="00475EEE" w:rsidRDefault="003877E0" w:rsidP="00E1513B">
            <w:pPr>
              <w:jc w:val="center"/>
              <w:rPr>
                <w:rFonts w:eastAsia="Calibri"/>
              </w:rPr>
            </w:pPr>
            <w:r w:rsidRPr="00475EEE">
              <w:rPr>
                <w:rFonts w:eastAsia="Calibri"/>
              </w:rPr>
              <w:t>30.3</w:t>
            </w:r>
          </w:p>
        </w:tc>
        <w:tc>
          <w:tcPr>
            <w:tcW w:w="1161" w:type="dxa"/>
            <w:tcBorders>
              <w:top w:val="nil"/>
              <w:left w:val="nil"/>
              <w:bottom w:val="nil"/>
            </w:tcBorders>
            <w:shd w:val="clear" w:color="auto" w:fill="auto"/>
            <w:vAlign w:val="center"/>
          </w:tcPr>
          <w:p w14:paraId="031A9BBF" w14:textId="77777777" w:rsidR="003877E0" w:rsidRPr="00475EEE" w:rsidRDefault="003877E0" w:rsidP="00E1513B">
            <w:pPr>
              <w:jc w:val="center"/>
              <w:rPr>
                <w:rFonts w:eastAsia="Calibri"/>
              </w:rPr>
            </w:pPr>
          </w:p>
        </w:tc>
      </w:tr>
      <w:tr w:rsidR="003877E0" w:rsidRPr="00475EEE" w14:paraId="4D0F7E90" w14:textId="77777777" w:rsidTr="00E1513B">
        <w:trPr>
          <w:trHeight w:val="270"/>
        </w:trPr>
        <w:tc>
          <w:tcPr>
            <w:tcW w:w="1590" w:type="dxa"/>
            <w:tcBorders>
              <w:top w:val="nil"/>
              <w:bottom w:val="nil"/>
              <w:right w:val="nil"/>
            </w:tcBorders>
            <w:shd w:val="clear" w:color="auto" w:fill="auto"/>
            <w:vAlign w:val="center"/>
          </w:tcPr>
          <w:p w14:paraId="55F43E58" w14:textId="77777777" w:rsidR="003877E0" w:rsidRPr="00475EEE" w:rsidRDefault="003877E0" w:rsidP="00E1513B">
            <w:pPr>
              <w:jc w:val="center"/>
              <w:rPr>
                <w:rFonts w:eastAsia="Calibri"/>
              </w:rPr>
            </w:pPr>
            <w:r w:rsidRPr="00475EEE">
              <w:rPr>
                <w:rFonts w:eastAsia="Calibri"/>
              </w:rPr>
              <w:t>&lt; 600</w:t>
            </w:r>
          </w:p>
        </w:tc>
        <w:tc>
          <w:tcPr>
            <w:tcW w:w="1176" w:type="dxa"/>
            <w:tcBorders>
              <w:top w:val="nil"/>
              <w:left w:val="nil"/>
              <w:bottom w:val="nil"/>
              <w:right w:val="nil"/>
            </w:tcBorders>
            <w:shd w:val="clear" w:color="auto" w:fill="auto"/>
            <w:vAlign w:val="center"/>
          </w:tcPr>
          <w:p w14:paraId="1608A10B" w14:textId="28DA1D6F" w:rsidR="003877E0" w:rsidRPr="00475EEE" w:rsidRDefault="003877E0" w:rsidP="00E1513B">
            <w:pPr>
              <w:jc w:val="center"/>
              <w:rPr>
                <w:rFonts w:eastAsia="Calibri"/>
              </w:rPr>
            </w:pPr>
            <w:r w:rsidRPr="00475EEE">
              <w:rPr>
                <w:rFonts w:eastAsia="Calibri"/>
              </w:rPr>
              <w:t>29</w:t>
            </w:r>
            <w:r w:rsidR="009439B6">
              <w:rPr>
                <w:rFonts w:eastAsia="Calibri"/>
              </w:rPr>
              <w:t>47</w:t>
            </w:r>
          </w:p>
        </w:tc>
        <w:tc>
          <w:tcPr>
            <w:tcW w:w="1056" w:type="dxa"/>
            <w:tcBorders>
              <w:top w:val="nil"/>
              <w:left w:val="nil"/>
              <w:bottom w:val="nil"/>
              <w:right w:val="nil"/>
            </w:tcBorders>
            <w:shd w:val="clear" w:color="auto" w:fill="auto"/>
            <w:vAlign w:val="center"/>
          </w:tcPr>
          <w:p w14:paraId="6416EC20" w14:textId="52A7E9AA" w:rsidR="003877E0" w:rsidRPr="00475EEE" w:rsidRDefault="009439B6" w:rsidP="00E1513B">
            <w:pPr>
              <w:jc w:val="center"/>
              <w:rPr>
                <w:rFonts w:eastAsia="Calibri"/>
              </w:rPr>
            </w:pPr>
            <w:r>
              <w:rPr>
                <w:rFonts w:eastAsia="Calibri"/>
              </w:rPr>
              <w:t>30.4</w:t>
            </w:r>
          </w:p>
        </w:tc>
        <w:tc>
          <w:tcPr>
            <w:tcW w:w="856" w:type="dxa"/>
            <w:tcBorders>
              <w:top w:val="nil"/>
              <w:left w:val="nil"/>
              <w:bottom w:val="nil"/>
              <w:right w:val="nil"/>
            </w:tcBorders>
            <w:shd w:val="clear" w:color="auto" w:fill="auto"/>
            <w:vAlign w:val="center"/>
          </w:tcPr>
          <w:p w14:paraId="5E6D6C41" w14:textId="77777777" w:rsidR="003877E0" w:rsidRPr="00475EEE" w:rsidRDefault="003877E0" w:rsidP="00E1513B">
            <w:pPr>
              <w:jc w:val="center"/>
              <w:rPr>
                <w:rFonts w:eastAsia="Calibri"/>
              </w:rPr>
            </w:pPr>
            <w:r w:rsidRPr="00475EEE">
              <w:rPr>
                <w:rFonts w:eastAsia="Calibri"/>
              </w:rPr>
              <w:t>36.6</w:t>
            </w:r>
          </w:p>
        </w:tc>
        <w:tc>
          <w:tcPr>
            <w:tcW w:w="1161" w:type="dxa"/>
            <w:tcBorders>
              <w:top w:val="nil"/>
              <w:left w:val="nil"/>
              <w:bottom w:val="nil"/>
            </w:tcBorders>
            <w:shd w:val="clear" w:color="auto" w:fill="auto"/>
            <w:vAlign w:val="center"/>
          </w:tcPr>
          <w:p w14:paraId="26DED148" w14:textId="77777777" w:rsidR="003877E0" w:rsidRPr="00475EEE" w:rsidRDefault="003877E0" w:rsidP="00E1513B">
            <w:pPr>
              <w:jc w:val="center"/>
              <w:rPr>
                <w:rFonts w:eastAsia="Calibri"/>
              </w:rPr>
            </w:pPr>
          </w:p>
        </w:tc>
      </w:tr>
      <w:tr w:rsidR="003877E0" w:rsidRPr="00475EEE" w14:paraId="3B4EE7F4" w14:textId="77777777" w:rsidTr="00E1513B">
        <w:trPr>
          <w:trHeight w:val="304"/>
        </w:trPr>
        <w:tc>
          <w:tcPr>
            <w:tcW w:w="1590" w:type="dxa"/>
            <w:tcBorders>
              <w:top w:val="nil"/>
              <w:bottom w:val="nil"/>
              <w:right w:val="nil"/>
            </w:tcBorders>
            <w:shd w:val="clear" w:color="auto" w:fill="auto"/>
            <w:vAlign w:val="center"/>
          </w:tcPr>
          <w:p w14:paraId="2F65983E" w14:textId="77777777" w:rsidR="003877E0" w:rsidRPr="00E1513B" w:rsidRDefault="003877E0" w:rsidP="00E1513B">
            <w:pPr>
              <w:jc w:val="center"/>
              <w:rPr>
                <w:rFonts w:eastAsia="Calibri"/>
                <w:b/>
                <w:lang w:val="en-US"/>
              </w:rPr>
            </w:pPr>
            <w:r w:rsidRPr="00E1513B">
              <w:rPr>
                <w:rFonts w:eastAsia="Calibri"/>
                <w:b/>
                <w:lang w:val="en-US"/>
              </w:rPr>
              <w:t>Weekly fruit consumption</w:t>
            </w:r>
          </w:p>
        </w:tc>
        <w:tc>
          <w:tcPr>
            <w:tcW w:w="1176" w:type="dxa"/>
            <w:tcBorders>
              <w:top w:val="nil"/>
              <w:left w:val="nil"/>
              <w:bottom w:val="nil"/>
              <w:right w:val="nil"/>
            </w:tcBorders>
            <w:shd w:val="clear" w:color="auto" w:fill="auto"/>
            <w:vAlign w:val="center"/>
          </w:tcPr>
          <w:p w14:paraId="678E4A87" w14:textId="77777777" w:rsidR="003877E0" w:rsidRPr="00475EEE" w:rsidRDefault="003877E0" w:rsidP="00E1513B">
            <w:pPr>
              <w:jc w:val="center"/>
              <w:rPr>
                <w:rFonts w:eastAsia="Calibri"/>
                <w:lang w:val="en-US"/>
              </w:rPr>
            </w:pPr>
          </w:p>
        </w:tc>
        <w:tc>
          <w:tcPr>
            <w:tcW w:w="1056" w:type="dxa"/>
            <w:tcBorders>
              <w:top w:val="nil"/>
              <w:left w:val="nil"/>
              <w:bottom w:val="nil"/>
              <w:right w:val="nil"/>
            </w:tcBorders>
            <w:shd w:val="clear" w:color="auto" w:fill="auto"/>
            <w:vAlign w:val="center"/>
          </w:tcPr>
          <w:p w14:paraId="58CE0C3C" w14:textId="77777777" w:rsidR="003877E0" w:rsidRPr="00475EEE" w:rsidRDefault="003877E0" w:rsidP="00E1513B">
            <w:pPr>
              <w:jc w:val="center"/>
              <w:rPr>
                <w:rFonts w:eastAsia="Calibri"/>
                <w:lang w:val="en-US"/>
              </w:rPr>
            </w:pPr>
          </w:p>
        </w:tc>
        <w:tc>
          <w:tcPr>
            <w:tcW w:w="856" w:type="dxa"/>
            <w:tcBorders>
              <w:top w:val="nil"/>
              <w:left w:val="nil"/>
              <w:bottom w:val="nil"/>
              <w:right w:val="nil"/>
            </w:tcBorders>
            <w:shd w:val="clear" w:color="auto" w:fill="auto"/>
            <w:vAlign w:val="center"/>
          </w:tcPr>
          <w:p w14:paraId="73B848EA" w14:textId="77777777" w:rsidR="003877E0" w:rsidRPr="00475EEE" w:rsidRDefault="003877E0" w:rsidP="00E1513B">
            <w:pPr>
              <w:jc w:val="center"/>
              <w:rPr>
                <w:rFonts w:eastAsia="Calibri"/>
                <w:lang w:val="en-US"/>
              </w:rPr>
            </w:pPr>
          </w:p>
        </w:tc>
        <w:tc>
          <w:tcPr>
            <w:tcW w:w="1161" w:type="dxa"/>
            <w:tcBorders>
              <w:top w:val="nil"/>
              <w:left w:val="nil"/>
              <w:bottom w:val="nil"/>
            </w:tcBorders>
            <w:shd w:val="clear" w:color="auto" w:fill="auto"/>
            <w:vAlign w:val="center"/>
          </w:tcPr>
          <w:p w14:paraId="7FD22128" w14:textId="77777777" w:rsidR="003877E0" w:rsidRPr="00475EEE" w:rsidRDefault="003877E0" w:rsidP="00E1513B">
            <w:pPr>
              <w:jc w:val="center"/>
              <w:rPr>
                <w:rFonts w:eastAsia="Calibri"/>
                <w:lang w:val="en-US"/>
              </w:rPr>
            </w:pPr>
            <w:r w:rsidRPr="00475EEE">
              <w:rPr>
                <w:rFonts w:eastAsia="Calibri"/>
                <w:lang w:val="en-US"/>
              </w:rPr>
              <w:t>0.398</w:t>
            </w:r>
          </w:p>
        </w:tc>
      </w:tr>
      <w:tr w:rsidR="003877E0" w:rsidRPr="00475EEE" w14:paraId="0504E1A1" w14:textId="77777777" w:rsidTr="00E1513B">
        <w:trPr>
          <w:trHeight w:val="304"/>
        </w:trPr>
        <w:tc>
          <w:tcPr>
            <w:tcW w:w="1590" w:type="dxa"/>
            <w:tcBorders>
              <w:top w:val="nil"/>
              <w:bottom w:val="nil"/>
              <w:right w:val="nil"/>
            </w:tcBorders>
            <w:shd w:val="clear" w:color="auto" w:fill="auto"/>
            <w:vAlign w:val="center"/>
          </w:tcPr>
          <w:p w14:paraId="5D254F2F" w14:textId="77777777" w:rsidR="003877E0" w:rsidRPr="00475EEE" w:rsidRDefault="003877E0" w:rsidP="00E1513B">
            <w:pPr>
              <w:jc w:val="center"/>
              <w:rPr>
                <w:rFonts w:eastAsia="Calibri"/>
                <w:lang w:val="en-US"/>
              </w:rPr>
            </w:pPr>
            <w:r w:rsidRPr="00475EEE">
              <w:rPr>
                <w:rFonts w:eastAsia="Calibri"/>
                <w:lang w:val="en-US"/>
              </w:rPr>
              <w:t>Yes</w:t>
            </w:r>
          </w:p>
        </w:tc>
        <w:tc>
          <w:tcPr>
            <w:tcW w:w="1176" w:type="dxa"/>
            <w:tcBorders>
              <w:top w:val="nil"/>
              <w:left w:val="nil"/>
              <w:bottom w:val="nil"/>
              <w:right w:val="nil"/>
            </w:tcBorders>
            <w:shd w:val="clear" w:color="auto" w:fill="auto"/>
            <w:vAlign w:val="center"/>
          </w:tcPr>
          <w:p w14:paraId="7B5BAC37" w14:textId="0EBBFD65" w:rsidR="003877E0" w:rsidRPr="00475EEE" w:rsidRDefault="003877E0" w:rsidP="00E1513B">
            <w:pPr>
              <w:jc w:val="center"/>
              <w:rPr>
                <w:rFonts w:eastAsia="Calibri"/>
                <w:lang w:val="en-US"/>
              </w:rPr>
            </w:pPr>
            <w:r w:rsidRPr="00475EEE">
              <w:rPr>
                <w:rFonts w:eastAsia="Calibri"/>
                <w:lang w:val="en-US"/>
              </w:rPr>
              <w:t>9</w:t>
            </w:r>
            <w:r w:rsidR="009439B6">
              <w:rPr>
                <w:rFonts w:eastAsia="Calibri"/>
                <w:lang w:val="en-US"/>
              </w:rPr>
              <w:t>172</w:t>
            </w:r>
          </w:p>
        </w:tc>
        <w:tc>
          <w:tcPr>
            <w:tcW w:w="1056" w:type="dxa"/>
            <w:tcBorders>
              <w:top w:val="nil"/>
              <w:left w:val="nil"/>
              <w:bottom w:val="nil"/>
              <w:right w:val="nil"/>
            </w:tcBorders>
            <w:shd w:val="clear" w:color="auto" w:fill="auto"/>
            <w:vAlign w:val="center"/>
          </w:tcPr>
          <w:p w14:paraId="06EABAA3" w14:textId="77777777" w:rsidR="003877E0" w:rsidRPr="00475EEE" w:rsidRDefault="003877E0" w:rsidP="00E1513B">
            <w:pPr>
              <w:jc w:val="center"/>
              <w:rPr>
                <w:rFonts w:eastAsia="Calibri"/>
                <w:lang w:val="en-US"/>
              </w:rPr>
            </w:pPr>
            <w:r w:rsidRPr="00475EEE">
              <w:rPr>
                <w:rFonts w:eastAsia="Calibri"/>
                <w:lang w:val="en-US"/>
              </w:rPr>
              <w:t>94.6</w:t>
            </w:r>
          </w:p>
        </w:tc>
        <w:tc>
          <w:tcPr>
            <w:tcW w:w="856" w:type="dxa"/>
            <w:tcBorders>
              <w:top w:val="nil"/>
              <w:left w:val="nil"/>
              <w:bottom w:val="nil"/>
              <w:right w:val="nil"/>
            </w:tcBorders>
            <w:shd w:val="clear" w:color="auto" w:fill="auto"/>
            <w:vAlign w:val="center"/>
          </w:tcPr>
          <w:p w14:paraId="7606AE0B" w14:textId="77777777" w:rsidR="003877E0" w:rsidRPr="00475EEE" w:rsidRDefault="003877E0" w:rsidP="00E1513B">
            <w:pPr>
              <w:jc w:val="center"/>
              <w:rPr>
                <w:rFonts w:eastAsia="Calibri"/>
                <w:lang w:val="en-US"/>
              </w:rPr>
            </w:pPr>
            <w:r w:rsidRPr="00475EEE">
              <w:rPr>
                <w:rFonts w:eastAsia="Calibri"/>
                <w:lang w:val="en-US"/>
              </w:rPr>
              <w:t>32.0</w:t>
            </w:r>
          </w:p>
        </w:tc>
        <w:tc>
          <w:tcPr>
            <w:tcW w:w="1161" w:type="dxa"/>
            <w:tcBorders>
              <w:top w:val="nil"/>
              <w:left w:val="nil"/>
              <w:bottom w:val="nil"/>
            </w:tcBorders>
            <w:shd w:val="clear" w:color="auto" w:fill="auto"/>
            <w:vAlign w:val="center"/>
          </w:tcPr>
          <w:p w14:paraId="794FC9FD" w14:textId="77777777" w:rsidR="003877E0" w:rsidRPr="00475EEE" w:rsidRDefault="003877E0" w:rsidP="00E1513B">
            <w:pPr>
              <w:jc w:val="center"/>
              <w:rPr>
                <w:rFonts w:eastAsia="Calibri"/>
                <w:lang w:val="en-US"/>
              </w:rPr>
            </w:pPr>
          </w:p>
        </w:tc>
      </w:tr>
      <w:tr w:rsidR="003877E0" w:rsidRPr="00475EEE" w14:paraId="3F76192F" w14:textId="77777777" w:rsidTr="00E1513B">
        <w:trPr>
          <w:trHeight w:val="304"/>
        </w:trPr>
        <w:tc>
          <w:tcPr>
            <w:tcW w:w="1590" w:type="dxa"/>
            <w:tcBorders>
              <w:top w:val="nil"/>
              <w:bottom w:val="nil"/>
              <w:right w:val="nil"/>
            </w:tcBorders>
            <w:shd w:val="clear" w:color="auto" w:fill="auto"/>
            <w:vAlign w:val="center"/>
          </w:tcPr>
          <w:p w14:paraId="27509490" w14:textId="77777777" w:rsidR="003877E0" w:rsidRPr="00475EEE" w:rsidRDefault="003877E0" w:rsidP="00E1513B">
            <w:pPr>
              <w:jc w:val="center"/>
              <w:rPr>
                <w:rFonts w:eastAsia="Calibri"/>
                <w:lang w:val="en-US"/>
              </w:rPr>
            </w:pPr>
            <w:r w:rsidRPr="00475EEE">
              <w:rPr>
                <w:rFonts w:eastAsia="Calibri"/>
                <w:lang w:val="en-US"/>
              </w:rPr>
              <w:t>No</w:t>
            </w:r>
          </w:p>
        </w:tc>
        <w:tc>
          <w:tcPr>
            <w:tcW w:w="1176" w:type="dxa"/>
            <w:tcBorders>
              <w:top w:val="nil"/>
              <w:left w:val="nil"/>
              <w:bottom w:val="nil"/>
              <w:right w:val="nil"/>
            </w:tcBorders>
            <w:shd w:val="clear" w:color="auto" w:fill="auto"/>
            <w:vAlign w:val="center"/>
          </w:tcPr>
          <w:p w14:paraId="59601F32" w14:textId="5CF4CEFA" w:rsidR="003877E0" w:rsidRPr="00475EEE" w:rsidRDefault="003877E0" w:rsidP="00E1513B">
            <w:pPr>
              <w:jc w:val="center"/>
              <w:rPr>
                <w:rFonts w:eastAsia="Calibri"/>
                <w:lang w:val="en-US"/>
              </w:rPr>
            </w:pPr>
            <w:r w:rsidRPr="00475EEE">
              <w:rPr>
                <w:rFonts w:eastAsia="Calibri"/>
                <w:lang w:val="en-US"/>
              </w:rPr>
              <w:t>5</w:t>
            </w:r>
            <w:r w:rsidR="009439B6">
              <w:rPr>
                <w:rFonts w:eastAsia="Calibri"/>
                <w:lang w:val="en-US"/>
              </w:rPr>
              <w:t>23</w:t>
            </w:r>
          </w:p>
        </w:tc>
        <w:tc>
          <w:tcPr>
            <w:tcW w:w="1056" w:type="dxa"/>
            <w:tcBorders>
              <w:top w:val="nil"/>
              <w:left w:val="nil"/>
              <w:bottom w:val="nil"/>
              <w:right w:val="nil"/>
            </w:tcBorders>
            <w:shd w:val="clear" w:color="auto" w:fill="auto"/>
            <w:vAlign w:val="center"/>
          </w:tcPr>
          <w:p w14:paraId="5799948F" w14:textId="77777777" w:rsidR="003877E0" w:rsidRPr="00475EEE" w:rsidRDefault="003877E0" w:rsidP="00E1513B">
            <w:pPr>
              <w:jc w:val="center"/>
              <w:rPr>
                <w:rFonts w:eastAsia="Calibri"/>
                <w:lang w:val="en-US"/>
              </w:rPr>
            </w:pPr>
            <w:r w:rsidRPr="00475EEE">
              <w:rPr>
                <w:rFonts w:eastAsia="Calibri"/>
                <w:lang w:val="en-US"/>
              </w:rPr>
              <w:t>5.4</w:t>
            </w:r>
          </w:p>
        </w:tc>
        <w:tc>
          <w:tcPr>
            <w:tcW w:w="856" w:type="dxa"/>
            <w:tcBorders>
              <w:top w:val="nil"/>
              <w:left w:val="nil"/>
              <w:bottom w:val="nil"/>
              <w:right w:val="nil"/>
            </w:tcBorders>
            <w:shd w:val="clear" w:color="auto" w:fill="auto"/>
            <w:vAlign w:val="center"/>
          </w:tcPr>
          <w:p w14:paraId="39E51228" w14:textId="36B52B02" w:rsidR="003877E0" w:rsidRPr="00475EEE" w:rsidRDefault="003877E0" w:rsidP="00E1513B">
            <w:pPr>
              <w:jc w:val="center"/>
              <w:rPr>
                <w:rFonts w:eastAsia="Calibri"/>
                <w:lang w:val="en-US"/>
              </w:rPr>
            </w:pPr>
            <w:r w:rsidRPr="00475EEE">
              <w:rPr>
                <w:rFonts w:eastAsia="Calibri"/>
                <w:lang w:val="en-US"/>
              </w:rPr>
              <w:t>33.</w:t>
            </w:r>
            <w:r w:rsidR="009439B6">
              <w:rPr>
                <w:rFonts w:eastAsia="Calibri"/>
                <w:lang w:val="en-US"/>
              </w:rPr>
              <w:t>7</w:t>
            </w:r>
          </w:p>
        </w:tc>
        <w:tc>
          <w:tcPr>
            <w:tcW w:w="1161" w:type="dxa"/>
            <w:tcBorders>
              <w:top w:val="nil"/>
              <w:left w:val="nil"/>
              <w:bottom w:val="nil"/>
            </w:tcBorders>
            <w:shd w:val="clear" w:color="auto" w:fill="auto"/>
            <w:vAlign w:val="center"/>
          </w:tcPr>
          <w:p w14:paraId="23F66B10" w14:textId="77777777" w:rsidR="003877E0" w:rsidRPr="00475EEE" w:rsidRDefault="003877E0" w:rsidP="00E1513B">
            <w:pPr>
              <w:jc w:val="center"/>
              <w:rPr>
                <w:rFonts w:eastAsia="Calibri"/>
                <w:lang w:val="en-US"/>
              </w:rPr>
            </w:pPr>
          </w:p>
        </w:tc>
      </w:tr>
      <w:tr w:rsidR="003877E0" w:rsidRPr="00475EEE" w14:paraId="358603B8" w14:textId="77777777" w:rsidTr="00E1513B">
        <w:trPr>
          <w:trHeight w:val="304"/>
        </w:trPr>
        <w:tc>
          <w:tcPr>
            <w:tcW w:w="1590" w:type="dxa"/>
            <w:tcBorders>
              <w:top w:val="nil"/>
              <w:bottom w:val="nil"/>
              <w:right w:val="nil"/>
            </w:tcBorders>
            <w:shd w:val="clear" w:color="auto" w:fill="auto"/>
            <w:vAlign w:val="center"/>
          </w:tcPr>
          <w:p w14:paraId="30906317" w14:textId="77777777" w:rsidR="003877E0" w:rsidRPr="00E1513B" w:rsidRDefault="003877E0" w:rsidP="00E1513B">
            <w:pPr>
              <w:jc w:val="center"/>
              <w:rPr>
                <w:rFonts w:eastAsia="Calibri"/>
                <w:b/>
                <w:lang w:val="en-US"/>
              </w:rPr>
            </w:pPr>
            <w:r w:rsidRPr="00E1513B">
              <w:rPr>
                <w:rFonts w:eastAsia="Calibri"/>
                <w:b/>
                <w:lang w:val="en-US"/>
              </w:rPr>
              <w:t>Occupational PA</w:t>
            </w:r>
          </w:p>
        </w:tc>
        <w:tc>
          <w:tcPr>
            <w:tcW w:w="1176" w:type="dxa"/>
            <w:tcBorders>
              <w:top w:val="nil"/>
              <w:left w:val="nil"/>
              <w:bottom w:val="nil"/>
              <w:right w:val="nil"/>
            </w:tcBorders>
            <w:shd w:val="clear" w:color="auto" w:fill="auto"/>
            <w:vAlign w:val="center"/>
          </w:tcPr>
          <w:p w14:paraId="2E364884" w14:textId="77777777" w:rsidR="003877E0" w:rsidRPr="00475EEE" w:rsidRDefault="003877E0" w:rsidP="00E1513B">
            <w:pPr>
              <w:jc w:val="center"/>
              <w:rPr>
                <w:rFonts w:eastAsia="Calibri"/>
                <w:lang w:val="en-US"/>
              </w:rPr>
            </w:pPr>
          </w:p>
        </w:tc>
        <w:tc>
          <w:tcPr>
            <w:tcW w:w="1056" w:type="dxa"/>
            <w:tcBorders>
              <w:top w:val="nil"/>
              <w:left w:val="nil"/>
              <w:bottom w:val="nil"/>
              <w:right w:val="nil"/>
            </w:tcBorders>
            <w:shd w:val="clear" w:color="auto" w:fill="auto"/>
            <w:vAlign w:val="center"/>
          </w:tcPr>
          <w:p w14:paraId="7388BDA7" w14:textId="77777777" w:rsidR="003877E0" w:rsidRPr="00475EEE" w:rsidRDefault="003877E0" w:rsidP="00E1513B">
            <w:pPr>
              <w:jc w:val="center"/>
              <w:rPr>
                <w:rFonts w:eastAsia="Calibri"/>
                <w:lang w:val="en-US"/>
              </w:rPr>
            </w:pPr>
          </w:p>
        </w:tc>
        <w:tc>
          <w:tcPr>
            <w:tcW w:w="856" w:type="dxa"/>
            <w:tcBorders>
              <w:top w:val="nil"/>
              <w:left w:val="nil"/>
              <w:bottom w:val="nil"/>
              <w:right w:val="nil"/>
            </w:tcBorders>
            <w:shd w:val="clear" w:color="auto" w:fill="auto"/>
            <w:vAlign w:val="center"/>
          </w:tcPr>
          <w:p w14:paraId="5FE0975E" w14:textId="77777777" w:rsidR="003877E0" w:rsidRPr="00475EEE" w:rsidRDefault="003877E0" w:rsidP="00E1513B">
            <w:pPr>
              <w:jc w:val="center"/>
              <w:rPr>
                <w:rFonts w:eastAsia="Calibri"/>
                <w:lang w:val="en-US"/>
              </w:rPr>
            </w:pPr>
          </w:p>
        </w:tc>
        <w:tc>
          <w:tcPr>
            <w:tcW w:w="1161" w:type="dxa"/>
            <w:tcBorders>
              <w:top w:val="nil"/>
              <w:left w:val="nil"/>
              <w:bottom w:val="nil"/>
            </w:tcBorders>
            <w:shd w:val="clear" w:color="auto" w:fill="auto"/>
            <w:vAlign w:val="center"/>
          </w:tcPr>
          <w:p w14:paraId="461BD9F9" w14:textId="5F3FAB90" w:rsidR="003877E0" w:rsidRPr="00475EEE" w:rsidRDefault="008E46A6" w:rsidP="00E1513B">
            <w:pPr>
              <w:jc w:val="center"/>
              <w:rPr>
                <w:rFonts w:eastAsia="Calibri"/>
                <w:lang w:val="en-US"/>
              </w:rPr>
            </w:pPr>
            <w:r>
              <w:rPr>
                <w:rFonts w:eastAsia="Calibri"/>
                <w:lang w:val="en-US"/>
              </w:rPr>
              <w:t>&lt; .05</w:t>
            </w:r>
          </w:p>
        </w:tc>
      </w:tr>
      <w:tr w:rsidR="003877E0" w:rsidRPr="00475EEE" w14:paraId="559AFFDB" w14:textId="77777777" w:rsidTr="00E1513B">
        <w:trPr>
          <w:trHeight w:val="304"/>
        </w:trPr>
        <w:tc>
          <w:tcPr>
            <w:tcW w:w="1590" w:type="dxa"/>
            <w:tcBorders>
              <w:top w:val="nil"/>
              <w:bottom w:val="nil"/>
              <w:right w:val="nil"/>
            </w:tcBorders>
            <w:shd w:val="clear" w:color="auto" w:fill="auto"/>
            <w:vAlign w:val="center"/>
          </w:tcPr>
          <w:p w14:paraId="714970A6" w14:textId="77777777" w:rsidR="003877E0" w:rsidRPr="00475EEE" w:rsidRDefault="003877E0" w:rsidP="00E1513B">
            <w:pPr>
              <w:jc w:val="center"/>
              <w:rPr>
                <w:rFonts w:eastAsia="Calibri"/>
                <w:lang w:val="en-US"/>
              </w:rPr>
            </w:pPr>
            <w:r w:rsidRPr="00475EEE">
              <w:rPr>
                <w:rFonts w:eastAsia="Calibri"/>
                <w:lang w:val="en-US"/>
              </w:rPr>
              <w:t>Sedentary</w:t>
            </w:r>
          </w:p>
        </w:tc>
        <w:tc>
          <w:tcPr>
            <w:tcW w:w="1176" w:type="dxa"/>
            <w:tcBorders>
              <w:top w:val="nil"/>
              <w:left w:val="nil"/>
              <w:bottom w:val="nil"/>
              <w:right w:val="nil"/>
            </w:tcBorders>
            <w:shd w:val="clear" w:color="auto" w:fill="auto"/>
            <w:vAlign w:val="center"/>
          </w:tcPr>
          <w:p w14:paraId="29738319" w14:textId="28A5AA3A" w:rsidR="003877E0" w:rsidRPr="00475EEE" w:rsidRDefault="00E64D40" w:rsidP="00E1513B">
            <w:pPr>
              <w:jc w:val="center"/>
              <w:rPr>
                <w:rFonts w:eastAsia="Calibri"/>
                <w:lang w:val="en-US"/>
              </w:rPr>
            </w:pPr>
            <w:r w:rsidRPr="00475EEE">
              <w:rPr>
                <w:rFonts w:eastAsia="Calibri"/>
                <w:lang w:val="en-US"/>
              </w:rPr>
              <w:t>3</w:t>
            </w:r>
            <w:r>
              <w:rPr>
                <w:rFonts w:eastAsia="Calibri"/>
                <w:lang w:val="en-US"/>
              </w:rPr>
              <w:t>180</w:t>
            </w:r>
          </w:p>
        </w:tc>
        <w:tc>
          <w:tcPr>
            <w:tcW w:w="1056" w:type="dxa"/>
            <w:tcBorders>
              <w:top w:val="nil"/>
              <w:left w:val="nil"/>
              <w:bottom w:val="nil"/>
              <w:right w:val="nil"/>
            </w:tcBorders>
            <w:shd w:val="clear" w:color="auto" w:fill="auto"/>
            <w:vAlign w:val="center"/>
          </w:tcPr>
          <w:p w14:paraId="4F79140C" w14:textId="768030A9" w:rsidR="003877E0" w:rsidRPr="00475EEE" w:rsidRDefault="003877E0" w:rsidP="00E1513B">
            <w:pPr>
              <w:jc w:val="center"/>
              <w:rPr>
                <w:rFonts w:eastAsia="Calibri"/>
                <w:lang w:val="en-US"/>
              </w:rPr>
            </w:pPr>
            <w:r w:rsidRPr="00475EEE">
              <w:rPr>
                <w:rFonts w:eastAsia="Calibri"/>
                <w:lang w:val="en-US"/>
              </w:rPr>
              <w:t>32.</w:t>
            </w:r>
            <w:r w:rsidR="00E64D40">
              <w:rPr>
                <w:rFonts w:eastAsia="Calibri"/>
                <w:lang w:val="en-US"/>
              </w:rPr>
              <w:t>8</w:t>
            </w:r>
          </w:p>
        </w:tc>
        <w:tc>
          <w:tcPr>
            <w:tcW w:w="856" w:type="dxa"/>
            <w:tcBorders>
              <w:top w:val="nil"/>
              <w:left w:val="nil"/>
              <w:bottom w:val="nil"/>
              <w:right w:val="nil"/>
            </w:tcBorders>
            <w:shd w:val="clear" w:color="auto" w:fill="auto"/>
            <w:vAlign w:val="center"/>
          </w:tcPr>
          <w:p w14:paraId="7302F283" w14:textId="77777777" w:rsidR="003877E0" w:rsidRPr="00475EEE" w:rsidRDefault="003877E0" w:rsidP="00E1513B">
            <w:pPr>
              <w:jc w:val="center"/>
              <w:rPr>
                <w:rFonts w:eastAsia="Calibri"/>
                <w:lang w:val="en-US"/>
              </w:rPr>
            </w:pPr>
            <w:r w:rsidRPr="00475EEE">
              <w:rPr>
                <w:rFonts w:eastAsia="Calibri"/>
                <w:lang w:val="en-US"/>
              </w:rPr>
              <w:t>30.4</w:t>
            </w:r>
          </w:p>
        </w:tc>
        <w:tc>
          <w:tcPr>
            <w:tcW w:w="1161" w:type="dxa"/>
            <w:tcBorders>
              <w:top w:val="nil"/>
              <w:left w:val="nil"/>
              <w:bottom w:val="nil"/>
            </w:tcBorders>
            <w:shd w:val="clear" w:color="auto" w:fill="auto"/>
            <w:vAlign w:val="center"/>
          </w:tcPr>
          <w:p w14:paraId="531E89D8" w14:textId="77777777" w:rsidR="003877E0" w:rsidRPr="00475EEE" w:rsidRDefault="003877E0" w:rsidP="00E1513B">
            <w:pPr>
              <w:jc w:val="center"/>
              <w:rPr>
                <w:rFonts w:eastAsia="Calibri"/>
                <w:lang w:val="en-US"/>
              </w:rPr>
            </w:pPr>
          </w:p>
        </w:tc>
      </w:tr>
      <w:tr w:rsidR="003877E0" w:rsidRPr="00475EEE" w14:paraId="5C927A36" w14:textId="77777777" w:rsidTr="00E1513B">
        <w:trPr>
          <w:trHeight w:val="304"/>
        </w:trPr>
        <w:tc>
          <w:tcPr>
            <w:tcW w:w="1590" w:type="dxa"/>
            <w:tcBorders>
              <w:top w:val="nil"/>
              <w:bottom w:val="nil"/>
              <w:right w:val="nil"/>
            </w:tcBorders>
            <w:shd w:val="clear" w:color="auto" w:fill="auto"/>
            <w:vAlign w:val="center"/>
          </w:tcPr>
          <w:p w14:paraId="36564CFA" w14:textId="77777777" w:rsidR="003877E0" w:rsidRPr="00475EEE" w:rsidRDefault="003877E0" w:rsidP="00E1513B">
            <w:pPr>
              <w:jc w:val="center"/>
              <w:rPr>
                <w:rFonts w:eastAsia="Calibri"/>
                <w:lang w:val="en-US"/>
              </w:rPr>
            </w:pPr>
            <w:r w:rsidRPr="00475EEE">
              <w:rPr>
                <w:rFonts w:eastAsia="Calibri"/>
                <w:lang w:val="en-US"/>
              </w:rPr>
              <w:t>Low</w:t>
            </w:r>
          </w:p>
        </w:tc>
        <w:tc>
          <w:tcPr>
            <w:tcW w:w="1176" w:type="dxa"/>
            <w:tcBorders>
              <w:top w:val="nil"/>
              <w:left w:val="nil"/>
              <w:bottom w:val="nil"/>
              <w:right w:val="nil"/>
            </w:tcBorders>
            <w:shd w:val="clear" w:color="auto" w:fill="auto"/>
            <w:vAlign w:val="center"/>
          </w:tcPr>
          <w:p w14:paraId="27D3D32F" w14:textId="2ED7A913" w:rsidR="003877E0" w:rsidRPr="00475EEE" w:rsidRDefault="003877E0" w:rsidP="00E1513B">
            <w:pPr>
              <w:jc w:val="center"/>
              <w:rPr>
                <w:rFonts w:eastAsia="Calibri"/>
                <w:lang w:val="en-US"/>
              </w:rPr>
            </w:pPr>
            <w:r w:rsidRPr="00475EEE">
              <w:rPr>
                <w:rFonts w:eastAsia="Calibri"/>
                <w:lang w:val="en-US"/>
              </w:rPr>
              <w:t>4</w:t>
            </w:r>
            <w:r w:rsidR="00E64D40">
              <w:rPr>
                <w:rFonts w:eastAsia="Calibri"/>
                <w:lang w:val="en-US"/>
              </w:rPr>
              <w:t>179</w:t>
            </w:r>
          </w:p>
        </w:tc>
        <w:tc>
          <w:tcPr>
            <w:tcW w:w="1056" w:type="dxa"/>
            <w:tcBorders>
              <w:top w:val="nil"/>
              <w:left w:val="nil"/>
              <w:bottom w:val="nil"/>
              <w:right w:val="nil"/>
            </w:tcBorders>
            <w:shd w:val="clear" w:color="auto" w:fill="auto"/>
            <w:vAlign w:val="center"/>
          </w:tcPr>
          <w:p w14:paraId="04598D0B" w14:textId="57708794" w:rsidR="003877E0" w:rsidRPr="00475EEE" w:rsidRDefault="003877E0" w:rsidP="00E1513B">
            <w:pPr>
              <w:jc w:val="center"/>
              <w:rPr>
                <w:rFonts w:eastAsia="Calibri"/>
                <w:lang w:val="en-US"/>
              </w:rPr>
            </w:pPr>
            <w:r w:rsidRPr="00475EEE">
              <w:rPr>
                <w:rFonts w:eastAsia="Calibri"/>
                <w:lang w:val="en-US"/>
              </w:rPr>
              <w:t>4</w:t>
            </w:r>
            <w:r w:rsidR="00E64D40">
              <w:rPr>
                <w:rFonts w:eastAsia="Calibri"/>
                <w:lang w:val="en-US"/>
              </w:rPr>
              <w:t>3</w:t>
            </w:r>
            <w:r w:rsidRPr="00475EEE">
              <w:rPr>
                <w:rFonts w:eastAsia="Calibri"/>
                <w:lang w:val="en-US"/>
              </w:rPr>
              <w:t>.</w:t>
            </w:r>
            <w:r w:rsidR="00E64D40">
              <w:rPr>
                <w:rFonts w:eastAsia="Calibri"/>
                <w:lang w:val="en-US"/>
              </w:rPr>
              <w:t>1</w:t>
            </w:r>
          </w:p>
        </w:tc>
        <w:tc>
          <w:tcPr>
            <w:tcW w:w="856" w:type="dxa"/>
            <w:tcBorders>
              <w:top w:val="nil"/>
              <w:left w:val="nil"/>
              <w:bottom w:val="nil"/>
              <w:right w:val="nil"/>
            </w:tcBorders>
            <w:shd w:val="clear" w:color="auto" w:fill="auto"/>
            <w:vAlign w:val="center"/>
          </w:tcPr>
          <w:p w14:paraId="7A847FBD" w14:textId="77777777" w:rsidR="003877E0" w:rsidRPr="00475EEE" w:rsidRDefault="003877E0" w:rsidP="00E1513B">
            <w:pPr>
              <w:jc w:val="center"/>
              <w:rPr>
                <w:rFonts w:eastAsia="Calibri"/>
                <w:lang w:val="en-US"/>
              </w:rPr>
            </w:pPr>
            <w:r w:rsidRPr="00475EEE">
              <w:rPr>
                <w:rFonts w:eastAsia="Calibri"/>
                <w:lang w:val="en-US"/>
              </w:rPr>
              <w:t>32.6</w:t>
            </w:r>
          </w:p>
        </w:tc>
        <w:tc>
          <w:tcPr>
            <w:tcW w:w="1161" w:type="dxa"/>
            <w:tcBorders>
              <w:top w:val="nil"/>
              <w:left w:val="nil"/>
              <w:bottom w:val="nil"/>
            </w:tcBorders>
            <w:shd w:val="clear" w:color="auto" w:fill="auto"/>
            <w:vAlign w:val="center"/>
          </w:tcPr>
          <w:p w14:paraId="48255DF6" w14:textId="77777777" w:rsidR="003877E0" w:rsidRPr="00475EEE" w:rsidRDefault="003877E0" w:rsidP="00E1513B">
            <w:pPr>
              <w:jc w:val="center"/>
              <w:rPr>
                <w:rFonts w:eastAsia="Calibri"/>
                <w:lang w:val="en-US"/>
              </w:rPr>
            </w:pPr>
          </w:p>
        </w:tc>
      </w:tr>
      <w:tr w:rsidR="003877E0" w:rsidRPr="00475EEE" w14:paraId="22A5E145" w14:textId="77777777" w:rsidTr="00E1513B">
        <w:trPr>
          <w:trHeight w:val="304"/>
        </w:trPr>
        <w:tc>
          <w:tcPr>
            <w:tcW w:w="1590" w:type="dxa"/>
            <w:tcBorders>
              <w:top w:val="nil"/>
              <w:bottom w:val="nil"/>
              <w:right w:val="nil"/>
            </w:tcBorders>
            <w:shd w:val="clear" w:color="auto" w:fill="auto"/>
            <w:vAlign w:val="center"/>
          </w:tcPr>
          <w:p w14:paraId="7A674D45" w14:textId="77777777" w:rsidR="003877E0" w:rsidRPr="00475EEE" w:rsidRDefault="003877E0" w:rsidP="00E1513B">
            <w:pPr>
              <w:jc w:val="center"/>
              <w:rPr>
                <w:rFonts w:eastAsia="Calibri"/>
                <w:lang w:val="en-US"/>
              </w:rPr>
            </w:pPr>
            <w:r w:rsidRPr="00475EEE">
              <w:rPr>
                <w:rFonts w:eastAsia="Calibri"/>
                <w:lang w:val="en-US"/>
              </w:rPr>
              <w:t>Moderate</w:t>
            </w:r>
          </w:p>
        </w:tc>
        <w:tc>
          <w:tcPr>
            <w:tcW w:w="1176" w:type="dxa"/>
            <w:tcBorders>
              <w:top w:val="nil"/>
              <w:left w:val="nil"/>
              <w:bottom w:val="nil"/>
              <w:right w:val="nil"/>
            </w:tcBorders>
            <w:shd w:val="clear" w:color="auto" w:fill="auto"/>
            <w:vAlign w:val="center"/>
          </w:tcPr>
          <w:p w14:paraId="680C403B" w14:textId="130E17B4" w:rsidR="003877E0" w:rsidRPr="00475EEE" w:rsidRDefault="003877E0" w:rsidP="00E1513B">
            <w:pPr>
              <w:jc w:val="center"/>
              <w:rPr>
                <w:rFonts w:eastAsia="Calibri"/>
                <w:lang w:val="en-US"/>
              </w:rPr>
            </w:pPr>
            <w:r w:rsidRPr="00475EEE">
              <w:rPr>
                <w:rFonts w:eastAsia="Calibri"/>
                <w:lang w:val="en-US"/>
              </w:rPr>
              <w:t>18</w:t>
            </w:r>
            <w:r w:rsidR="00E64D40">
              <w:rPr>
                <w:rFonts w:eastAsia="Calibri"/>
                <w:lang w:val="en-US"/>
              </w:rPr>
              <w:t>12</w:t>
            </w:r>
          </w:p>
        </w:tc>
        <w:tc>
          <w:tcPr>
            <w:tcW w:w="1056" w:type="dxa"/>
            <w:tcBorders>
              <w:top w:val="nil"/>
              <w:left w:val="nil"/>
              <w:bottom w:val="nil"/>
              <w:right w:val="nil"/>
            </w:tcBorders>
            <w:shd w:val="clear" w:color="auto" w:fill="auto"/>
            <w:vAlign w:val="center"/>
          </w:tcPr>
          <w:p w14:paraId="3909147D" w14:textId="1EB00D30" w:rsidR="003877E0" w:rsidRPr="00475EEE" w:rsidRDefault="003877E0" w:rsidP="00E1513B">
            <w:pPr>
              <w:jc w:val="center"/>
              <w:rPr>
                <w:rFonts w:eastAsia="Calibri"/>
                <w:lang w:val="en-US"/>
              </w:rPr>
            </w:pPr>
            <w:r w:rsidRPr="00475EEE">
              <w:rPr>
                <w:rFonts w:eastAsia="Calibri"/>
                <w:lang w:val="en-US"/>
              </w:rPr>
              <w:t>18.</w:t>
            </w:r>
            <w:r w:rsidR="00E64D40">
              <w:rPr>
                <w:rFonts w:eastAsia="Calibri"/>
                <w:lang w:val="en-US"/>
              </w:rPr>
              <w:t>7</w:t>
            </w:r>
          </w:p>
        </w:tc>
        <w:tc>
          <w:tcPr>
            <w:tcW w:w="856" w:type="dxa"/>
            <w:tcBorders>
              <w:top w:val="nil"/>
              <w:left w:val="nil"/>
              <w:bottom w:val="nil"/>
              <w:right w:val="nil"/>
            </w:tcBorders>
            <w:shd w:val="clear" w:color="auto" w:fill="auto"/>
            <w:vAlign w:val="center"/>
          </w:tcPr>
          <w:p w14:paraId="2C63DF52" w14:textId="62F6B823" w:rsidR="003877E0" w:rsidRPr="00475EEE" w:rsidRDefault="003877E0" w:rsidP="00E1513B">
            <w:pPr>
              <w:jc w:val="center"/>
              <w:rPr>
                <w:rFonts w:eastAsia="Calibri"/>
                <w:lang w:val="en-US"/>
              </w:rPr>
            </w:pPr>
            <w:r w:rsidRPr="00475EEE">
              <w:rPr>
                <w:rFonts w:eastAsia="Calibri"/>
                <w:lang w:val="en-US"/>
              </w:rPr>
              <w:t>33.</w:t>
            </w:r>
            <w:r w:rsidR="009439B6">
              <w:rPr>
                <w:rFonts w:eastAsia="Calibri"/>
                <w:lang w:val="en-US"/>
              </w:rPr>
              <w:t>5</w:t>
            </w:r>
          </w:p>
        </w:tc>
        <w:tc>
          <w:tcPr>
            <w:tcW w:w="1161" w:type="dxa"/>
            <w:tcBorders>
              <w:top w:val="nil"/>
              <w:left w:val="nil"/>
              <w:bottom w:val="nil"/>
            </w:tcBorders>
            <w:shd w:val="clear" w:color="auto" w:fill="auto"/>
            <w:vAlign w:val="center"/>
          </w:tcPr>
          <w:p w14:paraId="0E7B1373" w14:textId="77777777" w:rsidR="003877E0" w:rsidRPr="00475EEE" w:rsidRDefault="003877E0" w:rsidP="00E1513B">
            <w:pPr>
              <w:jc w:val="center"/>
              <w:rPr>
                <w:rFonts w:eastAsia="Calibri"/>
                <w:lang w:val="en-US"/>
              </w:rPr>
            </w:pPr>
          </w:p>
        </w:tc>
      </w:tr>
      <w:tr w:rsidR="003877E0" w:rsidRPr="00475EEE" w14:paraId="030F8558" w14:textId="77777777" w:rsidTr="00E1513B">
        <w:trPr>
          <w:trHeight w:val="304"/>
        </w:trPr>
        <w:tc>
          <w:tcPr>
            <w:tcW w:w="1590" w:type="dxa"/>
            <w:tcBorders>
              <w:top w:val="nil"/>
              <w:bottom w:val="nil"/>
              <w:right w:val="nil"/>
            </w:tcBorders>
            <w:shd w:val="clear" w:color="auto" w:fill="auto"/>
            <w:vAlign w:val="center"/>
          </w:tcPr>
          <w:p w14:paraId="50BFDA46" w14:textId="77777777" w:rsidR="003877E0" w:rsidRPr="00475EEE" w:rsidRDefault="003877E0" w:rsidP="00E1513B">
            <w:pPr>
              <w:jc w:val="center"/>
              <w:rPr>
                <w:rFonts w:eastAsia="Calibri"/>
                <w:lang w:val="en-US"/>
              </w:rPr>
            </w:pPr>
            <w:r w:rsidRPr="00475EEE">
              <w:rPr>
                <w:rFonts w:eastAsia="Calibri"/>
                <w:lang w:val="en-US"/>
              </w:rPr>
              <w:lastRenderedPageBreak/>
              <w:t>High</w:t>
            </w:r>
          </w:p>
        </w:tc>
        <w:tc>
          <w:tcPr>
            <w:tcW w:w="1176" w:type="dxa"/>
            <w:tcBorders>
              <w:top w:val="nil"/>
              <w:left w:val="nil"/>
              <w:bottom w:val="nil"/>
              <w:right w:val="nil"/>
            </w:tcBorders>
            <w:shd w:val="clear" w:color="auto" w:fill="auto"/>
            <w:vAlign w:val="center"/>
          </w:tcPr>
          <w:p w14:paraId="6B2590D6" w14:textId="2E02FE6B" w:rsidR="003877E0" w:rsidRPr="00475EEE" w:rsidRDefault="003877E0" w:rsidP="00E1513B">
            <w:pPr>
              <w:jc w:val="center"/>
              <w:rPr>
                <w:rFonts w:eastAsia="Calibri"/>
                <w:lang w:val="en-US"/>
              </w:rPr>
            </w:pPr>
            <w:r w:rsidRPr="00475EEE">
              <w:rPr>
                <w:rFonts w:eastAsia="Calibri"/>
                <w:lang w:val="en-US"/>
              </w:rPr>
              <w:t>5</w:t>
            </w:r>
            <w:r w:rsidR="00E64D40">
              <w:rPr>
                <w:rFonts w:eastAsia="Calibri"/>
                <w:lang w:val="en-US"/>
              </w:rPr>
              <w:t>24</w:t>
            </w:r>
          </w:p>
        </w:tc>
        <w:tc>
          <w:tcPr>
            <w:tcW w:w="1056" w:type="dxa"/>
            <w:tcBorders>
              <w:top w:val="nil"/>
              <w:left w:val="nil"/>
              <w:bottom w:val="nil"/>
              <w:right w:val="nil"/>
            </w:tcBorders>
            <w:shd w:val="clear" w:color="auto" w:fill="auto"/>
            <w:vAlign w:val="center"/>
          </w:tcPr>
          <w:p w14:paraId="1B3240AE" w14:textId="77777777" w:rsidR="003877E0" w:rsidRPr="00475EEE" w:rsidRDefault="003877E0" w:rsidP="00E1513B">
            <w:pPr>
              <w:jc w:val="center"/>
              <w:rPr>
                <w:rFonts w:eastAsia="Calibri"/>
                <w:lang w:val="en-US"/>
              </w:rPr>
            </w:pPr>
            <w:r w:rsidRPr="00475EEE">
              <w:rPr>
                <w:rFonts w:eastAsia="Calibri"/>
                <w:lang w:val="en-US"/>
              </w:rPr>
              <w:t>5.4</w:t>
            </w:r>
          </w:p>
        </w:tc>
        <w:tc>
          <w:tcPr>
            <w:tcW w:w="856" w:type="dxa"/>
            <w:tcBorders>
              <w:top w:val="nil"/>
              <w:left w:val="nil"/>
              <w:bottom w:val="nil"/>
              <w:right w:val="nil"/>
            </w:tcBorders>
            <w:shd w:val="clear" w:color="auto" w:fill="auto"/>
            <w:vAlign w:val="center"/>
          </w:tcPr>
          <w:p w14:paraId="71E80C14" w14:textId="77777777" w:rsidR="003877E0" w:rsidRPr="00475EEE" w:rsidRDefault="003877E0" w:rsidP="00E1513B">
            <w:pPr>
              <w:jc w:val="center"/>
              <w:rPr>
                <w:rFonts w:eastAsia="Calibri"/>
                <w:lang w:val="en-US"/>
              </w:rPr>
            </w:pPr>
            <w:r w:rsidRPr="00475EEE">
              <w:rPr>
                <w:rFonts w:eastAsia="Calibri"/>
                <w:lang w:val="en-US"/>
              </w:rPr>
              <w:t>35.2</w:t>
            </w:r>
          </w:p>
        </w:tc>
        <w:tc>
          <w:tcPr>
            <w:tcW w:w="1161" w:type="dxa"/>
            <w:tcBorders>
              <w:top w:val="nil"/>
              <w:left w:val="nil"/>
              <w:bottom w:val="nil"/>
            </w:tcBorders>
            <w:shd w:val="clear" w:color="auto" w:fill="auto"/>
            <w:vAlign w:val="center"/>
          </w:tcPr>
          <w:p w14:paraId="6E24564C" w14:textId="77777777" w:rsidR="003877E0" w:rsidRPr="00475EEE" w:rsidRDefault="003877E0" w:rsidP="00E1513B">
            <w:pPr>
              <w:jc w:val="center"/>
              <w:rPr>
                <w:rFonts w:eastAsia="Calibri"/>
                <w:lang w:val="en-US"/>
              </w:rPr>
            </w:pPr>
          </w:p>
        </w:tc>
      </w:tr>
      <w:tr w:rsidR="003877E0" w:rsidRPr="00475EEE" w14:paraId="4236B6B1" w14:textId="77777777" w:rsidTr="00E1513B">
        <w:trPr>
          <w:trHeight w:val="304"/>
        </w:trPr>
        <w:tc>
          <w:tcPr>
            <w:tcW w:w="5839" w:type="dxa"/>
            <w:gridSpan w:val="5"/>
            <w:tcBorders>
              <w:top w:val="single" w:sz="4" w:space="0" w:color="auto"/>
              <w:bottom w:val="single" w:sz="4" w:space="0" w:color="auto"/>
            </w:tcBorders>
            <w:shd w:val="clear" w:color="auto" w:fill="auto"/>
            <w:vAlign w:val="center"/>
          </w:tcPr>
          <w:p w14:paraId="0AF88F2B" w14:textId="1290C824" w:rsidR="00C94050" w:rsidRDefault="00962EF7" w:rsidP="006B3578">
            <w:pPr>
              <w:jc w:val="both"/>
              <w:rPr>
                <w:rFonts w:eastAsia="Calibri"/>
                <w:lang w:val="en-US"/>
              </w:rPr>
            </w:pPr>
            <w:r w:rsidRPr="00962EF7">
              <w:rPr>
                <w:rFonts w:eastAsia="Calibri"/>
                <w:lang w:val="en-US"/>
              </w:rPr>
              <w:t>Abbreviations</w:t>
            </w:r>
            <w:r>
              <w:rPr>
                <w:rFonts w:eastAsia="Calibri"/>
                <w:lang w:val="en-US"/>
              </w:rPr>
              <w:t xml:space="preserve">: </w:t>
            </w:r>
            <w:r w:rsidR="003877E0" w:rsidRPr="00475EEE">
              <w:rPr>
                <w:rFonts w:eastAsia="Calibri"/>
                <w:lang w:val="en-US"/>
              </w:rPr>
              <w:t>SD</w:t>
            </w:r>
            <w:r>
              <w:rPr>
                <w:rFonts w:eastAsia="Calibri"/>
                <w:lang w:val="en-US"/>
              </w:rPr>
              <w:t>,</w:t>
            </w:r>
            <w:r w:rsidR="00733C2C" w:rsidRPr="00475EEE">
              <w:rPr>
                <w:rFonts w:eastAsia="Calibri"/>
                <w:lang w:val="en-US"/>
              </w:rPr>
              <w:t xml:space="preserve"> </w:t>
            </w:r>
            <w:r>
              <w:rPr>
                <w:rFonts w:eastAsia="Calibri"/>
                <w:lang w:val="en-US"/>
              </w:rPr>
              <w:t>s</w:t>
            </w:r>
            <w:r w:rsidR="003877E0" w:rsidRPr="00475EEE">
              <w:rPr>
                <w:rFonts w:eastAsia="Calibri"/>
                <w:lang w:val="en-US"/>
              </w:rPr>
              <w:t xml:space="preserve">tandard </w:t>
            </w:r>
            <w:r w:rsidR="00C94050">
              <w:rPr>
                <w:rFonts w:eastAsia="Calibri"/>
                <w:lang w:val="en-US"/>
              </w:rPr>
              <w:t>d</w:t>
            </w:r>
            <w:r w:rsidR="003877E0" w:rsidRPr="00475EEE">
              <w:rPr>
                <w:rFonts w:eastAsia="Calibri"/>
                <w:lang w:val="en-US"/>
              </w:rPr>
              <w:t>eviation</w:t>
            </w:r>
            <w:r>
              <w:rPr>
                <w:rFonts w:eastAsia="Calibri"/>
                <w:lang w:val="en-US"/>
              </w:rPr>
              <w:t>; PA, p</w:t>
            </w:r>
            <w:r w:rsidR="00C94050">
              <w:rPr>
                <w:rFonts w:eastAsia="Calibri"/>
                <w:lang w:val="en-US"/>
              </w:rPr>
              <w:t>hysical activity</w:t>
            </w:r>
            <w:r w:rsidR="00BB23D6">
              <w:rPr>
                <w:rFonts w:eastAsia="Calibri"/>
                <w:lang w:val="en-US"/>
              </w:rPr>
              <w:t>.</w:t>
            </w:r>
          </w:p>
          <w:p w14:paraId="5877749E" w14:textId="575AD3E2" w:rsidR="000D07C2" w:rsidRPr="00BB23D6" w:rsidRDefault="000D07C2" w:rsidP="006B3578">
            <w:pPr>
              <w:jc w:val="both"/>
              <w:rPr>
                <w:rFonts w:eastAsia="Calibri"/>
                <w:lang w:val="en-US"/>
              </w:rPr>
            </w:pPr>
            <w:r w:rsidRPr="00E1513B">
              <w:rPr>
                <w:rFonts w:eastAsia="Calibri"/>
                <w:vertAlign w:val="superscript"/>
                <w:lang w:val="en-US"/>
              </w:rPr>
              <w:t>a</w:t>
            </w:r>
            <w:r>
              <w:t>H</w:t>
            </w:r>
            <w:r w:rsidRPr="00BB23D6">
              <w:t>ypertension</w:t>
            </w:r>
            <w:r>
              <w:t xml:space="preserve">, </w:t>
            </w:r>
            <w:r w:rsidRPr="00E1513B">
              <w:rPr>
                <w:rFonts w:eastAsia="Calibri"/>
                <w:lang w:val="en-US"/>
              </w:rPr>
              <w:t>diabetes, chronic neck pain, chronic low back pain, depression and anxiety</w:t>
            </w:r>
            <w:r w:rsidR="00BB23D6">
              <w:rPr>
                <w:rFonts w:eastAsia="Calibri"/>
                <w:lang w:val="en-US"/>
              </w:rPr>
              <w:t>.</w:t>
            </w:r>
          </w:p>
          <w:p w14:paraId="4E4C707C" w14:textId="7F274A27" w:rsidR="00733C2C" w:rsidRPr="00475EEE" w:rsidRDefault="00ED25F4" w:rsidP="006B3578">
            <w:pPr>
              <w:jc w:val="both"/>
              <w:rPr>
                <w:rFonts w:eastAsia="Calibri"/>
                <w:lang w:val="en-US"/>
              </w:rPr>
            </w:pPr>
            <w:proofErr w:type="spellStart"/>
            <w:r>
              <w:rPr>
                <w:rFonts w:eastAsia="Calibri"/>
                <w:vertAlign w:val="superscript"/>
                <w:lang w:val="en-US"/>
              </w:rPr>
              <w:t>b</w:t>
            </w:r>
            <w:r w:rsidRPr="00475EEE">
              <w:rPr>
                <w:rFonts w:eastAsia="Calibri"/>
                <w:lang w:val="en-US"/>
              </w:rPr>
              <w:t>Chi</w:t>
            </w:r>
            <w:proofErr w:type="spellEnd"/>
            <w:r w:rsidRPr="00475EEE">
              <w:rPr>
                <w:rFonts w:eastAsia="Calibri"/>
                <w:lang w:val="en-US"/>
              </w:rPr>
              <w:t xml:space="preserve"> </w:t>
            </w:r>
            <w:r w:rsidR="00733C2C" w:rsidRPr="00475EEE">
              <w:rPr>
                <w:rFonts w:eastAsia="Calibri"/>
                <w:lang w:val="en-US"/>
              </w:rPr>
              <w:t>square test</w:t>
            </w:r>
            <w:r w:rsidR="00BB23D6">
              <w:rPr>
                <w:rFonts w:eastAsia="Calibri"/>
                <w:lang w:val="en-US"/>
              </w:rPr>
              <w:t>.</w:t>
            </w:r>
          </w:p>
          <w:p w14:paraId="24FABD23" w14:textId="3732B19F" w:rsidR="003877E0" w:rsidRPr="00475EEE" w:rsidRDefault="003877E0" w:rsidP="006B3578">
            <w:pPr>
              <w:jc w:val="both"/>
              <w:rPr>
                <w:rFonts w:eastAsia="Calibri"/>
                <w:lang w:val="en-US"/>
              </w:rPr>
            </w:pPr>
          </w:p>
        </w:tc>
      </w:tr>
    </w:tbl>
    <w:p w14:paraId="480B6903" w14:textId="77777777" w:rsidR="003877E0" w:rsidRPr="00475EEE" w:rsidRDefault="003877E0" w:rsidP="006B3578">
      <w:pPr>
        <w:jc w:val="both"/>
      </w:pPr>
    </w:p>
    <w:p w14:paraId="78C86137" w14:textId="77777777" w:rsidR="003877E0" w:rsidRPr="00475EEE" w:rsidRDefault="003877E0" w:rsidP="006B3578">
      <w:pPr>
        <w:jc w:val="both"/>
      </w:pPr>
    </w:p>
    <w:p w14:paraId="3A4685F9" w14:textId="77777777" w:rsidR="003877E0" w:rsidRPr="00475EEE" w:rsidRDefault="003877E0" w:rsidP="006B3578">
      <w:pPr>
        <w:jc w:val="both"/>
      </w:pPr>
    </w:p>
    <w:p w14:paraId="3E8E7933" w14:textId="77777777" w:rsidR="003877E0" w:rsidRPr="00475EEE" w:rsidRDefault="003877E0" w:rsidP="006B3578">
      <w:pPr>
        <w:jc w:val="both"/>
      </w:pPr>
    </w:p>
    <w:p w14:paraId="7ACC67E6" w14:textId="77777777" w:rsidR="003877E0" w:rsidRPr="00475EEE" w:rsidRDefault="003877E0" w:rsidP="006B3578">
      <w:pPr>
        <w:jc w:val="both"/>
      </w:pPr>
    </w:p>
    <w:p w14:paraId="0EBAE29C" w14:textId="77777777" w:rsidR="003877E0" w:rsidRPr="00475EEE" w:rsidRDefault="003877E0" w:rsidP="006B3578">
      <w:pPr>
        <w:jc w:val="both"/>
      </w:pPr>
    </w:p>
    <w:p w14:paraId="32943E7C" w14:textId="77777777" w:rsidR="003877E0" w:rsidRPr="00475EEE" w:rsidRDefault="003877E0" w:rsidP="006B3578">
      <w:pPr>
        <w:jc w:val="both"/>
      </w:pPr>
    </w:p>
    <w:p w14:paraId="7C2DDD48" w14:textId="77777777" w:rsidR="003877E0" w:rsidRPr="00475EEE" w:rsidRDefault="003877E0" w:rsidP="006B3578">
      <w:pPr>
        <w:jc w:val="both"/>
      </w:pPr>
    </w:p>
    <w:p w14:paraId="34FD2CE8" w14:textId="319F8DAD" w:rsidR="008E46A6" w:rsidRDefault="008E46A6" w:rsidP="008E46A6">
      <w:pPr>
        <w:jc w:val="both"/>
      </w:pPr>
    </w:p>
    <w:p w14:paraId="068F02E1" w14:textId="6200487C" w:rsidR="003877E0" w:rsidRPr="00475EEE" w:rsidRDefault="008E46A6" w:rsidP="008E46A6">
      <w:pPr>
        <w:jc w:val="both"/>
      </w:pPr>
      <w:r>
        <w:t xml:space="preserve"> </w:t>
      </w:r>
    </w:p>
    <w:p w14:paraId="376E1E9F" w14:textId="77777777" w:rsidR="003877E0" w:rsidRPr="00475EEE" w:rsidRDefault="003877E0" w:rsidP="006B3578">
      <w:pPr>
        <w:jc w:val="both"/>
      </w:pPr>
    </w:p>
    <w:p w14:paraId="16998C09" w14:textId="77777777" w:rsidR="003877E0" w:rsidRPr="00475EEE" w:rsidRDefault="003877E0" w:rsidP="006B3578">
      <w:pPr>
        <w:jc w:val="both"/>
      </w:pPr>
    </w:p>
    <w:p w14:paraId="1B9DF9AE" w14:textId="77777777" w:rsidR="003877E0" w:rsidRPr="00475EEE" w:rsidRDefault="003877E0" w:rsidP="006B3578">
      <w:pPr>
        <w:jc w:val="both"/>
      </w:pPr>
    </w:p>
    <w:p w14:paraId="16805BD5" w14:textId="77777777" w:rsidR="003877E0" w:rsidRPr="00475EEE" w:rsidRDefault="003877E0" w:rsidP="006B3578">
      <w:pPr>
        <w:jc w:val="both"/>
      </w:pPr>
    </w:p>
    <w:p w14:paraId="554FC921" w14:textId="77777777" w:rsidR="003877E0" w:rsidRPr="00475EEE" w:rsidRDefault="003877E0" w:rsidP="006B3578">
      <w:pPr>
        <w:jc w:val="both"/>
      </w:pPr>
    </w:p>
    <w:p w14:paraId="70E3CD27" w14:textId="77777777" w:rsidR="003877E0" w:rsidRPr="00475EEE" w:rsidRDefault="003877E0" w:rsidP="006B3578">
      <w:pPr>
        <w:jc w:val="both"/>
      </w:pPr>
    </w:p>
    <w:p w14:paraId="6E424D06" w14:textId="77777777" w:rsidR="003877E0" w:rsidRPr="00475EEE" w:rsidRDefault="003877E0" w:rsidP="006B3578">
      <w:pPr>
        <w:jc w:val="both"/>
      </w:pPr>
    </w:p>
    <w:p w14:paraId="0091C2C3" w14:textId="77777777" w:rsidR="003877E0" w:rsidRPr="00475EEE" w:rsidRDefault="003877E0" w:rsidP="006B3578">
      <w:pPr>
        <w:jc w:val="both"/>
      </w:pPr>
    </w:p>
    <w:p w14:paraId="72E975BF" w14:textId="77777777" w:rsidR="003877E0" w:rsidRPr="00475EEE" w:rsidRDefault="003877E0" w:rsidP="006B3578">
      <w:pPr>
        <w:jc w:val="both"/>
      </w:pPr>
    </w:p>
    <w:p w14:paraId="01572876" w14:textId="77777777" w:rsidR="003877E0" w:rsidRPr="00475EEE" w:rsidRDefault="003877E0" w:rsidP="006B3578">
      <w:pPr>
        <w:jc w:val="both"/>
      </w:pPr>
    </w:p>
    <w:p w14:paraId="07B7F07E" w14:textId="77777777" w:rsidR="003877E0" w:rsidRPr="00475EEE" w:rsidRDefault="003877E0" w:rsidP="006B3578">
      <w:pPr>
        <w:jc w:val="both"/>
      </w:pPr>
    </w:p>
    <w:p w14:paraId="3691B90A" w14:textId="77777777" w:rsidR="003877E0" w:rsidRPr="00475EEE" w:rsidRDefault="003877E0" w:rsidP="006B3578">
      <w:pPr>
        <w:jc w:val="both"/>
      </w:pPr>
    </w:p>
    <w:p w14:paraId="0F747A82" w14:textId="77777777" w:rsidR="003877E0" w:rsidRPr="00475EEE" w:rsidRDefault="003877E0" w:rsidP="006B3578">
      <w:pPr>
        <w:jc w:val="both"/>
      </w:pPr>
    </w:p>
    <w:p w14:paraId="028C7C23" w14:textId="77777777" w:rsidR="003877E0" w:rsidRPr="00475EEE" w:rsidRDefault="003877E0" w:rsidP="006B3578">
      <w:pPr>
        <w:jc w:val="both"/>
      </w:pPr>
    </w:p>
    <w:p w14:paraId="6282F2F3" w14:textId="77777777" w:rsidR="003877E0" w:rsidRPr="00475EEE" w:rsidRDefault="003877E0" w:rsidP="006B3578">
      <w:pPr>
        <w:jc w:val="both"/>
      </w:pPr>
    </w:p>
    <w:p w14:paraId="54AF42DF" w14:textId="77777777" w:rsidR="003877E0" w:rsidRPr="00475EEE" w:rsidRDefault="003877E0" w:rsidP="006B3578">
      <w:pPr>
        <w:jc w:val="both"/>
      </w:pPr>
    </w:p>
    <w:p w14:paraId="62A559C0" w14:textId="77777777" w:rsidR="003877E0" w:rsidRPr="00475EEE" w:rsidRDefault="003877E0" w:rsidP="006B3578">
      <w:pPr>
        <w:jc w:val="both"/>
      </w:pPr>
    </w:p>
    <w:p w14:paraId="7C70F470" w14:textId="77777777" w:rsidR="003877E0" w:rsidRPr="00475EEE" w:rsidRDefault="003877E0" w:rsidP="006B3578">
      <w:pPr>
        <w:jc w:val="both"/>
      </w:pPr>
    </w:p>
    <w:p w14:paraId="145E56CA" w14:textId="77777777" w:rsidR="003877E0" w:rsidRPr="00475EEE" w:rsidRDefault="003877E0" w:rsidP="006B3578">
      <w:pPr>
        <w:jc w:val="both"/>
      </w:pPr>
    </w:p>
    <w:p w14:paraId="02343EA8" w14:textId="77777777" w:rsidR="003877E0" w:rsidRPr="00475EEE" w:rsidRDefault="003877E0" w:rsidP="006B3578">
      <w:pPr>
        <w:jc w:val="both"/>
      </w:pPr>
    </w:p>
    <w:p w14:paraId="29545A25" w14:textId="77777777" w:rsidR="003877E0" w:rsidRPr="00475EEE" w:rsidRDefault="003877E0" w:rsidP="006B3578">
      <w:pPr>
        <w:jc w:val="both"/>
      </w:pPr>
    </w:p>
    <w:p w14:paraId="2413103E" w14:textId="77777777" w:rsidR="003877E0" w:rsidRPr="00475EEE" w:rsidRDefault="003877E0" w:rsidP="006B3578">
      <w:pPr>
        <w:jc w:val="both"/>
      </w:pPr>
    </w:p>
    <w:p w14:paraId="0A62D9FE" w14:textId="77777777" w:rsidR="003877E0" w:rsidRPr="00475EEE" w:rsidRDefault="003877E0" w:rsidP="006B3578">
      <w:pPr>
        <w:jc w:val="both"/>
      </w:pPr>
    </w:p>
    <w:p w14:paraId="0D5192FC" w14:textId="77777777" w:rsidR="003877E0" w:rsidRPr="00475EEE" w:rsidRDefault="003877E0" w:rsidP="006B3578">
      <w:pPr>
        <w:jc w:val="both"/>
      </w:pPr>
    </w:p>
    <w:p w14:paraId="0D807962" w14:textId="77777777" w:rsidR="003877E0" w:rsidRPr="00475EEE" w:rsidRDefault="003877E0" w:rsidP="006B3578">
      <w:pPr>
        <w:jc w:val="both"/>
      </w:pPr>
    </w:p>
    <w:p w14:paraId="14BD620C" w14:textId="77777777" w:rsidR="003877E0" w:rsidRPr="00475EEE" w:rsidRDefault="003877E0" w:rsidP="006B3578">
      <w:pPr>
        <w:jc w:val="both"/>
      </w:pPr>
    </w:p>
    <w:p w14:paraId="406717BD" w14:textId="77777777" w:rsidR="003877E0" w:rsidRPr="00475EEE" w:rsidRDefault="003877E0" w:rsidP="006B3578">
      <w:pPr>
        <w:jc w:val="both"/>
      </w:pPr>
    </w:p>
    <w:p w14:paraId="4E067C09" w14:textId="77777777" w:rsidR="003877E0" w:rsidRPr="00475EEE" w:rsidRDefault="003877E0" w:rsidP="006B3578">
      <w:pPr>
        <w:jc w:val="both"/>
      </w:pPr>
    </w:p>
    <w:p w14:paraId="69D13EF5" w14:textId="77777777" w:rsidR="003877E0" w:rsidRPr="00475EEE" w:rsidRDefault="003877E0" w:rsidP="006B3578">
      <w:pPr>
        <w:jc w:val="both"/>
      </w:pPr>
    </w:p>
    <w:p w14:paraId="1B69271B" w14:textId="77777777" w:rsidR="003877E0" w:rsidRPr="00475EEE" w:rsidRDefault="003877E0" w:rsidP="006B3578">
      <w:pPr>
        <w:jc w:val="both"/>
      </w:pPr>
    </w:p>
    <w:p w14:paraId="2C0DF214" w14:textId="77777777" w:rsidR="003877E0" w:rsidRPr="00475EEE" w:rsidRDefault="003877E0" w:rsidP="006B3578">
      <w:pPr>
        <w:jc w:val="both"/>
      </w:pPr>
    </w:p>
    <w:p w14:paraId="2E0CB6BE" w14:textId="77777777" w:rsidR="003877E0" w:rsidRPr="00475EEE" w:rsidRDefault="003877E0" w:rsidP="006B3578">
      <w:pPr>
        <w:jc w:val="both"/>
      </w:pPr>
    </w:p>
    <w:p w14:paraId="38CB69D2" w14:textId="77777777" w:rsidR="003877E0" w:rsidRPr="00475EEE" w:rsidRDefault="003877E0" w:rsidP="006B3578">
      <w:pPr>
        <w:jc w:val="both"/>
      </w:pPr>
    </w:p>
    <w:p w14:paraId="6EA76C1C" w14:textId="77777777" w:rsidR="003877E0" w:rsidRPr="00475EEE" w:rsidRDefault="003877E0" w:rsidP="006B3578">
      <w:pPr>
        <w:jc w:val="both"/>
      </w:pPr>
    </w:p>
    <w:p w14:paraId="27EB71AC" w14:textId="77777777" w:rsidR="003877E0" w:rsidRPr="00475EEE" w:rsidRDefault="003877E0" w:rsidP="006B3578">
      <w:pPr>
        <w:jc w:val="both"/>
      </w:pPr>
    </w:p>
    <w:p w14:paraId="0E74A4EF" w14:textId="77777777" w:rsidR="003877E0" w:rsidRPr="00475EEE" w:rsidRDefault="003877E0" w:rsidP="006B3578">
      <w:pPr>
        <w:jc w:val="both"/>
      </w:pPr>
    </w:p>
    <w:p w14:paraId="2BE8294F" w14:textId="77777777" w:rsidR="003877E0" w:rsidRPr="00475EEE" w:rsidRDefault="003877E0" w:rsidP="006B3578">
      <w:pPr>
        <w:jc w:val="both"/>
      </w:pPr>
    </w:p>
    <w:p w14:paraId="428CB1B7" w14:textId="77777777" w:rsidR="008978CD" w:rsidRPr="00475EEE" w:rsidRDefault="008978CD" w:rsidP="006B3578">
      <w:pPr>
        <w:jc w:val="both"/>
      </w:pPr>
    </w:p>
    <w:tbl>
      <w:tblPr>
        <w:tblStyle w:val="Tablaconcuadrcula1"/>
        <w:tblpPr w:leftFromText="141" w:rightFromText="141" w:vertAnchor="text" w:horzAnchor="margin" w:tblpY="-141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80"/>
        <w:gridCol w:w="1892"/>
        <w:gridCol w:w="3432"/>
      </w:tblGrid>
      <w:tr w:rsidR="003877E0" w:rsidRPr="00475EEE" w14:paraId="1DE04445" w14:textId="77777777" w:rsidTr="008978CD">
        <w:tc>
          <w:tcPr>
            <w:tcW w:w="0" w:type="auto"/>
            <w:gridSpan w:val="3"/>
            <w:tcBorders>
              <w:top w:val="nil"/>
              <w:bottom w:val="single" w:sz="4" w:space="0" w:color="auto"/>
            </w:tcBorders>
          </w:tcPr>
          <w:p w14:paraId="21200404" w14:textId="77777777" w:rsidR="008978CD" w:rsidRPr="00475EEE" w:rsidRDefault="008978CD" w:rsidP="00E1513B">
            <w:pPr>
              <w:jc w:val="both"/>
              <w:rPr>
                <w:rFonts w:eastAsia="Calibri"/>
                <w:b/>
                <w:lang w:val="en-US" w:eastAsia="en-US"/>
              </w:rPr>
            </w:pPr>
          </w:p>
          <w:p w14:paraId="6446CB91" w14:textId="77777777" w:rsidR="008978CD" w:rsidRPr="00475EEE" w:rsidRDefault="008978CD" w:rsidP="00E1513B">
            <w:pPr>
              <w:jc w:val="both"/>
              <w:rPr>
                <w:rFonts w:eastAsia="Calibri"/>
                <w:b/>
                <w:lang w:val="en-US" w:eastAsia="en-US"/>
              </w:rPr>
            </w:pPr>
          </w:p>
          <w:p w14:paraId="472851D7" w14:textId="77777777" w:rsidR="007E6799" w:rsidRDefault="007E6799" w:rsidP="00E1513B">
            <w:pPr>
              <w:jc w:val="both"/>
              <w:rPr>
                <w:rFonts w:eastAsia="Calibri"/>
                <w:b/>
                <w:lang w:val="en-US" w:eastAsia="en-US"/>
              </w:rPr>
            </w:pPr>
          </w:p>
          <w:p w14:paraId="28A35AD4" w14:textId="7082316D" w:rsidR="003877E0" w:rsidRPr="00475EEE" w:rsidRDefault="003877E0" w:rsidP="00E1513B">
            <w:pPr>
              <w:jc w:val="both"/>
              <w:rPr>
                <w:rFonts w:eastAsia="Calibri"/>
                <w:lang w:val="en-US" w:eastAsia="en-US"/>
              </w:rPr>
            </w:pPr>
            <w:r w:rsidRPr="00475EEE">
              <w:rPr>
                <w:rFonts w:eastAsia="Calibri"/>
                <w:b/>
                <w:lang w:val="en-US" w:eastAsia="en-US"/>
              </w:rPr>
              <w:t>Table 2</w:t>
            </w:r>
            <w:r w:rsidR="00D748EE" w:rsidRPr="00475EEE">
              <w:rPr>
                <w:rFonts w:eastAsia="Calibri"/>
                <w:b/>
                <w:lang w:val="en-US" w:eastAsia="en-US"/>
              </w:rPr>
              <w:t>.</w:t>
            </w:r>
            <w:r w:rsidRPr="00475EEE">
              <w:rPr>
                <w:rFonts w:eastAsia="Calibri"/>
                <w:lang w:val="en-US" w:eastAsia="en-US"/>
              </w:rPr>
              <w:t xml:space="preserve"> Association of physical activity</w:t>
            </w:r>
            <w:r w:rsidR="003365FF">
              <w:rPr>
                <w:rFonts w:eastAsia="Calibri"/>
                <w:lang w:val="en-US" w:eastAsia="en-US"/>
              </w:rPr>
              <w:t xml:space="preserve"> </w:t>
            </w:r>
            <w:r w:rsidRPr="00475EEE">
              <w:rPr>
                <w:rFonts w:eastAsia="Calibri"/>
                <w:lang w:val="en-US" w:eastAsia="en-US"/>
              </w:rPr>
              <w:t xml:space="preserve">and covariates with chronic </w:t>
            </w:r>
            <w:r w:rsidR="00962EF7">
              <w:rPr>
                <w:rFonts w:eastAsia="Calibri"/>
                <w:lang w:val="en-US" w:eastAsia="en-US"/>
              </w:rPr>
              <w:t>condition</w:t>
            </w:r>
            <w:r w:rsidR="00962EF7" w:rsidRPr="00475EEE">
              <w:rPr>
                <w:rFonts w:eastAsia="Calibri"/>
                <w:lang w:val="en-US" w:eastAsia="en-US"/>
              </w:rPr>
              <w:t xml:space="preserve"> </w:t>
            </w:r>
            <w:r w:rsidRPr="00475EEE">
              <w:rPr>
                <w:rFonts w:eastAsia="Calibri"/>
                <w:lang w:val="en-US" w:eastAsia="en-US"/>
              </w:rPr>
              <w:t>(outcome) estimated by multivariable logistic regression</w:t>
            </w:r>
            <w:r w:rsidR="003365FF">
              <w:rPr>
                <w:rFonts w:eastAsia="Calibri"/>
                <w:lang w:val="en-US" w:eastAsia="en-US"/>
              </w:rPr>
              <w:t xml:space="preserve"> (</w:t>
            </w:r>
            <w:r w:rsidR="003365FF" w:rsidRPr="003365FF">
              <w:rPr>
                <w:rFonts w:eastAsia="Calibri"/>
                <w:lang w:val="en-US" w:eastAsia="en-US"/>
              </w:rPr>
              <w:t>adjuste</w:t>
            </w:r>
            <w:r w:rsidR="003365FF">
              <w:rPr>
                <w:rFonts w:eastAsia="Calibri"/>
                <w:lang w:val="en-US" w:eastAsia="en-US"/>
              </w:rPr>
              <w:t xml:space="preserve">d odds ratios with </w:t>
            </w:r>
            <w:r w:rsidR="003365FF" w:rsidRPr="003365FF">
              <w:rPr>
                <w:rFonts w:eastAsia="Calibri"/>
                <w:lang w:val="en-US" w:eastAsia="en-US"/>
              </w:rPr>
              <w:t>95% confide</w:t>
            </w:r>
            <w:r w:rsidR="003365FF">
              <w:rPr>
                <w:rFonts w:eastAsia="Calibri"/>
                <w:lang w:val="en-US" w:eastAsia="en-US"/>
              </w:rPr>
              <w:t>nce intervals of chronic condition).</w:t>
            </w:r>
          </w:p>
        </w:tc>
      </w:tr>
      <w:tr w:rsidR="00085806" w:rsidRPr="00475EEE" w14:paraId="7BDDD115" w14:textId="77777777" w:rsidTr="008978CD">
        <w:trPr>
          <w:trHeight w:val="278"/>
        </w:trPr>
        <w:tc>
          <w:tcPr>
            <w:tcW w:w="0" w:type="auto"/>
            <w:tcBorders>
              <w:top w:val="single" w:sz="4" w:space="0" w:color="auto"/>
              <w:bottom w:val="nil"/>
              <w:right w:val="nil"/>
            </w:tcBorders>
          </w:tcPr>
          <w:p w14:paraId="3C17727E" w14:textId="20693452" w:rsidR="00085806" w:rsidRPr="004D4DBB" w:rsidRDefault="00085806" w:rsidP="00E1513B">
            <w:pPr>
              <w:jc w:val="center"/>
              <w:rPr>
                <w:rFonts w:eastAsia="Calibri"/>
                <w:b/>
                <w:lang w:val="en-US" w:eastAsia="en-US"/>
              </w:rPr>
            </w:pPr>
            <w:r w:rsidRPr="00475EEE">
              <w:rPr>
                <w:rFonts w:eastAsia="Calibri"/>
                <w:b/>
                <w:lang w:val="en-US" w:eastAsia="en-US"/>
              </w:rPr>
              <w:t>Characteristic</w:t>
            </w:r>
          </w:p>
        </w:tc>
        <w:tc>
          <w:tcPr>
            <w:tcW w:w="0" w:type="auto"/>
            <w:tcBorders>
              <w:top w:val="single" w:sz="4" w:space="0" w:color="auto"/>
              <w:left w:val="nil"/>
              <w:bottom w:val="nil"/>
              <w:right w:val="nil"/>
            </w:tcBorders>
          </w:tcPr>
          <w:p w14:paraId="6A902622" w14:textId="77777777" w:rsidR="00085806" w:rsidRPr="00475EEE" w:rsidRDefault="00085806" w:rsidP="00E1513B">
            <w:pPr>
              <w:jc w:val="center"/>
              <w:rPr>
                <w:rFonts w:eastAsia="Calibri"/>
                <w:lang w:val="en-US" w:eastAsia="en-US"/>
              </w:rPr>
            </w:pPr>
          </w:p>
        </w:tc>
        <w:tc>
          <w:tcPr>
            <w:tcW w:w="0" w:type="auto"/>
            <w:tcBorders>
              <w:top w:val="single" w:sz="4" w:space="0" w:color="auto"/>
              <w:left w:val="nil"/>
              <w:bottom w:val="nil"/>
              <w:right w:val="nil"/>
            </w:tcBorders>
          </w:tcPr>
          <w:p w14:paraId="3713E8CD" w14:textId="20C337C9" w:rsidR="00085806" w:rsidRPr="00475EEE" w:rsidRDefault="00085806" w:rsidP="00E1513B">
            <w:pPr>
              <w:jc w:val="center"/>
              <w:rPr>
                <w:rFonts w:eastAsia="Calibri"/>
                <w:lang w:val="en-US" w:eastAsia="en-US"/>
              </w:rPr>
            </w:pPr>
            <w:proofErr w:type="spellStart"/>
            <w:r w:rsidRPr="00475EEE">
              <w:rPr>
                <w:rFonts w:eastAsia="Calibri"/>
                <w:b/>
                <w:vertAlign w:val="superscript"/>
                <w:lang w:val="en-GB" w:eastAsia="en-US"/>
              </w:rPr>
              <w:t>a</w:t>
            </w:r>
            <w:r>
              <w:rPr>
                <w:rFonts w:eastAsia="Calibri"/>
                <w:b/>
                <w:lang w:val="en-GB" w:eastAsia="en-US"/>
              </w:rPr>
              <w:t>Has</w:t>
            </w:r>
            <w:proofErr w:type="spellEnd"/>
            <w:r>
              <w:rPr>
                <w:rFonts w:eastAsia="Calibri"/>
                <w:b/>
                <w:lang w:val="en-GB" w:eastAsia="en-US"/>
              </w:rPr>
              <w:t xml:space="preserve"> one or more chronic condition</w:t>
            </w:r>
          </w:p>
        </w:tc>
      </w:tr>
      <w:tr w:rsidR="00085806" w:rsidRPr="00475EEE" w14:paraId="68C34D81" w14:textId="77777777" w:rsidTr="008978CD">
        <w:trPr>
          <w:trHeight w:val="278"/>
        </w:trPr>
        <w:tc>
          <w:tcPr>
            <w:tcW w:w="0" w:type="auto"/>
            <w:tcBorders>
              <w:top w:val="single" w:sz="4" w:space="0" w:color="auto"/>
              <w:bottom w:val="nil"/>
              <w:right w:val="nil"/>
            </w:tcBorders>
          </w:tcPr>
          <w:p w14:paraId="0043FAC5" w14:textId="77777777" w:rsidR="00085806" w:rsidRPr="004D4DBB" w:rsidRDefault="00085806" w:rsidP="00E1513B">
            <w:pPr>
              <w:jc w:val="center"/>
              <w:rPr>
                <w:rFonts w:eastAsia="Calibri"/>
                <w:b/>
                <w:lang w:val="en-US" w:eastAsia="en-US"/>
              </w:rPr>
            </w:pPr>
          </w:p>
        </w:tc>
        <w:tc>
          <w:tcPr>
            <w:tcW w:w="0" w:type="auto"/>
            <w:tcBorders>
              <w:top w:val="single" w:sz="4" w:space="0" w:color="auto"/>
              <w:left w:val="nil"/>
              <w:bottom w:val="nil"/>
              <w:right w:val="nil"/>
            </w:tcBorders>
          </w:tcPr>
          <w:p w14:paraId="4AF80379" w14:textId="77777777" w:rsidR="00085806" w:rsidRPr="00475EEE" w:rsidRDefault="00085806" w:rsidP="00E1513B">
            <w:pPr>
              <w:jc w:val="center"/>
              <w:rPr>
                <w:rFonts w:eastAsia="Calibri"/>
                <w:lang w:val="en-US" w:eastAsia="en-US"/>
              </w:rPr>
            </w:pPr>
          </w:p>
        </w:tc>
        <w:tc>
          <w:tcPr>
            <w:tcW w:w="0" w:type="auto"/>
            <w:tcBorders>
              <w:top w:val="single" w:sz="4" w:space="0" w:color="auto"/>
              <w:left w:val="nil"/>
              <w:bottom w:val="nil"/>
              <w:right w:val="nil"/>
            </w:tcBorders>
          </w:tcPr>
          <w:p w14:paraId="27AA23BC" w14:textId="30A4ED2D" w:rsidR="00085806" w:rsidRPr="00475EEE" w:rsidRDefault="00085806" w:rsidP="00E1513B">
            <w:pPr>
              <w:jc w:val="center"/>
              <w:rPr>
                <w:rFonts w:eastAsia="Calibri"/>
                <w:lang w:val="en-US" w:eastAsia="en-US"/>
              </w:rPr>
            </w:pPr>
            <w:proofErr w:type="spellStart"/>
            <w:r w:rsidRPr="00C60212">
              <w:rPr>
                <w:rFonts w:eastAsia="Calibri"/>
                <w:b/>
                <w:vertAlign w:val="superscript"/>
                <w:lang w:val="en-GB" w:eastAsia="en-US"/>
              </w:rPr>
              <w:t>b</w:t>
            </w:r>
            <w:r w:rsidRPr="00C60212">
              <w:rPr>
                <w:rFonts w:eastAsia="Calibri"/>
                <w:b/>
                <w:lang w:val="en-GB" w:eastAsia="en-US"/>
              </w:rPr>
              <w:t>aOR</w:t>
            </w:r>
            <w:proofErr w:type="spellEnd"/>
            <w:r>
              <w:rPr>
                <w:rFonts w:eastAsia="Calibri"/>
                <w:b/>
                <w:lang w:val="en-GB" w:eastAsia="en-US"/>
              </w:rPr>
              <w:t xml:space="preserve"> (</w:t>
            </w:r>
            <w:r w:rsidRPr="00C60212">
              <w:rPr>
                <w:rFonts w:eastAsia="Calibri"/>
                <w:b/>
                <w:lang w:val="en-GB" w:eastAsia="en-US"/>
              </w:rPr>
              <w:t>95% CI</w:t>
            </w:r>
            <w:r>
              <w:rPr>
                <w:rFonts w:eastAsia="Calibri"/>
                <w:b/>
                <w:lang w:val="en-GB" w:eastAsia="en-US"/>
              </w:rPr>
              <w:t>)</w:t>
            </w:r>
          </w:p>
        </w:tc>
      </w:tr>
      <w:tr w:rsidR="00085806" w:rsidRPr="00475EEE" w14:paraId="6B1265FF" w14:textId="77777777" w:rsidTr="008978CD">
        <w:trPr>
          <w:trHeight w:val="278"/>
        </w:trPr>
        <w:tc>
          <w:tcPr>
            <w:tcW w:w="0" w:type="auto"/>
            <w:vMerge w:val="restart"/>
            <w:tcBorders>
              <w:top w:val="single" w:sz="4" w:space="0" w:color="auto"/>
              <w:bottom w:val="nil"/>
              <w:right w:val="nil"/>
            </w:tcBorders>
          </w:tcPr>
          <w:p w14:paraId="4486A908" w14:textId="4DAF196F" w:rsidR="00085806" w:rsidRPr="00E1513B" w:rsidRDefault="00085806" w:rsidP="00E1513B">
            <w:pPr>
              <w:jc w:val="center"/>
              <w:rPr>
                <w:rFonts w:eastAsia="Calibri"/>
                <w:b/>
                <w:lang w:val="en-US" w:eastAsia="en-US"/>
              </w:rPr>
            </w:pPr>
            <w:r w:rsidRPr="00E1513B">
              <w:rPr>
                <w:rFonts w:eastAsia="Calibri"/>
                <w:b/>
                <w:lang w:val="en-US" w:eastAsia="en-US"/>
              </w:rPr>
              <w:t>Physical activity</w:t>
            </w:r>
          </w:p>
          <w:p w14:paraId="7D0F6BE6" w14:textId="77777777" w:rsidR="00085806" w:rsidRPr="00475EEE" w:rsidRDefault="00085806" w:rsidP="00E1513B">
            <w:pPr>
              <w:jc w:val="center"/>
              <w:rPr>
                <w:rFonts w:eastAsia="Calibri"/>
                <w:lang w:val="en-US" w:eastAsia="en-US"/>
              </w:rPr>
            </w:pPr>
            <w:r w:rsidRPr="00E1513B">
              <w:rPr>
                <w:rFonts w:eastAsia="Calibri"/>
                <w:b/>
                <w:lang w:val="en-US" w:eastAsia="en-US"/>
              </w:rPr>
              <w:t>(MET-minutes/week)</w:t>
            </w:r>
          </w:p>
        </w:tc>
        <w:tc>
          <w:tcPr>
            <w:tcW w:w="0" w:type="auto"/>
            <w:tcBorders>
              <w:top w:val="single" w:sz="4" w:space="0" w:color="auto"/>
              <w:left w:val="nil"/>
              <w:bottom w:val="nil"/>
              <w:right w:val="nil"/>
            </w:tcBorders>
          </w:tcPr>
          <w:p w14:paraId="53AB4825" w14:textId="6920F505" w:rsidR="00085806" w:rsidRPr="00475EEE" w:rsidRDefault="00085806" w:rsidP="00E1513B">
            <w:pPr>
              <w:jc w:val="center"/>
              <w:rPr>
                <w:rFonts w:eastAsia="Calibri"/>
                <w:lang w:val="en-US" w:eastAsia="en-US"/>
              </w:rPr>
            </w:pPr>
            <w:r w:rsidRPr="00475EEE">
              <w:rPr>
                <w:rFonts w:eastAsia="Calibri"/>
                <w:lang w:val="en-US" w:eastAsia="en-US"/>
              </w:rPr>
              <w:t>&lt; 600</w:t>
            </w:r>
          </w:p>
        </w:tc>
        <w:tc>
          <w:tcPr>
            <w:tcW w:w="0" w:type="auto"/>
            <w:tcBorders>
              <w:top w:val="single" w:sz="4" w:space="0" w:color="auto"/>
              <w:left w:val="nil"/>
              <w:bottom w:val="nil"/>
              <w:right w:val="nil"/>
            </w:tcBorders>
          </w:tcPr>
          <w:p w14:paraId="6CFB9B5D" w14:textId="409F443D" w:rsidR="00085806" w:rsidRPr="00475EEE" w:rsidRDefault="00085806" w:rsidP="00E1513B">
            <w:pPr>
              <w:jc w:val="center"/>
              <w:rPr>
                <w:rFonts w:eastAsia="Calibri"/>
                <w:lang w:val="en-US" w:eastAsia="en-US"/>
              </w:rPr>
            </w:pPr>
            <w:r w:rsidRPr="00475EEE">
              <w:rPr>
                <w:rFonts w:eastAsia="Calibri"/>
                <w:lang w:val="en-US" w:eastAsia="en-US"/>
              </w:rPr>
              <w:t>1.18</w:t>
            </w:r>
            <w:r w:rsidR="00D82F88">
              <w:rPr>
                <w:rFonts w:eastAsia="Calibri"/>
                <w:lang w:val="en-US" w:eastAsia="en-US"/>
              </w:rPr>
              <w:t xml:space="preserve"> </w:t>
            </w:r>
            <w:r>
              <w:rPr>
                <w:rFonts w:eastAsia="Calibri"/>
                <w:lang w:val="en-US" w:eastAsia="en-US"/>
              </w:rPr>
              <w:t>(1.07-1.30)</w:t>
            </w:r>
            <w:r w:rsidR="00D82F88" w:rsidRPr="000F20C6">
              <w:rPr>
                <w:rFonts w:eastAsia="Calibri"/>
                <w:vertAlign w:val="superscript"/>
                <w:lang w:val="en-US" w:eastAsia="en-US"/>
              </w:rPr>
              <w:t>c</w:t>
            </w:r>
          </w:p>
        </w:tc>
      </w:tr>
      <w:tr w:rsidR="00085806" w:rsidRPr="00475EEE" w14:paraId="4E142026" w14:textId="77777777" w:rsidTr="008978CD">
        <w:trPr>
          <w:trHeight w:val="277"/>
        </w:trPr>
        <w:tc>
          <w:tcPr>
            <w:tcW w:w="0" w:type="auto"/>
            <w:vMerge/>
            <w:tcBorders>
              <w:top w:val="nil"/>
              <w:bottom w:val="single" w:sz="4" w:space="0" w:color="auto"/>
              <w:right w:val="nil"/>
            </w:tcBorders>
          </w:tcPr>
          <w:p w14:paraId="3BDFE3DE" w14:textId="77777777" w:rsidR="00085806" w:rsidRPr="00475EEE" w:rsidRDefault="00085806" w:rsidP="00E1513B">
            <w:pPr>
              <w:jc w:val="center"/>
              <w:rPr>
                <w:rFonts w:eastAsia="Calibri"/>
                <w:lang w:val="en-US" w:eastAsia="en-US"/>
              </w:rPr>
            </w:pPr>
          </w:p>
        </w:tc>
        <w:tc>
          <w:tcPr>
            <w:tcW w:w="0" w:type="auto"/>
            <w:tcBorders>
              <w:top w:val="nil"/>
              <w:left w:val="nil"/>
              <w:bottom w:val="single" w:sz="4" w:space="0" w:color="auto"/>
              <w:right w:val="nil"/>
            </w:tcBorders>
          </w:tcPr>
          <w:p w14:paraId="17359BC9" w14:textId="77777777" w:rsidR="00085806" w:rsidRPr="00475EEE" w:rsidRDefault="00085806" w:rsidP="00E1513B">
            <w:pPr>
              <w:jc w:val="center"/>
              <w:rPr>
                <w:rFonts w:eastAsia="Calibri"/>
                <w:lang w:val="en-US" w:eastAsia="en-US"/>
              </w:rPr>
            </w:pPr>
            <w:r w:rsidRPr="00475EEE">
              <w:rPr>
                <w:rFonts w:eastAsia="Calibri"/>
                <w:lang w:val="en-US" w:eastAsia="en-US"/>
              </w:rPr>
              <w:t>≥ 600</w:t>
            </w:r>
          </w:p>
        </w:tc>
        <w:tc>
          <w:tcPr>
            <w:tcW w:w="0" w:type="auto"/>
            <w:tcBorders>
              <w:top w:val="nil"/>
              <w:left w:val="nil"/>
              <w:bottom w:val="single" w:sz="4" w:space="0" w:color="auto"/>
              <w:right w:val="nil"/>
            </w:tcBorders>
          </w:tcPr>
          <w:p w14:paraId="7EA62337" w14:textId="77777777" w:rsidR="00085806" w:rsidRPr="00475EEE" w:rsidRDefault="00085806" w:rsidP="00E1513B">
            <w:pPr>
              <w:jc w:val="center"/>
              <w:rPr>
                <w:rFonts w:eastAsia="Calibri"/>
                <w:lang w:val="en-US" w:eastAsia="en-US"/>
              </w:rPr>
            </w:pPr>
            <w:r w:rsidRPr="00475EEE">
              <w:rPr>
                <w:rFonts w:eastAsia="Calibri"/>
                <w:lang w:val="en-US" w:eastAsia="en-US"/>
              </w:rPr>
              <w:t>ref</w:t>
            </w:r>
          </w:p>
        </w:tc>
      </w:tr>
      <w:tr w:rsidR="00085806" w:rsidRPr="00475EEE" w14:paraId="0D7C53DB" w14:textId="77777777" w:rsidTr="008978CD">
        <w:tc>
          <w:tcPr>
            <w:tcW w:w="0" w:type="auto"/>
            <w:vMerge w:val="restart"/>
            <w:tcBorders>
              <w:top w:val="single" w:sz="4" w:space="0" w:color="auto"/>
              <w:bottom w:val="nil"/>
              <w:right w:val="nil"/>
            </w:tcBorders>
          </w:tcPr>
          <w:p w14:paraId="75222F9D" w14:textId="31A3627E" w:rsidR="00085806" w:rsidRPr="00E1513B" w:rsidRDefault="00085806" w:rsidP="00E1513B">
            <w:pPr>
              <w:jc w:val="center"/>
              <w:rPr>
                <w:rFonts w:eastAsia="Calibri"/>
                <w:b/>
                <w:lang w:val="en-US" w:eastAsia="en-US"/>
              </w:rPr>
            </w:pPr>
            <w:r w:rsidRPr="00E1513B">
              <w:rPr>
                <w:rFonts w:eastAsia="Calibri"/>
                <w:b/>
                <w:lang w:val="en-US" w:eastAsia="en-US"/>
              </w:rPr>
              <w:t>Age (years)</w:t>
            </w:r>
          </w:p>
        </w:tc>
        <w:tc>
          <w:tcPr>
            <w:tcW w:w="0" w:type="auto"/>
            <w:tcBorders>
              <w:top w:val="single" w:sz="4" w:space="0" w:color="auto"/>
              <w:left w:val="nil"/>
              <w:bottom w:val="nil"/>
              <w:right w:val="nil"/>
            </w:tcBorders>
          </w:tcPr>
          <w:p w14:paraId="3B8983C2" w14:textId="3064A406" w:rsidR="00085806" w:rsidRPr="00475EEE" w:rsidRDefault="00085806" w:rsidP="00E1513B">
            <w:pPr>
              <w:jc w:val="center"/>
            </w:pPr>
            <w:r w:rsidRPr="00475EEE">
              <w:t>45-69</w:t>
            </w:r>
          </w:p>
        </w:tc>
        <w:tc>
          <w:tcPr>
            <w:tcW w:w="0" w:type="auto"/>
            <w:tcBorders>
              <w:top w:val="single" w:sz="4" w:space="0" w:color="auto"/>
              <w:left w:val="nil"/>
              <w:bottom w:val="nil"/>
              <w:right w:val="nil"/>
            </w:tcBorders>
          </w:tcPr>
          <w:p w14:paraId="25908EB5" w14:textId="457FAA58" w:rsidR="00085806" w:rsidRPr="00475EEE" w:rsidRDefault="00085806" w:rsidP="00E1513B">
            <w:pPr>
              <w:jc w:val="center"/>
              <w:rPr>
                <w:rFonts w:eastAsia="Calibri"/>
                <w:lang w:val="en-US" w:eastAsia="en-US"/>
              </w:rPr>
            </w:pPr>
            <w:r w:rsidRPr="00475EEE">
              <w:rPr>
                <w:rFonts w:eastAsia="Calibri"/>
                <w:lang w:val="en-US" w:eastAsia="en-US"/>
              </w:rPr>
              <w:t>2.92</w:t>
            </w:r>
            <w:r w:rsidR="00D82F88">
              <w:rPr>
                <w:rFonts w:eastAsia="Calibri"/>
                <w:lang w:val="en-US" w:eastAsia="en-US"/>
              </w:rPr>
              <w:t xml:space="preserve"> </w:t>
            </w:r>
            <w:r>
              <w:rPr>
                <w:rFonts w:eastAsia="Calibri"/>
                <w:lang w:val="en-US" w:eastAsia="en-US"/>
              </w:rPr>
              <w:t>(</w:t>
            </w:r>
            <w:r w:rsidRPr="00475EEE">
              <w:rPr>
                <w:rFonts w:eastAsia="Calibri"/>
                <w:lang w:val="en-US" w:eastAsia="en-US"/>
              </w:rPr>
              <w:t>2.65</w:t>
            </w:r>
            <w:r>
              <w:rPr>
                <w:rFonts w:eastAsia="Calibri"/>
                <w:lang w:val="en-US" w:eastAsia="en-US"/>
              </w:rPr>
              <w:t>-</w:t>
            </w:r>
            <w:r w:rsidRPr="00475EEE">
              <w:rPr>
                <w:rFonts w:eastAsia="Calibri"/>
                <w:lang w:val="en-US" w:eastAsia="en-US"/>
              </w:rPr>
              <w:t>3.21</w:t>
            </w:r>
            <w:r>
              <w:rPr>
                <w:rFonts w:eastAsia="Calibri"/>
                <w:lang w:val="en-US" w:eastAsia="en-US"/>
              </w:rPr>
              <w:t>)</w:t>
            </w:r>
            <w:r w:rsidR="00D82F88" w:rsidRPr="000F20C6">
              <w:rPr>
                <w:rFonts w:eastAsia="Calibri"/>
                <w:vertAlign w:val="superscript"/>
                <w:lang w:val="en-US" w:eastAsia="en-US"/>
              </w:rPr>
              <w:t>e</w:t>
            </w:r>
          </w:p>
        </w:tc>
      </w:tr>
      <w:tr w:rsidR="00085806" w:rsidRPr="00475EEE" w14:paraId="28660841" w14:textId="77777777" w:rsidTr="008978CD">
        <w:tc>
          <w:tcPr>
            <w:tcW w:w="0" w:type="auto"/>
            <w:vMerge/>
            <w:tcBorders>
              <w:top w:val="nil"/>
              <w:bottom w:val="single" w:sz="4" w:space="0" w:color="auto"/>
              <w:right w:val="nil"/>
            </w:tcBorders>
          </w:tcPr>
          <w:p w14:paraId="75A9B300" w14:textId="77777777" w:rsidR="00085806" w:rsidRPr="00475EEE" w:rsidRDefault="00085806" w:rsidP="00E1513B">
            <w:pPr>
              <w:jc w:val="center"/>
              <w:rPr>
                <w:rFonts w:eastAsia="Calibri"/>
                <w:lang w:val="en-US" w:eastAsia="en-US"/>
              </w:rPr>
            </w:pPr>
          </w:p>
        </w:tc>
        <w:tc>
          <w:tcPr>
            <w:tcW w:w="0" w:type="auto"/>
            <w:tcBorders>
              <w:top w:val="nil"/>
              <w:left w:val="nil"/>
              <w:bottom w:val="single" w:sz="4" w:space="0" w:color="auto"/>
              <w:right w:val="nil"/>
            </w:tcBorders>
          </w:tcPr>
          <w:p w14:paraId="0A44FAEB" w14:textId="1FF5408A" w:rsidR="00085806" w:rsidRPr="00475EEE" w:rsidRDefault="00085806" w:rsidP="00E1513B">
            <w:pPr>
              <w:jc w:val="center"/>
            </w:pPr>
            <w:r w:rsidRPr="00475EEE">
              <w:t>17-44</w:t>
            </w:r>
          </w:p>
        </w:tc>
        <w:tc>
          <w:tcPr>
            <w:tcW w:w="0" w:type="auto"/>
            <w:tcBorders>
              <w:top w:val="nil"/>
              <w:left w:val="nil"/>
              <w:bottom w:val="single" w:sz="4" w:space="0" w:color="auto"/>
              <w:right w:val="nil"/>
            </w:tcBorders>
          </w:tcPr>
          <w:p w14:paraId="135ABCDA" w14:textId="77777777" w:rsidR="00085806" w:rsidRPr="00475EEE" w:rsidRDefault="00085806" w:rsidP="00E1513B">
            <w:pPr>
              <w:jc w:val="center"/>
              <w:rPr>
                <w:rFonts w:eastAsia="Calibri"/>
                <w:lang w:val="en-US" w:eastAsia="en-US"/>
              </w:rPr>
            </w:pPr>
            <w:r w:rsidRPr="00475EEE">
              <w:rPr>
                <w:rFonts w:eastAsia="Calibri"/>
                <w:lang w:val="en-US" w:eastAsia="en-US"/>
              </w:rPr>
              <w:t>ref</w:t>
            </w:r>
          </w:p>
        </w:tc>
      </w:tr>
      <w:tr w:rsidR="00085806" w:rsidRPr="00475EEE" w14:paraId="0C6F0C1A" w14:textId="77777777" w:rsidTr="008978CD">
        <w:trPr>
          <w:trHeight w:val="128"/>
        </w:trPr>
        <w:tc>
          <w:tcPr>
            <w:tcW w:w="0" w:type="auto"/>
            <w:vMerge w:val="restart"/>
            <w:tcBorders>
              <w:top w:val="single" w:sz="4" w:space="0" w:color="auto"/>
              <w:bottom w:val="nil"/>
              <w:right w:val="nil"/>
            </w:tcBorders>
          </w:tcPr>
          <w:p w14:paraId="6D5773D6" w14:textId="266CA930" w:rsidR="00085806" w:rsidRPr="00E1513B" w:rsidRDefault="00085806" w:rsidP="00E1513B">
            <w:pPr>
              <w:jc w:val="center"/>
              <w:rPr>
                <w:rFonts w:eastAsia="Calibri"/>
                <w:b/>
                <w:lang w:val="en-US" w:eastAsia="en-US"/>
              </w:rPr>
            </w:pPr>
            <w:r w:rsidRPr="00E1513B">
              <w:rPr>
                <w:rFonts w:eastAsia="Calibri"/>
                <w:b/>
                <w:lang w:val="en-US" w:eastAsia="en-US"/>
              </w:rPr>
              <w:t>Sex</w:t>
            </w:r>
          </w:p>
        </w:tc>
        <w:tc>
          <w:tcPr>
            <w:tcW w:w="0" w:type="auto"/>
            <w:tcBorders>
              <w:top w:val="single" w:sz="4" w:space="0" w:color="auto"/>
              <w:left w:val="nil"/>
              <w:bottom w:val="nil"/>
              <w:right w:val="nil"/>
            </w:tcBorders>
          </w:tcPr>
          <w:p w14:paraId="4F03CADB" w14:textId="77777777" w:rsidR="00085806" w:rsidRPr="00475EEE" w:rsidRDefault="00085806" w:rsidP="00E1513B">
            <w:pPr>
              <w:jc w:val="center"/>
              <w:rPr>
                <w:rFonts w:eastAsia="Calibri"/>
                <w:lang w:val="en-US" w:eastAsia="en-US"/>
              </w:rPr>
            </w:pPr>
            <w:r w:rsidRPr="00475EEE">
              <w:rPr>
                <w:rFonts w:eastAsia="Calibri"/>
                <w:lang w:val="en-US" w:eastAsia="en-US"/>
              </w:rPr>
              <w:t>Women</w:t>
            </w:r>
          </w:p>
        </w:tc>
        <w:tc>
          <w:tcPr>
            <w:tcW w:w="0" w:type="auto"/>
            <w:tcBorders>
              <w:top w:val="single" w:sz="4" w:space="0" w:color="auto"/>
              <w:left w:val="nil"/>
              <w:bottom w:val="nil"/>
              <w:right w:val="nil"/>
            </w:tcBorders>
          </w:tcPr>
          <w:p w14:paraId="5F8A25F9" w14:textId="765FB0C5" w:rsidR="00085806" w:rsidRPr="00475EEE" w:rsidRDefault="00085806" w:rsidP="00E1513B">
            <w:pPr>
              <w:jc w:val="center"/>
              <w:rPr>
                <w:rFonts w:eastAsia="Calibri"/>
                <w:lang w:val="en-US" w:eastAsia="en-US"/>
              </w:rPr>
            </w:pPr>
            <w:r w:rsidRPr="00475EEE">
              <w:rPr>
                <w:rFonts w:eastAsia="Calibri"/>
                <w:lang w:val="en-US" w:eastAsia="en-US"/>
              </w:rPr>
              <w:t>1.59</w:t>
            </w:r>
            <w:r w:rsidR="00D82F88">
              <w:rPr>
                <w:rFonts w:eastAsia="Calibri"/>
                <w:lang w:val="en-US" w:eastAsia="en-US"/>
              </w:rPr>
              <w:t xml:space="preserve"> </w:t>
            </w:r>
            <w:r>
              <w:rPr>
                <w:rFonts w:eastAsia="Calibri"/>
                <w:lang w:val="en-US" w:eastAsia="en-US"/>
              </w:rPr>
              <w:t>(</w:t>
            </w:r>
            <w:r w:rsidRPr="00475EEE">
              <w:rPr>
                <w:rFonts w:eastAsia="Calibri"/>
                <w:lang w:val="en-US" w:eastAsia="en-US"/>
              </w:rPr>
              <w:t>1.44</w:t>
            </w:r>
            <w:r>
              <w:rPr>
                <w:rFonts w:eastAsia="Calibri"/>
                <w:lang w:val="en-US" w:eastAsia="en-US"/>
              </w:rPr>
              <w:t>-</w:t>
            </w:r>
            <w:r w:rsidRPr="00475EEE">
              <w:rPr>
                <w:rFonts w:eastAsia="Calibri"/>
                <w:lang w:val="en-US" w:eastAsia="en-US"/>
              </w:rPr>
              <w:t>1.76</w:t>
            </w:r>
            <w:r>
              <w:rPr>
                <w:rFonts w:eastAsia="Calibri"/>
                <w:lang w:val="en-US" w:eastAsia="en-US"/>
              </w:rPr>
              <w:t>)</w:t>
            </w:r>
            <w:r w:rsidR="00D82F88" w:rsidRPr="000F20C6">
              <w:rPr>
                <w:rFonts w:eastAsia="Calibri"/>
                <w:vertAlign w:val="superscript"/>
                <w:lang w:val="en-US" w:eastAsia="en-US"/>
              </w:rPr>
              <w:t>e</w:t>
            </w:r>
          </w:p>
        </w:tc>
      </w:tr>
      <w:tr w:rsidR="00085806" w:rsidRPr="00475EEE" w14:paraId="7F7B4F9F" w14:textId="77777777" w:rsidTr="008978CD">
        <w:trPr>
          <w:trHeight w:val="127"/>
        </w:trPr>
        <w:tc>
          <w:tcPr>
            <w:tcW w:w="0" w:type="auto"/>
            <w:vMerge/>
            <w:tcBorders>
              <w:top w:val="nil"/>
              <w:bottom w:val="single" w:sz="4" w:space="0" w:color="auto"/>
              <w:right w:val="nil"/>
            </w:tcBorders>
          </w:tcPr>
          <w:p w14:paraId="1B2FF11A" w14:textId="77777777" w:rsidR="00085806" w:rsidRPr="00475EEE" w:rsidRDefault="00085806" w:rsidP="00E1513B">
            <w:pPr>
              <w:jc w:val="center"/>
              <w:rPr>
                <w:rFonts w:eastAsia="Calibri"/>
                <w:lang w:val="en-US" w:eastAsia="en-US"/>
              </w:rPr>
            </w:pPr>
          </w:p>
        </w:tc>
        <w:tc>
          <w:tcPr>
            <w:tcW w:w="0" w:type="auto"/>
            <w:tcBorders>
              <w:top w:val="nil"/>
              <w:left w:val="nil"/>
              <w:bottom w:val="single" w:sz="4" w:space="0" w:color="auto"/>
              <w:right w:val="nil"/>
            </w:tcBorders>
          </w:tcPr>
          <w:p w14:paraId="19413A01" w14:textId="77777777" w:rsidR="00085806" w:rsidRPr="00475EEE" w:rsidRDefault="00085806" w:rsidP="00E1513B">
            <w:pPr>
              <w:jc w:val="center"/>
              <w:rPr>
                <w:rFonts w:eastAsia="Calibri"/>
                <w:lang w:val="en-US" w:eastAsia="en-US"/>
              </w:rPr>
            </w:pPr>
            <w:r w:rsidRPr="00475EEE">
              <w:rPr>
                <w:rFonts w:eastAsia="Calibri"/>
                <w:lang w:val="en-US" w:eastAsia="en-US"/>
              </w:rPr>
              <w:t>Men</w:t>
            </w:r>
          </w:p>
        </w:tc>
        <w:tc>
          <w:tcPr>
            <w:tcW w:w="0" w:type="auto"/>
            <w:tcBorders>
              <w:top w:val="nil"/>
              <w:left w:val="nil"/>
              <w:bottom w:val="single" w:sz="4" w:space="0" w:color="auto"/>
              <w:right w:val="nil"/>
            </w:tcBorders>
          </w:tcPr>
          <w:p w14:paraId="765AFDBE" w14:textId="77777777" w:rsidR="00085806" w:rsidRPr="00475EEE" w:rsidRDefault="00085806" w:rsidP="00E1513B">
            <w:pPr>
              <w:jc w:val="center"/>
              <w:rPr>
                <w:rFonts w:eastAsia="Calibri"/>
                <w:lang w:val="en-US" w:eastAsia="en-US"/>
              </w:rPr>
            </w:pPr>
            <w:r w:rsidRPr="00475EEE">
              <w:rPr>
                <w:rFonts w:eastAsia="Calibri"/>
                <w:lang w:val="en-US" w:eastAsia="en-US"/>
              </w:rPr>
              <w:t>ref</w:t>
            </w:r>
          </w:p>
        </w:tc>
      </w:tr>
      <w:tr w:rsidR="00085806" w:rsidRPr="00475EEE" w14:paraId="54B5A993" w14:textId="77777777" w:rsidTr="008978CD">
        <w:trPr>
          <w:trHeight w:val="90"/>
        </w:trPr>
        <w:tc>
          <w:tcPr>
            <w:tcW w:w="0" w:type="auto"/>
            <w:vMerge w:val="restart"/>
            <w:tcBorders>
              <w:top w:val="single" w:sz="4" w:space="0" w:color="auto"/>
              <w:bottom w:val="nil"/>
              <w:right w:val="nil"/>
            </w:tcBorders>
          </w:tcPr>
          <w:p w14:paraId="38AA8F22" w14:textId="63A0AF29" w:rsidR="00085806" w:rsidRPr="00E1513B" w:rsidRDefault="00085806" w:rsidP="00E1513B">
            <w:pPr>
              <w:jc w:val="center"/>
              <w:rPr>
                <w:rFonts w:eastAsia="Calibri"/>
                <w:b/>
                <w:lang w:val="en-US" w:eastAsia="en-US"/>
              </w:rPr>
            </w:pPr>
            <w:r w:rsidRPr="00E1513B">
              <w:rPr>
                <w:rFonts w:eastAsia="Calibri"/>
                <w:b/>
                <w:lang w:val="en-US" w:eastAsia="en-US"/>
              </w:rPr>
              <w:t>Educational level</w:t>
            </w:r>
          </w:p>
        </w:tc>
        <w:tc>
          <w:tcPr>
            <w:tcW w:w="0" w:type="auto"/>
            <w:tcBorders>
              <w:top w:val="single" w:sz="4" w:space="0" w:color="auto"/>
              <w:left w:val="nil"/>
              <w:bottom w:val="nil"/>
              <w:right w:val="nil"/>
            </w:tcBorders>
          </w:tcPr>
          <w:p w14:paraId="0241D54F" w14:textId="1EB9B71E" w:rsidR="00085806" w:rsidRPr="00475EEE" w:rsidRDefault="00085806" w:rsidP="00E1513B">
            <w:pPr>
              <w:jc w:val="center"/>
              <w:rPr>
                <w:rFonts w:eastAsiaTheme="minorHAnsi"/>
                <w:lang w:val="en-US" w:eastAsia="en-US"/>
              </w:rPr>
            </w:pPr>
            <w:r w:rsidRPr="00475EEE">
              <w:rPr>
                <w:rFonts w:eastAsiaTheme="minorHAnsi"/>
                <w:lang w:val="en-US" w:eastAsia="en-US"/>
              </w:rPr>
              <w:t>≤ Primary</w:t>
            </w:r>
          </w:p>
        </w:tc>
        <w:tc>
          <w:tcPr>
            <w:tcW w:w="0" w:type="auto"/>
            <w:tcBorders>
              <w:top w:val="single" w:sz="4" w:space="0" w:color="auto"/>
              <w:left w:val="nil"/>
              <w:bottom w:val="nil"/>
              <w:right w:val="nil"/>
            </w:tcBorders>
          </w:tcPr>
          <w:p w14:paraId="32A0F5E4" w14:textId="500D5C25" w:rsidR="00085806" w:rsidRPr="00475EEE" w:rsidRDefault="00085806" w:rsidP="00E1513B">
            <w:pPr>
              <w:jc w:val="center"/>
              <w:rPr>
                <w:rFonts w:eastAsia="Calibri"/>
                <w:lang w:val="en-US" w:eastAsia="en-US"/>
              </w:rPr>
            </w:pPr>
            <w:r w:rsidRPr="00475EEE">
              <w:rPr>
                <w:rFonts w:eastAsia="Calibri"/>
                <w:lang w:val="en-US" w:eastAsia="en-US"/>
              </w:rPr>
              <w:t>1.55</w:t>
            </w:r>
            <w:r w:rsidR="00D82F88">
              <w:rPr>
                <w:rFonts w:eastAsia="Calibri"/>
                <w:lang w:val="en-US" w:eastAsia="en-US"/>
              </w:rPr>
              <w:t xml:space="preserve"> </w:t>
            </w:r>
            <w:r>
              <w:rPr>
                <w:rFonts w:eastAsia="Calibri"/>
                <w:lang w:val="en-US" w:eastAsia="en-US"/>
              </w:rPr>
              <w:t>(1.27-</w:t>
            </w:r>
            <w:r w:rsidRPr="00085806">
              <w:rPr>
                <w:rFonts w:eastAsia="Calibri"/>
                <w:lang w:val="en-US" w:eastAsia="en-US"/>
              </w:rPr>
              <w:t>1.90</w:t>
            </w:r>
            <w:r>
              <w:rPr>
                <w:rFonts w:eastAsia="Calibri"/>
                <w:lang w:val="en-US" w:eastAsia="en-US"/>
              </w:rPr>
              <w:t>)</w:t>
            </w:r>
            <w:r w:rsidR="00D82F88" w:rsidRPr="000F20C6">
              <w:rPr>
                <w:rFonts w:eastAsia="Calibri"/>
                <w:vertAlign w:val="superscript"/>
                <w:lang w:val="en-US" w:eastAsia="en-US"/>
              </w:rPr>
              <w:t>e</w:t>
            </w:r>
          </w:p>
        </w:tc>
      </w:tr>
      <w:tr w:rsidR="00085806" w:rsidRPr="00475EEE" w14:paraId="359A2F61" w14:textId="77777777" w:rsidTr="008978CD">
        <w:trPr>
          <w:trHeight w:val="90"/>
        </w:trPr>
        <w:tc>
          <w:tcPr>
            <w:tcW w:w="0" w:type="auto"/>
            <w:vMerge/>
            <w:tcBorders>
              <w:top w:val="nil"/>
              <w:bottom w:val="nil"/>
              <w:right w:val="nil"/>
            </w:tcBorders>
          </w:tcPr>
          <w:p w14:paraId="583740C5" w14:textId="77777777" w:rsidR="00085806" w:rsidRPr="00E1513B" w:rsidRDefault="00085806" w:rsidP="00E1513B">
            <w:pPr>
              <w:jc w:val="center"/>
              <w:rPr>
                <w:rFonts w:eastAsia="Calibri"/>
                <w:b/>
                <w:lang w:val="en-US" w:eastAsia="en-US"/>
              </w:rPr>
            </w:pPr>
          </w:p>
        </w:tc>
        <w:tc>
          <w:tcPr>
            <w:tcW w:w="0" w:type="auto"/>
            <w:tcBorders>
              <w:top w:val="nil"/>
              <w:left w:val="nil"/>
              <w:bottom w:val="nil"/>
              <w:right w:val="nil"/>
            </w:tcBorders>
          </w:tcPr>
          <w:p w14:paraId="5ABCB3A2" w14:textId="55B2AA3A" w:rsidR="00085806" w:rsidRPr="00475EEE" w:rsidRDefault="00085806" w:rsidP="00E1513B">
            <w:pPr>
              <w:jc w:val="center"/>
              <w:rPr>
                <w:rFonts w:eastAsiaTheme="minorHAnsi"/>
                <w:lang w:val="en-US" w:eastAsia="en-US"/>
              </w:rPr>
            </w:pPr>
            <w:r w:rsidRPr="00475EEE">
              <w:rPr>
                <w:rFonts w:eastAsiaTheme="minorHAnsi"/>
                <w:lang w:val="en-US" w:eastAsia="en-US"/>
              </w:rPr>
              <w:t>Secondary</w:t>
            </w:r>
          </w:p>
        </w:tc>
        <w:tc>
          <w:tcPr>
            <w:tcW w:w="0" w:type="auto"/>
            <w:tcBorders>
              <w:top w:val="nil"/>
              <w:left w:val="nil"/>
              <w:bottom w:val="nil"/>
              <w:right w:val="nil"/>
            </w:tcBorders>
          </w:tcPr>
          <w:p w14:paraId="1444478A" w14:textId="2B94C48B" w:rsidR="00085806" w:rsidRPr="00475EEE" w:rsidRDefault="00085806" w:rsidP="00E1513B">
            <w:pPr>
              <w:jc w:val="center"/>
              <w:rPr>
                <w:rFonts w:eastAsia="Calibri"/>
                <w:lang w:val="en-US" w:eastAsia="en-US"/>
              </w:rPr>
            </w:pPr>
            <w:r w:rsidRPr="00475EEE">
              <w:rPr>
                <w:rFonts w:eastAsia="Calibri"/>
                <w:lang w:val="en-US" w:eastAsia="en-US"/>
              </w:rPr>
              <w:t>1.24</w:t>
            </w:r>
            <w:r w:rsidR="00D82F88">
              <w:rPr>
                <w:rFonts w:eastAsia="Calibri"/>
                <w:lang w:val="en-US" w:eastAsia="en-US"/>
              </w:rPr>
              <w:t xml:space="preserve"> </w:t>
            </w:r>
            <w:r>
              <w:rPr>
                <w:rFonts w:eastAsia="Calibri"/>
                <w:lang w:val="en-US" w:eastAsia="en-US"/>
              </w:rPr>
              <w:t>(1.07-</w:t>
            </w:r>
            <w:r w:rsidRPr="00085806">
              <w:rPr>
                <w:rFonts w:eastAsia="Calibri"/>
                <w:lang w:val="en-US" w:eastAsia="en-US"/>
              </w:rPr>
              <w:t>1.43</w:t>
            </w:r>
            <w:r>
              <w:rPr>
                <w:rFonts w:eastAsia="Calibri"/>
                <w:lang w:val="en-US" w:eastAsia="en-US"/>
              </w:rPr>
              <w:t>)</w:t>
            </w:r>
            <w:r w:rsidR="00D82F88" w:rsidRPr="00E1513B">
              <w:rPr>
                <w:rFonts w:eastAsia="Calibri"/>
                <w:vertAlign w:val="superscript"/>
                <w:lang w:val="en-US" w:eastAsia="en-US"/>
              </w:rPr>
              <w:t>d</w:t>
            </w:r>
          </w:p>
        </w:tc>
      </w:tr>
      <w:tr w:rsidR="00085806" w:rsidRPr="00475EEE" w14:paraId="5A50021D" w14:textId="77777777" w:rsidTr="008978CD">
        <w:trPr>
          <w:trHeight w:val="90"/>
        </w:trPr>
        <w:tc>
          <w:tcPr>
            <w:tcW w:w="0" w:type="auto"/>
            <w:vMerge/>
            <w:tcBorders>
              <w:top w:val="nil"/>
              <w:bottom w:val="single" w:sz="4" w:space="0" w:color="auto"/>
              <w:right w:val="nil"/>
            </w:tcBorders>
          </w:tcPr>
          <w:p w14:paraId="7718703B" w14:textId="77777777" w:rsidR="00085806" w:rsidRPr="00E1513B" w:rsidRDefault="00085806" w:rsidP="00E1513B">
            <w:pPr>
              <w:jc w:val="center"/>
              <w:rPr>
                <w:rFonts w:eastAsia="Calibri"/>
                <w:b/>
                <w:lang w:val="en-US" w:eastAsia="en-US"/>
              </w:rPr>
            </w:pPr>
          </w:p>
        </w:tc>
        <w:tc>
          <w:tcPr>
            <w:tcW w:w="0" w:type="auto"/>
            <w:tcBorders>
              <w:top w:val="nil"/>
              <w:left w:val="nil"/>
              <w:bottom w:val="single" w:sz="4" w:space="0" w:color="auto"/>
              <w:right w:val="nil"/>
            </w:tcBorders>
          </w:tcPr>
          <w:p w14:paraId="7F967905" w14:textId="423952FB" w:rsidR="00085806" w:rsidRPr="00475EEE" w:rsidRDefault="00085806" w:rsidP="00E1513B">
            <w:pPr>
              <w:jc w:val="center"/>
              <w:rPr>
                <w:rFonts w:eastAsiaTheme="minorHAnsi"/>
                <w:lang w:val="en-US" w:eastAsia="en-US"/>
              </w:rPr>
            </w:pPr>
            <w:r w:rsidRPr="00475EEE">
              <w:rPr>
                <w:rFonts w:eastAsiaTheme="minorHAnsi"/>
                <w:lang w:val="en-US" w:eastAsia="en-US"/>
              </w:rPr>
              <w:t>≥ Tertiary</w:t>
            </w:r>
          </w:p>
        </w:tc>
        <w:tc>
          <w:tcPr>
            <w:tcW w:w="0" w:type="auto"/>
            <w:tcBorders>
              <w:top w:val="nil"/>
              <w:left w:val="nil"/>
              <w:bottom w:val="single" w:sz="4" w:space="0" w:color="auto"/>
              <w:right w:val="nil"/>
            </w:tcBorders>
          </w:tcPr>
          <w:p w14:paraId="4AADC31B" w14:textId="77777777" w:rsidR="00085806" w:rsidRPr="00475EEE" w:rsidRDefault="00085806" w:rsidP="00E1513B">
            <w:pPr>
              <w:jc w:val="center"/>
              <w:rPr>
                <w:rFonts w:eastAsia="Calibri"/>
                <w:lang w:val="en-US" w:eastAsia="en-US"/>
              </w:rPr>
            </w:pPr>
            <w:r w:rsidRPr="00475EEE">
              <w:rPr>
                <w:rFonts w:eastAsia="Calibri"/>
                <w:lang w:val="en-US" w:eastAsia="en-US"/>
              </w:rPr>
              <w:t>ref</w:t>
            </w:r>
          </w:p>
        </w:tc>
      </w:tr>
      <w:tr w:rsidR="00085806" w:rsidRPr="00475EEE" w14:paraId="7F272F62" w14:textId="77777777" w:rsidTr="008978CD">
        <w:trPr>
          <w:trHeight w:val="94"/>
        </w:trPr>
        <w:tc>
          <w:tcPr>
            <w:tcW w:w="0" w:type="auto"/>
            <w:vMerge w:val="restart"/>
            <w:tcBorders>
              <w:top w:val="single" w:sz="4" w:space="0" w:color="auto"/>
              <w:bottom w:val="nil"/>
              <w:right w:val="nil"/>
            </w:tcBorders>
          </w:tcPr>
          <w:p w14:paraId="4A6DFCB5" w14:textId="1ED81B6C" w:rsidR="00085806" w:rsidRPr="00E1513B" w:rsidRDefault="00085806" w:rsidP="00E1513B">
            <w:pPr>
              <w:jc w:val="center"/>
              <w:rPr>
                <w:rFonts w:eastAsia="Calibri"/>
                <w:b/>
                <w:lang w:val="en-GB" w:eastAsia="en-US"/>
              </w:rPr>
            </w:pPr>
            <w:r w:rsidRPr="00E1513B">
              <w:rPr>
                <w:rFonts w:eastAsia="Calibri"/>
                <w:b/>
                <w:lang w:val="en-GB" w:eastAsia="en-US"/>
              </w:rPr>
              <w:t>Smoking status</w:t>
            </w:r>
          </w:p>
        </w:tc>
        <w:tc>
          <w:tcPr>
            <w:tcW w:w="0" w:type="auto"/>
            <w:tcBorders>
              <w:top w:val="single" w:sz="4" w:space="0" w:color="auto"/>
              <w:left w:val="nil"/>
              <w:bottom w:val="nil"/>
              <w:right w:val="nil"/>
            </w:tcBorders>
          </w:tcPr>
          <w:p w14:paraId="7884945A" w14:textId="77777777" w:rsidR="00085806" w:rsidRPr="00475EEE" w:rsidRDefault="00085806" w:rsidP="00E1513B">
            <w:pPr>
              <w:jc w:val="center"/>
              <w:rPr>
                <w:rFonts w:eastAsia="Calibri"/>
                <w:lang w:val="en-US" w:eastAsia="en-US"/>
              </w:rPr>
            </w:pPr>
            <w:r w:rsidRPr="00475EEE">
              <w:rPr>
                <w:rFonts w:eastAsia="Calibri"/>
                <w:lang w:val="en-US" w:eastAsia="en-US"/>
              </w:rPr>
              <w:t>Current</w:t>
            </w:r>
          </w:p>
        </w:tc>
        <w:tc>
          <w:tcPr>
            <w:tcW w:w="0" w:type="auto"/>
            <w:tcBorders>
              <w:top w:val="single" w:sz="4" w:space="0" w:color="auto"/>
              <w:left w:val="nil"/>
              <w:bottom w:val="nil"/>
              <w:right w:val="nil"/>
            </w:tcBorders>
          </w:tcPr>
          <w:p w14:paraId="113C306B" w14:textId="0544DED1" w:rsidR="00085806" w:rsidRPr="00475EEE" w:rsidRDefault="00085806" w:rsidP="00E1513B">
            <w:pPr>
              <w:jc w:val="center"/>
              <w:rPr>
                <w:rFonts w:eastAsia="Calibri"/>
                <w:lang w:val="en-GB" w:eastAsia="en-US"/>
              </w:rPr>
            </w:pPr>
            <w:r w:rsidRPr="00475EEE">
              <w:rPr>
                <w:rFonts w:eastAsia="Calibri"/>
                <w:lang w:val="en-GB" w:eastAsia="en-US"/>
              </w:rPr>
              <w:t>1.20</w:t>
            </w:r>
            <w:r w:rsidR="00D82F88">
              <w:rPr>
                <w:rFonts w:eastAsia="Calibri"/>
                <w:lang w:val="en-GB" w:eastAsia="en-US"/>
              </w:rPr>
              <w:t xml:space="preserve"> </w:t>
            </w:r>
            <w:r>
              <w:rPr>
                <w:rFonts w:eastAsia="Calibri"/>
                <w:lang w:val="en-GB" w:eastAsia="en-US"/>
              </w:rPr>
              <w:t>(1.08-</w:t>
            </w:r>
            <w:r w:rsidRPr="00085806">
              <w:rPr>
                <w:rFonts w:eastAsia="Calibri"/>
                <w:lang w:val="en-GB" w:eastAsia="en-US"/>
              </w:rPr>
              <w:t>1.35</w:t>
            </w:r>
            <w:r>
              <w:rPr>
                <w:rFonts w:eastAsia="Calibri"/>
                <w:lang w:val="en-GB" w:eastAsia="en-US"/>
              </w:rPr>
              <w:t>)</w:t>
            </w:r>
            <w:r w:rsidR="00D82F88" w:rsidRPr="00E1513B">
              <w:rPr>
                <w:rFonts w:eastAsia="Calibri"/>
                <w:vertAlign w:val="superscript"/>
                <w:lang w:val="en-GB" w:eastAsia="en-US"/>
              </w:rPr>
              <w:t>d</w:t>
            </w:r>
          </w:p>
        </w:tc>
      </w:tr>
      <w:tr w:rsidR="00085806" w:rsidRPr="00475EEE" w14:paraId="21D0EF8D" w14:textId="77777777" w:rsidTr="008978CD">
        <w:trPr>
          <w:trHeight w:val="93"/>
        </w:trPr>
        <w:tc>
          <w:tcPr>
            <w:tcW w:w="0" w:type="auto"/>
            <w:vMerge/>
            <w:tcBorders>
              <w:top w:val="nil"/>
              <w:bottom w:val="nil"/>
              <w:right w:val="nil"/>
            </w:tcBorders>
          </w:tcPr>
          <w:p w14:paraId="1D51AD60" w14:textId="77777777" w:rsidR="00085806" w:rsidRPr="00E1513B" w:rsidRDefault="00085806" w:rsidP="00E1513B">
            <w:pPr>
              <w:jc w:val="center"/>
              <w:rPr>
                <w:rFonts w:eastAsia="Calibri"/>
                <w:b/>
                <w:lang w:val="en-GB" w:eastAsia="en-US"/>
              </w:rPr>
            </w:pPr>
          </w:p>
        </w:tc>
        <w:tc>
          <w:tcPr>
            <w:tcW w:w="0" w:type="auto"/>
            <w:tcBorders>
              <w:top w:val="nil"/>
              <w:left w:val="nil"/>
              <w:bottom w:val="nil"/>
              <w:right w:val="nil"/>
            </w:tcBorders>
          </w:tcPr>
          <w:p w14:paraId="61750F91" w14:textId="77777777" w:rsidR="00085806" w:rsidRPr="00475EEE" w:rsidRDefault="00085806" w:rsidP="00E1513B">
            <w:pPr>
              <w:jc w:val="center"/>
              <w:rPr>
                <w:rFonts w:eastAsia="Calibri"/>
                <w:lang w:val="en-US" w:eastAsia="en-US"/>
              </w:rPr>
            </w:pPr>
            <w:r w:rsidRPr="00475EEE">
              <w:rPr>
                <w:rFonts w:eastAsia="Calibri"/>
                <w:lang w:val="en-US" w:eastAsia="en-US"/>
              </w:rPr>
              <w:t>Former</w:t>
            </w:r>
          </w:p>
        </w:tc>
        <w:tc>
          <w:tcPr>
            <w:tcW w:w="0" w:type="auto"/>
            <w:tcBorders>
              <w:top w:val="nil"/>
              <w:left w:val="nil"/>
              <w:bottom w:val="nil"/>
              <w:right w:val="nil"/>
            </w:tcBorders>
          </w:tcPr>
          <w:p w14:paraId="62E329C1" w14:textId="3E24B4FE" w:rsidR="00085806" w:rsidRPr="00475EEE" w:rsidRDefault="00085806" w:rsidP="00E1513B">
            <w:pPr>
              <w:jc w:val="center"/>
              <w:rPr>
                <w:rFonts w:eastAsia="Calibri"/>
                <w:lang w:val="en-GB" w:eastAsia="en-US"/>
              </w:rPr>
            </w:pPr>
            <w:r w:rsidRPr="00475EEE">
              <w:rPr>
                <w:rFonts w:eastAsia="Calibri"/>
                <w:lang w:val="en-GB" w:eastAsia="en-US"/>
              </w:rPr>
              <w:t>1.29</w:t>
            </w:r>
            <w:r w:rsidR="00D82F88">
              <w:rPr>
                <w:rFonts w:eastAsia="Calibri"/>
                <w:lang w:val="en-GB" w:eastAsia="en-US"/>
              </w:rPr>
              <w:t xml:space="preserve"> </w:t>
            </w:r>
            <w:r>
              <w:rPr>
                <w:rFonts w:eastAsia="Calibri"/>
                <w:lang w:val="en-GB" w:eastAsia="en-US"/>
              </w:rPr>
              <w:t>(1.16-</w:t>
            </w:r>
            <w:r w:rsidRPr="00085806">
              <w:rPr>
                <w:rFonts w:eastAsia="Calibri"/>
                <w:lang w:val="en-GB" w:eastAsia="en-US"/>
              </w:rPr>
              <w:t>1.45</w:t>
            </w:r>
            <w:r>
              <w:rPr>
                <w:rFonts w:eastAsia="Calibri"/>
                <w:lang w:val="en-GB" w:eastAsia="en-US"/>
              </w:rPr>
              <w:t>)</w:t>
            </w:r>
            <w:r w:rsidR="00D82F88" w:rsidRPr="00E1513B">
              <w:rPr>
                <w:rFonts w:eastAsia="Calibri"/>
                <w:vertAlign w:val="superscript"/>
                <w:lang w:val="en-GB" w:eastAsia="en-US"/>
              </w:rPr>
              <w:t>e</w:t>
            </w:r>
          </w:p>
        </w:tc>
      </w:tr>
      <w:tr w:rsidR="00085806" w:rsidRPr="00475EEE" w14:paraId="6ADD3917" w14:textId="77777777" w:rsidTr="008978CD">
        <w:trPr>
          <w:trHeight w:val="93"/>
        </w:trPr>
        <w:tc>
          <w:tcPr>
            <w:tcW w:w="0" w:type="auto"/>
            <w:vMerge/>
            <w:tcBorders>
              <w:top w:val="nil"/>
              <w:bottom w:val="single" w:sz="4" w:space="0" w:color="auto"/>
              <w:right w:val="nil"/>
            </w:tcBorders>
          </w:tcPr>
          <w:p w14:paraId="6782ADD7" w14:textId="77777777" w:rsidR="00085806" w:rsidRPr="00E1513B" w:rsidRDefault="00085806" w:rsidP="00E1513B">
            <w:pPr>
              <w:jc w:val="center"/>
              <w:rPr>
                <w:rFonts w:eastAsia="Calibri"/>
                <w:b/>
                <w:lang w:val="en-GB" w:eastAsia="en-US"/>
              </w:rPr>
            </w:pPr>
          </w:p>
        </w:tc>
        <w:tc>
          <w:tcPr>
            <w:tcW w:w="0" w:type="auto"/>
            <w:tcBorders>
              <w:top w:val="nil"/>
              <w:left w:val="nil"/>
              <w:bottom w:val="single" w:sz="4" w:space="0" w:color="auto"/>
              <w:right w:val="nil"/>
            </w:tcBorders>
          </w:tcPr>
          <w:p w14:paraId="1B540519" w14:textId="77777777" w:rsidR="00085806" w:rsidRPr="00475EEE" w:rsidRDefault="00085806" w:rsidP="00E1513B">
            <w:pPr>
              <w:jc w:val="center"/>
              <w:rPr>
                <w:rFonts w:eastAsia="Calibri"/>
                <w:lang w:val="en-US" w:eastAsia="en-US"/>
              </w:rPr>
            </w:pPr>
            <w:r w:rsidRPr="00475EEE">
              <w:rPr>
                <w:rFonts w:eastAsia="Calibri"/>
                <w:lang w:val="en-US" w:eastAsia="en-US"/>
              </w:rPr>
              <w:t>Never</w:t>
            </w:r>
          </w:p>
        </w:tc>
        <w:tc>
          <w:tcPr>
            <w:tcW w:w="0" w:type="auto"/>
            <w:tcBorders>
              <w:top w:val="nil"/>
              <w:left w:val="nil"/>
              <w:bottom w:val="single" w:sz="4" w:space="0" w:color="auto"/>
              <w:right w:val="nil"/>
            </w:tcBorders>
          </w:tcPr>
          <w:p w14:paraId="01544A75" w14:textId="77777777" w:rsidR="00085806" w:rsidRPr="00475EEE" w:rsidRDefault="00085806" w:rsidP="00E1513B">
            <w:pPr>
              <w:jc w:val="center"/>
              <w:rPr>
                <w:rFonts w:eastAsia="Calibri"/>
                <w:lang w:val="en-GB" w:eastAsia="en-US"/>
              </w:rPr>
            </w:pPr>
            <w:r w:rsidRPr="00475EEE">
              <w:rPr>
                <w:rFonts w:eastAsia="Calibri"/>
                <w:lang w:val="en-GB" w:eastAsia="en-US"/>
              </w:rPr>
              <w:t>ref</w:t>
            </w:r>
          </w:p>
        </w:tc>
      </w:tr>
      <w:tr w:rsidR="00085806" w:rsidRPr="00475EEE" w14:paraId="59EC494E" w14:textId="77777777" w:rsidTr="008978CD">
        <w:trPr>
          <w:trHeight w:val="63"/>
        </w:trPr>
        <w:tc>
          <w:tcPr>
            <w:tcW w:w="0" w:type="auto"/>
            <w:vMerge w:val="restart"/>
            <w:tcBorders>
              <w:top w:val="single" w:sz="4" w:space="0" w:color="auto"/>
              <w:bottom w:val="nil"/>
              <w:right w:val="nil"/>
            </w:tcBorders>
          </w:tcPr>
          <w:p w14:paraId="43E4238D" w14:textId="05801CA8" w:rsidR="00085806" w:rsidRPr="00E1513B" w:rsidRDefault="00085806" w:rsidP="00E1513B">
            <w:pPr>
              <w:jc w:val="center"/>
              <w:rPr>
                <w:rFonts w:eastAsia="Calibri"/>
                <w:b/>
                <w:lang w:val="en-GB" w:eastAsia="en-US"/>
              </w:rPr>
            </w:pPr>
            <w:r w:rsidRPr="00E1513B">
              <w:rPr>
                <w:rFonts w:eastAsia="Calibri"/>
                <w:b/>
                <w:lang w:val="en-GB" w:eastAsia="en-US"/>
              </w:rPr>
              <w:t>Body Mass Index (kg·m</w:t>
            </w:r>
            <w:r w:rsidRPr="00E1513B">
              <w:rPr>
                <w:rFonts w:eastAsia="Calibri"/>
                <w:b/>
                <w:vertAlign w:val="superscript"/>
                <w:lang w:val="en-GB" w:eastAsia="en-US"/>
              </w:rPr>
              <w:t>-2</w:t>
            </w:r>
            <w:r w:rsidRPr="00E1513B">
              <w:rPr>
                <w:rFonts w:eastAsia="Calibri"/>
                <w:b/>
                <w:lang w:val="en-GB" w:eastAsia="en-US"/>
              </w:rPr>
              <w:t>)</w:t>
            </w:r>
          </w:p>
        </w:tc>
        <w:tc>
          <w:tcPr>
            <w:tcW w:w="0" w:type="auto"/>
            <w:tcBorders>
              <w:top w:val="single" w:sz="4" w:space="0" w:color="auto"/>
              <w:left w:val="nil"/>
              <w:bottom w:val="nil"/>
              <w:right w:val="nil"/>
            </w:tcBorders>
          </w:tcPr>
          <w:p w14:paraId="2234A194" w14:textId="77777777" w:rsidR="00085806" w:rsidRPr="00475EEE" w:rsidRDefault="00085806" w:rsidP="00E1513B">
            <w:pPr>
              <w:jc w:val="center"/>
              <w:rPr>
                <w:rFonts w:eastAsia="Calibri"/>
                <w:lang w:val="en-US" w:eastAsia="en-US"/>
              </w:rPr>
            </w:pPr>
            <w:r w:rsidRPr="00475EEE">
              <w:rPr>
                <w:rFonts w:eastAsia="Calibri"/>
                <w:lang w:val="en-US" w:eastAsia="en-US"/>
              </w:rPr>
              <w:t>Obese</w:t>
            </w:r>
          </w:p>
        </w:tc>
        <w:tc>
          <w:tcPr>
            <w:tcW w:w="0" w:type="auto"/>
            <w:tcBorders>
              <w:top w:val="single" w:sz="4" w:space="0" w:color="auto"/>
              <w:left w:val="nil"/>
              <w:bottom w:val="nil"/>
              <w:right w:val="nil"/>
            </w:tcBorders>
          </w:tcPr>
          <w:p w14:paraId="58277DEF" w14:textId="21404F8A" w:rsidR="00085806" w:rsidRPr="00475EEE" w:rsidRDefault="00085806" w:rsidP="00E1513B">
            <w:pPr>
              <w:jc w:val="center"/>
              <w:rPr>
                <w:rFonts w:eastAsia="Calibri"/>
                <w:lang w:val="en-GB" w:eastAsia="en-US"/>
              </w:rPr>
            </w:pPr>
            <w:r w:rsidRPr="00475EEE">
              <w:rPr>
                <w:rFonts w:eastAsia="Calibri"/>
                <w:lang w:val="en-GB" w:eastAsia="en-US"/>
              </w:rPr>
              <w:t>2.13</w:t>
            </w:r>
            <w:r w:rsidR="00D82F88">
              <w:rPr>
                <w:rFonts w:eastAsia="Calibri"/>
                <w:lang w:val="en-GB" w:eastAsia="en-US"/>
              </w:rPr>
              <w:t xml:space="preserve"> </w:t>
            </w:r>
            <w:r>
              <w:rPr>
                <w:rFonts w:eastAsia="Calibri"/>
                <w:lang w:val="en-GB" w:eastAsia="en-US"/>
              </w:rPr>
              <w:t>(1.45-</w:t>
            </w:r>
            <w:r w:rsidRPr="00475EEE">
              <w:rPr>
                <w:rFonts w:eastAsia="Calibri"/>
                <w:lang w:val="en-GB" w:eastAsia="en-US"/>
              </w:rPr>
              <w:t>3.12</w:t>
            </w:r>
            <w:r>
              <w:rPr>
                <w:rFonts w:eastAsia="Calibri"/>
                <w:lang w:val="en-GB" w:eastAsia="en-US"/>
              </w:rPr>
              <w:t>)</w:t>
            </w:r>
            <w:r w:rsidR="00D82F88" w:rsidRPr="00E1513B">
              <w:rPr>
                <w:rFonts w:eastAsia="Calibri"/>
                <w:vertAlign w:val="superscript"/>
                <w:lang w:val="en-GB" w:eastAsia="en-US"/>
              </w:rPr>
              <w:t>e</w:t>
            </w:r>
          </w:p>
        </w:tc>
      </w:tr>
      <w:tr w:rsidR="00085806" w:rsidRPr="00475EEE" w14:paraId="4F26C4F7" w14:textId="77777777" w:rsidTr="008978CD">
        <w:trPr>
          <w:trHeight w:val="63"/>
        </w:trPr>
        <w:tc>
          <w:tcPr>
            <w:tcW w:w="0" w:type="auto"/>
            <w:vMerge/>
            <w:tcBorders>
              <w:top w:val="nil"/>
              <w:bottom w:val="nil"/>
              <w:right w:val="nil"/>
            </w:tcBorders>
          </w:tcPr>
          <w:p w14:paraId="58C50895" w14:textId="77777777" w:rsidR="00085806" w:rsidRPr="00E1513B" w:rsidRDefault="00085806" w:rsidP="00E1513B">
            <w:pPr>
              <w:jc w:val="center"/>
              <w:rPr>
                <w:rFonts w:eastAsia="Calibri"/>
                <w:b/>
                <w:lang w:val="en-GB" w:eastAsia="en-US"/>
              </w:rPr>
            </w:pPr>
          </w:p>
        </w:tc>
        <w:tc>
          <w:tcPr>
            <w:tcW w:w="0" w:type="auto"/>
            <w:tcBorders>
              <w:top w:val="nil"/>
              <w:left w:val="nil"/>
              <w:bottom w:val="nil"/>
              <w:right w:val="nil"/>
            </w:tcBorders>
          </w:tcPr>
          <w:p w14:paraId="19E70E67" w14:textId="77777777" w:rsidR="00085806" w:rsidRPr="00475EEE" w:rsidRDefault="00085806" w:rsidP="00E1513B">
            <w:pPr>
              <w:jc w:val="center"/>
              <w:rPr>
                <w:rFonts w:eastAsia="Calibri"/>
                <w:lang w:val="en-US" w:eastAsia="en-US"/>
              </w:rPr>
            </w:pPr>
            <w:r w:rsidRPr="00475EEE">
              <w:rPr>
                <w:rFonts w:eastAsia="Calibri"/>
                <w:lang w:val="en-US" w:eastAsia="en-US"/>
              </w:rPr>
              <w:t>Overweight</w:t>
            </w:r>
          </w:p>
        </w:tc>
        <w:tc>
          <w:tcPr>
            <w:tcW w:w="0" w:type="auto"/>
            <w:tcBorders>
              <w:top w:val="nil"/>
              <w:left w:val="nil"/>
              <w:bottom w:val="nil"/>
              <w:right w:val="nil"/>
            </w:tcBorders>
          </w:tcPr>
          <w:p w14:paraId="502049D4" w14:textId="3B381DC0" w:rsidR="00085806" w:rsidRPr="00475EEE" w:rsidRDefault="00085806" w:rsidP="00E1513B">
            <w:pPr>
              <w:jc w:val="center"/>
              <w:rPr>
                <w:rFonts w:eastAsia="Calibri"/>
                <w:lang w:val="en-GB" w:eastAsia="en-US"/>
              </w:rPr>
            </w:pPr>
            <w:r w:rsidRPr="00475EEE">
              <w:rPr>
                <w:rFonts w:eastAsia="Calibri"/>
                <w:lang w:val="en-GB" w:eastAsia="en-US"/>
              </w:rPr>
              <w:t>1.51</w:t>
            </w:r>
            <w:r w:rsidR="008D150B">
              <w:rPr>
                <w:rFonts w:eastAsia="Calibri"/>
                <w:lang w:val="en-GB" w:eastAsia="en-US"/>
              </w:rPr>
              <w:t xml:space="preserve"> </w:t>
            </w:r>
            <w:r>
              <w:rPr>
                <w:rFonts w:eastAsia="Calibri"/>
                <w:lang w:val="en-GB" w:eastAsia="en-US"/>
              </w:rPr>
              <w:t>(1.04-</w:t>
            </w:r>
            <w:r w:rsidRPr="00475EEE">
              <w:rPr>
                <w:rFonts w:eastAsia="Calibri"/>
                <w:lang w:val="en-GB" w:eastAsia="en-US"/>
              </w:rPr>
              <w:t>2.19</w:t>
            </w:r>
            <w:r>
              <w:rPr>
                <w:rFonts w:eastAsia="Calibri"/>
                <w:lang w:val="en-GB" w:eastAsia="en-US"/>
              </w:rPr>
              <w:t>)</w:t>
            </w:r>
            <w:r w:rsidR="008D150B" w:rsidRPr="00E1513B">
              <w:rPr>
                <w:rFonts w:eastAsia="Calibri"/>
                <w:vertAlign w:val="superscript"/>
                <w:lang w:val="en-GB" w:eastAsia="en-US"/>
              </w:rPr>
              <w:t>c</w:t>
            </w:r>
          </w:p>
        </w:tc>
      </w:tr>
      <w:tr w:rsidR="00085806" w:rsidRPr="00475EEE" w14:paraId="35FE5A36" w14:textId="77777777" w:rsidTr="008978CD">
        <w:trPr>
          <w:trHeight w:val="63"/>
        </w:trPr>
        <w:tc>
          <w:tcPr>
            <w:tcW w:w="0" w:type="auto"/>
            <w:vMerge/>
            <w:tcBorders>
              <w:top w:val="nil"/>
              <w:bottom w:val="nil"/>
              <w:right w:val="nil"/>
            </w:tcBorders>
          </w:tcPr>
          <w:p w14:paraId="1D5F0DE7" w14:textId="77777777" w:rsidR="00085806" w:rsidRPr="00E1513B" w:rsidRDefault="00085806" w:rsidP="00E1513B">
            <w:pPr>
              <w:jc w:val="center"/>
              <w:rPr>
                <w:rFonts w:eastAsia="Calibri"/>
                <w:b/>
                <w:lang w:val="en-GB" w:eastAsia="en-US"/>
              </w:rPr>
            </w:pPr>
          </w:p>
        </w:tc>
        <w:tc>
          <w:tcPr>
            <w:tcW w:w="0" w:type="auto"/>
            <w:tcBorders>
              <w:top w:val="nil"/>
              <w:left w:val="nil"/>
              <w:bottom w:val="nil"/>
              <w:right w:val="nil"/>
            </w:tcBorders>
          </w:tcPr>
          <w:p w14:paraId="62A51D0D" w14:textId="2C312DD8" w:rsidR="00085806" w:rsidRPr="00475EEE" w:rsidRDefault="00085806" w:rsidP="00E1513B">
            <w:pPr>
              <w:jc w:val="center"/>
              <w:rPr>
                <w:rFonts w:eastAsia="Calibri"/>
                <w:lang w:val="en-US" w:eastAsia="en-US"/>
              </w:rPr>
            </w:pPr>
            <w:r w:rsidRPr="00475EEE">
              <w:rPr>
                <w:rFonts w:eastAsia="Calibri"/>
                <w:lang w:val="en-US" w:eastAsia="en-US"/>
              </w:rPr>
              <w:t>Normal</w:t>
            </w:r>
          </w:p>
        </w:tc>
        <w:tc>
          <w:tcPr>
            <w:tcW w:w="0" w:type="auto"/>
            <w:tcBorders>
              <w:top w:val="nil"/>
              <w:left w:val="nil"/>
              <w:bottom w:val="nil"/>
              <w:right w:val="nil"/>
            </w:tcBorders>
          </w:tcPr>
          <w:p w14:paraId="73585629" w14:textId="68181A12" w:rsidR="00085806" w:rsidRPr="00475EEE" w:rsidRDefault="00085806" w:rsidP="00E1513B">
            <w:pPr>
              <w:jc w:val="center"/>
              <w:rPr>
                <w:rFonts w:eastAsia="Calibri"/>
                <w:lang w:val="en-GB" w:eastAsia="en-US"/>
              </w:rPr>
            </w:pPr>
            <w:r w:rsidRPr="00475EEE">
              <w:rPr>
                <w:rFonts w:eastAsia="Calibri"/>
                <w:lang w:val="en-GB" w:eastAsia="en-US"/>
              </w:rPr>
              <w:t>1.05</w:t>
            </w:r>
            <w:r>
              <w:rPr>
                <w:rFonts w:eastAsia="Calibri"/>
                <w:lang w:val="en-GB" w:eastAsia="en-US"/>
              </w:rPr>
              <w:t xml:space="preserve"> (0.73-</w:t>
            </w:r>
            <w:r w:rsidRPr="00475EEE">
              <w:rPr>
                <w:rFonts w:eastAsia="Calibri"/>
                <w:lang w:val="en-GB" w:eastAsia="en-US"/>
              </w:rPr>
              <w:t>1.52</w:t>
            </w:r>
            <w:r>
              <w:rPr>
                <w:rFonts w:eastAsia="Calibri"/>
                <w:lang w:val="en-GB" w:eastAsia="en-US"/>
              </w:rPr>
              <w:t>)</w:t>
            </w:r>
          </w:p>
        </w:tc>
      </w:tr>
      <w:tr w:rsidR="00085806" w:rsidRPr="00475EEE" w14:paraId="4226F94F" w14:textId="77777777" w:rsidTr="008978CD">
        <w:trPr>
          <w:trHeight w:val="63"/>
        </w:trPr>
        <w:tc>
          <w:tcPr>
            <w:tcW w:w="0" w:type="auto"/>
            <w:vMerge/>
            <w:tcBorders>
              <w:top w:val="nil"/>
              <w:bottom w:val="single" w:sz="4" w:space="0" w:color="auto"/>
              <w:right w:val="nil"/>
            </w:tcBorders>
          </w:tcPr>
          <w:p w14:paraId="79D7A8C6" w14:textId="77777777" w:rsidR="00085806" w:rsidRPr="00E1513B" w:rsidRDefault="00085806" w:rsidP="00E1513B">
            <w:pPr>
              <w:jc w:val="center"/>
              <w:rPr>
                <w:rFonts w:eastAsia="Calibri"/>
                <w:b/>
                <w:lang w:val="en-GB" w:eastAsia="en-US"/>
              </w:rPr>
            </w:pPr>
          </w:p>
        </w:tc>
        <w:tc>
          <w:tcPr>
            <w:tcW w:w="0" w:type="auto"/>
            <w:tcBorders>
              <w:top w:val="nil"/>
              <w:left w:val="nil"/>
              <w:bottom w:val="single" w:sz="4" w:space="0" w:color="auto"/>
              <w:right w:val="nil"/>
            </w:tcBorders>
          </w:tcPr>
          <w:p w14:paraId="6172A7FE" w14:textId="77777777" w:rsidR="00085806" w:rsidRPr="00475EEE" w:rsidRDefault="00085806" w:rsidP="00E1513B">
            <w:pPr>
              <w:jc w:val="center"/>
              <w:rPr>
                <w:rFonts w:eastAsia="Calibri"/>
                <w:lang w:val="en-US" w:eastAsia="en-US"/>
              </w:rPr>
            </w:pPr>
            <w:r w:rsidRPr="00475EEE">
              <w:rPr>
                <w:rFonts w:eastAsia="Calibri"/>
                <w:lang w:val="en-US" w:eastAsia="en-US"/>
              </w:rPr>
              <w:t>Low</w:t>
            </w:r>
          </w:p>
        </w:tc>
        <w:tc>
          <w:tcPr>
            <w:tcW w:w="0" w:type="auto"/>
            <w:tcBorders>
              <w:top w:val="nil"/>
              <w:left w:val="nil"/>
              <w:bottom w:val="single" w:sz="4" w:space="0" w:color="auto"/>
              <w:right w:val="nil"/>
            </w:tcBorders>
          </w:tcPr>
          <w:p w14:paraId="06A3A30E" w14:textId="77777777" w:rsidR="00085806" w:rsidRPr="00475EEE" w:rsidRDefault="00085806" w:rsidP="00E1513B">
            <w:pPr>
              <w:jc w:val="center"/>
              <w:rPr>
                <w:rFonts w:eastAsia="Calibri"/>
                <w:lang w:val="en-GB" w:eastAsia="en-US"/>
              </w:rPr>
            </w:pPr>
            <w:r w:rsidRPr="00475EEE">
              <w:rPr>
                <w:rFonts w:eastAsia="Calibri"/>
                <w:lang w:val="en-GB" w:eastAsia="en-US"/>
              </w:rPr>
              <w:t>ref</w:t>
            </w:r>
          </w:p>
        </w:tc>
      </w:tr>
      <w:tr w:rsidR="00085806" w:rsidRPr="00475EEE" w14:paraId="0B896960" w14:textId="77777777" w:rsidTr="008978CD">
        <w:trPr>
          <w:trHeight w:val="128"/>
        </w:trPr>
        <w:tc>
          <w:tcPr>
            <w:tcW w:w="0" w:type="auto"/>
            <w:vMerge w:val="restart"/>
            <w:tcBorders>
              <w:top w:val="single" w:sz="4" w:space="0" w:color="auto"/>
              <w:bottom w:val="single" w:sz="4" w:space="0" w:color="auto"/>
              <w:right w:val="nil"/>
            </w:tcBorders>
          </w:tcPr>
          <w:p w14:paraId="6C3712E1" w14:textId="58426095" w:rsidR="00085806" w:rsidRPr="00E1513B" w:rsidRDefault="00085806" w:rsidP="00E1513B">
            <w:pPr>
              <w:jc w:val="center"/>
              <w:rPr>
                <w:rFonts w:eastAsia="Calibri"/>
                <w:b/>
                <w:lang w:val="en-US" w:eastAsia="en-US"/>
              </w:rPr>
            </w:pPr>
            <w:r w:rsidRPr="00E1513B">
              <w:rPr>
                <w:rFonts w:eastAsia="Calibri"/>
                <w:b/>
                <w:lang w:val="en-US" w:eastAsia="en-US"/>
              </w:rPr>
              <w:t>Occupational class</w:t>
            </w:r>
          </w:p>
        </w:tc>
        <w:tc>
          <w:tcPr>
            <w:tcW w:w="0" w:type="auto"/>
            <w:tcBorders>
              <w:top w:val="single" w:sz="4" w:space="0" w:color="auto"/>
              <w:left w:val="nil"/>
              <w:bottom w:val="nil"/>
              <w:right w:val="nil"/>
            </w:tcBorders>
          </w:tcPr>
          <w:p w14:paraId="17DC3102" w14:textId="77777777" w:rsidR="00085806" w:rsidRPr="00475EEE" w:rsidRDefault="00085806" w:rsidP="00E1513B">
            <w:pPr>
              <w:jc w:val="center"/>
              <w:rPr>
                <w:rFonts w:eastAsia="Calibri"/>
                <w:lang w:val="en-US" w:eastAsia="en-US"/>
              </w:rPr>
            </w:pPr>
            <w:r w:rsidRPr="00475EEE">
              <w:rPr>
                <w:rFonts w:eastAsia="Calibri"/>
                <w:lang w:val="en-US" w:eastAsia="en-US"/>
              </w:rPr>
              <w:t>I</w:t>
            </w:r>
          </w:p>
        </w:tc>
        <w:tc>
          <w:tcPr>
            <w:tcW w:w="0" w:type="auto"/>
            <w:tcBorders>
              <w:top w:val="single" w:sz="4" w:space="0" w:color="auto"/>
              <w:left w:val="nil"/>
              <w:bottom w:val="nil"/>
              <w:right w:val="nil"/>
            </w:tcBorders>
          </w:tcPr>
          <w:p w14:paraId="7550E986" w14:textId="72DA2690" w:rsidR="00085806" w:rsidRPr="00475EEE" w:rsidRDefault="00085806" w:rsidP="00E1513B">
            <w:pPr>
              <w:jc w:val="center"/>
              <w:rPr>
                <w:rFonts w:eastAsia="Calibri"/>
                <w:lang w:val="en-US" w:eastAsia="en-US"/>
              </w:rPr>
            </w:pPr>
            <w:r w:rsidRPr="00475EEE">
              <w:rPr>
                <w:rFonts w:eastAsia="Calibri"/>
                <w:lang w:val="en-US" w:eastAsia="en-US"/>
              </w:rPr>
              <w:t>0.71</w:t>
            </w:r>
            <w:r w:rsidR="008D150B">
              <w:rPr>
                <w:rFonts w:eastAsia="Calibri"/>
                <w:lang w:val="en-US" w:eastAsia="en-US"/>
              </w:rPr>
              <w:t xml:space="preserve"> </w:t>
            </w:r>
            <w:r>
              <w:rPr>
                <w:rFonts w:eastAsia="Calibri"/>
                <w:lang w:val="en-US" w:eastAsia="en-US"/>
              </w:rPr>
              <w:t>(0.56-</w:t>
            </w:r>
            <w:r w:rsidRPr="00475EEE">
              <w:rPr>
                <w:rFonts w:eastAsia="Calibri"/>
                <w:lang w:val="en-US" w:eastAsia="en-US"/>
              </w:rPr>
              <w:t>0.89</w:t>
            </w:r>
            <w:r>
              <w:rPr>
                <w:rFonts w:eastAsia="Calibri"/>
                <w:lang w:val="en-US" w:eastAsia="en-US"/>
              </w:rPr>
              <w:t>)</w:t>
            </w:r>
            <w:r w:rsidR="008D150B" w:rsidRPr="00E1513B">
              <w:rPr>
                <w:rFonts w:eastAsia="Calibri"/>
                <w:vertAlign w:val="superscript"/>
                <w:lang w:val="en-US" w:eastAsia="en-US"/>
              </w:rPr>
              <w:t>d</w:t>
            </w:r>
          </w:p>
        </w:tc>
      </w:tr>
      <w:tr w:rsidR="00085806" w:rsidRPr="00475EEE" w14:paraId="2C09639B" w14:textId="77777777" w:rsidTr="008978CD">
        <w:trPr>
          <w:trHeight w:val="128"/>
        </w:trPr>
        <w:tc>
          <w:tcPr>
            <w:tcW w:w="0" w:type="auto"/>
            <w:vMerge/>
            <w:tcBorders>
              <w:top w:val="single" w:sz="4" w:space="0" w:color="auto"/>
              <w:bottom w:val="single" w:sz="4" w:space="0" w:color="auto"/>
              <w:right w:val="nil"/>
            </w:tcBorders>
          </w:tcPr>
          <w:p w14:paraId="319C4A43" w14:textId="77777777" w:rsidR="00085806" w:rsidRPr="00475EEE" w:rsidRDefault="00085806" w:rsidP="00E1513B">
            <w:pPr>
              <w:jc w:val="center"/>
              <w:rPr>
                <w:rFonts w:eastAsia="Calibri"/>
                <w:lang w:val="en-US" w:eastAsia="en-US"/>
              </w:rPr>
            </w:pPr>
          </w:p>
        </w:tc>
        <w:tc>
          <w:tcPr>
            <w:tcW w:w="0" w:type="auto"/>
            <w:tcBorders>
              <w:top w:val="nil"/>
              <w:left w:val="nil"/>
              <w:bottom w:val="nil"/>
              <w:right w:val="nil"/>
            </w:tcBorders>
          </w:tcPr>
          <w:p w14:paraId="53D9C3A1" w14:textId="77777777" w:rsidR="00085806" w:rsidRPr="00475EEE" w:rsidRDefault="00085806" w:rsidP="00E1513B">
            <w:pPr>
              <w:jc w:val="center"/>
              <w:rPr>
                <w:rFonts w:eastAsia="Calibri"/>
                <w:lang w:val="en-US" w:eastAsia="en-US"/>
              </w:rPr>
            </w:pPr>
            <w:r w:rsidRPr="00475EEE">
              <w:rPr>
                <w:rFonts w:eastAsia="Calibri"/>
                <w:lang w:val="en-US" w:eastAsia="en-US"/>
              </w:rPr>
              <w:t>II</w:t>
            </w:r>
          </w:p>
        </w:tc>
        <w:tc>
          <w:tcPr>
            <w:tcW w:w="0" w:type="auto"/>
            <w:tcBorders>
              <w:top w:val="nil"/>
              <w:left w:val="nil"/>
              <w:bottom w:val="nil"/>
              <w:right w:val="nil"/>
            </w:tcBorders>
          </w:tcPr>
          <w:p w14:paraId="6432E8C7" w14:textId="467A5D67" w:rsidR="00085806" w:rsidRPr="00475EEE" w:rsidRDefault="00085806" w:rsidP="00E1513B">
            <w:pPr>
              <w:jc w:val="center"/>
              <w:rPr>
                <w:rFonts w:eastAsia="Calibri"/>
                <w:lang w:val="en-US" w:eastAsia="en-US"/>
              </w:rPr>
            </w:pPr>
            <w:r w:rsidRPr="00475EEE">
              <w:rPr>
                <w:rFonts w:eastAsia="Calibri"/>
                <w:lang w:val="en-US" w:eastAsia="en-US"/>
              </w:rPr>
              <w:t>0.94</w:t>
            </w:r>
            <w:r>
              <w:rPr>
                <w:rFonts w:eastAsia="Calibri"/>
                <w:lang w:val="en-US" w:eastAsia="en-US"/>
              </w:rPr>
              <w:t xml:space="preserve"> (0.76-</w:t>
            </w:r>
            <w:r w:rsidRPr="00475EEE">
              <w:rPr>
                <w:rFonts w:eastAsia="Calibri"/>
                <w:lang w:val="en-US" w:eastAsia="en-US"/>
              </w:rPr>
              <w:t>1.18</w:t>
            </w:r>
            <w:r>
              <w:rPr>
                <w:rFonts w:eastAsia="Calibri"/>
                <w:lang w:val="en-US" w:eastAsia="en-US"/>
              </w:rPr>
              <w:t>)</w:t>
            </w:r>
          </w:p>
        </w:tc>
      </w:tr>
      <w:tr w:rsidR="00085806" w:rsidRPr="00475EEE" w14:paraId="24DEB23B" w14:textId="77777777" w:rsidTr="008978CD">
        <w:trPr>
          <w:trHeight w:val="128"/>
        </w:trPr>
        <w:tc>
          <w:tcPr>
            <w:tcW w:w="0" w:type="auto"/>
            <w:vMerge/>
            <w:tcBorders>
              <w:top w:val="single" w:sz="4" w:space="0" w:color="auto"/>
              <w:bottom w:val="single" w:sz="4" w:space="0" w:color="auto"/>
              <w:right w:val="nil"/>
            </w:tcBorders>
          </w:tcPr>
          <w:p w14:paraId="7F3F01B4" w14:textId="77777777" w:rsidR="00085806" w:rsidRPr="00475EEE" w:rsidRDefault="00085806" w:rsidP="00E1513B">
            <w:pPr>
              <w:jc w:val="center"/>
              <w:rPr>
                <w:rFonts w:eastAsia="Calibri"/>
                <w:lang w:val="en-US" w:eastAsia="en-US"/>
              </w:rPr>
            </w:pPr>
          </w:p>
        </w:tc>
        <w:tc>
          <w:tcPr>
            <w:tcW w:w="0" w:type="auto"/>
            <w:tcBorders>
              <w:top w:val="nil"/>
              <w:left w:val="nil"/>
              <w:bottom w:val="nil"/>
              <w:right w:val="nil"/>
            </w:tcBorders>
          </w:tcPr>
          <w:p w14:paraId="2F3152C6" w14:textId="77777777" w:rsidR="00085806" w:rsidRPr="00475EEE" w:rsidRDefault="00085806" w:rsidP="00E1513B">
            <w:pPr>
              <w:jc w:val="center"/>
              <w:rPr>
                <w:rFonts w:eastAsia="Calibri"/>
                <w:lang w:val="en-US" w:eastAsia="en-US"/>
              </w:rPr>
            </w:pPr>
            <w:r w:rsidRPr="00475EEE">
              <w:rPr>
                <w:rFonts w:eastAsia="Calibri"/>
                <w:lang w:val="en-US" w:eastAsia="en-US"/>
              </w:rPr>
              <w:t>III</w:t>
            </w:r>
          </w:p>
        </w:tc>
        <w:tc>
          <w:tcPr>
            <w:tcW w:w="0" w:type="auto"/>
            <w:tcBorders>
              <w:top w:val="nil"/>
              <w:left w:val="nil"/>
              <w:bottom w:val="nil"/>
              <w:right w:val="nil"/>
            </w:tcBorders>
          </w:tcPr>
          <w:p w14:paraId="12413D7D" w14:textId="43AD627B" w:rsidR="00085806" w:rsidRPr="00475EEE" w:rsidRDefault="00085806" w:rsidP="00E1513B">
            <w:pPr>
              <w:jc w:val="center"/>
              <w:rPr>
                <w:rFonts w:eastAsia="Calibri"/>
                <w:lang w:val="en-US" w:eastAsia="en-US"/>
              </w:rPr>
            </w:pPr>
            <w:r w:rsidRPr="00475EEE">
              <w:rPr>
                <w:rFonts w:eastAsia="Calibri"/>
                <w:lang w:val="en-US" w:eastAsia="en-US"/>
              </w:rPr>
              <w:t>0.91</w:t>
            </w:r>
            <w:r>
              <w:rPr>
                <w:rFonts w:eastAsia="Calibri"/>
                <w:lang w:val="en-US" w:eastAsia="en-US"/>
              </w:rPr>
              <w:t xml:space="preserve"> (0.77-</w:t>
            </w:r>
            <w:r w:rsidRPr="00475EEE">
              <w:rPr>
                <w:rFonts w:eastAsia="Calibri"/>
                <w:lang w:val="en-US" w:eastAsia="en-US"/>
              </w:rPr>
              <w:t>1.08</w:t>
            </w:r>
            <w:r>
              <w:rPr>
                <w:rFonts w:eastAsia="Calibri"/>
                <w:lang w:val="en-US" w:eastAsia="en-US"/>
              </w:rPr>
              <w:t>)</w:t>
            </w:r>
          </w:p>
        </w:tc>
      </w:tr>
      <w:tr w:rsidR="00085806" w:rsidRPr="00475EEE" w14:paraId="6C1989B2" w14:textId="77777777" w:rsidTr="008978CD">
        <w:trPr>
          <w:trHeight w:val="128"/>
        </w:trPr>
        <w:tc>
          <w:tcPr>
            <w:tcW w:w="0" w:type="auto"/>
            <w:vMerge/>
            <w:tcBorders>
              <w:top w:val="single" w:sz="4" w:space="0" w:color="auto"/>
              <w:bottom w:val="single" w:sz="4" w:space="0" w:color="auto"/>
              <w:right w:val="nil"/>
            </w:tcBorders>
          </w:tcPr>
          <w:p w14:paraId="0E68410D" w14:textId="77777777" w:rsidR="00085806" w:rsidRPr="00475EEE" w:rsidRDefault="00085806" w:rsidP="00E1513B">
            <w:pPr>
              <w:jc w:val="both"/>
              <w:rPr>
                <w:rFonts w:eastAsia="Calibri"/>
                <w:lang w:val="en-US" w:eastAsia="en-US"/>
              </w:rPr>
            </w:pPr>
          </w:p>
        </w:tc>
        <w:tc>
          <w:tcPr>
            <w:tcW w:w="0" w:type="auto"/>
            <w:tcBorders>
              <w:top w:val="nil"/>
              <w:left w:val="nil"/>
              <w:bottom w:val="nil"/>
              <w:right w:val="nil"/>
            </w:tcBorders>
          </w:tcPr>
          <w:p w14:paraId="50944B5D" w14:textId="77777777" w:rsidR="00085806" w:rsidRPr="00475EEE" w:rsidRDefault="00085806" w:rsidP="00E1513B">
            <w:pPr>
              <w:jc w:val="center"/>
              <w:rPr>
                <w:rFonts w:eastAsia="Calibri"/>
                <w:lang w:val="en-US" w:eastAsia="en-US"/>
              </w:rPr>
            </w:pPr>
            <w:r w:rsidRPr="00475EEE">
              <w:rPr>
                <w:rFonts w:eastAsia="Calibri"/>
                <w:lang w:val="en-US" w:eastAsia="en-US"/>
              </w:rPr>
              <w:t>IV</w:t>
            </w:r>
          </w:p>
        </w:tc>
        <w:tc>
          <w:tcPr>
            <w:tcW w:w="0" w:type="auto"/>
            <w:tcBorders>
              <w:top w:val="nil"/>
              <w:left w:val="nil"/>
              <w:bottom w:val="nil"/>
              <w:right w:val="nil"/>
            </w:tcBorders>
          </w:tcPr>
          <w:p w14:paraId="641C1F1A" w14:textId="6A29A5A6" w:rsidR="00085806" w:rsidRPr="00475EEE" w:rsidRDefault="00085806" w:rsidP="00E1513B">
            <w:pPr>
              <w:jc w:val="center"/>
              <w:rPr>
                <w:rFonts w:eastAsia="Calibri"/>
                <w:lang w:val="en-US" w:eastAsia="en-US"/>
              </w:rPr>
            </w:pPr>
            <w:r w:rsidRPr="00475EEE">
              <w:rPr>
                <w:rFonts w:eastAsia="Calibri"/>
                <w:lang w:val="en-US" w:eastAsia="en-US"/>
              </w:rPr>
              <w:t>1.02</w:t>
            </w:r>
            <w:r>
              <w:rPr>
                <w:rFonts w:eastAsia="Calibri"/>
                <w:lang w:val="en-US" w:eastAsia="en-US"/>
              </w:rPr>
              <w:t xml:space="preserve"> (0.84-</w:t>
            </w:r>
            <w:r w:rsidRPr="00475EEE">
              <w:rPr>
                <w:rFonts w:eastAsia="Calibri"/>
                <w:lang w:val="en-US" w:eastAsia="en-US"/>
              </w:rPr>
              <w:t>1.24</w:t>
            </w:r>
            <w:r>
              <w:rPr>
                <w:rFonts w:eastAsia="Calibri"/>
                <w:lang w:val="en-US" w:eastAsia="en-US"/>
              </w:rPr>
              <w:t>)</w:t>
            </w:r>
          </w:p>
        </w:tc>
      </w:tr>
      <w:tr w:rsidR="00085806" w:rsidRPr="00475EEE" w14:paraId="1D44E78A" w14:textId="77777777" w:rsidTr="008978CD">
        <w:trPr>
          <w:trHeight w:val="128"/>
        </w:trPr>
        <w:tc>
          <w:tcPr>
            <w:tcW w:w="0" w:type="auto"/>
            <w:vMerge/>
            <w:tcBorders>
              <w:top w:val="single" w:sz="4" w:space="0" w:color="auto"/>
              <w:bottom w:val="single" w:sz="4" w:space="0" w:color="auto"/>
              <w:right w:val="nil"/>
            </w:tcBorders>
          </w:tcPr>
          <w:p w14:paraId="2AC4638F" w14:textId="77777777" w:rsidR="00085806" w:rsidRPr="00475EEE" w:rsidRDefault="00085806" w:rsidP="00E1513B">
            <w:pPr>
              <w:jc w:val="both"/>
              <w:rPr>
                <w:rFonts w:eastAsia="Calibri"/>
                <w:lang w:val="en-US" w:eastAsia="en-US"/>
              </w:rPr>
            </w:pPr>
          </w:p>
        </w:tc>
        <w:tc>
          <w:tcPr>
            <w:tcW w:w="0" w:type="auto"/>
            <w:tcBorders>
              <w:top w:val="nil"/>
              <w:left w:val="nil"/>
              <w:bottom w:val="nil"/>
              <w:right w:val="nil"/>
            </w:tcBorders>
          </w:tcPr>
          <w:p w14:paraId="4B2C1C05" w14:textId="77777777" w:rsidR="00085806" w:rsidRPr="00475EEE" w:rsidRDefault="00085806" w:rsidP="00E1513B">
            <w:pPr>
              <w:jc w:val="center"/>
              <w:rPr>
                <w:rFonts w:eastAsia="Calibri"/>
                <w:lang w:val="en-US" w:eastAsia="en-US"/>
              </w:rPr>
            </w:pPr>
            <w:r w:rsidRPr="00475EEE">
              <w:rPr>
                <w:rFonts w:eastAsia="Calibri"/>
                <w:lang w:val="en-US" w:eastAsia="en-US"/>
              </w:rPr>
              <w:t>V</w:t>
            </w:r>
          </w:p>
        </w:tc>
        <w:tc>
          <w:tcPr>
            <w:tcW w:w="0" w:type="auto"/>
            <w:tcBorders>
              <w:top w:val="nil"/>
              <w:left w:val="nil"/>
              <w:bottom w:val="nil"/>
              <w:right w:val="nil"/>
            </w:tcBorders>
          </w:tcPr>
          <w:p w14:paraId="763BD90F" w14:textId="11658D9A" w:rsidR="00085806" w:rsidRPr="00475EEE" w:rsidRDefault="00085806" w:rsidP="00E1513B">
            <w:pPr>
              <w:jc w:val="center"/>
              <w:rPr>
                <w:rFonts w:eastAsia="Calibri"/>
                <w:lang w:val="en-US" w:eastAsia="en-US"/>
              </w:rPr>
            </w:pPr>
            <w:r w:rsidRPr="00475EEE">
              <w:rPr>
                <w:rFonts w:eastAsia="Calibri"/>
                <w:lang w:val="en-US" w:eastAsia="en-US"/>
              </w:rPr>
              <w:t>1.05</w:t>
            </w:r>
            <w:r>
              <w:rPr>
                <w:rFonts w:eastAsia="Calibri"/>
                <w:lang w:val="en-US" w:eastAsia="en-US"/>
              </w:rPr>
              <w:t xml:space="preserve"> (0.91-</w:t>
            </w:r>
            <w:r w:rsidRPr="00475EEE">
              <w:rPr>
                <w:rFonts w:eastAsia="Calibri"/>
                <w:lang w:val="en-US" w:eastAsia="en-US"/>
              </w:rPr>
              <w:t>1.22</w:t>
            </w:r>
            <w:r>
              <w:rPr>
                <w:rFonts w:eastAsia="Calibri"/>
                <w:lang w:val="en-US" w:eastAsia="en-US"/>
              </w:rPr>
              <w:t>)</w:t>
            </w:r>
          </w:p>
        </w:tc>
      </w:tr>
      <w:tr w:rsidR="00085806" w:rsidRPr="00475EEE" w14:paraId="7AB9498B" w14:textId="77777777" w:rsidTr="008978CD">
        <w:trPr>
          <w:trHeight w:val="127"/>
        </w:trPr>
        <w:tc>
          <w:tcPr>
            <w:tcW w:w="0" w:type="auto"/>
            <w:vMerge/>
            <w:tcBorders>
              <w:top w:val="single" w:sz="4" w:space="0" w:color="auto"/>
              <w:bottom w:val="single" w:sz="4" w:space="0" w:color="auto"/>
              <w:right w:val="nil"/>
            </w:tcBorders>
          </w:tcPr>
          <w:p w14:paraId="77735C57" w14:textId="77777777" w:rsidR="00085806" w:rsidRPr="00475EEE" w:rsidRDefault="00085806" w:rsidP="00E1513B">
            <w:pPr>
              <w:jc w:val="both"/>
              <w:rPr>
                <w:rFonts w:eastAsia="Calibri"/>
                <w:lang w:val="en-US" w:eastAsia="en-US"/>
              </w:rPr>
            </w:pPr>
          </w:p>
        </w:tc>
        <w:tc>
          <w:tcPr>
            <w:tcW w:w="0" w:type="auto"/>
            <w:tcBorders>
              <w:top w:val="nil"/>
              <w:left w:val="nil"/>
              <w:bottom w:val="single" w:sz="4" w:space="0" w:color="auto"/>
              <w:right w:val="nil"/>
            </w:tcBorders>
          </w:tcPr>
          <w:p w14:paraId="1FAA7330" w14:textId="77777777" w:rsidR="00085806" w:rsidRPr="00475EEE" w:rsidRDefault="00085806" w:rsidP="00E1513B">
            <w:pPr>
              <w:jc w:val="center"/>
              <w:rPr>
                <w:rFonts w:eastAsia="Calibri"/>
                <w:lang w:val="en-US" w:eastAsia="en-US"/>
              </w:rPr>
            </w:pPr>
            <w:r w:rsidRPr="00475EEE">
              <w:rPr>
                <w:rFonts w:eastAsia="Calibri"/>
                <w:lang w:val="en-US" w:eastAsia="en-US"/>
              </w:rPr>
              <w:t>VI</w:t>
            </w:r>
          </w:p>
        </w:tc>
        <w:tc>
          <w:tcPr>
            <w:tcW w:w="0" w:type="auto"/>
            <w:tcBorders>
              <w:top w:val="nil"/>
              <w:left w:val="nil"/>
              <w:bottom w:val="single" w:sz="4" w:space="0" w:color="auto"/>
              <w:right w:val="nil"/>
            </w:tcBorders>
          </w:tcPr>
          <w:p w14:paraId="6911BC65" w14:textId="77777777" w:rsidR="00085806" w:rsidRPr="00475EEE" w:rsidRDefault="00085806" w:rsidP="00E1513B">
            <w:pPr>
              <w:jc w:val="center"/>
              <w:rPr>
                <w:rFonts w:eastAsia="Calibri"/>
                <w:lang w:val="en-US" w:eastAsia="en-US"/>
              </w:rPr>
            </w:pPr>
            <w:r w:rsidRPr="00475EEE">
              <w:rPr>
                <w:rFonts w:eastAsia="Calibri"/>
                <w:lang w:val="en-US" w:eastAsia="en-US"/>
              </w:rPr>
              <w:t>ref</w:t>
            </w:r>
          </w:p>
        </w:tc>
      </w:tr>
      <w:tr w:rsidR="00085806" w:rsidRPr="00475EEE" w14:paraId="5CE918AF" w14:textId="77777777" w:rsidTr="008978CD">
        <w:trPr>
          <w:trHeight w:val="128"/>
        </w:trPr>
        <w:tc>
          <w:tcPr>
            <w:tcW w:w="0" w:type="auto"/>
            <w:vMerge w:val="restart"/>
            <w:tcBorders>
              <w:top w:val="single" w:sz="4" w:space="0" w:color="auto"/>
              <w:bottom w:val="single" w:sz="4" w:space="0" w:color="auto"/>
              <w:right w:val="nil"/>
            </w:tcBorders>
          </w:tcPr>
          <w:p w14:paraId="314753C8" w14:textId="6F2E24B0" w:rsidR="00085806" w:rsidRPr="00E1513B" w:rsidRDefault="00085806" w:rsidP="00E1513B">
            <w:pPr>
              <w:jc w:val="center"/>
              <w:rPr>
                <w:rFonts w:eastAsia="Calibri"/>
                <w:b/>
                <w:lang w:val="en-US" w:eastAsia="en-US"/>
              </w:rPr>
            </w:pPr>
            <w:r w:rsidRPr="00E1513B">
              <w:rPr>
                <w:rFonts w:eastAsia="Calibri"/>
                <w:b/>
                <w:lang w:val="en-US" w:eastAsia="en-US"/>
              </w:rPr>
              <w:t>Weekly fruit consumption</w:t>
            </w:r>
          </w:p>
        </w:tc>
        <w:tc>
          <w:tcPr>
            <w:tcW w:w="0" w:type="auto"/>
            <w:tcBorders>
              <w:top w:val="single" w:sz="4" w:space="0" w:color="auto"/>
              <w:left w:val="nil"/>
              <w:bottom w:val="nil"/>
              <w:right w:val="nil"/>
            </w:tcBorders>
          </w:tcPr>
          <w:p w14:paraId="1865E3EB" w14:textId="77777777" w:rsidR="00085806" w:rsidRPr="00475EEE" w:rsidRDefault="00085806" w:rsidP="00E1513B">
            <w:pPr>
              <w:jc w:val="center"/>
              <w:rPr>
                <w:rFonts w:eastAsia="Calibri"/>
                <w:lang w:val="en-US" w:eastAsia="en-US"/>
              </w:rPr>
            </w:pPr>
            <w:r w:rsidRPr="00475EEE">
              <w:rPr>
                <w:rFonts w:eastAsia="Calibri"/>
                <w:lang w:val="en-US" w:eastAsia="en-US"/>
              </w:rPr>
              <w:t>No</w:t>
            </w:r>
          </w:p>
        </w:tc>
        <w:tc>
          <w:tcPr>
            <w:tcW w:w="0" w:type="auto"/>
            <w:tcBorders>
              <w:top w:val="single" w:sz="4" w:space="0" w:color="auto"/>
              <w:left w:val="nil"/>
              <w:bottom w:val="nil"/>
              <w:right w:val="nil"/>
            </w:tcBorders>
          </w:tcPr>
          <w:p w14:paraId="17E5740F" w14:textId="36065E05" w:rsidR="00085806" w:rsidRPr="00475EEE" w:rsidRDefault="00085806" w:rsidP="00E1513B">
            <w:pPr>
              <w:jc w:val="center"/>
              <w:rPr>
                <w:rFonts w:eastAsia="Calibri"/>
                <w:lang w:val="en-US" w:eastAsia="en-US"/>
              </w:rPr>
            </w:pPr>
            <w:r w:rsidRPr="00475EEE">
              <w:rPr>
                <w:rFonts w:eastAsia="Calibri"/>
                <w:lang w:val="en-US" w:eastAsia="en-US"/>
              </w:rPr>
              <w:t>1.23</w:t>
            </w:r>
            <w:r w:rsidR="008D150B">
              <w:rPr>
                <w:rFonts w:eastAsia="Calibri"/>
                <w:lang w:val="en-US" w:eastAsia="en-US"/>
              </w:rPr>
              <w:t xml:space="preserve"> </w:t>
            </w:r>
            <w:r>
              <w:rPr>
                <w:rFonts w:eastAsia="Calibri"/>
                <w:lang w:val="en-US" w:eastAsia="en-US"/>
              </w:rPr>
              <w:t>(1.00-</w:t>
            </w:r>
            <w:r w:rsidRPr="00475EEE">
              <w:rPr>
                <w:rFonts w:eastAsia="Calibri"/>
                <w:lang w:val="en-US" w:eastAsia="en-US"/>
              </w:rPr>
              <w:t>1.50</w:t>
            </w:r>
            <w:r>
              <w:rPr>
                <w:rFonts w:eastAsia="Calibri"/>
                <w:lang w:val="en-US" w:eastAsia="en-US"/>
              </w:rPr>
              <w:t>)</w:t>
            </w:r>
            <w:r w:rsidR="008D150B" w:rsidRPr="00E1513B">
              <w:rPr>
                <w:rFonts w:eastAsia="Calibri"/>
                <w:vertAlign w:val="superscript"/>
                <w:lang w:val="en-US" w:eastAsia="en-US"/>
              </w:rPr>
              <w:t>c</w:t>
            </w:r>
          </w:p>
        </w:tc>
      </w:tr>
      <w:tr w:rsidR="00085806" w:rsidRPr="00475EEE" w14:paraId="62E1234D" w14:textId="77777777" w:rsidTr="008978CD">
        <w:trPr>
          <w:trHeight w:val="127"/>
        </w:trPr>
        <w:tc>
          <w:tcPr>
            <w:tcW w:w="0" w:type="auto"/>
            <w:vMerge/>
            <w:tcBorders>
              <w:top w:val="single" w:sz="4" w:space="0" w:color="auto"/>
              <w:bottom w:val="single" w:sz="4" w:space="0" w:color="auto"/>
              <w:right w:val="nil"/>
            </w:tcBorders>
          </w:tcPr>
          <w:p w14:paraId="7564CE1C" w14:textId="77777777" w:rsidR="00085806" w:rsidRPr="00E1513B" w:rsidRDefault="00085806" w:rsidP="00E1513B">
            <w:pPr>
              <w:jc w:val="center"/>
              <w:rPr>
                <w:rFonts w:eastAsia="Calibri"/>
                <w:b/>
                <w:lang w:val="en-US" w:eastAsia="en-US"/>
              </w:rPr>
            </w:pPr>
          </w:p>
        </w:tc>
        <w:tc>
          <w:tcPr>
            <w:tcW w:w="0" w:type="auto"/>
            <w:tcBorders>
              <w:top w:val="nil"/>
              <w:left w:val="nil"/>
              <w:bottom w:val="single" w:sz="4" w:space="0" w:color="auto"/>
              <w:right w:val="nil"/>
            </w:tcBorders>
          </w:tcPr>
          <w:p w14:paraId="3743EE86" w14:textId="77777777" w:rsidR="00085806" w:rsidRPr="00475EEE" w:rsidRDefault="00085806" w:rsidP="00E1513B">
            <w:pPr>
              <w:jc w:val="center"/>
              <w:rPr>
                <w:rFonts w:eastAsia="Calibri"/>
                <w:lang w:val="en-US" w:eastAsia="en-US"/>
              </w:rPr>
            </w:pPr>
            <w:r w:rsidRPr="00475EEE">
              <w:rPr>
                <w:rFonts w:eastAsia="Calibri"/>
                <w:lang w:val="en-US" w:eastAsia="en-US"/>
              </w:rPr>
              <w:t>Yes</w:t>
            </w:r>
          </w:p>
        </w:tc>
        <w:tc>
          <w:tcPr>
            <w:tcW w:w="0" w:type="auto"/>
            <w:tcBorders>
              <w:top w:val="nil"/>
              <w:left w:val="nil"/>
              <w:bottom w:val="single" w:sz="4" w:space="0" w:color="auto"/>
              <w:right w:val="nil"/>
            </w:tcBorders>
          </w:tcPr>
          <w:p w14:paraId="44226950" w14:textId="77777777" w:rsidR="00085806" w:rsidRPr="00475EEE" w:rsidRDefault="00085806" w:rsidP="00E1513B">
            <w:pPr>
              <w:jc w:val="center"/>
              <w:rPr>
                <w:rFonts w:eastAsia="Calibri"/>
                <w:lang w:val="en-US" w:eastAsia="en-US"/>
              </w:rPr>
            </w:pPr>
            <w:r w:rsidRPr="00475EEE">
              <w:rPr>
                <w:rFonts w:eastAsia="Calibri"/>
                <w:lang w:val="en-US" w:eastAsia="en-US"/>
              </w:rPr>
              <w:t>ref</w:t>
            </w:r>
          </w:p>
        </w:tc>
      </w:tr>
      <w:tr w:rsidR="00085806" w:rsidRPr="00475EEE" w14:paraId="67D389C3" w14:textId="77777777" w:rsidTr="008978CD">
        <w:trPr>
          <w:trHeight w:val="128"/>
        </w:trPr>
        <w:tc>
          <w:tcPr>
            <w:tcW w:w="0" w:type="auto"/>
            <w:vMerge w:val="restart"/>
            <w:tcBorders>
              <w:top w:val="single" w:sz="4" w:space="0" w:color="auto"/>
              <w:bottom w:val="single" w:sz="4" w:space="0" w:color="auto"/>
              <w:right w:val="nil"/>
            </w:tcBorders>
          </w:tcPr>
          <w:p w14:paraId="7214273F" w14:textId="582DC6BD" w:rsidR="00085806" w:rsidRPr="00E1513B" w:rsidRDefault="00085806" w:rsidP="00E1513B">
            <w:pPr>
              <w:jc w:val="center"/>
              <w:rPr>
                <w:rFonts w:eastAsia="Calibri"/>
                <w:b/>
                <w:lang w:val="en-US" w:eastAsia="en-US"/>
              </w:rPr>
            </w:pPr>
            <w:r w:rsidRPr="00E1513B">
              <w:rPr>
                <w:rFonts w:eastAsia="Calibri"/>
                <w:b/>
                <w:lang w:val="en-US" w:eastAsia="en-US"/>
              </w:rPr>
              <w:t>Occupational PA</w:t>
            </w:r>
          </w:p>
        </w:tc>
        <w:tc>
          <w:tcPr>
            <w:tcW w:w="0" w:type="auto"/>
            <w:tcBorders>
              <w:top w:val="single" w:sz="4" w:space="0" w:color="auto"/>
              <w:left w:val="nil"/>
              <w:bottom w:val="nil"/>
              <w:right w:val="nil"/>
            </w:tcBorders>
            <w:shd w:val="clear" w:color="auto" w:fill="auto"/>
            <w:vAlign w:val="center"/>
          </w:tcPr>
          <w:p w14:paraId="0A3299C5" w14:textId="77777777" w:rsidR="00085806" w:rsidRPr="00475EEE" w:rsidRDefault="00085806" w:rsidP="00E1513B">
            <w:pPr>
              <w:jc w:val="center"/>
              <w:rPr>
                <w:rFonts w:eastAsia="Calibri"/>
                <w:lang w:val="en-US"/>
              </w:rPr>
            </w:pPr>
            <w:r w:rsidRPr="00475EEE">
              <w:rPr>
                <w:rFonts w:eastAsia="Calibri"/>
                <w:lang w:val="en-US"/>
              </w:rPr>
              <w:t>Sedentary</w:t>
            </w:r>
          </w:p>
        </w:tc>
        <w:tc>
          <w:tcPr>
            <w:tcW w:w="0" w:type="auto"/>
            <w:tcBorders>
              <w:top w:val="single" w:sz="4" w:space="0" w:color="auto"/>
              <w:left w:val="nil"/>
              <w:bottom w:val="nil"/>
              <w:right w:val="nil"/>
            </w:tcBorders>
          </w:tcPr>
          <w:p w14:paraId="5241D409" w14:textId="0AC66425" w:rsidR="00085806" w:rsidRPr="00475EEE" w:rsidRDefault="00085806" w:rsidP="00E1513B">
            <w:pPr>
              <w:jc w:val="center"/>
              <w:rPr>
                <w:rFonts w:eastAsia="Calibri"/>
                <w:lang w:val="en-US" w:eastAsia="en-US"/>
              </w:rPr>
            </w:pPr>
            <w:r w:rsidRPr="00475EEE">
              <w:rPr>
                <w:rFonts w:eastAsia="Calibri"/>
                <w:lang w:val="en-US" w:eastAsia="en-US"/>
              </w:rPr>
              <w:t>0.94</w:t>
            </w:r>
            <w:r>
              <w:rPr>
                <w:rFonts w:eastAsia="Calibri"/>
                <w:lang w:val="en-US" w:eastAsia="en-US"/>
              </w:rPr>
              <w:t xml:space="preserve"> (0.75-</w:t>
            </w:r>
            <w:r w:rsidRPr="00475EEE">
              <w:rPr>
                <w:rFonts w:eastAsia="Calibri"/>
                <w:lang w:val="en-US" w:eastAsia="en-US"/>
              </w:rPr>
              <w:t>1.18</w:t>
            </w:r>
            <w:r>
              <w:rPr>
                <w:rFonts w:eastAsia="Calibri"/>
                <w:lang w:val="en-US" w:eastAsia="en-US"/>
              </w:rPr>
              <w:t>)</w:t>
            </w:r>
          </w:p>
        </w:tc>
      </w:tr>
      <w:tr w:rsidR="00085806" w:rsidRPr="00475EEE" w14:paraId="25518329" w14:textId="77777777" w:rsidTr="008978CD">
        <w:trPr>
          <w:trHeight w:val="127"/>
        </w:trPr>
        <w:tc>
          <w:tcPr>
            <w:tcW w:w="0" w:type="auto"/>
            <w:vMerge/>
            <w:tcBorders>
              <w:top w:val="single" w:sz="4" w:space="0" w:color="auto"/>
              <w:bottom w:val="single" w:sz="4" w:space="0" w:color="auto"/>
              <w:right w:val="nil"/>
            </w:tcBorders>
          </w:tcPr>
          <w:p w14:paraId="3958EA09" w14:textId="77777777" w:rsidR="00085806" w:rsidRPr="00475EEE" w:rsidRDefault="00085806" w:rsidP="00E1513B">
            <w:pPr>
              <w:jc w:val="center"/>
              <w:rPr>
                <w:rFonts w:eastAsia="Calibri"/>
                <w:lang w:val="en-US" w:eastAsia="en-US"/>
              </w:rPr>
            </w:pPr>
          </w:p>
        </w:tc>
        <w:tc>
          <w:tcPr>
            <w:tcW w:w="0" w:type="auto"/>
            <w:tcBorders>
              <w:top w:val="nil"/>
              <w:left w:val="nil"/>
              <w:bottom w:val="nil"/>
              <w:right w:val="nil"/>
            </w:tcBorders>
            <w:shd w:val="clear" w:color="auto" w:fill="auto"/>
            <w:vAlign w:val="center"/>
          </w:tcPr>
          <w:p w14:paraId="23174033" w14:textId="77777777" w:rsidR="00085806" w:rsidRPr="00475EEE" w:rsidRDefault="00085806" w:rsidP="00E1513B">
            <w:pPr>
              <w:jc w:val="center"/>
              <w:rPr>
                <w:rFonts w:eastAsia="Calibri"/>
                <w:lang w:val="en-US"/>
              </w:rPr>
            </w:pPr>
            <w:r w:rsidRPr="00475EEE">
              <w:rPr>
                <w:rFonts w:eastAsia="Calibri"/>
                <w:lang w:val="en-US"/>
              </w:rPr>
              <w:t>Low</w:t>
            </w:r>
          </w:p>
        </w:tc>
        <w:tc>
          <w:tcPr>
            <w:tcW w:w="0" w:type="auto"/>
            <w:tcBorders>
              <w:top w:val="nil"/>
              <w:left w:val="nil"/>
              <w:bottom w:val="nil"/>
              <w:right w:val="nil"/>
            </w:tcBorders>
          </w:tcPr>
          <w:p w14:paraId="4E06B1B4" w14:textId="2F2FD7F5" w:rsidR="00085806" w:rsidRPr="00475EEE" w:rsidRDefault="00085806" w:rsidP="00E1513B">
            <w:pPr>
              <w:jc w:val="center"/>
              <w:rPr>
                <w:rFonts w:eastAsia="Calibri"/>
                <w:lang w:val="en-US" w:eastAsia="en-US"/>
              </w:rPr>
            </w:pPr>
            <w:r w:rsidRPr="00475EEE">
              <w:rPr>
                <w:rFonts w:eastAsia="Calibri"/>
                <w:lang w:val="en-US" w:eastAsia="en-US"/>
              </w:rPr>
              <w:t>0.86</w:t>
            </w:r>
            <w:r>
              <w:rPr>
                <w:rFonts w:eastAsia="Calibri"/>
                <w:lang w:val="en-US" w:eastAsia="en-US"/>
              </w:rPr>
              <w:t xml:space="preserve"> (0.70-</w:t>
            </w:r>
            <w:r w:rsidRPr="00475EEE">
              <w:rPr>
                <w:rFonts w:eastAsia="Calibri"/>
                <w:lang w:val="en-US" w:eastAsia="en-US"/>
              </w:rPr>
              <w:t>1.07</w:t>
            </w:r>
            <w:r>
              <w:rPr>
                <w:rFonts w:eastAsia="Calibri"/>
                <w:lang w:val="en-US" w:eastAsia="en-US"/>
              </w:rPr>
              <w:t>)</w:t>
            </w:r>
          </w:p>
        </w:tc>
      </w:tr>
      <w:tr w:rsidR="00085806" w:rsidRPr="00475EEE" w14:paraId="04E684FD" w14:textId="77777777" w:rsidTr="008978CD">
        <w:trPr>
          <w:trHeight w:val="127"/>
        </w:trPr>
        <w:tc>
          <w:tcPr>
            <w:tcW w:w="0" w:type="auto"/>
            <w:vMerge/>
            <w:tcBorders>
              <w:top w:val="single" w:sz="4" w:space="0" w:color="auto"/>
              <w:bottom w:val="single" w:sz="4" w:space="0" w:color="auto"/>
              <w:right w:val="nil"/>
            </w:tcBorders>
          </w:tcPr>
          <w:p w14:paraId="4321712B" w14:textId="77777777" w:rsidR="00085806" w:rsidRPr="00475EEE" w:rsidRDefault="00085806" w:rsidP="00E1513B">
            <w:pPr>
              <w:jc w:val="center"/>
              <w:rPr>
                <w:rFonts w:eastAsia="Calibri"/>
                <w:lang w:val="en-US" w:eastAsia="en-US"/>
              </w:rPr>
            </w:pPr>
          </w:p>
        </w:tc>
        <w:tc>
          <w:tcPr>
            <w:tcW w:w="0" w:type="auto"/>
            <w:tcBorders>
              <w:top w:val="nil"/>
              <w:left w:val="nil"/>
              <w:bottom w:val="nil"/>
              <w:right w:val="nil"/>
            </w:tcBorders>
            <w:shd w:val="clear" w:color="auto" w:fill="auto"/>
            <w:vAlign w:val="center"/>
          </w:tcPr>
          <w:p w14:paraId="74FF5E14" w14:textId="77777777" w:rsidR="00085806" w:rsidRPr="00475EEE" w:rsidRDefault="00085806" w:rsidP="00E1513B">
            <w:pPr>
              <w:jc w:val="center"/>
              <w:rPr>
                <w:rFonts w:eastAsia="Calibri"/>
                <w:lang w:val="en-US"/>
              </w:rPr>
            </w:pPr>
            <w:r w:rsidRPr="00475EEE">
              <w:rPr>
                <w:rFonts w:eastAsia="Calibri"/>
                <w:lang w:val="en-US"/>
              </w:rPr>
              <w:t>Moderate</w:t>
            </w:r>
          </w:p>
        </w:tc>
        <w:tc>
          <w:tcPr>
            <w:tcW w:w="0" w:type="auto"/>
            <w:tcBorders>
              <w:top w:val="nil"/>
              <w:left w:val="nil"/>
              <w:bottom w:val="nil"/>
              <w:right w:val="nil"/>
            </w:tcBorders>
          </w:tcPr>
          <w:p w14:paraId="03C90ED8" w14:textId="506F5C17" w:rsidR="00085806" w:rsidRPr="00475EEE" w:rsidRDefault="00085806" w:rsidP="00E1513B">
            <w:pPr>
              <w:jc w:val="center"/>
              <w:rPr>
                <w:rFonts w:eastAsia="Calibri"/>
                <w:lang w:val="en-US" w:eastAsia="en-US"/>
              </w:rPr>
            </w:pPr>
            <w:r w:rsidRPr="00475EEE">
              <w:rPr>
                <w:rFonts w:eastAsia="Calibri"/>
                <w:lang w:val="en-US" w:eastAsia="en-US"/>
              </w:rPr>
              <w:t>0.85</w:t>
            </w:r>
            <w:r>
              <w:rPr>
                <w:rFonts w:eastAsia="Calibri"/>
                <w:lang w:val="en-US" w:eastAsia="en-US"/>
              </w:rPr>
              <w:t xml:space="preserve"> (0.68-</w:t>
            </w:r>
            <w:r w:rsidRPr="00475EEE">
              <w:rPr>
                <w:rFonts w:eastAsia="Calibri"/>
                <w:lang w:val="en-US" w:eastAsia="en-US"/>
              </w:rPr>
              <w:t>1.06</w:t>
            </w:r>
            <w:r>
              <w:rPr>
                <w:rFonts w:eastAsia="Calibri"/>
                <w:lang w:val="en-US" w:eastAsia="en-US"/>
              </w:rPr>
              <w:t>)</w:t>
            </w:r>
          </w:p>
        </w:tc>
      </w:tr>
      <w:tr w:rsidR="00085806" w:rsidRPr="00475EEE" w14:paraId="1E9720A2" w14:textId="77777777" w:rsidTr="008978CD">
        <w:trPr>
          <w:trHeight w:val="127"/>
        </w:trPr>
        <w:tc>
          <w:tcPr>
            <w:tcW w:w="0" w:type="auto"/>
            <w:vMerge/>
            <w:tcBorders>
              <w:top w:val="single" w:sz="4" w:space="0" w:color="auto"/>
              <w:bottom w:val="single" w:sz="4" w:space="0" w:color="auto"/>
              <w:right w:val="nil"/>
            </w:tcBorders>
          </w:tcPr>
          <w:p w14:paraId="1A88839A" w14:textId="77777777" w:rsidR="00085806" w:rsidRPr="00475EEE" w:rsidRDefault="00085806" w:rsidP="00E1513B">
            <w:pPr>
              <w:jc w:val="center"/>
              <w:rPr>
                <w:rFonts w:eastAsia="Calibri"/>
                <w:lang w:val="en-US" w:eastAsia="en-US"/>
              </w:rPr>
            </w:pPr>
          </w:p>
        </w:tc>
        <w:tc>
          <w:tcPr>
            <w:tcW w:w="0" w:type="auto"/>
            <w:tcBorders>
              <w:top w:val="nil"/>
              <w:left w:val="nil"/>
              <w:bottom w:val="single" w:sz="4" w:space="0" w:color="auto"/>
              <w:right w:val="nil"/>
            </w:tcBorders>
            <w:shd w:val="clear" w:color="auto" w:fill="auto"/>
            <w:vAlign w:val="center"/>
          </w:tcPr>
          <w:p w14:paraId="022D6C70" w14:textId="77777777" w:rsidR="00085806" w:rsidRPr="00475EEE" w:rsidRDefault="00085806" w:rsidP="00E1513B">
            <w:pPr>
              <w:jc w:val="center"/>
              <w:rPr>
                <w:rFonts w:eastAsia="Calibri"/>
                <w:lang w:val="en-US"/>
              </w:rPr>
            </w:pPr>
            <w:r w:rsidRPr="00475EEE">
              <w:rPr>
                <w:rFonts w:eastAsia="Calibri"/>
                <w:lang w:val="en-US"/>
              </w:rPr>
              <w:t>High</w:t>
            </w:r>
          </w:p>
        </w:tc>
        <w:tc>
          <w:tcPr>
            <w:tcW w:w="0" w:type="auto"/>
            <w:tcBorders>
              <w:top w:val="nil"/>
              <w:left w:val="nil"/>
              <w:bottom w:val="single" w:sz="4" w:space="0" w:color="auto"/>
              <w:right w:val="nil"/>
            </w:tcBorders>
          </w:tcPr>
          <w:p w14:paraId="23A5AEB9" w14:textId="77777777" w:rsidR="00085806" w:rsidRPr="00475EEE" w:rsidRDefault="00085806" w:rsidP="00E1513B">
            <w:pPr>
              <w:jc w:val="center"/>
              <w:rPr>
                <w:rFonts w:eastAsia="Calibri"/>
                <w:lang w:val="en-US" w:eastAsia="en-US"/>
              </w:rPr>
            </w:pPr>
            <w:r w:rsidRPr="00475EEE">
              <w:rPr>
                <w:rFonts w:eastAsia="Calibri"/>
                <w:lang w:val="en-US" w:eastAsia="en-US"/>
              </w:rPr>
              <w:t>ref</w:t>
            </w:r>
          </w:p>
        </w:tc>
      </w:tr>
      <w:tr w:rsidR="00D82F88" w:rsidRPr="00475EEE" w14:paraId="2890ABFE" w14:textId="77777777" w:rsidTr="008D150B">
        <w:trPr>
          <w:trHeight w:val="127"/>
        </w:trPr>
        <w:tc>
          <w:tcPr>
            <w:tcW w:w="0" w:type="auto"/>
            <w:gridSpan w:val="3"/>
            <w:tcBorders>
              <w:top w:val="single" w:sz="4" w:space="0" w:color="auto"/>
              <w:bottom w:val="single" w:sz="4" w:space="0" w:color="auto"/>
              <w:right w:val="nil"/>
            </w:tcBorders>
          </w:tcPr>
          <w:tbl>
            <w:tblPr>
              <w:tblStyle w:val="Tablaconcuadrcula1"/>
              <w:tblpPr w:leftFromText="141" w:rightFromText="141" w:vertAnchor="text" w:horzAnchor="margin" w:tblpY="-141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288"/>
            </w:tblGrid>
            <w:tr w:rsidR="00D82F88" w:rsidRPr="00475EEE" w14:paraId="554EA50B" w14:textId="77777777" w:rsidTr="008D150B">
              <w:tc>
                <w:tcPr>
                  <w:tcW w:w="0" w:type="auto"/>
                </w:tcPr>
                <w:p w14:paraId="450FD3E3" w14:textId="77777777" w:rsidR="00D82F88" w:rsidRPr="00475EEE" w:rsidRDefault="00D82F88" w:rsidP="00E1513B">
                  <w:pPr>
                    <w:jc w:val="both"/>
                    <w:rPr>
                      <w:rFonts w:eastAsia="Calibri"/>
                      <w:lang w:val="en-US" w:eastAsia="en-US"/>
                    </w:rPr>
                  </w:pPr>
                  <w:r w:rsidRPr="00BB23D6">
                    <w:rPr>
                      <w:rFonts w:eastAsia="Calibri"/>
                      <w:lang w:val="en-US" w:eastAsia="en-US"/>
                    </w:rPr>
                    <w:t>Abbreviations</w:t>
                  </w:r>
                  <w:r>
                    <w:rPr>
                      <w:rFonts w:eastAsia="Calibri"/>
                      <w:lang w:val="en-US" w:eastAsia="en-US"/>
                    </w:rPr>
                    <w:t xml:space="preserve">: </w:t>
                  </w:r>
                  <w:proofErr w:type="spellStart"/>
                  <w:r>
                    <w:rPr>
                      <w:rFonts w:eastAsia="Calibri"/>
                      <w:lang w:val="en-US" w:eastAsia="en-US"/>
                    </w:rPr>
                    <w:t>a</w:t>
                  </w:r>
                  <w:r w:rsidRPr="00475EEE">
                    <w:rPr>
                      <w:rFonts w:eastAsia="Calibri"/>
                      <w:lang w:val="en-US" w:eastAsia="en-US"/>
                    </w:rPr>
                    <w:t>OR</w:t>
                  </w:r>
                  <w:proofErr w:type="spellEnd"/>
                  <w:r>
                    <w:rPr>
                      <w:rFonts w:eastAsia="Calibri"/>
                      <w:lang w:val="en-US" w:eastAsia="en-US"/>
                    </w:rPr>
                    <w:t>,</w:t>
                  </w:r>
                  <w:r w:rsidRPr="00475EEE">
                    <w:rPr>
                      <w:rFonts w:eastAsia="Calibri"/>
                      <w:lang w:val="en-US" w:eastAsia="en-US"/>
                    </w:rPr>
                    <w:t xml:space="preserve"> </w:t>
                  </w:r>
                  <w:r>
                    <w:rPr>
                      <w:rFonts w:eastAsia="Calibri"/>
                      <w:lang w:val="en-US" w:eastAsia="en-US"/>
                    </w:rPr>
                    <w:t>adjusted o</w:t>
                  </w:r>
                  <w:r w:rsidRPr="00475EEE">
                    <w:rPr>
                      <w:rFonts w:eastAsia="Calibri"/>
                      <w:lang w:val="en-US" w:eastAsia="en-US"/>
                    </w:rPr>
                    <w:t>dds ratio</w:t>
                  </w:r>
                  <w:r>
                    <w:rPr>
                      <w:rFonts w:eastAsia="Calibri"/>
                      <w:lang w:val="en-US" w:eastAsia="en-US"/>
                    </w:rPr>
                    <w:t xml:space="preserve">; </w:t>
                  </w:r>
                  <w:r w:rsidRPr="00475EEE">
                    <w:rPr>
                      <w:rFonts w:eastAsia="Calibri"/>
                      <w:lang w:val="en-US" w:eastAsia="en-US"/>
                    </w:rPr>
                    <w:t xml:space="preserve"> </w:t>
                  </w:r>
                  <w:r>
                    <w:rPr>
                      <w:rFonts w:eastAsia="Calibri"/>
                      <w:lang w:val="en-US" w:eastAsia="en-US"/>
                    </w:rPr>
                    <w:t>CI, c</w:t>
                  </w:r>
                  <w:r w:rsidRPr="00475EEE">
                    <w:rPr>
                      <w:rFonts w:eastAsia="Calibri"/>
                      <w:lang w:val="en-US" w:eastAsia="en-US"/>
                    </w:rPr>
                    <w:t>onfidence interval</w:t>
                  </w:r>
                  <w:r>
                    <w:rPr>
                      <w:rFonts w:eastAsia="Calibri"/>
                      <w:lang w:val="en-US" w:eastAsia="en-US"/>
                    </w:rPr>
                    <w:t xml:space="preserve">; </w:t>
                  </w:r>
                  <w:r>
                    <w:t xml:space="preserve"> </w:t>
                  </w:r>
                  <w:r w:rsidRPr="00BB23D6">
                    <w:rPr>
                      <w:rFonts w:eastAsia="Calibri"/>
                      <w:lang w:val="en-US" w:eastAsia="en-US"/>
                    </w:rPr>
                    <w:t>PA</w:t>
                  </w:r>
                  <w:r>
                    <w:rPr>
                      <w:rFonts w:eastAsia="Calibri"/>
                      <w:lang w:val="en-US" w:eastAsia="en-US"/>
                    </w:rPr>
                    <w:t>, p</w:t>
                  </w:r>
                  <w:r w:rsidRPr="00BB23D6">
                    <w:rPr>
                      <w:rFonts w:eastAsia="Calibri"/>
                      <w:lang w:val="en-US" w:eastAsia="en-US"/>
                    </w:rPr>
                    <w:t>hysical activity</w:t>
                  </w:r>
                  <w:r>
                    <w:rPr>
                      <w:rFonts w:eastAsia="Calibri"/>
                      <w:lang w:val="en-US" w:eastAsia="en-US"/>
                    </w:rPr>
                    <w:t>.</w:t>
                  </w:r>
                </w:p>
                <w:p w14:paraId="0B407533" w14:textId="77777777" w:rsidR="00D82F88" w:rsidRPr="00475EEE" w:rsidRDefault="00D82F88" w:rsidP="00E1513B">
                  <w:pPr>
                    <w:jc w:val="both"/>
                    <w:rPr>
                      <w:rFonts w:eastAsia="Calibri"/>
                      <w:lang w:val="en-US" w:eastAsia="en-US"/>
                    </w:rPr>
                  </w:pPr>
                  <w:proofErr w:type="spellStart"/>
                  <w:r w:rsidRPr="00EF4D05">
                    <w:rPr>
                      <w:rFonts w:eastAsia="Calibri"/>
                      <w:vertAlign w:val="superscript"/>
                      <w:lang w:val="en-US" w:eastAsia="en-US"/>
                    </w:rPr>
                    <w:t>a</w:t>
                  </w:r>
                  <w:r>
                    <w:rPr>
                      <w:rFonts w:eastAsia="Calibri"/>
                      <w:lang w:val="en-US" w:eastAsia="en-US"/>
                    </w:rPr>
                    <w:t>H</w:t>
                  </w:r>
                  <w:r w:rsidRPr="000D07C2">
                    <w:rPr>
                      <w:rFonts w:eastAsia="Calibri"/>
                      <w:lang w:val="en-US" w:eastAsia="en-US"/>
                    </w:rPr>
                    <w:t>ypertension</w:t>
                  </w:r>
                  <w:proofErr w:type="spellEnd"/>
                  <w:r w:rsidRPr="000D07C2">
                    <w:rPr>
                      <w:rFonts w:eastAsia="Calibri"/>
                      <w:lang w:val="en-US" w:eastAsia="en-US"/>
                    </w:rPr>
                    <w:t>, diabetes, chronic neck pain, chronic low back pain, depression and anxiety</w:t>
                  </w:r>
                  <w:r>
                    <w:rPr>
                      <w:rFonts w:eastAsia="Calibri"/>
                      <w:lang w:val="en-US" w:eastAsia="en-US"/>
                    </w:rPr>
                    <w:t>.</w:t>
                  </w:r>
                </w:p>
                <w:p w14:paraId="42DCCED0" w14:textId="77777777" w:rsidR="00D82F88" w:rsidRPr="00EF4D05" w:rsidRDefault="00D82F88" w:rsidP="00E1513B">
                  <w:pPr>
                    <w:jc w:val="both"/>
                    <w:rPr>
                      <w:rFonts w:eastAsia="Calibri"/>
                      <w:lang w:val="en-US" w:eastAsia="en-US"/>
                    </w:rPr>
                  </w:pPr>
                  <w:proofErr w:type="spellStart"/>
                  <w:r>
                    <w:rPr>
                      <w:rFonts w:eastAsia="Calibri"/>
                      <w:vertAlign w:val="superscript"/>
                      <w:lang w:val="en-US" w:eastAsia="en-US"/>
                    </w:rPr>
                    <w:t>b</w:t>
                  </w:r>
                  <w:r>
                    <w:rPr>
                      <w:rFonts w:eastAsia="Calibri"/>
                      <w:lang w:val="en-US" w:eastAsia="en-US"/>
                    </w:rPr>
                    <w:t>Each</w:t>
                  </w:r>
                  <w:proofErr w:type="spellEnd"/>
                  <w:r>
                    <w:rPr>
                      <w:rFonts w:eastAsia="Calibri"/>
                      <w:lang w:val="en-US" w:eastAsia="en-US"/>
                    </w:rPr>
                    <w:t xml:space="preserve"> variable has been adjusted for the rest of the variables.</w:t>
                  </w:r>
                </w:p>
                <w:p w14:paraId="2BF6DEA0" w14:textId="1B6A6C0C" w:rsidR="00D82F88" w:rsidRPr="00475EEE" w:rsidRDefault="00D82F88" w:rsidP="00E1513B">
                  <w:pPr>
                    <w:jc w:val="both"/>
                    <w:rPr>
                      <w:rFonts w:eastAsia="Calibri"/>
                      <w:lang w:val="en-GB" w:eastAsia="en-US"/>
                    </w:rPr>
                  </w:pPr>
                  <w:proofErr w:type="spellStart"/>
                  <w:r w:rsidRPr="00E1513B">
                    <w:rPr>
                      <w:rFonts w:eastAsia="Calibri"/>
                      <w:vertAlign w:val="superscript"/>
                      <w:lang w:val="en-GB" w:eastAsia="en-US"/>
                    </w:rPr>
                    <w:t>c</w:t>
                  </w:r>
                  <w:r>
                    <w:rPr>
                      <w:rFonts w:eastAsia="Calibri"/>
                      <w:lang w:val="en-GB" w:eastAsia="en-US"/>
                    </w:rPr>
                    <w:t>Significant</w:t>
                  </w:r>
                  <w:proofErr w:type="spellEnd"/>
                  <w:r>
                    <w:rPr>
                      <w:rFonts w:eastAsia="Calibri"/>
                      <w:lang w:val="en-GB" w:eastAsia="en-US"/>
                    </w:rPr>
                    <w:t xml:space="preserve"> at </w:t>
                  </w:r>
                  <w:r w:rsidRPr="00E1513B">
                    <w:rPr>
                      <w:rFonts w:eastAsia="Calibri"/>
                      <w:i/>
                      <w:lang w:val="en-GB" w:eastAsia="en-US"/>
                    </w:rPr>
                    <w:t>P</w:t>
                  </w:r>
                  <w:r>
                    <w:rPr>
                      <w:rFonts w:eastAsia="Calibri"/>
                      <w:lang w:val="en-GB" w:eastAsia="en-US"/>
                    </w:rPr>
                    <w:t xml:space="preserve"> &lt; .05</w:t>
                  </w:r>
                  <w:r w:rsidRPr="00085806">
                    <w:rPr>
                      <w:rFonts w:eastAsia="Calibri"/>
                      <w:lang w:val="en-GB" w:eastAsia="en-US"/>
                    </w:rPr>
                    <w:t>.</w:t>
                  </w:r>
                </w:p>
                <w:p w14:paraId="38C76A88" w14:textId="5CBFC905" w:rsidR="00D82F88" w:rsidRPr="00475EEE" w:rsidRDefault="00D82F88" w:rsidP="00E1513B">
                  <w:pPr>
                    <w:jc w:val="both"/>
                    <w:rPr>
                      <w:rFonts w:eastAsia="Calibri"/>
                      <w:lang w:val="en-GB" w:eastAsia="en-US"/>
                    </w:rPr>
                  </w:pPr>
                  <w:proofErr w:type="spellStart"/>
                  <w:r w:rsidRPr="00E1513B">
                    <w:rPr>
                      <w:rFonts w:eastAsia="Calibri"/>
                      <w:vertAlign w:val="superscript"/>
                      <w:lang w:val="en-GB" w:eastAsia="en-US"/>
                    </w:rPr>
                    <w:t>d</w:t>
                  </w:r>
                  <w:r w:rsidRPr="00085806">
                    <w:rPr>
                      <w:rFonts w:eastAsia="Calibri"/>
                      <w:lang w:val="en-GB" w:eastAsia="en-US"/>
                    </w:rPr>
                    <w:t>Significant</w:t>
                  </w:r>
                  <w:proofErr w:type="spellEnd"/>
                  <w:r w:rsidRPr="00085806">
                    <w:rPr>
                      <w:rFonts w:eastAsia="Calibri"/>
                      <w:lang w:val="en-GB" w:eastAsia="en-US"/>
                    </w:rPr>
                    <w:t xml:space="preserve"> at </w:t>
                  </w:r>
                  <w:r w:rsidRPr="00E1513B">
                    <w:rPr>
                      <w:rFonts w:eastAsia="Calibri"/>
                      <w:i/>
                      <w:lang w:val="en-GB" w:eastAsia="en-US"/>
                    </w:rPr>
                    <w:t>P</w:t>
                  </w:r>
                  <w:r>
                    <w:rPr>
                      <w:rFonts w:eastAsia="Calibri"/>
                      <w:lang w:val="en-GB" w:eastAsia="en-US"/>
                    </w:rPr>
                    <w:t xml:space="preserve"> &lt; .01</w:t>
                  </w:r>
                  <w:r w:rsidRPr="00085806">
                    <w:rPr>
                      <w:rFonts w:eastAsia="Calibri"/>
                      <w:lang w:val="en-GB" w:eastAsia="en-US"/>
                    </w:rPr>
                    <w:t>.</w:t>
                  </w:r>
                </w:p>
              </w:tc>
            </w:tr>
          </w:tbl>
          <w:p w14:paraId="28784235" w14:textId="448FBBA7" w:rsidR="00D82F88" w:rsidRPr="00E1513B" w:rsidRDefault="00D82F88" w:rsidP="00E1513B">
            <w:pPr>
              <w:jc w:val="both"/>
            </w:pPr>
            <w:r>
              <w:rPr>
                <w:rFonts w:eastAsia="Calibri"/>
                <w:lang w:val="en-GB" w:eastAsia="en-US"/>
              </w:rPr>
              <w:t xml:space="preserve">  </w:t>
            </w:r>
            <w:proofErr w:type="spellStart"/>
            <w:r w:rsidRPr="00E1513B">
              <w:rPr>
                <w:rFonts w:eastAsia="Calibri"/>
                <w:vertAlign w:val="superscript"/>
                <w:lang w:val="en-GB" w:eastAsia="en-US"/>
              </w:rPr>
              <w:t>e</w:t>
            </w:r>
            <w:r>
              <w:rPr>
                <w:rFonts w:eastAsia="Calibri"/>
                <w:lang w:val="en-GB" w:eastAsia="en-US"/>
              </w:rPr>
              <w:t>Significant</w:t>
            </w:r>
            <w:proofErr w:type="spellEnd"/>
            <w:r>
              <w:rPr>
                <w:rFonts w:eastAsia="Calibri"/>
                <w:lang w:val="en-GB" w:eastAsia="en-US"/>
              </w:rPr>
              <w:t xml:space="preserve"> at </w:t>
            </w:r>
            <w:r w:rsidRPr="00E1513B">
              <w:rPr>
                <w:rFonts w:eastAsia="Calibri"/>
                <w:i/>
                <w:lang w:val="en-GB" w:eastAsia="en-US"/>
              </w:rPr>
              <w:t xml:space="preserve">P </w:t>
            </w:r>
            <w:r>
              <w:rPr>
                <w:rFonts w:eastAsia="Calibri"/>
                <w:lang w:val="en-GB" w:eastAsia="en-US"/>
              </w:rPr>
              <w:t>&lt; .001.</w:t>
            </w:r>
          </w:p>
        </w:tc>
      </w:tr>
    </w:tbl>
    <w:p w14:paraId="1B1E4E98" w14:textId="77777777" w:rsidR="003877E0" w:rsidRPr="00475EEE" w:rsidRDefault="003877E0" w:rsidP="006B3578">
      <w:pPr>
        <w:jc w:val="both"/>
      </w:pPr>
    </w:p>
    <w:p w14:paraId="74B9E24D" w14:textId="77777777" w:rsidR="003877E0" w:rsidRPr="00475EEE" w:rsidRDefault="003877E0" w:rsidP="006B3578">
      <w:pPr>
        <w:jc w:val="both"/>
      </w:pPr>
    </w:p>
    <w:p w14:paraId="1A2B8FF2" w14:textId="77777777" w:rsidR="003877E0" w:rsidRPr="00475EEE" w:rsidRDefault="003877E0" w:rsidP="006B3578">
      <w:pPr>
        <w:jc w:val="both"/>
      </w:pPr>
    </w:p>
    <w:p w14:paraId="143E0704" w14:textId="77777777" w:rsidR="003877E0" w:rsidRPr="00475EEE" w:rsidRDefault="003877E0" w:rsidP="006B3578">
      <w:pPr>
        <w:jc w:val="both"/>
      </w:pPr>
    </w:p>
    <w:p w14:paraId="2A9FDE99" w14:textId="77777777" w:rsidR="003877E0" w:rsidRPr="00475EEE" w:rsidRDefault="003877E0" w:rsidP="006B3578">
      <w:pPr>
        <w:jc w:val="both"/>
      </w:pPr>
    </w:p>
    <w:p w14:paraId="522B6B9F" w14:textId="77777777" w:rsidR="003877E0" w:rsidRPr="00475EEE" w:rsidRDefault="003877E0" w:rsidP="006B3578">
      <w:pPr>
        <w:jc w:val="both"/>
      </w:pPr>
    </w:p>
    <w:p w14:paraId="66CC9D02" w14:textId="77777777" w:rsidR="003877E0" w:rsidRPr="00475EEE" w:rsidRDefault="003877E0" w:rsidP="006B3578">
      <w:pPr>
        <w:jc w:val="both"/>
      </w:pPr>
    </w:p>
    <w:p w14:paraId="52B0454B" w14:textId="77777777" w:rsidR="003877E0" w:rsidRPr="00475EEE" w:rsidRDefault="003877E0" w:rsidP="006B3578">
      <w:pPr>
        <w:jc w:val="both"/>
      </w:pPr>
    </w:p>
    <w:p w14:paraId="4F5F39D8" w14:textId="77777777" w:rsidR="003877E0" w:rsidRPr="00475EEE" w:rsidRDefault="003877E0" w:rsidP="006B3578">
      <w:pPr>
        <w:jc w:val="both"/>
      </w:pPr>
    </w:p>
    <w:p w14:paraId="133AE704" w14:textId="77777777" w:rsidR="003877E0" w:rsidRPr="00475EEE" w:rsidRDefault="003877E0" w:rsidP="006B3578">
      <w:pPr>
        <w:jc w:val="both"/>
      </w:pPr>
    </w:p>
    <w:p w14:paraId="6C9434B9" w14:textId="7632DA5D" w:rsidR="003877E0" w:rsidRPr="00475EEE" w:rsidRDefault="003877E0" w:rsidP="006B3578">
      <w:pPr>
        <w:jc w:val="both"/>
      </w:pPr>
    </w:p>
    <w:p w14:paraId="17F02237" w14:textId="77777777" w:rsidR="00733C2C" w:rsidRPr="00475EEE" w:rsidRDefault="00733C2C" w:rsidP="006B3578">
      <w:pPr>
        <w:jc w:val="both"/>
      </w:pPr>
    </w:p>
    <w:p w14:paraId="0CB7A08F" w14:textId="77777777" w:rsidR="003877E0" w:rsidRPr="00475EEE" w:rsidRDefault="003877E0" w:rsidP="006B3578">
      <w:pPr>
        <w:jc w:val="both"/>
      </w:pPr>
    </w:p>
    <w:p w14:paraId="7B975175" w14:textId="77777777" w:rsidR="003877E0" w:rsidRPr="00475EEE" w:rsidRDefault="003877E0" w:rsidP="006B3578">
      <w:pPr>
        <w:jc w:val="both"/>
      </w:pPr>
    </w:p>
    <w:tbl>
      <w:tblPr>
        <w:tblStyle w:val="Tablaconcuadrcula1"/>
        <w:tblpPr w:leftFromText="141" w:rightFromText="141" w:vertAnchor="text" w:horzAnchor="margin" w:tblpY="296"/>
        <w:tblW w:w="81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7"/>
        <w:gridCol w:w="3885"/>
        <w:gridCol w:w="3268"/>
      </w:tblGrid>
      <w:tr w:rsidR="008D150B" w:rsidRPr="00475EEE" w14:paraId="505CAA2D" w14:textId="77777777" w:rsidTr="00E1513B">
        <w:trPr>
          <w:trHeight w:val="543"/>
        </w:trPr>
        <w:tc>
          <w:tcPr>
            <w:tcW w:w="8130" w:type="dxa"/>
            <w:gridSpan w:val="3"/>
            <w:tcBorders>
              <w:top w:val="nil"/>
              <w:bottom w:val="single" w:sz="4" w:space="0" w:color="auto"/>
              <w:right w:val="nil"/>
            </w:tcBorders>
          </w:tcPr>
          <w:p w14:paraId="36710E7E" w14:textId="2D51BB76" w:rsidR="008D150B" w:rsidRPr="00E1513B" w:rsidRDefault="008D150B" w:rsidP="00E1513B">
            <w:pPr>
              <w:jc w:val="both"/>
              <w:rPr>
                <w:rFonts w:eastAsiaTheme="minorHAnsi"/>
                <w:b/>
                <w:vertAlign w:val="superscript"/>
                <w:lang w:val="en-US" w:eastAsia="en-US"/>
              </w:rPr>
            </w:pPr>
            <w:r w:rsidRPr="008D150B">
              <w:rPr>
                <w:rFonts w:eastAsiaTheme="minorHAnsi"/>
                <w:b/>
                <w:lang w:val="en-US" w:eastAsia="en-US"/>
              </w:rPr>
              <w:t xml:space="preserve">Table 3. </w:t>
            </w:r>
            <w:r w:rsidRPr="00E1513B">
              <w:rPr>
                <w:rFonts w:eastAsiaTheme="minorHAnsi"/>
                <w:lang w:val="en-US" w:eastAsia="en-US"/>
              </w:rPr>
              <w:t>Association between physical activity (&lt;600 MET-minutes/week) and chronic condition estimated by multivariable logistic regression (adjusted odds ratios with 95% confidence intervals of chronic condition).</w:t>
            </w:r>
          </w:p>
        </w:tc>
      </w:tr>
      <w:tr w:rsidR="008D150B" w:rsidRPr="00475EEE" w14:paraId="5B70DE31" w14:textId="77777777" w:rsidTr="00E1513B">
        <w:trPr>
          <w:trHeight w:val="543"/>
        </w:trPr>
        <w:tc>
          <w:tcPr>
            <w:tcW w:w="0" w:type="auto"/>
            <w:tcBorders>
              <w:top w:val="single" w:sz="4" w:space="0" w:color="auto"/>
              <w:bottom w:val="single" w:sz="4" w:space="0" w:color="auto"/>
              <w:right w:val="nil"/>
            </w:tcBorders>
          </w:tcPr>
          <w:p w14:paraId="345081D2" w14:textId="45733E91" w:rsidR="008D150B" w:rsidRPr="00475EEE" w:rsidRDefault="008D150B" w:rsidP="000F20C6">
            <w:pPr>
              <w:jc w:val="center"/>
              <w:rPr>
                <w:rFonts w:eastAsia="Calibri"/>
                <w:lang w:val="en-US" w:eastAsia="en-US"/>
              </w:rPr>
            </w:pPr>
            <w:r w:rsidRPr="00475EEE">
              <w:rPr>
                <w:rFonts w:eastAsiaTheme="minorHAnsi"/>
                <w:b/>
                <w:lang w:val="en-US" w:eastAsia="en-US"/>
              </w:rPr>
              <w:t>Sex</w:t>
            </w:r>
          </w:p>
        </w:tc>
        <w:tc>
          <w:tcPr>
            <w:tcW w:w="3885" w:type="dxa"/>
            <w:tcBorders>
              <w:top w:val="single" w:sz="4" w:space="0" w:color="auto"/>
              <w:left w:val="nil"/>
              <w:bottom w:val="single" w:sz="4" w:space="0" w:color="auto"/>
              <w:right w:val="nil"/>
            </w:tcBorders>
          </w:tcPr>
          <w:p w14:paraId="0F9122EB" w14:textId="71342407" w:rsidR="008D150B" w:rsidRPr="00475EEE" w:rsidRDefault="008D150B" w:rsidP="000F20C6">
            <w:pPr>
              <w:jc w:val="center"/>
              <w:rPr>
                <w:rFonts w:eastAsia="Calibri"/>
                <w:lang w:val="en-US" w:eastAsia="en-US"/>
              </w:rPr>
            </w:pPr>
            <w:r w:rsidRPr="00475EEE">
              <w:rPr>
                <w:rFonts w:eastAsiaTheme="minorHAnsi"/>
                <w:b/>
                <w:lang w:val="en-US" w:eastAsia="en-US"/>
              </w:rPr>
              <w:t>Age (years)</w:t>
            </w:r>
          </w:p>
        </w:tc>
        <w:tc>
          <w:tcPr>
            <w:tcW w:w="3268" w:type="dxa"/>
            <w:tcBorders>
              <w:top w:val="single" w:sz="4" w:space="0" w:color="auto"/>
              <w:left w:val="nil"/>
              <w:bottom w:val="single" w:sz="4" w:space="0" w:color="auto"/>
              <w:right w:val="nil"/>
            </w:tcBorders>
          </w:tcPr>
          <w:p w14:paraId="4DF54BBD" w14:textId="77777777" w:rsidR="008D150B" w:rsidRPr="0050473E" w:rsidRDefault="008D150B" w:rsidP="000F20C6">
            <w:pPr>
              <w:jc w:val="center"/>
              <w:rPr>
                <w:rFonts w:eastAsiaTheme="minorHAnsi"/>
                <w:b/>
                <w:vertAlign w:val="superscript"/>
                <w:lang w:val="es-ES" w:eastAsia="en-US"/>
              </w:rPr>
            </w:pPr>
          </w:p>
        </w:tc>
      </w:tr>
      <w:tr w:rsidR="008D150B" w:rsidRPr="00475EEE" w14:paraId="4779EECC" w14:textId="77777777" w:rsidTr="00E1513B">
        <w:trPr>
          <w:trHeight w:val="543"/>
        </w:trPr>
        <w:tc>
          <w:tcPr>
            <w:tcW w:w="0" w:type="auto"/>
            <w:tcBorders>
              <w:top w:val="single" w:sz="4" w:space="0" w:color="auto"/>
              <w:bottom w:val="single" w:sz="4" w:space="0" w:color="auto"/>
              <w:right w:val="nil"/>
            </w:tcBorders>
          </w:tcPr>
          <w:p w14:paraId="1BC49343" w14:textId="77777777" w:rsidR="008D150B" w:rsidRPr="00475EEE" w:rsidRDefault="008D150B" w:rsidP="00E1513B">
            <w:pPr>
              <w:jc w:val="center"/>
              <w:rPr>
                <w:rFonts w:eastAsia="Calibri"/>
                <w:lang w:val="en-US" w:eastAsia="en-US"/>
              </w:rPr>
            </w:pPr>
          </w:p>
        </w:tc>
        <w:tc>
          <w:tcPr>
            <w:tcW w:w="3885" w:type="dxa"/>
            <w:tcBorders>
              <w:top w:val="single" w:sz="4" w:space="0" w:color="auto"/>
              <w:left w:val="nil"/>
              <w:bottom w:val="single" w:sz="4" w:space="0" w:color="auto"/>
              <w:right w:val="nil"/>
            </w:tcBorders>
          </w:tcPr>
          <w:p w14:paraId="5F523D9E" w14:textId="77777777" w:rsidR="008D150B" w:rsidRPr="00475EEE" w:rsidRDefault="008D150B" w:rsidP="00E1513B">
            <w:pPr>
              <w:jc w:val="center"/>
              <w:rPr>
                <w:rFonts w:eastAsia="Calibri"/>
                <w:lang w:val="en-US" w:eastAsia="en-US"/>
              </w:rPr>
            </w:pPr>
          </w:p>
        </w:tc>
        <w:tc>
          <w:tcPr>
            <w:tcW w:w="3268" w:type="dxa"/>
            <w:tcBorders>
              <w:top w:val="single" w:sz="4" w:space="0" w:color="auto"/>
              <w:left w:val="nil"/>
              <w:bottom w:val="single" w:sz="4" w:space="0" w:color="auto"/>
              <w:right w:val="nil"/>
            </w:tcBorders>
          </w:tcPr>
          <w:p w14:paraId="7112ACCA" w14:textId="19A3A19D" w:rsidR="008D150B" w:rsidRPr="00475EEE" w:rsidRDefault="008D150B" w:rsidP="00E1513B">
            <w:pPr>
              <w:jc w:val="center"/>
              <w:rPr>
                <w:rFonts w:eastAsiaTheme="minorHAnsi"/>
                <w:b/>
                <w:lang w:val="es-ES" w:eastAsia="en-US"/>
              </w:rPr>
            </w:pPr>
            <w:proofErr w:type="spellStart"/>
            <w:r w:rsidRPr="00E1513B">
              <w:rPr>
                <w:rFonts w:eastAsiaTheme="minorHAnsi"/>
                <w:b/>
                <w:vertAlign w:val="superscript"/>
                <w:lang w:val="es-ES" w:eastAsia="en-US"/>
              </w:rPr>
              <w:t>a</w:t>
            </w:r>
            <w:r>
              <w:rPr>
                <w:rFonts w:eastAsiaTheme="minorHAnsi"/>
                <w:b/>
                <w:lang w:val="es-ES" w:eastAsia="en-US"/>
              </w:rPr>
              <w:t>a</w:t>
            </w:r>
            <w:r w:rsidRPr="00475EEE">
              <w:rPr>
                <w:rFonts w:eastAsiaTheme="minorHAnsi"/>
                <w:b/>
                <w:lang w:val="es-ES" w:eastAsia="en-US"/>
              </w:rPr>
              <w:t>OR</w:t>
            </w:r>
            <w:proofErr w:type="spellEnd"/>
            <w:r w:rsidR="004F11C8">
              <w:rPr>
                <w:rFonts w:eastAsiaTheme="minorHAnsi"/>
                <w:b/>
                <w:lang w:val="es-ES" w:eastAsia="en-US"/>
              </w:rPr>
              <w:t xml:space="preserve"> </w:t>
            </w:r>
            <w:r>
              <w:rPr>
                <w:rFonts w:eastAsiaTheme="minorHAnsi"/>
                <w:b/>
                <w:lang w:val="es-ES" w:eastAsia="en-US"/>
              </w:rPr>
              <w:t>(</w:t>
            </w:r>
            <w:r w:rsidRPr="008D150B">
              <w:rPr>
                <w:rFonts w:eastAsiaTheme="minorHAnsi"/>
                <w:b/>
                <w:lang w:val="es-ES" w:eastAsia="en-US"/>
              </w:rPr>
              <w:t>95% CI</w:t>
            </w:r>
            <w:r>
              <w:rPr>
                <w:rFonts w:eastAsiaTheme="minorHAnsi"/>
                <w:b/>
                <w:lang w:val="es-ES" w:eastAsia="en-US"/>
              </w:rPr>
              <w:t>)</w:t>
            </w:r>
          </w:p>
        </w:tc>
      </w:tr>
      <w:tr w:rsidR="008D150B" w:rsidRPr="00475EEE" w14:paraId="5F690B11" w14:textId="77777777" w:rsidTr="00E1513B">
        <w:trPr>
          <w:trHeight w:val="543"/>
        </w:trPr>
        <w:tc>
          <w:tcPr>
            <w:tcW w:w="0" w:type="auto"/>
            <w:vMerge w:val="restart"/>
            <w:tcBorders>
              <w:top w:val="single" w:sz="4" w:space="0" w:color="auto"/>
              <w:bottom w:val="single" w:sz="4" w:space="0" w:color="auto"/>
              <w:right w:val="nil"/>
            </w:tcBorders>
          </w:tcPr>
          <w:p w14:paraId="2BCAEB8A" w14:textId="77777777" w:rsidR="008D150B" w:rsidRPr="00475EEE" w:rsidRDefault="008D150B" w:rsidP="00E1513B">
            <w:pPr>
              <w:jc w:val="center"/>
              <w:rPr>
                <w:rFonts w:eastAsia="Calibri"/>
                <w:lang w:val="en-US" w:eastAsia="en-US"/>
              </w:rPr>
            </w:pPr>
            <w:r w:rsidRPr="00475EEE">
              <w:rPr>
                <w:rFonts w:eastAsia="Calibri"/>
                <w:lang w:val="en-US" w:eastAsia="en-US"/>
              </w:rPr>
              <w:t>Men</w:t>
            </w:r>
          </w:p>
          <w:p w14:paraId="22BAE866" w14:textId="35892219" w:rsidR="008D150B" w:rsidRPr="00475EEE" w:rsidRDefault="008D150B" w:rsidP="00E1513B">
            <w:pPr>
              <w:jc w:val="center"/>
              <w:rPr>
                <w:rFonts w:eastAsia="Calibri"/>
                <w:lang w:val="en-US" w:eastAsia="en-US"/>
              </w:rPr>
            </w:pPr>
          </w:p>
        </w:tc>
        <w:tc>
          <w:tcPr>
            <w:tcW w:w="3885" w:type="dxa"/>
            <w:tcBorders>
              <w:top w:val="single" w:sz="4" w:space="0" w:color="auto"/>
              <w:left w:val="nil"/>
              <w:bottom w:val="nil"/>
              <w:right w:val="nil"/>
            </w:tcBorders>
          </w:tcPr>
          <w:p w14:paraId="77724DAB" w14:textId="77777777" w:rsidR="008D150B" w:rsidRPr="00475EEE" w:rsidRDefault="008D150B" w:rsidP="00E1513B">
            <w:pPr>
              <w:jc w:val="center"/>
              <w:rPr>
                <w:rFonts w:eastAsia="Calibri"/>
                <w:lang w:val="en-US" w:eastAsia="en-US"/>
              </w:rPr>
            </w:pPr>
            <w:r w:rsidRPr="00475EEE">
              <w:rPr>
                <w:rFonts w:eastAsia="Calibri"/>
                <w:lang w:val="en-US" w:eastAsia="en-US"/>
              </w:rPr>
              <w:t>17-44</w:t>
            </w:r>
          </w:p>
        </w:tc>
        <w:tc>
          <w:tcPr>
            <w:tcW w:w="3268" w:type="dxa"/>
            <w:tcBorders>
              <w:top w:val="single" w:sz="4" w:space="0" w:color="auto"/>
              <w:left w:val="nil"/>
              <w:bottom w:val="nil"/>
              <w:right w:val="nil"/>
            </w:tcBorders>
          </w:tcPr>
          <w:p w14:paraId="771A974C" w14:textId="339168F2" w:rsidR="008D150B" w:rsidRPr="00475EEE" w:rsidRDefault="008D150B" w:rsidP="00E1513B">
            <w:pPr>
              <w:jc w:val="center"/>
              <w:rPr>
                <w:rFonts w:eastAsiaTheme="minorHAnsi"/>
                <w:lang w:val="es-ES" w:eastAsia="en-US"/>
              </w:rPr>
            </w:pPr>
            <w:r w:rsidRPr="00475EEE">
              <w:rPr>
                <w:rFonts w:eastAsiaTheme="minorHAnsi"/>
                <w:lang w:val="es-ES" w:eastAsia="en-US"/>
              </w:rPr>
              <w:t>1.21</w:t>
            </w:r>
            <w:r>
              <w:rPr>
                <w:rFonts w:eastAsiaTheme="minorHAnsi"/>
                <w:lang w:val="es-ES" w:eastAsia="en-US"/>
              </w:rPr>
              <w:t xml:space="preserve"> (1.00-</w:t>
            </w:r>
            <w:r w:rsidRPr="008D150B">
              <w:rPr>
                <w:rFonts w:eastAsiaTheme="minorHAnsi"/>
                <w:lang w:val="es-ES" w:eastAsia="en-US"/>
              </w:rPr>
              <w:t>1.46</w:t>
            </w:r>
            <w:r>
              <w:rPr>
                <w:rFonts w:eastAsiaTheme="minorHAnsi"/>
                <w:lang w:val="es-ES" w:eastAsia="en-US"/>
              </w:rPr>
              <w:t>)</w:t>
            </w:r>
            <w:r w:rsidRPr="00E1513B">
              <w:rPr>
                <w:rFonts w:eastAsiaTheme="minorHAnsi"/>
                <w:vertAlign w:val="superscript"/>
                <w:lang w:val="es-ES" w:eastAsia="en-US"/>
              </w:rPr>
              <w:t>b</w:t>
            </w:r>
            <w:r w:rsidRPr="00E1513B" w:rsidDel="00D82F88">
              <w:rPr>
                <w:rFonts w:eastAsiaTheme="minorHAnsi"/>
                <w:vertAlign w:val="superscript"/>
                <w:lang w:val="es-ES" w:eastAsia="en-US"/>
              </w:rPr>
              <w:t xml:space="preserve"> </w:t>
            </w:r>
          </w:p>
        </w:tc>
      </w:tr>
      <w:tr w:rsidR="008D150B" w:rsidRPr="00475EEE" w14:paraId="26AE6433" w14:textId="77777777" w:rsidTr="00E1513B">
        <w:trPr>
          <w:trHeight w:val="528"/>
        </w:trPr>
        <w:tc>
          <w:tcPr>
            <w:tcW w:w="0" w:type="auto"/>
            <w:vMerge/>
            <w:tcBorders>
              <w:top w:val="single" w:sz="4" w:space="0" w:color="auto"/>
              <w:right w:val="nil"/>
            </w:tcBorders>
          </w:tcPr>
          <w:p w14:paraId="5BDA7C9E" w14:textId="77777777" w:rsidR="008D150B" w:rsidRPr="00475EEE" w:rsidRDefault="008D150B" w:rsidP="00E1513B">
            <w:pPr>
              <w:jc w:val="center"/>
              <w:rPr>
                <w:rFonts w:eastAsia="Calibri"/>
                <w:lang w:val="en-US" w:eastAsia="en-US"/>
              </w:rPr>
            </w:pPr>
          </w:p>
        </w:tc>
        <w:tc>
          <w:tcPr>
            <w:tcW w:w="3885" w:type="dxa"/>
            <w:tcBorders>
              <w:top w:val="nil"/>
              <w:left w:val="nil"/>
              <w:bottom w:val="single" w:sz="4" w:space="0" w:color="auto"/>
              <w:right w:val="nil"/>
            </w:tcBorders>
          </w:tcPr>
          <w:p w14:paraId="67EB9363" w14:textId="77777777" w:rsidR="008D150B" w:rsidRPr="00475EEE" w:rsidRDefault="008D150B" w:rsidP="00E1513B">
            <w:pPr>
              <w:jc w:val="center"/>
              <w:rPr>
                <w:rFonts w:eastAsia="Calibri"/>
                <w:lang w:val="en-US" w:eastAsia="en-US"/>
              </w:rPr>
            </w:pPr>
            <w:r w:rsidRPr="00475EEE">
              <w:rPr>
                <w:rFonts w:eastAsia="Calibri"/>
                <w:lang w:val="en-US" w:eastAsia="en-US"/>
              </w:rPr>
              <w:t>45-69</w:t>
            </w:r>
          </w:p>
        </w:tc>
        <w:tc>
          <w:tcPr>
            <w:tcW w:w="3268" w:type="dxa"/>
            <w:tcBorders>
              <w:top w:val="nil"/>
              <w:left w:val="nil"/>
              <w:bottom w:val="single" w:sz="4" w:space="0" w:color="auto"/>
              <w:right w:val="nil"/>
            </w:tcBorders>
          </w:tcPr>
          <w:p w14:paraId="53821C93" w14:textId="7D3F9330" w:rsidR="008D150B" w:rsidRPr="00475EEE" w:rsidRDefault="008D150B" w:rsidP="00E1513B">
            <w:pPr>
              <w:jc w:val="center"/>
              <w:rPr>
                <w:rFonts w:eastAsiaTheme="minorHAnsi"/>
                <w:lang w:val="en-US" w:eastAsia="en-US"/>
              </w:rPr>
            </w:pPr>
            <w:r w:rsidRPr="00475EEE">
              <w:rPr>
                <w:rFonts w:eastAsiaTheme="minorHAnsi"/>
                <w:lang w:val="en-US" w:eastAsia="en-US"/>
              </w:rPr>
              <w:t>1.21</w:t>
            </w:r>
            <w:r>
              <w:rPr>
                <w:rFonts w:eastAsiaTheme="minorHAnsi"/>
                <w:lang w:val="en-US" w:eastAsia="en-US"/>
              </w:rPr>
              <w:t xml:space="preserve"> (0.98-</w:t>
            </w:r>
            <w:r w:rsidRPr="008D150B">
              <w:rPr>
                <w:rFonts w:eastAsiaTheme="minorHAnsi"/>
                <w:lang w:val="en-US" w:eastAsia="en-US"/>
              </w:rPr>
              <w:t>1.48</w:t>
            </w:r>
            <w:r>
              <w:rPr>
                <w:rFonts w:eastAsiaTheme="minorHAnsi"/>
                <w:lang w:val="en-US" w:eastAsia="en-US"/>
              </w:rPr>
              <w:t>)</w:t>
            </w:r>
          </w:p>
        </w:tc>
      </w:tr>
      <w:tr w:rsidR="008D150B" w:rsidRPr="00475EEE" w14:paraId="69A80A69" w14:textId="77777777" w:rsidTr="00E1513B">
        <w:trPr>
          <w:trHeight w:val="543"/>
        </w:trPr>
        <w:tc>
          <w:tcPr>
            <w:tcW w:w="0" w:type="auto"/>
            <w:vMerge w:val="restart"/>
            <w:tcBorders>
              <w:right w:val="nil"/>
            </w:tcBorders>
          </w:tcPr>
          <w:p w14:paraId="0B46BD3D" w14:textId="77777777" w:rsidR="008D150B" w:rsidRPr="00475EEE" w:rsidRDefault="008D150B" w:rsidP="00E1513B">
            <w:pPr>
              <w:jc w:val="center"/>
              <w:rPr>
                <w:rFonts w:eastAsia="Calibri"/>
                <w:lang w:val="en-US" w:eastAsia="en-US"/>
              </w:rPr>
            </w:pPr>
            <w:r w:rsidRPr="00475EEE">
              <w:rPr>
                <w:rFonts w:eastAsia="Calibri"/>
                <w:lang w:val="en-US" w:eastAsia="en-US"/>
              </w:rPr>
              <w:t>Women</w:t>
            </w:r>
          </w:p>
          <w:p w14:paraId="33D6964B" w14:textId="08E0F831" w:rsidR="008D150B" w:rsidRPr="00475EEE" w:rsidRDefault="008D150B" w:rsidP="00E1513B">
            <w:pPr>
              <w:jc w:val="center"/>
              <w:rPr>
                <w:rFonts w:eastAsia="Calibri"/>
                <w:lang w:val="en-US" w:eastAsia="en-US"/>
              </w:rPr>
            </w:pPr>
          </w:p>
        </w:tc>
        <w:tc>
          <w:tcPr>
            <w:tcW w:w="3885" w:type="dxa"/>
            <w:tcBorders>
              <w:top w:val="single" w:sz="4" w:space="0" w:color="auto"/>
              <w:left w:val="nil"/>
              <w:bottom w:val="nil"/>
              <w:right w:val="nil"/>
            </w:tcBorders>
          </w:tcPr>
          <w:p w14:paraId="4A507983" w14:textId="77777777" w:rsidR="008D150B" w:rsidRPr="00475EEE" w:rsidRDefault="008D150B" w:rsidP="00E1513B">
            <w:pPr>
              <w:jc w:val="center"/>
              <w:rPr>
                <w:rFonts w:eastAsia="Calibri"/>
                <w:lang w:val="en-US" w:eastAsia="en-US"/>
              </w:rPr>
            </w:pPr>
            <w:r w:rsidRPr="00475EEE">
              <w:rPr>
                <w:rFonts w:eastAsia="Calibri"/>
                <w:lang w:val="en-US" w:eastAsia="en-US"/>
              </w:rPr>
              <w:t>17-44</w:t>
            </w:r>
          </w:p>
        </w:tc>
        <w:tc>
          <w:tcPr>
            <w:tcW w:w="3268" w:type="dxa"/>
            <w:tcBorders>
              <w:top w:val="single" w:sz="4" w:space="0" w:color="auto"/>
              <w:left w:val="nil"/>
              <w:bottom w:val="nil"/>
              <w:right w:val="nil"/>
            </w:tcBorders>
          </w:tcPr>
          <w:p w14:paraId="0C526E42" w14:textId="13C60129" w:rsidR="008D150B" w:rsidRPr="00475EEE" w:rsidRDefault="008D150B" w:rsidP="00E1513B">
            <w:pPr>
              <w:jc w:val="center"/>
              <w:rPr>
                <w:rFonts w:eastAsiaTheme="minorHAnsi"/>
                <w:lang w:val="en-US" w:eastAsia="en-US"/>
              </w:rPr>
            </w:pPr>
            <w:r w:rsidRPr="00475EEE">
              <w:rPr>
                <w:rFonts w:eastAsiaTheme="minorHAnsi"/>
                <w:lang w:val="en-US" w:eastAsia="en-US"/>
              </w:rPr>
              <w:t>1.11</w:t>
            </w:r>
            <w:r>
              <w:rPr>
                <w:rFonts w:eastAsiaTheme="minorHAnsi"/>
                <w:lang w:val="en-US" w:eastAsia="en-US"/>
              </w:rPr>
              <w:t xml:space="preserve"> (0.93-</w:t>
            </w:r>
            <w:r w:rsidRPr="00475EEE">
              <w:rPr>
                <w:rFonts w:eastAsiaTheme="minorHAnsi"/>
                <w:lang w:val="en-US" w:eastAsia="en-US"/>
              </w:rPr>
              <w:t>1.33</w:t>
            </w:r>
            <w:r>
              <w:rPr>
                <w:rFonts w:eastAsiaTheme="minorHAnsi"/>
                <w:lang w:val="en-US" w:eastAsia="en-US"/>
              </w:rPr>
              <w:t>)</w:t>
            </w:r>
          </w:p>
        </w:tc>
      </w:tr>
      <w:tr w:rsidR="008D150B" w:rsidRPr="00475EEE" w14:paraId="7E2B9596" w14:textId="77777777" w:rsidTr="00E1513B">
        <w:trPr>
          <w:trHeight w:val="256"/>
        </w:trPr>
        <w:tc>
          <w:tcPr>
            <w:tcW w:w="0" w:type="auto"/>
            <w:vMerge/>
            <w:tcBorders>
              <w:bottom w:val="single" w:sz="4" w:space="0" w:color="auto"/>
              <w:right w:val="nil"/>
            </w:tcBorders>
          </w:tcPr>
          <w:p w14:paraId="6EA447DE" w14:textId="77777777" w:rsidR="008D150B" w:rsidRPr="00475EEE" w:rsidRDefault="008D150B" w:rsidP="00E1513B">
            <w:pPr>
              <w:jc w:val="center"/>
              <w:rPr>
                <w:rFonts w:eastAsia="Calibri"/>
                <w:lang w:val="en-US" w:eastAsia="en-US"/>
              </w:rPr>
            </w:pPr>
          </w:p>
        </w:tc>
        <w:tc>
          <w:tcPr>
            <w:tcW w:w="3885" w:type="dxa"/>
            <w:tcBorders>
              <w:top w:val="nil"/>
              <w:left w:val="nil"/>
              <w:bottom w:val="single" w:sz="4" w:space="0" w:color="auto"/>
              <w:right w:val="nil"/>
            </w:tcBorders>
          </w:tcPr>
          <w:p w14:paraId="2F65F4CE" w14:textId="77777777" w:rsidR="008D150B" w:rsidRPr="00475EEE" w:rsidRDefault="008D150B" w:rsidP="00E1513B">
            <w:pPr>
              <w:jc w:val="center"/>
              <w:rPr>
                <w:rFonts w:eastAsia="Calibri"/>
                <w:lang w:val="en-US" w:eastAsia="en-US"/>
              </w:rPr>
            </w:pPr>
            <w:r w:rsidRPr="00475EEE">
              <w:rPr>
                <w:rFonts w:eastAsia="Calibri"/>
                <w:lang w:val="en-US" w:eastAsia="en-US"/>
              </w:rPr>
              <w:t>45-69</w:t>
            </w:r>
          </w:p>
        </w:tc>
        <w:tc>
          <w:tcPr>
            <w:tcW w:w="3268" w:type="dxa"/>
            <w:tcBorders>
              <w:top w:val="nil"/>
              <w:left w:val="nil"/>
              <w:bottom w:val="single" w:sz="4" w:space="0" w:color="auto"/>
              <w:right w:val="nil"/>
            </w:tcBorders>
          </w:tcPr>
          <w:p w14:paraId="756D3EB3" w14:textId="716D0124" w:rsidR="008D150B" w:rsidRPr="00475EEE" w:rsidRDefault="008D150B" w:rsidP="00E1513B">
            <w:pPr>
              <w:jc w:val="center"/>
              <w:rPr>
                <w:rFonts w:eastAsiaTheme="minorHAnsi"/>
                <w:lang w:val="en-US" w:eastAsia="en-US"/>
              </w:rPr>
            </w:pPr>
            <w:r w:rsidRPr="00475EEE">
              <w:rPr>
                <w:rFonts w:eastAsiaTheme="minorHAnsi"/>
                <w:lang w:val="en-US" w:eastAsia="en-US"/>
              </w:rPr>
              <w:t>1.22</w:t>
            </w:r>
            <w:r>
              <w:rPr>
                <w:rFonts w:eastAsiaTheme="minorHAnsi"/>
                <w:lang w:val="en-US" w:eastAsia="en-US"/>
              </w:rPr>
              <w:t xml:space="preserve"> (0.96-</w:t>
            </w:r>
            <w:r w:rsidRPr="00475EEE">
              <w:rPr>
                <w:rFonts w:eastAsiaTheme="minorHAnsi"/>
                <w:lang w:val="en-US" w:eastAsia="en-US"/>
              </w:rPr>
              <w:t>1.56</w:t>
            </w:r>
            <w:r>
              <w:rPr>
                <w:rFonts w:eastAsiaTheme="minorHAnsi"/>
                <w:lang w:val="en-US" w:eastAsia="en-US"/>
              </w:rPr>
              <w:t>)</w:t>
            </w:r>
          </w:p>
        </w:tc>
      </w:tr>
      <w:tr w:rsidR="008D150B" w:rsidRPr="00475EEE" w14:paraId="1170A4FC" w14:textId="77777777" w:rsidTr="00E1513B">
        <w:trPr>
          <w:trHeight w:val="256"/>
        </w:trPr>
        <w:tc>
          <w:tcPr>
            <w:tcW w:w="8130" w:type="dxa"/>
            <w:gridSpan w:val="3"/>
            <w:tcBorders>
              <w:bottom w:val="single" w:sz="4" w:space="0" w:color="auto"/>
              <w:right w:val="nil"/>
            </w:tcBorders>
          </w:tcPr>
          <w:p w14:paraId="16CAD44C" w14:textId="77777777" w:rsidR="008D150B" w:rsidRPr="008D150B" w:rsidRDefault="008D150B" w:rsidP="00E1513B">
            <w:pPr>
              <w:rPr>
                <w:rFonts w:eastAsia="Calibri"/>
                <w:lang w:val="en-US" w:eastAsia="en-US"/>
              </w:rPr>
            </w:pPr>
            <w:r w:rsidRPr="008D150B">
              <w:rPr>
                <w:rFonts w:eastAsia="Calibri"/>
                <w:lang w:val="en-US" w:eastAsia="en-US"/>
              </w:rPr>
              <w:t xml:space="preserve">Abbreviations: </w:t>
            </w:r>
            <w:proofErr w:type="spellStart"/>
            <w:r w:rsidRPr="008D150B">
              <w:rPr>
                <w:rFonts w:eastAsia="Calibri"/>
                <w:lang w:val="en-US" w:eastAsia="en-US"/>
              </w:rPr>
              <w:t>aOR</w:t>
            </w:r>
            <w:proofErr w:type="spellEnd"/>
            <w:r w:rsidRPr="008D150B">
              <w:rPr>
                <w:rFonts w:eastAsia="Calibri"/>
                <w:lang w:val="en-US" w:eastAsia="en-US"/>
              </w:rPr>
              <w:t>, adjusted odds ratio; CI, confidence interval.</w:t>
            </w:r>
          </w:p>
          <w:p w14:paraId="7E3F18AF" w14:textId="77777777" w:rsidR="008D150B" w:rsidRPr="008D150B" w:rsidRDefault="008D150B" w:rsidP="00E1513B">
            <w:pPr>
              <w:rPr>
                <w:rFonts w:eastAsia="Calibri"/>
                <w:lang w:val="en-US" w:eastAsia="en-US"/>
              </w:rPr>
            </w:pPr>
            <w:proofErr w:type="spellStart"/>
            <w:r w:rsidRPr="008D150B">
              <w:rPr>
                <w:rFonts w:eastAsia="Calibri"/>
                <w:lang w:val="en-US" w:eastAsia="en-US"/>
              </w:rPr>
              <w:t>aAdjusted</w:t>
            </w:r>
            <w:proofErr w:type="spellEnd"/>
            <w:r w:rsidRPr="008D150B">
              <w:rPr>
                <w:rFonts w:eastAsia="Calibri"/>
                <w:lang w:val="en-US" w:eastAsia="en-US"/>
              </w:rPr>
              <w:t xml:space="preserve"> for educational level, body mass index, smoking status, occupational class, fruit consumption and occupational physical activity.</w:t>
            </w:r>
          </w:p>
          <w:p w14:paraId="342FCE7B" w14:textId="55A2F0CD" w:rsidR="008D150B" w:rsidRPr="00475EEE" w:rsidRDefault="008D150B" w:rsidP="00E1513B">
            <w:pPr>
              <w:rPr>
                <w:rFonts w:eastAsiaTheme="minorHAnsi"/>
                <w:lang w:val="en-US" w:eastAsia="en-US"/>
              </w:rPr>
            </w:pPr>
            <w:proofErr w:type="spellStart"/>
            <w:r w:rsidRPr="00E1513B">
              <w:rPr>
                <w:rFonts w:eastAsia="Calibri"/>
                <w:vertAlign w:val="superscript"/>
                <w:lang w:val="en-US" w:eastAsia="en-US"/>
              </w:rPr>
              <w:t>b</w:t>
            </w:r>
            <w:r w:rsidRPr="008D150B">
              <w:rPr>
                <w:rFonts w:eastAsia="Calibri"/>
                <w:lang w:val="en-US" w:eastAsia="en-US"/>
              </w:rPr>
              <w:t>Significant</w:t>
            </w:r>
            <w:proofErr w:type="spellEnd"/>
            <w:r w:rsidRPr="008D150B">
              <w:rPr>
                <w:rFonts w:eastAsia="Calibri"/>
                <w:lang w:val="en-US" w:eastAsia="en-US"/>
              </w:rPr>
              <w:t xml:space="preserve"> at </w:t>
            </w:r>
            <w:r w:rsidRPr="00E1513B">
              <w:rPr>
                <w:rFonts w:eastAsia="Calibri"/>
                <w:i/>
                <w:lang w:val="en-US" w:eastAsia="en-US"/>
              </w:rPr>
              <w:t>P</w:t>
            </w:r>
            <w:r w:rsidRPr="008D150B">
              <w:rPr>
                <w:rFonts w:eastAsia="Calibri"/>
                <w:lang w:val="en-US" w:eastAsia="en-US"/>
              </w:rPr>
              <w:t xml:space="preserve"> &lt; .05.</w:t>
            </w:r>
          </w:p>
        </w:tc>
      </w:tr>
    </w:tbl>
    <w:p w14:paraId="47E52BE4" w14:textId="77777777" w:rsidR="003877E0" w:rsidRPr="00475EEE" w:rsidRDefault="003877E0" w:rsidP="006B3578">
      <w:pPr>
        <w:jc w:val="both"/>
      </w:pPr>
    </w:p>
    <w:p w14:paraId="3DD1AB29" w14:textId="77777777" w:rsidR="003877E0" w:rsidRPr="00475EEE" w:rsidRDefault="003877E0" w:rsidP="006B3578">
      <w:pPr>
        <w:jc w:val="both"/>
      </w:pPr>
    </w:p>
    <w:p w14:paraId="2FA01BDD" w14:textId="77777777" w:rsidR="003877E0" w:rsidRDefault="003877E0" w:rsidP="006B3578">
      <w:pPr>
        <w:jc w:val="both"/>
      </w:pPr>
    </w:p>
    <w:p w14:paraId="14E3168B" w14:textId="77777777" w:rsidR="00E62692" w:rsidRDefault="00E62692" w:rsidP="006B3578">
      <w:pPr>
        <w:jc w:val="both"/>
      </w:pPr>
    </w:p>
    <w:p w14:paraId="66E49136" w14:textId="77777777" w:rsidR="00E62692" w:rsidRDefault="00E62692" w:rsidP="006B3578">
      <w:pPr>
        <w:jc w:val="both"/>
      </w:pPr>
    </w:p>
    <w:p w14:paraId="69A3B6BB" w14:textId="77777777" w:rsidR="00E62692" w:rsidRDefault="00E62692" w:rsidP="006B3578">
      <w:pPr>
        <w:jc w:val="both"/>
      </w:pPr>
    </w:p>
    <w:p w14:paraId="48A61646" w14:textId="77777777" w:rsidR="00E62692" w:rsidRDefault="00E62692" w:rsidP="006B3578">
      <w:pPr>
        <w:jc w:val="both"/>
      </w:pPr>
    </w:p>
    <w:p w14:paraId="26B15C50" w14:textId="77777777" w:rsidR="00E62692" w:rsidRDefault="00E62692" w:rsidP="006B3578">
      <w:pPr>
        <w:jc w:val="both"/>
      </w:pPr>
    </w:p>
    <w:p w14:paraId="7D2F3D94" w14:textId="77777777" w:rsidR="00E62692" w:rsidRDefault="00E62692" w:rsidP="006B3578">
      <w:pPr>
        <w:jc w:val="both"/>
      </w:pPr>
    </w:p>
    <w:p w14:paraId="185A52C6" w14:textId="77777777" w:rsidR="00E62692" w:rsidRDefault="00E62692" w:rsidP="006B3578">
      <w:pPr>
        <w:jc w:val="both"/>
      </w:pPr>
    </w:p>
    <w:p w14:paraId="5C264115" w14:textId="77777777" w:rsidR="00E62692" w:rsidRDefault="00E62692" w:rsidP="006B3578">
      <w:pPr>
        <w:jc w:val="both"/>
      </w:pPr>
    </w:p>
    <w:p w14:paraId="429BA396" w14:textId="77777777" w:rsidR="00E62692" w:rsidRDefault="00E62692" w:rsidP="006B3578">
      <w:pPr>
        <w:jc w:val="both"/>
      </w:pPr>
    </w:p>
    <w:p w14:paraId="67DF8CFA" w14:textId="77777777" w:rsidR="00E62692" w:rsidRDefault="00E62692" w:rsidP="006B3578">
      <w:pPr>
        <w:jc w:val="both"/>
      </w:pPr>
    </w:p>
    <w:p w14:paraId="06304AB6" w14:textId="77777777" w:rsidR="00E62692" w:rsidRDefault="00E62692" w:rsidP="006B3578">
      <w:pPr>
        <w:jc w:val="both"/>
      </w:pPr>
    </w:p>
    <w:p w14:paraId="05AECD36" w14:textId="77777777" w:rsidR="00E62692" w:rsidRDefault="00E62692" w:rsidP="006B3578">
      <w:pPr>
        <w:jc w:val="both"/>
      </w:pPr>
    </w:p>
    <w:p w14:paraId="461B6920" w14:textId="77777777" w:rsidR="004F11C8" w:rsidRDefault="004F11C8" w:rsidP="006B3578">
      <w:pPr>
        <w:jc w:val="both"/>
      </w:pPr>
    </w:p>
    <w:p w14:paraId="249CD422" w14:textId="77777777" w:rsidR="004F11C8" w:rsidRDefault="004F11C8" w:rsidP="006B3578">
      <w:pPr>
        <w:jc w:val="both"/>
      </w:pPr>
    </w:p>
    <w:p w14:paraId="2F82D838" w14:textId="77777777" w:rsidR="004F11C8" w:rsidRDefault="004F11C8" w:rsidP="006B3578">
      <w:pPr>
        <w:jc w:val="both"/>
      </w:pPr>
    </w:p>
    <w:p w14:paraId="49ADBB34" w14:textId="77777777" w:rsidR="004F11C8" w:rsidRDefault="004F11C8" w:rsidP="006B3578">
      <w:pPr>
        <w:jc w:val="both"/>
      </w:pPr>
    </w:p>
    <w:p w14:paraId="28F39215" w14:textId="77777777" w:rsidR="004F11C8" w:rsidRDefault="004F11C8" w:rsidP="006B3578">
      <w:pPr>
        <w:jc w:val="both"/>
      </w:pPr>
    </w:p>
    <w:p w14:paraId="1CE7B57B" w14:textId="77777777" w:rsidR="004F11C8" w:rsidRDefault="004F11C8" w:rsidP="006B3578">
      <w:pPr>
        <w:jc w:val="both"/>
      </w:pPr>
    </w:p>
    <w:p w14:paraId="0029EC88" w14:textId="77777777" w:rsidR="004F11C8" w:rsidRDefault="004F11C8" w:rsidP="006B3578">
      <w:pPr>
        <w:jc w:val="both"/>
      </w:pPr>
    </w:p>
    <w:p w14:paraId="6363BD66" w14:textId="77777777" w:rsidR="004F11C8" w:rsidRDefault="004F11C8" w:rsidP="006B3578">
      <w:pPr>
        <w:jc w:val="both"/>
      </w:pPr>
    </w:p>
    <w:p w14:paraId="0465E167" w14:textId="77777777" w:rsidR="004F11C8" w:rsidRDefault="004F11C8" w:rsidP="006B3578">
      <w:pPr>
        <w:jc w:val="both"/>
      </w:pPr>
    </w:p>
    <w:p w14:paraId="5384EB22" w14:textId="77777777" w:rsidR="004F11C8" w:rsidRDefault="004F11C8" w:rsidP="006B3578">
      <w:pPr>
        <w:jc w:val="both"/>
      </w:pPr>
    </w:p>
    <w:p w14:paraId="2D3D5277" w14:textId="77777777" w:rsidR="004F11C8" w:rsidRDefault="004F11C8" w:rsidP="006B3578">
      <w:pPr>
        <w:jc w:val="both"/>
      </w:pPr>
    </w:p>
    <w:p w14:paraId="24917447" w14:textId="77777777" w:rsidR="004F11C8" w:rsidRDefault="004F11C8" w:rsidP="006B3578">
      <w:pPr>
        <w:jc w:val="both"/>
      </w:pPr>
    </w:p>
    <w:p w14:paraId="7B26817C" w14:textId="77777777" w:rsidR="004F11C8" w:rsidRDefault="004F11C8" w:rsidP="006B3578">
      <w:pPr>
        <w:jc w:val="both"/>
      </w:pPr>
    </w:p>
    <w:p w14:paraId="23380174" w14:textId="77777777" w:rsidR="004F11C8" w:rsidRDefault="004F11C8" w:rsidP="006B3578">
      <w:pPr>
        <w:jc w:val="both"/>
      </w:pPr>
    </w:p>
    <w:p w14:paraId="1E0340B9" w14:textId="77777777" w:rsidR="00E62692" w:rsidRDefault="00E62692" w:rsidP="006B3578">
      <w:pPr>
        <w:jc w:val="both"/>
      </w:pPr>
    </w:p>
    <w:tbl>
      <w:tblPr>
        <w:tblStyle w:val="Tablaconcuadrcula11"/>
        <w:tblpPr w:leftFromText="141" w:rightFromText="141" w:vertAnchor="text" w:horzAnchor="margin" w:tblpXSpec="center" w:tblpY="296"/>
        <w:tblW w:w="757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643"/>
        <w:gridCol w:w="3931"/>
      </w:tblGrid>
      <w:tr w:rsidR="004F11C8" w:rsidRPr="00E62692" w14:paraId="5F23EDCF" w14:textId="77777777" w:rsidTr="00E1513B">
        <w:trPr>
          <w:trHeight w:val="543"/>
        </w:trPr>
        <w:tc>
          <w:tcPr>
            <w:tcW w:w="7574" w:type="dxa"/>
            <w:gridSpan w:val="2"/>
            <w:tcBorders>
              <w:top w:val="nil"/>
              <w:bottom w:val="single" w:sz="4" w:space="0" w:color="auto"/>
              <w:right w:val="nil"/>
            </w:tcBorders>
          </w:tcPr>
          <w:p w14:paraId="79ED9BA5" w14:textId="6C73E5E7" w:rsidR="004F11C8" w:rsidRPr="00E1513B" w:rsidRDefault="004F11C8" w:rsidP="00E1513B">
            <w:pPr>
              <w:rPr>
                <w:rFonts w:eastAsiaTheme="minorHAnsi"/>
                <w:b/>
                <w:sz w:val="22"/>
                <w:szCs w:val="22"/>
                <w:lang w:val="en-US" w:eastAsia="en-US"/>
              </w:rPr>
            </w:pPr>
            <w:r w:rsidRPr="00E62692">
              <w:rPr>
                <w:rFonts w:eastAsiaTheme="minorHAnsi"/>
                <w:b/>
                <w:sz w:val="22"/>
                <w:szCs w:val="22"/>
                <w:lang w:val="en-US" w:eastAsia="en-US"/>
              </w:rPr>
              <w:t>Table 4.</w:t>
            </w:r>
            <w:r w:rsidRPr="00E62692">
              <w:rPr>
                <w:rFonts w:eastAsiaTheme="minorHAnsi"/>
                <w:sz w:val="22"/>
                <w:szCs w:val="22"/>
                <w:lang w:val="en-US" w:eastAsia="en-US"/>
              </w:rPr>
              <w:t xml:space="preserve"> Association between levels of physical activity and specific chronic diseases estimated by multivariable logistic regression</w:t>
            </w:r>
            <w:r>
              <w:rPr>
                <w:rFonts w:eastAsiaTheme="minorHAnsi"/>
                <w:sz w:val="22"/>
                <w:szCs w:val="22"/>
                <w:lang w:val="en-US" w:eastAsia="en-US"/>
              </w:rPr>
              <w:t xml:space="preserve"> </w:t>
            </w:r>
            <w:r w:rsidRPr="003365FF">
              <w:rPr>
                <w:rFonts w:eastAsiaTheme="minorHAnsi"/>
                <w:sz w:val="22"/>
                <w:szCs w:val="22"/>
                <w:lang w:val="en-US" w:eastAsia="en-US"/>
              </w:rPr>
              <w:t>(adjusted odds ratios with 95% confidence intervals</w:t>
            </w:r>
            <w:r>
              <w:rPr>
                <w:rFonts w:eastAsiaTheme="minorHAnsi"/>
                <w:sz w:val="22"/>
                <w:szCs w:val="22"/>
                <w:lang w:val="en-US" w:eastAsia="en-US"/>
              </w:rPr>
              <w:t xml:space="preserve"> for each chronic condition</w:t>
            </w:r>
            <w:r w:rsidRPr="003365FF">
              <w:rPr>
                <w:rFonts w:eastAsiaTheme="minorHAnsi"/>
                <w:sz w:val="22"/>
                <w:szCs w:val="22"/>
                <w:lang w:val="en-US" w:eastAsia="en-US"/>
              </w:rPr>
              <w:t>).</w:t>
            </w:r>
          </w:p>
        </w:tc>
      </w:tr>
      <w:tr w:rsidR="004F11C8" w:rsidRPr="00E62692" w14:paraId="51138735" w14:textId="77777777" w:rsidTr="00E1513B">
        <w:trPr>
          <w:trHeight w:val="543"/>
        </w:trPr>
        <w:tc>
          <w:tcPr>
            <w:tcW w:w="3643" w:type="dxa"/>
            <w:tcBorders>
              <w:top w:val="single" w:sz="4" w:space="0" w:color="auto"/>
              <w:bottom w:val="single" w:sz="4" w:space="0" w:color="auto"/>
              <w:right w:val="nil"/>
            </w:tcBorders>
          </w:tcPr>
          <w:p w14:paraId="42CA0D77" w14:textId="4F8F6B52" w:rsidR="004F11C8" w:rsidRPr="00E62692" w:rsidRDefault="004F11C8" w:rsidP="000F20C6">
            <w:pPr>
              <w:jc w:val="center"/>
              <w:rPr>
                <w:rFonts w:eastAsia="Calibri"/>
                <w:sz w:val="22"/>
                <w:szCs w:val="22"/>
                <w:lang w:val="en-US" w:eastAsia="en-US"/>
              </w:rPr>
            </w:pPr>
            <w:r w:rsidRPr="00E62692">
              <w:rPr>
                <w:rFonts w:eastAsiaTheme="minorHAnsi"/>
                <w:b/>
                <w:sz w:val="22"/>
                <w:szCs w:val="22"/>
                <w:lang w:val="en-US" w:eastAsia="en-US"/>
              </w:rPr>
              <w:t>Chronic disease</w:t>
            </w:r>
          </w:p>
        </w:tc>
        <w:tc>
          <w:tcPr>
            <w:tcW w:w="3931" w:type="dxa"/>
            <w:tcBorders>
              <w:top w:val="single" w:sz="4" w:space="0" w:color="auto"/>
              <w:left w:val="nil"/>
              <w:bottom w:val="single" w:sz="4" w:space="0" w:color="auto"/>
            </w:tcBorders>
          </w:tcPr>
          <w:p w14:paraId="5C736273" w14:textId="3547AE87" w:rsidR="004F11C8" w:rsidRPr="00E1513B" w:rsidRDefault="004F11C8" w:rsidP="00AD12E5">
            <w:pPr>
              <w:jc w:val="center"/>
              <w:rPr>
                <w:rFonts w:eastAsiaTheme="minorHAnsi"/>
                <w:b/>
                <w:sz w:val="22"/>
                <w:szCs w:val="22"/>
                <w:lang w:val="en-US" w:eastAsia="en-US"/>
              </w:rPr>
            </w:pPr>
            <w:proofErr w:type="spellStart"/>
            <w:r w:rsidRPr="00E62692">
              <w:rPr>
                <w:rFonts w:eastAsiaTheme="minorHAnsi"/>
                <w:b/>
                <w:sz w:val="22"/>
                <w:szCs w:val="22"/>
                <w:vertAlign w:val="superscript"/>
                <w:lang w:val="en-US" w:eastAsia="en-US"/>
              </w:rPr>
              <w:t>a</w:t>
            </w:r>
            <w:r w:rsidRPr="00E62692">
              <w:rPr>
                <w:rFonts w:eastAsiaTheme="minorHAnsi"/>
                <w:b/>
                <w:sz w:val="22"/>
                <w:szCs w:val="22"/>
                <w:lang w:val="en-US" w:eastAsia="en-US"/>
              </w:rPr>
              <w:t>Association</w:t>
            </w:r>
            <w:proofErr w:type="spellEnd"/>
            <w:r w:rsidRPr="00E62692">
              <w:rPr>
                <w:rFonts w:eastAsiaTheme="minorHAnsi"/>
                <w:b/>
                <w:sz w:val="22"/>
                <w:szCs w:val="22"/>
                <w:lang w:val="en-US" w:eastAsia="en-US"/>
              </w:rPr>
              <w:t xml:space="preserve"> between physical activity (</w:t>
            </w:r>
            <w:r w:rsidRPr="00E62692">
              <w:rPr>
                <w:rFonts w:eastAsiaTheme="minorHAnsi"/>
                <w:sz w:val="22"/>
                <w:szCs w:val="22"/>
                <w:lang w:val="en-US" w:eastAsia="en-US"/>
              </w:rPr>
              <w:t>≥</w:t>
            </w:r>
            <w:r w:rsidRPr="00E62692">
              <w:rPr>
                <w:rFonts w:eastAsiaTheme="minorHAnsi"/>
                <w:b/>
                <w:sz w:val="22"/>
                <w:szCs w:val="22"/>
                <w:lang w:val="en-US" w:eastAsia="en-US"/>
              </w:rPr>
              <w:t xml:space="preserve"> 600 MET-minutes/week) and specific chronic disease</w:t>
            </w:r>
          </w:p>
        </w:tc>
      </w:tr>
      <w:tr w:rsidR="004F11C8" w:rsidRPr="00E62692" w14:paraId="75B1E655" w14:textId="77777777" w:rsidTr="00E1513B">
        <w:trPr>
          <w:trHeight w:val="543"/>
        </w:trPr>
        <w:tc>
          <w:tcPr>
            <w:tcW w:w="3643" w:type="dxa"/>
            <w:tcBorders>
              <w:top w:val="single" w:sz="4" w:space="0" w:color="auto"/>
              <w:bottom w:val="single" w:sz="4" w:space="0" w:color="auto"/>
              <w:right w:val="nil"/>
            </w:tcBorders>
          </w:tcPr>
          <w:p w14:paraId="2CA2922B" w14:textId="77777777" w:rsidR="004F11C8" w:rsidRPr="00E62692" w:rsidRDefault="004F11C8" w:rsidP="00E1513B">
            <w:pPr>
              <w:jc w:val="center"/>
              <w:rPr>
                <w:rFonts w:eastAsia="Calibri"/>
                <w:sz w:val="22"/>
                <w:szCs w:val="22"/>
                <w:lang w:val="en-US" w:eastAsia="en-US"/>
              </w:rPr>
            </w:pPr>
          </w:p>
        </w:tc>
        <w:tc>
          <w:tcPr>
            <w:tcW w:w="3931" w:type="dxa"/>
            <w:tcBorders>
              <w:top w:val="single" w:sz="4" w:space="0" w:color="auto"/>
              <w:left w:val="nil"/>
              <w:bottom w:val="single" w:sz="4" w:space="0" w:color="auto"/>
              <w:right w:val="nil"/>
            </w:tcBorders>
          </w:tcPr>
          <w:p w14:paraId="73CE5861" w14:textId="196A2F41" w:rsidR="004F11C8" w:rsidRPr="00E62692" w:rsidRDefault="004F11C8" w:rsidP="00E1513B">
            <w:pPr>
              <w:jc w:val="center"/>
              <w:rPr>
                <w:rFonts w:eastAsiaTheme="minorHAnsi"/>
                <w:b/>
                <w:sz w:val="22"/>
                <w:szCs w:val="22"/>
                <w:lang w:val="es-ES" w:eastAsia="en-US"/>
              </w:rPr>
            </w:pPr>
            <w:proofErr w:type="spellStart"/>
            <w:r>
              <w:rPr>
                <w:rFonts w:eastAsiaTheme="minorHAnsi"/>
                <w:b/>
                <w:sz w:val="22"/>
                <w:szCs w:val="22"/>
                <w:lang w:val="es-ES" w:eastAsia="en-US"/>
              </w:rPr>
              <w:t>a</w:t>
            </w:r>
            <w:r w:rsidRPr="00E62692">
              <w:rPr>
                <w:rFonts w:eastAsiaTheme="minorHAnsi"/>
                <w:b/>
                <w:sz w:val="22"/>
                <w:szCs w:val="22"/>
                <w:lang w:val="es-ES" w:eastAsia="en-US"/>
              </w:rPr>
              <w:t>OR</w:t>
            </w:r>
            <w:proofErr w:type="spellEnd"/>
            <w:r>
              <w:rPr>
                <w:rFonts w:eastAsiaTheme="minorHAnsi"/>
                <w:b/>
                <w:sz w:val="22"/>
                <w:szCs w:val="22"/>
                <w:lang w:val="es-ES" w:eastAsia="en-US"/>
              </w:rPr>
              <w:t xml:space="preserve"> (</w:t>
            </w:r>
            <w:r w:rsidRPr="004F11C8">
              <w:rPr>
                <w:rFonts w:eastAsiaTheme="minorHAnsi"/>
                <w:b/>
                <w:sz w:val="22"/>
                <w:szCs w:val="22"/>
                <w:lang w:val="es-ES" w:eastAsia="en-US"/>
              </w:rPr>
              <w:t>95% CI</w:t>
            </w:r>
            <w:r>
              <w:rPr>
                <w:rFonts w:eastAsiaTheme="minorHAnsi"/>
                <w:b/>
                <w:sz w:val="22"/>
                <w:szCs w:val="22"/>
                <w:lang w:val="es-ES" w:eastAsia="en-US"/>
              </w:rPr>
              <w:t>)</w:t>
            </w:r>
          </w:p>
        </w:tc>
      </w:tr>
      <w:tr w:rsidR="004F11C8" w:rsidRPr="00E62692" w14:paraId="55815E29" w14:textId="77777777" w:rsidTr="00E1513B">
        <w:trPr>
          <w:trHeight w:val="543"/>
        </w:trPr>
        <w:tc>
          <w:tcPr>
            <w:tcW w:w="3643" w:type="dxa"/>
            <w:tcBorders>
              <w:top w:val="single" w:sz="4" w:space="0" w:color="auto"/>
              <w:bottom w:val="nil"/>
              <w:right w:val="nil"/>
            </w:tcBorders>
          </w:tcPr>
          <w:p w14:paraId="44DE2EAF" w14:textId="77777777" w:rsidR="004F11C8" w:rsidRPr="00E1513B" w:rsidRDefault="004F11C8" w:rsidP="00E1513B">
            <w:pPr>
              <w:jc w:val="center"/>
              <w:rPr>
                <w:b/>
              </w:rPr>
            </w:pPr>
            <w:r w:rsidRPr="00E1513B">
              <w:rPr>
                <w:b/>
              </w:rPr>
              <w:t>Hypertension</w:t>
            </w:r>
          </w:p>
        </w:tc>
        <w:tc>
          <w:tcPr>
            <w:tcW w:w="3931" w:type="dxa"/>
            <w:tcBorders>
              <w:top w:val="single" w:sz="4" w:space="0" w:color="auto"/>
              <w:left w:val="nil"/>
              <w:bottom w:val="nil"/>
              <w:right w:val="nil"/>
            </w:tcBorders>
          </w:tcPr>
          <w:p w14:paraId="1AB1C751" w14:textId="0AA78C58" w:rsidR="004F11C8" w:rsidRPr="00E62692" w:rsidRDefault="004F11C8" w:rsidP="00E1513B">
            <w:pPr>
              <w:jc w:val="center"/>
              <w:rPr>
                <w:rFonts w:eastAsiaTheme="minorHAnsi"/>
                <w:sz w:val="22"/>
                <w:szCs w:val="22"/>
                <w:lang w:val="es-ES" w:eastAsia="en-US"/>
              </w:rPr>
            </w:pPr>
            <w:r w:rsidRPr="00E62692">
              <w:rPr>
                <w:rFonts w:eastAsiaTheme="minorHAnsi"/>
                <w:sz w:val="22"/>
                <w:szCs w:val="22"/>
                <w:lang w:val="es-ES" w:eastAsia="en-US"/>
              </w:rPr>
              <w:t>0.89</w:t>
            </w:r>
            <w:r>
              <w:rPr>
                <w:rFonts w:eastAsiaTheme="minorHAnsi"/>
                <w:sz w:val="22"/>
                <w:szCs w:val="22"/>
                <w:lang w:val="es-ES" w:eastAsia="en-US"/>
              </w:rPr>
              <w:t xml:space="preserve"> </w:t>
            </w:r>
            <w:r>
              <w:rPr>
                <w:rFonts w:eastAsiaTheme="minorHAnsi"/>
                <w:sz w:val="22"/>
                <w:szCs w:val="22"/>
                <w:lang w:val="en-US" w:eastAsia="en-US"/>
              </w:rPr>
              <w:t>(0.76-</w:t>
            </w:r>
            <w:r w:rsidRPr="00E62692">
              <w:rPr>
                <w:rFonts w:eastAsiaTheme="minorHAnsi"/>
                <w:sz w:val="22"/>
                <w:szCs w:val="22"/>
                <w:lang w:val="en-US" w:eastAsia="en-US"/>
              </w:rPr>
              <w:t>1.03</w:t>
            </w:r>
            <w:r>
              <w:rPr>
                <w:rFonts w:eastAsiaTheme="minorHAnsi"/>
                <w:sz w:val="22"/>
                <w:szCs w:val="22"/>
                <w:lang w:val="en-US" w:eastAsia="en-US"/>
              </w:rPr>
              <w:t>)</w:t>
            </w:r>
          </w:p>
        </w:tc>
      </w:tr>
      <w:tr w:rsidR="004F11C8" w:rsidRPr="00E62692" w14:paraId="60A2CF45" w14:textId="77777777" w:rsidTr="00E1513B">
        <w:trPr>
          <w:trHeight w:val="528"/>
        </w:trPr>
        <w:tc>
          <w:tcPr>
            <w:tcW w:w="3643" w:type="dxa"/>
            <w:tcBorders>
              <w:top w:val="nil"/>
              <w:bottom w:val="nil"/>
              <w:right w:val="nil"/>
            </w:tcBorders>
          </w:tcPr>
          <w:p w14:paraId="5F0634FE" w14:textId="77777777" w:rsidR="004F11C8" w:rsidRPr="00E1513B" w:rsidRDefault="004F11C8" w:rsidP="00E1513B">
            <w:pPr>
              <w:jc w:val="center"/>
              <w:rPr>
                <w:b/>
              </w:rPr>
            </w:pPr>
            <w:r w:rsidRPr="00E1513B">
              <w:rPr>
                <w:b/>
              </w:rPr>
              <w:t>Diabetes</w:t>
            </w:r>
          </w:p>
        </w:tc>
        <w:tc>
          <w:tcPr>
            <w:tcW w:w="3931" w:type="dxa"/>
            <w:tcBorders>
              <w:top w:val="nil"/>
              <w:left w:val="nil"/>
              <w:bottom w:val="nil"/>
              <w:right w:val="nil"/>
            </w:tcBorders>
          </w:tcPr>
          <w:p w14:paraId="0C2BD5E9" w14:textId="58BFB1A8" w:rsidR="004F11C8" w:rsidRPr="00E62692" w:rsidRDefault="004F11C8" w:rsidP="00E1513B">
            <w:pPr>
              <w:jc w:val="center"/>
              <w:rPr>
                <w:rFonts w:eastAsiaTheme="minorHAnsi"/>
                <w:sz w:val="22"/>
                <w:szCs w:val="22"/>
                <w:lang w:val="en-US" w:eastAsia="en-US"/>
              </w:rPr>
            </w:pPr>
            <w:r w:rsidRPr="00E62692">
              <w:rPr>
                <w:rFonts w:eastAsiaTheme="minorHAnsi"/>
                <w:sz w:val="22"/>
                <w:szCs w:val="22"/>
                <w:lang w:val="en-US" w:eastAsia="en-US"/>
              </w:rPr>
              <w:t>1.03</w:t>
            </w:r>
            <w:r>
              <w:rPr>
                <w:rFonts w:eastAsiaTheme="minorHAnsi"/>
                <w:sz w:val="22"/>
                <w:szCs w:val="22"/>
                <w:lang w:val="en-US" w:eastAsia="en-US"/>
              </w:rPr>
              <w:t xml:space="preserve"> (0.79-</w:t>
            </w:r>
            <w:r w:rsidRPr="004F11C8">
              <w:rPr>
                <w:rFonts w:eastAsiaTheme="minorHAnsi"/>
                <w:sz w:val="22"/>
                <w:szCs w:val="22"/>
                <w:lang w:val="en-US" w:eastAsia="en-US"/>
              </w:rPr>
              <w:t>1.34</w:t>
            </w:r>
            <w:r>
              <w:rPr>
                <w:rFonts w:eastAsiaTheme="minorHAnsi"/>
                <w:sz w:val="22"/>
                <w:szCs w:val="22"/>
                <w:lang w:val="en-US" w:eastAsia="en-US"/>
              </w:rPr>
              <w:t>)</w:t>
            </w:r>
          </w:p>
        </w:tc>
      </w:tr>
      <w:tr w:rsidR="004F11C8" w:rsidRPr="00E62692" w14:paraId="2510C94B" w14:textId="77777777" w:rsidTr="00E1513B">
        <w:trPr>
          <w:trHeight w:val="543"/>
        </w:trPr>
        <w:tc>
          <w:tcPr>
            <w:tcW w:w="3643" w:type="dxa"/>
            <w:tcBorders>
              <w:top w:val="nil"/>
              <w:bottom w:val="nil"/>
              <w:right w:val="nil"/>
            </w:tcBorders>
          </w:tcPr>
          <w:p w14:paraId="60F67F41" w14:textId="77777777" w:rsidR="004F11C8" w:rsidRPr="00E1513B" w:rsidRDefault="004F11C8" w:rsidP="00E1513B">
            <w:pPr>
              <w:jc w:val="center"/>
              <w:rPr>
                <w:b/>
              </w:rPr>
            </w:pPr>
            <w:r w:rsidRPr="00E1513B">
              <w:rPr>
                <w:b/>
              </w:rPr>
              <w:t>Low back pain</w:t>
            </w:r>
          </w:p>
        </w:tc>
        <w:tc>
          <w:tcPr>
            <w:tcW w:w="3931" w:type="dxa"/>
            <w:tcBorders>
              <w:top w:val="nil"/>
              <w:left w:val="nil"/>
              <w:bottom w:val="nil"/>
              <w:right w:val="nil"/>
            </w:tcBorders>
          </w:tcPr>
          <w:p w14:paraId="6B7CBDBF" w14:textId="19FF4231" w:rsidR="004F11C8" w:rsidRPr="00E62692" w:rsidRDefault="004F11C8" w:rsidP="00E1513B">
            <w:pPr>
              <w:jc w:val="center"/>
              <w:rPr>
                <w:rFonts w:eastAsiaTheme="minorHAnsi"/>
                <w:sz w:val="22"/>
                <w:szCs w:val="22"/>
                <w:lang w:val="en-US" w:eastAsia="en-US"/>
              </w:rPr>
            </w:pPr>
            <w:r w:rsidRPr="00E62692">
              <w:rPr>
                <w:rFonts w:eastAsiaTheme="minorHAnsi"/>
                <w:sz w:val="22"/>
                <w:szCs w:val="22"/>
                <w:lang w:val="en-US" w:eastAsia="en-US"/>
              </w:rPr>
              <w:t>0.80</w:t>
            </w:r>
            <w:r>
              <w:rPr>
                <w:rFonts w:eastAsiaTheme="minorHAnsi"/>
                <w:sz w:val="22"/>
                <w:szCs w:val="22"/>
                <w:lang w:val="en-US" w:eastAsia="en-US"/>
              </w:rPr>
              <w:t xml:space="preserve"> (0.70-</w:t>
            </w:r>
            <w:r w:rsidRPr="004F11C8">
              <w:rPr>
                <w:rFonts w:eastAsiaTheme="minorHAnsi"/>
                <w:sz w:val="22"/>
                <w:szCs w:val="22"/>
                <w:lang w:val="en-US" w:eastAsia="en-US"/>
              </w:rPr>
              <w:t>0.91</w:t>
            </w:r>
            <w:r>
              <w:rPr>
                <w:rFonts w:eastAsiaTheme="minorHAnsi"/>
                <w:sz w:val="22"/>
                <w:szCs w:val="22"/>
                <w:lang w:val="en-US" w:eastAsia="en-US"/>
              </w:rPr>
              <w:t>)</w:t>
            </w:r>
            <w:r w:rsidRPr="00E1513B">
              <w:rPr>
                <w:rFonts w:eastAsiaTheme="minorHAnsi"/>
                <w:sz w:val="22"/>
                <w:szCs w:val="22"/>
                <w:vertAlign w:val="superscript"/>
                <w:lang w:val="en-US" w:eastAsia="en-US"/>
              </w:rPr>
              <w:t>b</w:t>
            </w:r>
          </w:p>
        </w:tc>
      </w:tr>
      <w:tr w:rsidR="004F11C8" w:rsidRPr="00E62692" w14:paraId="0596331D" w14:textId="77777777" w:rsidTr="00E1513B">
        <w:trPr>
          <w:trHeight w:val="543"/>
        </w:trPr>
        <w:tc>
          <w:tcPr>
            <w:tcW w:w="3643" w:type="dxa"/>
            <w:tcBorders>
              <w:top w:val="nil"/>
              <w:bottom w:val="nil"/>
              <w:right w:val="nil"/>
            </w:tcBorders>
          </w:tcPr>
          <w:p w14:paraId="10070888" w14:textId="77777777" w:rsidR="004F11C8" w:rsidRPr="00E1513B" w:rsidRDefault="004F11C8" w:rsidP="00E1513B">
            <w:pPr>
              <w:jc w:val="center"/>
              <w:rPr>
                <w:b/>
              </w:rPr>
            </w:pPr>
            <w:r w:rsidRPr="00E1513B">
              <w:rPr>
                <w:b/>
              </w:rPr>
              <w:t>Neck pain</w:t>
            </w:r>
          </w:p>
        </w:tc>
        <w:tc>
          <w:tcPr>
            <w:tcW w:w="3931" w:type="dxa"/>
            <w:tcBorders>
              <w:top w:val="nil"/>
              <w:left w:val="nil"/>
              <w:bottom w:val="nil"/>
              <w:right w:val="nil"/>
            </w:tcBorders>
          </w:tcPr>
          <w:p w14:paraId="78DF0B6A" w14:textId="4B7D7CD1" w:rsidR="004F11C8" w:rsidRPr="00E62692" w:rsidRDefault="004F11C8" w:rsidP="00E1513B">
            <w:pPr>
              <w:jc w:val="center"/>
              <w:rPr>
                <w:rFonts w:eastAsiaTheme="minorHAnsi"/>
                <w:sz w:val="22"/>
                <w:szCs w:val="22"/>
                <w:lang w:val="en-US" w:eastAsia="en-US"/>
              </w:rPr>
            </w:pPr>
            <w:r w:rsidRPr="00E62692">
              <w:rPr>
                <w:rFonts w:eastAsiaTheme="minorHAnsi"/>
                <w:sz w:val="22"/>
                <w:szCs w:val="22"/>
                <w:lang w:val="en-US" w:eastAsia="en-US"/>
              </w:rPr>
              <w:t>0.97</w:t>
            </w:r>
            <w:r>
              <w:rPr>
                <w:rFonts w:eastAsiaTheme="minorHAnsi"/>
                <w:sz w:val="22"/>
                <w:szCs w:val="22"/>
                <w:lang w:val="en-US" w:eastAsia="en-US"/>
              </w:rPr>
              <w:t xml:space="preserve"> (0.83-</w:t>
            </w:r>
            <w:r w:rsidRPr="004F11C8">
              <w:rPr>
                <w:rFonts w:eastAsiaTheme="minorHAnsi"/>
                <w:sz w:val="22"/>
                <w:szCs w:val="22"/>
                <w:lang w:val="en-US" w:eastAsia="en-US"/>
              </w:rPr>
              <w:t>1.14</w:t>
            </w:r>
            <w:r>
              <w:rPr>
                <w:rFonts w:eastAsiaTheme="minorHAnsi"/>
                <w:sz w:val="22"/>
                <w:szCs w:val="22"/>
                <w:lang w:val="en-US" w:eastAsia="en-US"/>
              </w:rPr>
              <w:t>)</w:t>
            </w:r>
          </w:p>
        </w:tc>
      </w:tr>
      <w:tr w:rsidR="004F11C8" w:rsidRPr="00E62692" w14:paraId="6637D826" w14:textId="77777777" w:rsidTr="00E1513B">
        <w:trPr>
          <w:trHeight w:val="256"/>
        </w:trPr>
        <w:tc>
          <w:tcPr>
            <w:tcW w:w="3643" w:type="dxa"/>
            <w:tcBorders>
              <w:top w:val="nil"/>
              <w:bottom w:val="nil"/>
              <w:right w:val="nil"/>
            </w:tcBorders>
          </w:tcPr>
          <w:p w14:paraId="6E338359" w14:textId="77777777" w:rsidR="004F11C8" w:rsidRPr="00E1513B" w:rsidRDefault="004F11C8" w:rsidP="00E1513B">
            <w:pPr>
              <w:jc w:val="center"/>
              <w:rPr>
                <w:b/>
              </w:rPr>
            </w:pPr>
            <w:r w:rsidRPr="00E1513B">
              <w:rPr>
                <w:b/>
              </w:rPr>
              <w:t>Anxiety</w:t>
            </w:r>
          </w:p>
        </w:tc>
        <w:tc>
          <w:tcPr>
            <w:tcW w:w="3931" w:type="dxa"/>
            <w:tcBorders>
              <w:top w:val="nil"/>
              <w:left w:val="nil"/>
              <w:bottom w:val="nil"/>
              <w:right w:val="nil"/>
            </w:tcBorders>
          </w:tcPr>
          <w:p w14:paraId="685F8AC4" w14:textId="709B20C6" w:rsidR="004F11C8" w:rsidRDefault="004F11C8" w:rsidP="00E1513B">
            <w:pPr>
              <w:jc w:val="center"/>
              <w:rPr>
                <w:rFonts w:eastAsiaTheme="minorHAnsi"/>
                <w:sz w:val="22"/>
                <w:szCs w:val="22"/>
                <w:vertAlign w:val="superscript"/>
                <w:lang w:val="en-US" w:eastAsia="en-US"/>
              </w:rPr>
            </w:pPr>
            <w:r w:rsidRPr="00E62692">
              <w:rPr>
                <w:rFonts w:eastAsiaTheme="minorHAnsi"/>
                <w:sz w:val="22"/>
                <w:szCs w:val="22"/>
                <w:lang w:val="en-US" w:eastAsia="en-US"/>
              </w:rPr>
              <w:t>0.67</w:t>
            </w:r>
            <w:r>
              <w:rPr>
                <w:rFonts w:eastAsiaTheme="minorHAnsi"/>
                <w:sz w:val="22"/>
                <w:szCs w:val="22"/>
                <w:lang w:val="en-US" w:eastAsia="en-US"/>
              </w:rPr>
              <w:t xml:space="preserve"> (0.54-</w:t>
            </w:r>
            <w:r w:rsidRPr="00E62692">
              <w:rPr>
                <w:rFonts w:eastAsiaTheme="minorHAnsi"/>
                <w:sz w:val="22"/>
                <w:szCs w:val="22"/>
                <w:lang w:val="en-US" w:eastAsia="en-US"/>
              </w:rPr>
              <w:t>0.84</w:t>
            </w:r>
            <w:r>
              <w:rPr>
                <w:rFonts w:eastAsiaTheme="minorHAnsi"/>
                <w:sz w:val="22"/>
                <w:szCs w:val="22"/>
                <w:lang w:val="en-US" w:eastAsia="en-US"/>
              </w:rPr>
              <w:t>)</w:t>
            </w:r>
            <w:r w:rsidRPr="00E1513B">
              <w:rPr>
                <w:rFonts w:eastAsiaTheme="minorHAnsi"/>
                <w:sz w:val="22"/>
                <w:szCs w:val="22"/>
                <w:vertAlign w:val="superscript"/>
                <w:lang w:val="en-US" w:eastAsia="en-US"/>
              </w:rPr>
              <w:t>c</w:t>
            </w:r>
          </w:p>
          <w:p w14:paraId="4942E6CA" w14:textId="6C9AB377" w:rsidR="000F20C6" w:rsidRPr="00E62692" w:rsidRDefault="000F20C6" w:rsidP="00E1513B">
            <w:pPr>
              <w:jc w:val="center"/>
              <w:rPr>
                <w:rFonts w:eastAsiaTheme="minorHAnsi"/>
                <w:sz w:val="22"/>
                <w:szCs w:val="22"/>
                <w:lang w:val="en-US" w:eastAsia="en-US"/>
              </w:rPr>
            </w:pPr>
          </w:p>
        </w:tc>
      </w:tr>
      <w:tr w:rsidR="004F11C8" w:rsidRPr="00E62692" w14:paraId="4BA33FA1" w14:textId="77777777" w:rsidTr="00E1513B">
        <w:trPr>
          <w:trHeight w:val="256"/>
        </w:trPr>
        <w:tc>
          <w:tcPr>
            <w:tcW w:w="3643" w:type="dxa"/>
            <w:tcBorders>
              <w:top w:val="nil"/>
              <w:bottom w:val="single" w:sz="4" w:space="0" w:color="auto"/>
              <w:right w:val="nil"/>
            </w:tcBorders>
          </w:tcPr>
          <w:p w14:paraId="076C1EEC" w14:textId="77777777" w:rsidR="004F11C8" w:rsidRPr="00E1513B" w:rsidRDefault="004F11C8" w:rsidP="00E1513B">
            <w:pPr>
              <w:jc w:val="center"/>
              <w:rPr>
                <w:b/>
              </w:rPr>
            </w:pPr>
            <w:r w:rsidRPr="00E1513B">
              <w:rPr>
                <w:b/>
              </w:rPr>
              <w:t>Depression</w:t>
            </w:r>
          </w:p>
        </w:tc>
        <w:tc>
          <w:tcPr>
            <w:tcW w:w="3931" w:type="dxa"/>
            <w:tcBorders>
              <w:top w:val="nil"/>
              <w:left w:val="nil"/>
              <w:bottom w:val="single" w:sz="4" w:space="0" w:color="auto"/>
              <w:right w:val="nil"/>
            </w:tcBorders>
          </w:tcPr>
          <w:p w14:paraId="59EAF38A" w14:textId="0BAD48CB" w:rsidR="004F11C8" w:rsidRPr="00E62692" w:rsidRDefault="004F11C8" w:rsidP="00E1513B">
            <w:pPr>
              <w:jc w:val="center"/>
              <w:rPr>
                <w:rFonts w:eastAsiaTheme="minorHAnsi"/>
                <w:sz w:val="22"/>
                <w:szCs w:val="22"/>
                <w:lang w:val="en-US" w:eastAsia="en-US"/>
              </w:rPr>
            </w:pPr>
            <w:r w:rsidRPr="00E62692">
              <w:rPr>
                <w:rFonts w:eastAsiaTheme="minorHAnsi"/>
                <w:sz w:val="22"/>
                <w:szCs w:val="22"/>
                <w:lang w:val="en-US" w:eastAsia="en-US"/>
              </w:rPr>
              <w:t>1.10</w:t>
            </w:r>
            <w:r>
              <w:rPr>
                <w:rFonts w:eastAsiaTheme="minorHAnsi"/>
                <w:sz w:val="22"/>
                <w:szCs w:val="22"/>
                <w:lang w:val="en-US" w:eastAsia="en-US"/>
              </w:rPr>
              <w:t xml:space="preserve"> (0.84-</w:t>
            </w:r>
            <w:r w:rsidRPr="00E62692">
              <w:rPr>
                <w:rFonts w:eastAsiaTheme="minorHAnsi"/>
                <w:sz w:val="22"/>
                <w:szCs w:val="22"/>
                <w:lang w:val="en-US" w:eastAsia="en-US"/>
              </w:rPr>
              <w:t>1.44</w:t>
            </w:r>
            <w:r>
              <w:rPr>
                <w:rFonts w:eastAsiaTheme="minorHAnsi"/>
                <w:sz w:val="22"/>
                <w:szCs w:val="22"/>
                <w:lang w:val="en-US" w:eastAsia="en-US"/>
              </w:rPr>
              <w:t>)</w:t>
            </w:r>
          </w:p>
        </w:tc>
      </w:tr>
      <w:tr w:rsidR="004F11C8" w:rsidRPr="00E62692" w14:paraId="35522C36" w14:textId="77777777" w:rsidTr="00E1513B">
        <w:trPr>
          <w:trHeight w:val="256"/>
        </w:trPr>
        <w:tc>
          <w:tcPr>
            <w:tcW w:w="7574" w:type="dxa"/>
            <w:gridSpan w:val="2"/>
            <w:tcBorders>
              <w:top w:val="nil"/>
              <w:bottom w:val="single" w:sz="4" w:space="0" w:color="auto"/>
            </w:tcBorders>
          </w:tcPr>
          <w:p w14:paraId="1B05A3C1" w14:textId="77777777" w:rsidR="004F11C8" w:rsidRPr="00E62692" w:rsidRDefault="004F11C8" w:rsidP="004F11C8">
            <w:pPr>
              <w:jc w:val="both"/>
              <w:rPr>
                <w:rFonts w:eastAsiaTheme="minorHAnsi"/>
                <w:sz w:val="22"/>
                <w:szCs w:val="22"/>
                <w:lang w:val="en-US" w:eastAsia="en-US"/>
              </w:rPr>
            </w:pPr>
            <w:r w:rsidRPr="00BB23D6">
              <w:rPr>
                <w:rFonts w:eastAsiaTheme="minorHAnsi"/>
                <w:sz w:val="22"/>
                <w:szCs w:val="22"/>
                <w:lang w:val="en-US" w:eastAsia="en-US"/>
              </w:rPr>
              <w:t>Abbreviations:</w:t>
            </w:r>
            <w:r>
              <w:rPr>
                <w:rFonts w:eastAsiaTheme="minorHAnsi"/>
                <w:sz w:val="22"/>
                <w:szCs w:val="22"/>
                <w:lang w:val="en-US" w:eastAsia="en-US"/>
              </w:rPr>
              <w:t xml:space="preserve"> </w:t>
            </w:r>
            <w:proofErr w:type="spellStart"/>
            <w:r>
              <w:rPr>
                <w:rFonts w:eastAsiaTheme="minorHAnsi"/>
                <w:sz w:val="22"/>
                <w:szCs w:val="22"/>
                <w:lang w:val="en-US" w:eastAsia="en-US"/>
              </w:rPr>
              <w:t>a</w:t>
            </w:r>
            <w:r w:rsidRPr="00E62692">
              <w:rPr>
                <w:rFonts w:eastAsiaTheme="minorHAnsi"/>
                <w:sz w:val="22"/>
                <w:szCs w:val="22"/>
                <w:lang w:val="en-US" w:eastAsia="en-US"/>
              </w:rPr>
              <w:t>OR</w:t>
            </w:r>
            <w:proofErr w:type="spellEnd"/>
            <w:r>
              <w:rPr>
                <w:rFonts w:eastAsiaTheme="minorHAnsi"/>
                <w:sz w:val="22"/>
                <w:szCs w:val="22"/>
                <w:lang w:val="en-US" w:eastAsia="en-US"/>
              </w:rPr>
              <w:t>,</w:t>
            </w:r>
            <w:r w:rsidRPr="00E62692">
              <w:rPr>
                <w:rFonts w:eastAsiaTheme="minorHAnsi"/>
                <w:sz w:val="22"/>
                <w:szCs w:val="22"/>
                <w:lang w:val="en-US" w:eastAsia="en-US"/>
              </w:rPr>
              <w:t xml:space="preserve"> </w:t>
            </w:r>
            <w:r>
              <w:rPr>
                <w:rFonts w:eastAsiaTheme="minorHAnsi"/>
                <w:sz w:val="22"/>
                <w:szCs w:val="22"/>
                <w:lang w:val="en-US" w:eastAsia="en-US"/>
              </w:rPr>
              <w:t>adjusted o</w:t>
            </w:r>
            <w:r w:rsidRPr="00E62692">
              <w:rPr>
                <w:rFonts w:eastAsiaTheme="minorHAnsi"/>
                <w:sz w:val="22"/>
                <w:szCs w:val="22"/>
                <w:lang w:val="en-US" w:eastAsia="en-US"/>
              </w:rPr>
              <w:t>dds ratio</w:t>
            </w:r>
            <w:r>
              <w:rPr>
                <w:rFonts w:eastAsiaTheme="minorHAnsi"/>
                <w:sz w:val="22"/>
                <w:szCs w:val="22"/>
                <w:lang w:val="en-US" w:eastAsia="en-US"/>
              </w:rPr>
              <w:t>; CI, confidence interval.</w:t>
            </w:r>
          </w:p>
          <w:p w14:paraId="4267EFFD" w14:textId="77777777" w:rsidR="004F11C8" w:rsidRPr="00E62692" w:rsidRDefault="004F11C8" w:rsidP="004F11C8">
            <w:pPr>
              <w:jc w:val="both"/>
              <w:rPr>
                <w:rFonts w:eastAsiaTheme="minorHAnsi"/>
                <w:sz w:val="22"/>
                <w:szCs w:val="22"/>
                <w:lang w:val="en-US" w:eastAsia="en-US"/>
              </w:rPr>
            </w:pPr>
            <w:proofErr w:type="spellStart"/>
            <w:r w:rsidRPr="00E62692">
              <w:rPr>
                <w:rFonts w:eastAsiaTheme="minorHAnsi"/>
                <w:sz w:val="22"/>
                <w:szCs w:val="22"/>
                <w:vertAlign w:val="superscript"/>
                <w:lang w:val="en-US" w:eastAsia="en-US"/>
              </w:rPr>
              <w:t>a</w:t>
            </w:r>
            <w:r w:rsidRPr="00E62692">
              <w:rPr>
                <w:rFonts w:eastAsiaTheme="minorHAnsi"/>
                <w:sz w:val="22"/>
                <w:szCs w:val="22"/>
                <w:lang w:val="en-US" w:eastAsia="en-US"/>
              </w:rPr>
              <w:t>Adjusted</w:t>
            </w:r>
            <w:proofErr w:type="spellEnd"/>
            <w:r w:rsidRPr="00E62692">
              <w:rPr>
                <w:rFonts w:eastAsiaTheme="minorHAnsi"/>
                <w:sz w:val="22"/>
                <w:szCs w:val="22"/>
                <w:lang w:val="en-US" w:eastAsia="en-US"/>
              </w:rPr>
              <w:t xml:space="preserve"> for sex, age, education, body mass index, smoking habit, occupational class, fruit consumption and occupational physical activity</w:t>
            </w:r>
            <w:r>
              <w:rPr>
                <w:rFonts w:eastAsiaTheme="minorHAnsi"/>
                <w:sz w:val="22"/>
                <w:szCs w:val="22"/>
                <w:lang w:val="en-US" w:eastAsia="en-US"/>
              </w:rPr>
              <w:t>.</w:t>
            </w:r>
          </w:p>
          <w:p w14:paraId="286EA4B0" w14:textId="77777777" w:rsidR="004F11C8" w:rsidRPr="00EF4D05" w:rsidRDefault="004F11C8" w:rsidP="004F11C8">
            <w:pPr>
              <w:jc w:val="both"/>
              <w:rPr>
                <w:rFonts w:eastAsiaTheme="minorHAnsi"/>
                <w:sz w:val="22"/>
                <w:szCs w:val="22"/>
                <w:lang w:val="en-US" w:eastAsia="en-US"/>
              </w:rPr>
            </w:pPr>
            <w:proofErr w:type="spellStart"/>
            <w:r w:rsidRPr="00EF4D05">
              <w:rPr>
                <w:rFonts w:eastAsiaTheme="minorHAnsi"/>
                <w:sz w:val="22"/>
                <w:szCs w:val="22"/>
                <w:vertAlign w:val="superscript"/>
                <w:lang w:val="en-US" w:eastAsia="en-US"/>
              </w:rPr>
              <w:t>b</w:t>
            </w:r>
            <w:r w:rsidRPr="00EF4D05">
              <w:rPr>
                <w:rFonts w:eastAsiaTheme="minorHAnsi"/>
                <w:sz w:val="22"/>
                <w:szCs w:val="22"/>
                <w:lang w:val="en-US" w:eastAsia="en-US"/>
              </w:rPr>
              <w:t>Significant</w:t>
            </w:r>
            <w:proofErr w:type="spellEnd"/>
            <w:r w:rsidRPr="00EF4D05">
              <w:rPr>
                <w:rFonts w:eastAsiaTheme="minorHAnsi"/>
                <w:sz w:val="22"/>
                <w:szCs w:val="22"/>
                <w:lang w:val="en-US" w:eastAsia="en-US"/>
              </w:rPr>
              <w:t xml:space="preserve"> at </w:t>
            </w:r>
            <w:r w:rsidRPr="00EF4D05">
              <w:rPr>
                <w:rFonts w:eastAsiaTheme="minorHAnsi"/>
                <w:i/>
                <w:sz w:val="22"/>
                <w:szCs w:val="22"/>
                <w:lang w:val="en-US" w:eastAsia="en-US"/>
              </w:rPr>
              <w:t>P</w:t>
            </w:r>
            <w:r w:rsidRPr="00EF4D05">
              <w:rPr>
                <w:rFonts w:eastAsiaTheme="minorHAnsi"/>
                <w:sz w:val="22"/>
                <w:szCs w:val="22"/>
                <w:lang w:val="en-US" w:eastAsia="en-US"/>
              </w:rPr>
              <w:t xml:space="preserve"> &lt; .01.</w:t>
            </w:r>
          </w:p>
          <w:p w14:paraId="7C2D604D" w14:textId="37B0BD5E" w:rsidR="004F11C8" w:rsidRPr="00E62692" w:rsidRDefault="004F11C8" w:rsidP="00E1513B">
            <w:pPr>
              <w:rPr>
                <w:rFonts w:eastAsiaTheme="minorHAnsi"/>
                <w:sz w:val="22"/>
                <w:szCs w:val="22"/>
                <w:lang w:val="en-US" w:eastAsia="en-US"/>
              </w:rPr>
            </w:pPr>
            <w:proofErr w:type="spellStart"/>
            <w:r w:rsidRPr="00EF4D05">
              <w:rPr>
                <w:rFonts w:eastAsiaTheme="minorHAnsi"/>
                <w:sz w:val="22"/>
                <w:szCs w:val="22"/>
                <w:vertAlign w:val="superscript"/>
                <w:lang w:val="en-US" w:eastAsia="en-US"/>
              </w:rPr>
              <w:t>c</w:t>
            </w:r>
            <w:r w:rsidRPr="00EF4D05">
              <w:rPr>
                <w:rFonts w:eastAsiaTheme="minorHAnsi"/>
                <w:sz w:val="22"/>
                <w:szCs w:val="22"/>
                <w:lang w:val="en-US" w:eastAsia="en-US"/>
              </w:rPr>
              <w:t>Significant</w:t>
            </w:r>
            <w:proofErr w:type="spellEnd"/>
            <w:r w:rsidRPr="00EF4D05">
              <w:rPr>
                <w:rFonts w:eastAsiaTheme="minorHAnsi"/>
                <w:sz w:val="22"/>
                <w:szCs w:val="22"/>
                <w:lang w:val="en-US" w:eastAsia="en-US"/>
              </w:rPr>
              <w:t xml:space="preserve"> at </w:t>
            </w:r>
            <w:r w:rsidRPr="00EF4D05">
              <w:rPr>
                <w:rFonts w:eastAsiaTheme="minorHAnsi"/>
                <w:i/>
                <w:sz w:val="22"/>
                <w:szCs w:val="22"/>
                <w:lang w:val="en-US" w:eastAsia="en-US"/>
              </w:rPr>
              <w:t xml:space="preserve">P </w:t>
            </w:r>
            <w:r w:rsidRPr="00EF4D05">
              <w:rPr>
                <w:rFonts w:eastAsiaTheme="minorHAnsi"/>
                <w:sz w:val="22"/>
                <w:szCs w:val="22"/>
                <w:lang w:val="en-US" w:eastAsia="en-US"/>
              </w:rPr>
              <w:t>&lt; .0</w:t>
            </w:r>
            <w:r>
              <w:rPr>
                <w:rFonts w:eastAsiaTheme="minorHAnsi"/>
                <w:sz w:val="22"/>
                <w:szCs w:val="22"/>
                <w:lang w:val="en-US" w:eastAsia="en-US"/>
              </w:rPr>
              <w:t>0</w:t>
            </w:r>
            <w:r w:rsidRPr="00EF4D05">
              <w:rPr>
                <w:rFonts w:eastAsiaTheme="minorHAnsi"/>
                <w:sz w:val="22"/>
                <w:szCs w:val="22"/>
                <w:lang w:val="en-US" w:eastAsia="en-US"/>
              </w:rPr>
              <w:t>1</w:t>
            </w:r>
          </w:p>
        </w:tc>
      </w:tr>
    </w:tbl>
    <w:p w14:paraId="7DD6C435" w14:textId="77777777" w:rsidR="00E62692" w:rsidRPr="00475EEE" w:rsidRDefault="00E62692" w:rsidP="006B3578">
      <w:pPr>
        <w:jc w:val="both"/>
      </w:pPr>
    </w:p>
    <w:p w14:paraId="2C59AA34" w14:textId="77777777" w:rsidR="003877E0" w:rsidRPr="00475EEE" w:rsidRDefault="003877E0" w:rsidP="006B3578">
      <w:pPr>
        <w:jc w:val="both"/>
      </w:pPr>
    </w:p>
    <w:p w14:paraId="06E35A38" w14:textId="77777777" w:rsidR="003877E0" w:rsidRPr="00475EEE" w:rsidRDefault="003877E0" w:rsidP="006B3578">
      <w:pPr>
        <w:tabs>
          <w:tab w:val="left" w:pos="5925"/>
        </w:tabs>
        <w:jc w:val="both"/>
      </w:pPr>
      <w:r w:rsidRPr="00475EEE">
        <w:tab/>
      </w:r>
    </w:p>
    <w:p w14:paraId="5B08DB34" w14:textId="77777777" w:rsidR="003877E0" w:rsidRPr="00475EEE" w:rsidRDefault="003877E0" w:rsidP="006B3578">
      <w:pPr>
        <w:tabs>
          <w:tab w:val="left" w:pos="5925"/>
        </w:tabs>
        <w:jc w:val="both"/>
      </w:pPr>
    </w:p>
    <w:p w14:paraId="7DCE30F4" w14:textId="77777777" w:rsidR="003877E0" w:rsidRPr="00475EEE" w:rsidRDefault="003877E0" w:rsidP="006B3578">
      <w:pPr>
        <w:tabs>
          <w:tab w:val="left" w:pos="5925"/>
        </w:tabs>
        <w:jc w:val="both"/>
      </w:pPr>
    </w:p>
    <w:p w14:paraId="6A390363" w14:textId="77777777" w:rsidR="003877E0" w:rsidRPr="00475EEE" w:rsidRDefault="003877E0" w:rsidP="006B3578">
      <w:pPr>
        <w:tabs>
          <w:tab w:val="left" w:pos="5925"/>
        </w:tabs>
        <w:jc w:val="both"/>
      </w:pPr>
    </w:p>
    <w:p w14:paraId="2843EBD2" w14:textId="77777777" w:rsidR="003877E0" w:rsidRPr="00475EEE" w:rsidRDefault="003877E0" w:rsidP="006B3578">
      <w:pPr>
        <w:tabs>
          <w:tab w:val="left" w:pos="5925"/>
        </w:tabs>
        <w:jc w:val="both"/>
      </w:pPr>
    </w:p>
    <w:p w14:paraId="50BA9E9F" w14:textId="77777777" w:rsidR="003877E0" w:rsidRPr="00475EEE" w:rsidRDefault="003877E0" w:rsidP="006B3578">
      <w:pPr>
        <w:tabs>
          <w:tab w:val="left" w:pos="5925"/>
        </w:tabs>
        <w:jc w:val="both"/>
      </w:pPr>
    </w:p>
    <w:p w14:paraId="2264109B" w14:textId="77777777" w:rsidR="003877E0" w:rsidRPr="00475EEE" w:rsidRDefault="003877E0" w:rsidP="006B3578">
      <w:pPr>
        <w:tabs>
          <w:tab w:val="left" w:pos="5925"/>
        </w:tabs>
        <w:jc w:val="both"/>
      </w:pPr>
    </w:p>
    <w:p w14:paraId="73DDD1CA" w14:textId="77777777" w:rsidR="003877E0" w:rsidRPr="00475EEE" w:rsidRDefault="003877E0" w:rsidP="006B3578">
      <w:pPr>
        <w:tabs>
          <w:tab w:val="left" w:pos="5925"/>
        </w:tabs>
        <w:jc w:val="both"/>
      </w:pPr>
    </w:p>
    <w:p w14:paraId="18712FB7" w14:textId="77777777" w:rsidR="003877E0" w:rsidRPr="00475EEE" w:rsidRDefault="003877E0" w:rsidP="006B3578">
      <w:pPr>
        <w:jc w:val="both"/>
      </w:pPr>
    </w:p>
    <w:p w14:paraId="494044A4" w14:textId="77777777" w:rsidR="003877E0" w:rsidRPr="00475EEE" w:rsidRDefault="003877E0" w:rsidP="006B3578">
      <w:pPr>
        <w:jc w:val="both"/>
      </w:pPr>
    </w:p>
    <w:p w14:paraId="2FA506CD" w14:textId="340A5F19" w:rsidR="00090D03" w:rsidRPr="00475EEE" w:rsidRDefault="00090D03" w:rsidP="006B3578">
      <w:pPr>
        <w:jc w:val="both"/>
      </w:pPr>
    </w:p>
    <w:sectPr w:rsidR="00090D03" w:rsidRPr="00475EEE">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4C7AC" w14:textId="77777777" w:rsidR="006878A8" w:rsidRDefault="006878A8" w:rsidP="00C15659">
      <w:r>
        <w:separator/>
      </w:r>
    </w:p>
  </w:endnote>
  <w:endnote w:type="continuationSeparator" w:id="0">
    <w:p w14:paraId="57368A10" w14:textId="77777777" w:rsidR="006878A8" w:rsidRDefault="006878A8" w:rsidP="00C15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6FB4" w14:textId="77777777" w:rsidR="00D73615" w:rsidRDefault="00D736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5140D" w14:textId="77777777" w:rsidR="008D150B" w:rsidRPr="00D73615" w:rsidRDefault="008D150B" w:rsidP="00D736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1F469" w14:textId="77777777" w:rsidR="00D73615" w:rsidRDefault="00D73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FC769" w14:textId="77777777" w:rsidR="006878A8" w:rsidRDefault="006878A8" w:rsidP="00C15659">
      <w:r>
        <w:separator/>
      </w:r>
    </w:p>
  </w:footnote>
  <w:footnote w:type="continuationSeparator" w:id="0">
    <w:p w14:paraId="5B1FC24C" w14:textId="77777777" w:rsidR="006878A8" w:rsidRDefault="006878A8" w:rsidP="00C15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5E403" w14:textId="77777777" w:rsidR="00D73615" w:rsidRDefault="00D736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E25A1" w14:textId="77777777" w:rsidR="00D73615" w:rsidRDefault="00D736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55B61" w14:textId="77777777" w:rsidR="00D73615" w:rsidRDefault="00D736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270D51"/>
    <w:multiLevelType w:val="hybridMultilevel"/>
    <w:tmpl w:val="0C8CBC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s-ES" w:vendorID="64" w:dllVersion="6" w:nlCheck="1" w:checkStyle="0"/>
  <w:activeWritingStyle w:appName="MSWord" w:lang="en-US" w:vendorID="64" w:dllVersion="6" w:nlCheck="1" w:checkStyle="0"/>
  <w:activeWritingStyle w:appName="MSWord" w:lang="en-GB" w:vendorID="64" w:dllVersion="6" w:nlCheck="1" w:checkStyle="0"/>
  <w:activeWritingStyle w:appName="MSWord" w:lang="da-DK" w:vendorID="64" w:dllVersion="6"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yNzMyNDY2NLCwMDRT0lEKTi0uzszPAykwNqwFABYgA/ItAAAA"/>
  </w:docVars>
  <w:rsids>
    <w:rsidRoot w:val="00D860EA"/>
    <w:rsid w:val="0001780E"/>
    <w:rsid w:val="00017E89"/>
    <w:rsid w:val="000208A0"/>
    <w:rsid w:val="000251E8"/>
    <w:rsid w:val="00030C1E"/>
    <w:rsid w:val="00031597"/>
    <w:rsid w:val="0003321E"/>
    <w:rsid w:val="0003755E"/>
    <w:rsid w:val="00050331"/>
    <w:rsid w:val="00053E30"/>
    <w:rsid w:val="0006161F"/>
    <w:rsid w:val="000725B0"/>
    <w:rsid w:val="00075E5D"/>
    <w:rsid w:val="00085806"/>
    <w:rsid w:val="00087C9E"/>
    <w:rsid w:val="00090D03"/>
    <w:rsid w:val="00090D63"/>
    <w:rsid w:val="00096286"/>
    <w:rsid w:val="000A34B7"/>
    <w:rsid w:val="000B095F"/>
    <w:rsid w:val="000B3825"/>
    <w:rsid w:val="000C2B73"/>
    <w:rsid w:val="000C37C3"/>
    <w:rsid w:val="000C5A10"/>
    <w:rsid w:val="000C6130"/>
    <w:rsid w:val="000D07C2"/>
    <w:rsid w:val="000E041B"/>
    <w:rsid w:val="000E70BB"/>
    <w:rsid w:val="000F20C6"/>
    <w:rsid w:val="0010204D"/>
    <w:rsid w:val="001118D0"/>
    <w:rsid w:val="00132EDC"/>
    <w:rsid w:val="00133E67"/>
    <w:rsid w:val="00135466"/>
    <w:rsid w:val="0014577D"/>
    <w:rsid w:val="00153EED"/>
    <w:rsid w:val="00156E8B"/>
    <w:rsid w:val="00160012"/>
    <w:rsid w:val="00162EC4"/>
    <w:rsid w:val="001721C3"/>
    <w:rsid w:val="001775B5"/>
    <w:rsid w:val="00183F16"/>
    <w:rsid w:val="001978F5"/>
    <w:rsid w:val="001A32DC"/>
    <w:rsid w:val="001B025A"/>
    <w:rsid w:val="001B2B6D"/>
    <w:rsid w:val="001C2811"/>
    <w:rsid w:val="001D0E82"/>
    <w:rsid w:val="001D2A34"/>
    <w:rsid w:val="001D2F23"/>
    <w:rsid w:val="001D6686"/>
    <w:rsid w:val="001E01DB"/>
    <w:rsid w:val="001E5217"/>
    <w:rsid w:val="001F6510"/>
    <w:rsid w:val="00200E95"/>
    <w:rsid w:val="00204034"/>
    <w:rsid w:val="00224A99"/>
    <w:rsid w:val="0023351A"/>
    <w:rsid w:val="00233871"/>
    <w:rsid w:val="00260E8F"/>
    <w:rsid w:val="00265250"/>
    <w:rsid w:val="0026536A"/>
    <w:rsid w:val="00267A21"/>
    <w:rsid w:val="0027062C"/>
    <w:rsid w:val="0027369F"/>
    <w:rsid w:val="002777E4"/>
    <w:rsid w:val="00283703"/>
    <w:rsid w:val="00290E41"/>
    <w:rsid w:val="00291AB1"/>
    <w:rsid w:val="00292E5E"/>
    <w:rsid w:val="002A15DB"/>
    <w:rsid w:val="002A1A6C"/>
    <w:rsid w:val="002A68A4"/>
    <w:rsid w:val="002B01B8"/>
    <w:rsid w:val="002B4D86"/>
    <w:rsid w:val="002C002E"/>
    <w:rsid w:val="002C0B9C"/>
    <w:rsid w:val="002C12CC"/>
    <w:rsid w:val="002C15B9"/>
    <w:rsid w:val="002C2E44"/>
    <w:rsid w:val="002D1C35"/>
    <w:rsid w:val="002D255E"/>
    <w:rsid w:val="002D2A5E"/>
    <w:rsid w:val="002D41C5"/>
    <w:rsid w:val="002D6C0C"/>
    <w:rsid w:val="002E0450"/>
    <w:rsid w:val="002E049E"/>
    <w:rsid w:val="002E04A0"/>
    <w:rsid w:val="002E0D21"/>
    <w:rsid w:val="002F17EE"/>
    <w:rsid w:val="002F36A0"/>
    <w:rsid w:val="002F7F48"/>
    <w:rsid w:val="00306331"/>
    <w:rsid w:val="0031189F"/>
    <w:rsid w:val="003177A8"/>
    <w:rsid w:val="00326D0D"/>
    <w:rsid w:val="00327661"/>
    <w:rsid w:val="003365FF"/>
    <w:rsid w:val="00342C6E"/>
    <w:rsid w:val="00346579"/>
    <w:rsid w:val="0035783F"/>
    <w:rsid w:val="00367075"/>
    <w:rsid w:val="003708DF"/>
    <w:rsid w:val="003720CD"/>
    <w:rsid w:val="00372596"/>
    <w:rsid w:val="0037493F"/>
    <w:rsid w:val="00374F17"/>
    <w:rsid w:val="0037552C"/>
    <w:rsid w:val="00376AED"/>
    <w:rsid w:val="003832A5"/>
    <w:rsid w:val="00385398"/>
    <w:rsid w:val="003877E0"/>
    <w:rsid w:val="00396532"/>
    <w:rsid w:val="003A365C"/>
    <w:rsid w:val="003A3BD1"/>
    <w:rsid w:val="003B559C"/>
    <w:rsid w:val="003C1F65"/>
    <w:rsid w:val="003C4EED"/>
    <w:rsid w:val="003D06AA"/>
    <w:rsid w:val="003D3C2B"/>
    <w:rsid w:val="003E1308"/>
    <w:rsid w:val="003E5E9B"/>
    <w:rsid w:val="003E63A6"/>
    <w:rsid w:val="003E6F16"/>
    <w:rsid w:val="003F01DB"/>
    <w:rsid w:val="003F2CDC"/>
    <w:rsid w:val="003F4FCA"/>
    <w:rsid w:val="003F65C1"/>
    <w:rsid w:val="003F7870"/>
    <w:rsid w:val="00400E63"/>
    <w:rsid w:val="004052BC"/>
    <w:rsid w:val="00406BC2"/>
    <w:rsid w:val="00411677"/>
    <w:rsid w:val="004121E7"/>
    <w:rsid w:val="0041716F"/>
    <w:rsid w:val="004229C0"/>
    <w:rsid w:val="0043208C"/>
    <w:rsid w:val="00432E5B"/>
    <w:rsid w:val="00433469"/>
    <w:rsid w:val="004340C3"/>
    <w:rsid w:val="0043663F"/>
    <w:rsid w:val="00436FC7"/>
    <w:rsid w:val="004435A1"/>
    <w:rsid w:val="00444101"/>
    <w:rsid w:val="00447FA3"/>
    <w:rsid w:val="0045705F"/>
    <w:rsid w:val="00460F4F"/>
    <w:rsid w:val="00464672"/>
    <w:rsid w:val="00472352"/>
    <w:rsid w:val="004727B0"/>
    <w:rsid w:val="00475EEE"/>
    <w:rsid w:val="0048059A"/>
    <w:rsid w:val="0048198A"/>
    <w:rsid w:val="00481FD7"/>
    <w:rsid w:val="00482F85"/>
    <w:rsid w:val="00483B08"/>
    <w:rsid w:val="00495A9E"/>
    <w:rsid w:val="00496C76"/>
    <w:rsid w:val="004A0098"/>
    <w:rsid w:val="004A11FA"/>
    <w:rsid w:val="004A14CC"/>
    <w:rsid w:val="004A4A82"/>
    <w:rsid w:val="004A63DA"/>
    <w:rsid w:val="004B1883"/>
    <w:rsid w:val="004B717C"/>
    <w:rsid w:val="004C1F06"/>
    <w:rsid w:val="004C2296"/>
    <w:rsid w:val="004C4B8B"/>
    <w:rsid w:val="004C4B95"/>
    <w:rsid w:val="004D235A"/>
    <w:rsid w:val="004D29E6"/>
    <w:rsid w:val="004D4DBB"/>
    <w:rsid w:val="004E19EF"/>
    <w:rsid w:val="004E50A8"/>
    <w:rsid w:val="004E6DD9"/>
    <w:rsid w:val="004F11C8"/>
    <w:rsid w:val="004F235E"/>
    <w:rsid w:val="004F3B79"/>
    <w:rsid w:val="00501765"/>
    <w:rsid w:val="0050358B"/>
    <w:rsid w:val="0050473E"/>
    <w:rsid w:val="00504F65"/>
    <w:rsid w:val="00513DD4"/>
    <w:rsid w:val="0051428D"/>
    <w:rsid w:val="005149F1"/>
    <w:rsid w:val="005205FD"/>
    <w:rsid w:val="005323AC"/>
    <w:rsid w:val="00540DF1"/>
    <w:rsid w:val="0054150D"/>
    <w:rsid w:val="00552A0C"/>
    <w:rsid w:val="005624E2"/>
    <w:rsid w:val="00567C36"/>
    <w:rsid w:val="00581808"/>
    <w:rsid w:val="00581AF6"/>
    <w:rsid w:val="00582732"/>
    <w:rsid w:val="0058514C"/>
    <w:rsid w:val="005915F7"/>
    <w:rsid w:val="00593DBC"/>
    <w:rsid w:val="005A7A2F"/>
    <w:rsid w:val="005B2DF9"/>
    <w:rsid w:val="005B67EA"/>
    <w:rsid w:val="005C2813"/>
    <w:rsid w:val="005C2DDB"/>
    <w:rsid w:val="005C38CF"/>
    <w:rsid w:val="005C6C98"/>
    <w:rsid w:val="005D13E6"/>
    <w:rsid w:val="005D5DD3"/>
    <w:rsid w:val="005E0AF9"/>
    <w:rsid w:val="005E72EA"/>
    <w:rsid w:val="005F0633"/>
    <w:rsid w:val="005F29D7"/>
    <w:rsid w:val="005F66FA"/>
    <w:rsid w:val="0060130F"/>
    <w:rsid w:val="00605F27"/>
    <w:rsid w:val="00607930"/>
    <w:rsid w:val="00611A0C"/>
    <w:rsid w:val="006210CD"/>
    <w:rsid w:val="00622CE5"/>
    <w:rsid w:val="00623DBC"/>
    <w:rsid w:val="006303CA"/>
    <w:rsid w:val="00634C11"/>
    <w:rsid w:val="006506D6"/>
    <w:rsid w:val="00656BDF"/>
    <w:rsid w:val="00657EBB"/>
    <w:rsid w:val="00663D4C"/>
    <w:rsid w:val="00667B7B"/>
    <w:rsid w:val="00670495"/>
    <w:rsid w:val="00672D39"/>
    <w:rsid w:val="006751F9"/>
    <w:rsid w:val="00681DB5"/>
    <w:rsid w:val="00685D32"/>
    <w:rsid w:val="006878A8"/>
    <w:rsid w:val="0069179C"/>
    <w:rsid w:val="006A02BE"/>
    <w:rsid w:val="006A506F"/>
    <w:rsid w:val="006A77DA"/>
    <w:rsid w:val="006A7DBF"/>
    <w:rsid w:val="006B3578"/>
    <w:rsid w:val="006E05B7"/>
    <w:rsid w:val="006E1D97"/>
    <w:rsid w:val="006E30BE"/>
    <w:rsid w:val="006F2CFC"/>
    <w:rsid w:val="0070289B"/>
    <w:rsid w:val="00703044"/>
    <w:rsid w:val="00705C9E"/>
    <w:rsid w:val="007112B6"/>
    <w:rsid w:val="00714FAB"/>
    <w:rsid w:val="007173DC"/>
    <w:rsid w:val="007225CD"/>
    <w:rsid w:val="00723279"/>
    <w:rsid w:val="00726FD4"/>
    <w:rsid w:val="00733C2C"/>
    <w:rsid w:val="00750B5D"/>
    <w:rsid w:val="0077146E"/>
    <w:rsid w:val="00775F0A"/>
    <w:rsid w:val="0077640E"/>
    <w:rsid w:val="00785B96"/>
    <w:rsid w:val="00793ECC"/>
    <w:rsid w:val="007A0A6F"/>
    <w:rsid w:val="007A1EC9"/>
    <w:rsid w:val="007A6993"/>
    <w:rsid w:val="007B614A"/>
    <w:rsid w:val="007B790A"/>
    <w:rsid w:val="007C0F16"/>
    <w:rsid w:val="007C3FB2"/>
    <w:rsid w:val="007C6261"/>
    <w:rsid w:val="007E6799"/>
    <w:rsid w:val="007F1B72"/>
    <w:rsid w:val="007F720F"/>
    <w:rsid w:val="008078BD"/>
    <w:rsid w:val="0081344D"/>
    <w:rsid w:val="00813EF5"/>
    <w:rsid w:val="008160D8"/>
    <w:rsid w:val="00830075"/>
    <w:rsid w:val="00842676"/>
    <w:rsid w:val="00844418"/>
    <w:rsid w:val="00845297"/>
    <w:rsid w:val="0085161F"/>
    <w:rsid w:val="00857AEF"/>
    <w:rsid w:val="00860864"/>
    <w:rsid w:val="00862637"/>
    <w:rsid w:val="0087601C"/>
    <w:rsid w:val="00891CDD"/>
    <w:rsid w:val="008976ED"/>
    <w:rsid w:val="008978CD"/>
    <w:rsid w:val="008A1642"/>
    <w:rsid w:val="008C075D"/>
    <w:rsid w:val="008C585D"/>
    <w:rsid w:val="008D06DD"/>
    <w:rsid w:val="008D150B"/>
    <w:rsid w:val="008D4197"/>
    <w:rsid w:val="008D6205"/>
    <w:rsid w:val="008E2AFF"/>
    <w:rsid w:val="008E46A6"/>
    <w:rsid w:val="008F0DB4"/>
    <w:rsid w:val="008F58BD"/>
    <w:rsid w:val="008F7DA9"/>
    <w:rsid w:val="00903B0D"/>
    <w:rsid w:val="0090605A"/>
    <w:rsid w:val="009079B7"/>
    <w:rsid w:val="0091426D"/>
    <w:rsid w:val="009206B5"/>
    <w:rsid w:val="00923E09"/>
    <w:rsid w:val="009405BB"/>
    <w:rsid w:val="00942459"/>
    <w:rsid w:val="00943051"/>
    <w:rsid w:val="009439B6"/>
    <w:rsid w:val="00944FCF"/>
    <w:rsid w:val="009523BA"/>
    <w:rsid w:val="00962EF7"/>
    <w:rsid w:val="00964C07"/>
    <w:rsid w:val="00966749"/>
    <w:rsid w:val="009716D7"/>
    <w:rsid w:val="00972680"/>
    <w:rsid w:val="00973207"/>
    <w:rsid w:val="00975B42"/>
    <w:rsid w:val="00976200"/>
    <w:rsid w:val="00976F84"/>
    <w:rsid w:val="00977DFD"/>
    <w:rsid w:val="00982126"/>
    <w:rsid w:val="0098445A"/>
    <w:rsid w:val="00984FE2"/>
    <w:rsid w:val="00986B02"/>
    <w:rsid w:val="009A4927"/>
    <w:rsid w:val="009A6340"/>
    <w:rsid w:val="009B0426"/>
    <w:rsid w:val="009C64CB"/>
    <w:rsid w:val="009C7E73"/>
    <w:rsid w:val="009D5877"/>
    <w:rsid w:val="009D661D"/>
    <w:rsid w:val="009E09E7"/>
    <w:rsid w:val="009E1AD3"/>
    <w:rsid w:val="009E6024"/>
    <w:rsid w:val="009F766C"/>
    <w:rsid w:val="00A01905"/>
    <w:rsid w:val="00A114D0"/>
    <w:rsid w:val="00A14CEE"/>
    <w:rsid w:val="00A20C8B"/>
    <w:rsid w:val="00A411F5"/>
    <w:rsid w:val="00A45781"/>
    <w:rsid w:val="00A64B07"/>
    <w:rsid w:val="00A651D2"/>
    <w:rsid w:val="00A723DA"/>
    <w:rsid w:val="00A736E0"/>
    <w:rsid w:val="00A75702"/>
    <w:rsid w:val="00A75E96"/>
    <w:rsid w:val="00A773CB"/>
    <w:rsid w:val="00A800C9"/>
    <w:rsid w:val="00A809E0"/>
    <w:rsid w:val="00A82530"/>
    <w:rsid w:val="00A8782F"/>
    <w:rsid w:val="00A90B23"/>
    <w:rsid w:val="00A94635"/>
    <w:rsid w:val="00A95088"/>
    <w:rsid w:val="00AA2C85"/>
    <w:rsid w:val="00AA65E5"/>
    <w:rsid w:val="00AA70A2"/>
    <w:rsid w:val="00AC7810"/>
    <w:rsid w:val="00AD12E5"/>
    <w:rsid w:val="00AD174D"/>
    <w:rsid w:val="00AD19DE"/>
    <w:rsid w:val="00AD7235"/>
    <w:rsid w:val="00AE2CB7"/>
    <w:rsid w:val="00AE47FE"/>
    <w:rsid w:val="00AE4E56"/>
    <w:rsid w:val="00AE6C3E"/>
    <w:rsid w:val="00AE71CE"/>
    <w:rsid w:val="00AF0276"/>
    <w:rsid w:val="00AF2B39"/>
    <w:rsid w:val="00B128C9"/>
    <w:rsid w:val="00B129B8"/>
    <w:rsid w:val="00B1644D"/>
    <w:rsid w:val="00B17B1C"/>
    <w:rsid w:val="00B558D7"/>
    <w:rsid w:val="00B74BF6"/>
    <w:rsid w:val="00B80327"/>
    <w:rsid w:val="00B83D49"/>
    <w:rsid w:val="00B84247"/>
    <w:rsid w:val="00B8587E"/>
    <w:rsid w:val="00B94CCC"/>
    <w:rsid w:val="00B97835"/>
    <w:rsid w:val="00BA1549"/>
    <w:rsid w:val="00BA4F12"/>
    <w:rsid w:val="00BA75A5"/>
    <w:rsid w:val="00BB10C3"/>
    <w:rsid w:val="00BB23D6"/>
    <w:rsid w:val="00BB32A3"/>
    <w:rsid w:val="00BD1348"/>
    <w:rsid w:val="00BD7F30"/>
    <w:rsid w:val="00BE08C5"/>
    <w:rsid w:val="00BE69E3"/>
    <w:rsid w:val="00BF1502"/>
    <w:rsid w:val="00BF396A"/>
    <w:rsid w:val="00BF58E7"/>
    <w:rsid w:val="00C03C54"/>
    <w:rsid w:val="00C049F0"/>
    <w:rsid w:val="00C15154"/>
    <w:rsid w:val="00C1529A"/>
    <w:rsid w:val="00C15659"/>
    <w:rsid w:val="00C15BA2"/>
    <w:rsid w:val="00C200CE"/>
    <w:rsid w:val="00C20336"/>
    <w:rsid w:val="00C252C1"/>
    <w:rsid w:val="00C32BD4"/>
    <w:rsid w:val="00C33787"/>
    <w:rsid w:val="00C41BC2"/>
    <w:rsid w:val="00C41E4C"/>
    <w:rsid w:val="00C425C7"/>
    <w:rsid w:val="00C4692F"/>
    <w:rsid w:val="00C60C20"/>
    <w:rsid w:val="00C67087"/>
    <w:rsid w:val="00C70669"/>
    <w:rsid w:val="00C70D97"/>
    <w:rsid w:val="00C8301F"/>
    <w:rsid w:val="00C91C4E"/>
    <w:rsid w:val="00C94050"/>
    <w:rsid w:val="00C95024"/>
    <w:rsid w:val="00C96699"/>
    <w:rsid w:val="00CA30BC"/>
    <w:rsid w:val="00CA577A"/>
    <w:rsid w:val="00CA6524"/>
    <w:rsid w:val="00CB4DB5"/>
    <w:rsid w:val="00CB776C"/>
    <w:rsid w:val="00CC4E03"/>
    <w:rsid w:val="00CC767F"/>
    <w:rsid w:val="00CD4080"/>
    <w:rsid w:val="00CD7789"/>
    <w:rsid w:val="00CE5E06"/>
    <w:rsid w:val="00CE6E39"/>
    <w:rsid w:val="00D04DA2"/>
    <w:rsid w:val="00D069C9"/>
    <w:rsid w:val="00D06E01"/>
    <w:rsid w:val="00D11EB7"/>
    <w:rsid w:val="00D1262D"/>
    <w:rsid w:val="00D13675"/>
    <w:rsid w:val="00D149E3"/>
    <w:rsid w:val="00D15C3A"/>
    <w:rsid w:val="00D23784"/>
    <w:rsid w:val="00D27DD1"/>
    <w:rsid w:val="00D32CF1"/>
    <w:rsid w:val="00D33515"/>
    <w:rsid w:val="00D459C4"/>
    <w:rsid w:val="00D531E2"/>
    <w:rsid w:val="00D5541A"/>
    <w:rsid w:val="00D61655"/>
    <w:rsid w:val="00D624B7"/>
    <w:rsid w:val="00D73615"/>
    <w:rsid w:val="00D748EE"/>
    <w:rsid w:val="00D8218F"/>
    <w:rsid w:val="00D82F88"/>
    <w:rsid w:val="00D860EA"/>
    <w:rsid w:val="00D91C13"/>
    <w:rsid w:val="00D9392F"/>
    <w:rsid w:val="00DA0246"/>
    <w:rsid w:val="00DA1065"/>
    <w:rsid w:val="00DA1D7D"/>
    <w:rsid w:val="00DA4842"/>
    <w:rsid w:val="00DB1251"/>
    <w:rsid w:val="00DB306E"/>
    <w:rsid w:val="00DC122C"/>
    <w:rsid w:val="00DC2337"/>
    <w:rsid w:val="00DD3062"/>
    <w:rsid w:val="00DD325C"/>
    <w:rsid w:val="00DD38FA"/>
    <w:rsid w:val="00DD68E6"/>
    <w:rsid w:val="00DE3294"/>
    <w:rsid w:val="00DF0594"/>
    <w:rsid w:val="00DF4F5C"/>
    <w:rsid w:val="00DF68D5"/>
    <w:rsid w:val="00DF7417"/>
    <w:rsid w:val="00E04A95"/>
    <w:rsid w:val="00E11482"/>
    <w:rsid w:val="00E1513B"/>
    <w:rsid w:val="00E2059B"/>
    <w:rsid w:val="00E31FDD"/>
    <w:rsid w:val="00E41083"/>
    <w:rsid w:val="00E43609"/>
    <w:rsid w:val="00E44612"/>
    <w:rsid w:val="00E46829"/>
    <w:rsid w:val="00E540DB"/>
    <w:rsid w:val="00E600EC"/>
    <w:rsid w:val="00E62692"/>
    <w:rsid w:val="00E630FA"/>
    <w:rsid w:val="00E6444A"/>
    <w:rsid w:val="00E64D40"/>
    <w:rsid w:val="00E76778"/>
    <w:rsid w:val="00E7748D"/>
    <w:rsid w:val="00E776FA"/>
    <w:rsid w:val="00E8016F"/>
    <w:rsid w:val="00E81599"/>
    <w:rsid w:val="00E93E22"/>
    <w:rsid w:val="00EA2476"/>
    <w:rsid w:val="00EB08CC"/>
    <w:rsid w:val="00EC0B87"/>
    <w:rsid w:val="00EC0C6A"/>
    <w:rsid w:val="00EC5AAE"/>
    <w:rsid w:val="00EC69B2"/>
    <w:rsid w:val="00ED0650"/>
    <w:rsid w:val="00ED25F4"/>
    <w:rsid w:val="00ED2F0B"/>
    <w:rsid w:val="00ED355B"/>
    <w:rsid w:val="00ED4403"/>
    <w:rsid w:val="00ED6546"/>
    <w:rsid w:val="00EE6072"/>
    <w:rsid w:val="00EE7715"/>
    <w:rsid w:val="00F020AC"/>
    <w:rsid w:val="00F12D61"/>
    <w:rsid w:val="00F13FFC"/>
    <w:rsid w:val="00F151F6"/>
    <w:rsid w:val="00F219B1"/>
    <w:rsid w:val="00F26FA5"/>
    <w:rsid w:val="00F3279C"/>
    <w:rsid w:val="00F34814"/>
    <w:rsid w:val="00F361D6"/>
    <w:rsid w:val="00F37671"/>
    <w:rsid w:val="00F406AB"/>
    <w:rsid w:val="00F60872"/>
    <w:rsid w:val="00F63C7E"/>
    <w:rsid w:val="00F65F38"/>
    <w:rsid w:val="00F72821"/>
    <w:rsid w:val="00F745FC"/>
    <w:rsid w:val="00F767DD"/>
    <w:rsid w:val="00F7756E"/>
    <w:rsid w:val="00F84DFF"/>
    <w:rsid w:val="00F972A8"/>
    <w:rsid w:val="00F973F6"/>
    <w:rsid w:val="00F97F50"/>
    <w:rsid w:val="00FA07BA"/>
    <w:rsid w:val="00FA293D"/>
    <w:rsid w:val="00FC2763"/>
    <w:rsid w:val="00FC5BB9"/>
    <w:rsid w:val="00FC7FB1"/>
    <w:rsid w:val="00FD1066"/>
    <w:rsid w:val="00FD5A52"/>
    <w:rsid w:val="00FD5FBA"/>
    <w:rsid w:val="00FE4BBF"/>
    <w:rsid w:val="00FE5873"/>
    <w:rsid w:val="00FE7E55"/>
    <w:rsid w:val="00FF5F0D"/>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7D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93ECC"/>
    <w:pPr>
      <w:spacing w:after="0" w:line="240" w:lineRule="auto"/>
    </w:pPr>
    <w:rPr>
      <w:rFonts w:ascii="Times New Roman" w:eastAsia="Times New Roman" w:hAnsi="Times New Roman" w:cs="Times New Roman"/>
      <w:sz w:val="24"/>
      <w:szCs w:val="24"/>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7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next w:val="TableGrid"/>
    <w:uiPriority w:val="39"/>
    <w:rsid w:val="00387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5659"/>
    <w:pPr>
      <w:tabs>
        <w:tab w:val="center" w:pos="4252"/>
        <w:tab w:val="right" w:pos="8504"/>
      </w:tabs>
    </w:pPr>
  </w:style>
  <w:style w:type="character" w:customStyle="1" w:styleId="HeaderChar">
    <w:name w:val="Header Char"/>
    <w:basedOn w:val="DefaultParagraphFont"/>
    <w:link w:val="Header"/>
    <w:uiPriority w:val="99"/>
    <w:rsid w:val="00C15659"/>
    <w:rPr>
      <w:rFonts w:ascii="Times New Roman" w:eastAsia="Times New Roman" w:hAnsi="Times New Roman" w:cs="Times New Roman"/>
      <w:sz w:val="24"/>
      <w:szCs w:val="24"/>
      <w:lang w:val="it-IT" w:eastAsia="it-IT"/>
    </w:rPr>
  </w:style>
  <w:style w:type="paragraph" w:styleId="Footer">
    <w:name w:val="footer"/>
    <w:basedOn w:val="Normal"/>
    <w:link w:val="FooterChar"/>
    <w:uiPriority w:val="99"/>
    <w:unhideWhenUsed/>
    <w:rsid w:val="00C15659"/>
    <w:pPr>
      <w:tabs>
        <w:tab w:val="center" w:pos="4252"/>
        <w:tab w:val="right" w:pos="8504"/>
      </w:tabs>
    </w:pPr>
  </w:style>
  <w:style w:type="character" w:customStyle="1" w:styleId="FooterChar">
    <w:name w:val="Footer Char"/>
    <w:basedOn w:val="DefaultParagraphFont"/>
    <w:link w:val="Footer"/>
    <w:uiPriority w:val="99"/>
    <w:rsid w:val="00C15659"/>
    <w:rPr>
      <w:rFonts w:ascii="Times New Roman" w:eastAsia="Times New Roman" w:hAnsi="Times New Roman" w:cs="Times New Roman"/>
      <w:sz w:val="24"/>
      <w:szCs w:val="24"/>
      <w:lang w:val="it-IT" w:eastAsia="it-IT"/>
    </w:rPr>
  </w:style>
  <w:style w:type="character" w:styleId="CommentReference">
    <w:name w:val="annotation reference"/>
    <w:basedOn w:val="DefaultParagraphFont"/>
    <w:uiPriority w:val="99"/>
    <w:semiHidden/>
    <w:unhideWhenUsed/>
    <w:rsid w:val="001118D0"/>
    <w:rPr>
      <w:sz w:val="16"/>
      <w:szCs w:val="16"/>
    </w:rPr>
  </w:style>
  <w:style w:type="paragraph" w:styleId="CommentText">
    <w:name w:val="annotation text"/>
    <w:basedOn w:val="Normal"/>
    <w:link w:val="CommentTextChar"/>
    <w:uiPriority w:val="99"/>
    <w:semiHidden/>
    <w:unhideWhenUsed/>
    <w:rsid w:val="001118D0"/>
    <w:rPr>
      <w:sz w:val="20"/>
      <w:szCs w:val="20"/>
    </w:rPr>
  </w:style>
  <w:style w:type="character" w:customStyle="1" w:styleId="CommentTextChar">
    <w:name w:val="Comment Text Char"/>
    <w:basedOn w:val="DefaultParagraphFont"/>
    <w:link w:val="CommentText"/>
    <w:uiPriority w:val="99"/>
    <w:semiHidden/>
    <w:rsid w:val="001118D0"/>
    <w:rPr>
      <w:rFonts w:ascii="Times New Roman" w:eastAsia="Times New Roman" w:hAnsi="Times New Roman" w:cs="Times New Roman"/>
      <w:sz w:val="20"/>
      <w:szCs w:val="20"/>
      <w:lang w:val="it-IT" w:eastAsia="it-IT"/>
    </w:rPr>
  </w:style>
  <w:style w:type="paragraph" w:styleId="CommentSubject">
    <w:name w:val="annotation subject"/>
    <w:basedOn w:val="CommentText"/>
    <w:next w:val="CommentText"/>
    <w:link w:val="CommentSubjectChar"/>
    <w:uiPriority w:val="99"/>
    <w:semiHidden/>
    <w:unhideWhenUsed/>
    <w:rsid w:val="001118D0"/>
    <w:rPr>
      <w:b/>
      <w:bCs/>
    </w:rPr>
  </w:style>
  <w:style w:type="character" w:customStyle="1" w:styleId="CommentSubjectChar">
    <w:name w:val="Comment Subject Char"/>
    <w:basedOn w:val="CommentTextChar"/>
    <w:link w:val="CommentSubject"/>
    <w:uiPriority w:val="99"/>
    <w:semiHidden/>
    <w:rsid w:val="001118D0"/>
    <w:rPr>
      <w:rFonts w:ascii="Times New Roman" w:eastAsia="Times New Roman" w:hAnsi="Times New Roman" w:cs="Times New Roman"/>
      <w:b/>
      <w:bCs/>
      <w:sz w:val="20"/>
      <w:szCs w:val="20"/>
      <w:lang w:val="it-IT" w:eastAsia="it-IT"/>
    </w:rPr>
  </w:style>
  <w:style w:type="paragraph" w:styleId="BalloonText">
    <w:name w:val="Balloon Text"/>
    <w:basedOn w:val="Normal"/>
    <w:link w:val="BalloonTextChar"/>
    <w:uiPriority w:val="99"/>
    <w:semiHidden/>
    <w:unhideWhenUsed/>
    <w:rsid w:val="001118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8D0"/>
    <w:rPr>
      <w:rFonts w:ascii="Segoe UI" w:eastAsia="Times New Roman" w:hAnsi="Segoe UI" w:cs="Segoe UI"/>
      <w:sz w:val="18"/>
      <w:szCs w:val="18"/>
      <w:lang w:val="it-IT" w:eastAsia="it-IT"/>
    </w:rPr>
  </w:style>
  <w:style w:type="character" w:styleId="Hyperlink">
    <w:name w:val="Hyperlink"/>
    <w:basedOn w:val="DefaultParagraphFont"/>
    <w:uiPriority w:val="99"/>
    <w:unhideWhenUsed/>
    <w:rsid w:val="002D2A5E"/>
    <w:rPr>
      <w:color w:val="0563C1" w:themeColor="hyperlink"/>
      <w:u w:val="single"/>
    </w:rPr>
  </w:style>
  <w:style w:type="character" w:styleId="FollowedHyperlink">
    <w:name w:val="FollowedHyperlink"/>
    <w:basedOn w:val="DefaultParagraphFont"/>
    <w:uiPriority w:val="99"/>
    <w:semiHidden/>
    <w:unhideWhenUsed/>
    <w:rsid w:val="00075E5D"/>
    <w:rPr>
      <w:color w:val="954F72" w:themeColor="followedHyperlink"/>
      <w:u w:val="single"/>
    </w:rPr>
  </w:style>
  <w:style w:type="paragraph" w:styleId="ListParagraph">
    <w:name w:val="List Paragraph"/>
    <w:basedOn w:val="Normal"/>
    <w:uiPriority w:val="34"/>
    <w:qFormat/>
    <w:rsid w:val="00793ECC"/>
    <w:pPr>
      <w:ind w:left="720"/>
      <w:contextualSpacing/>
    </w:pPr>
  </w:style>
  <w:style w:type="paragraph" w:styleId="FootnoteText">
    <w:name w:val="footnote text"/>
    <w:basedOn w:val="Normal"/>
    <w:link w:val="FootnoteTextChar"/>
    <w:uiPriority w:val="99"/>
    <w:semiHidden/>
    <w:unhideWhenUsed/>
    <w:rsid w:val="00292E5E"/>
    <w:rPr>
      <w:sz w:val="20"/>
      <w:szCs w:val="20"/>
    </w:rPr>
  </w:style>
  <w:style w:type="character" w:customStyle="1" w:styleId="FootnoteTextChar">
    <w:name w:val="Footnote Text Char"/>
    <w:basedOn w:val="DefaultParagraphFont"/>
    <w:link w:val="FootnoteText"/>
    <w:uiPriority w:val="99"/>
    <w:semiHidden/>
    <w:rsid w:val="00292E5E"/>
    <w:rPr>
      <w:rFonts w:ascii="Times New Roman" w:eastAsia="Times New Roman" w:hAnsi="Times New Roman" w:cs="Times New Roman"/>
      <w:sz w:val="20"/>
      <w:szCs w:val="20"/>
      <w:lang w:val="it-IT" w:eastAsia="it-IT"/>
    </w:rPr>
  </w:style>
  <w:style w:type="character" w:styleId="FootnoteReference">
    <w:name w:val="footnote reference"/>
    <w:basedOn w:val="DefaultParagraphFont"/>
    <w:uiPriority w:val="99"/>
    <w:semiHidden/>
    <w:unhideWhenUsed/>
    <w:rsid w:val="00292E5E"/>
    <w:rPr>
      <w:vertAlign w:val="superscript"/>
    </w:rPr>
  </w:style>
  <w:style w:type="character" w:styleId="LineNumber">
    <w:name w:val="line number"/>
    <w:basedOn w:val="DefaultParagraphFont"/>
    <w:uiPriority w:val="99"/>
    <w:semiHidden/>
    <w:unhideWhenUsed/>
    <w:rsid w:val="00DF4F5C"/>
  </w:style>
  <w:style w:type="table" w:customStyle="1" w:styleId="Tablaconcuadrcula11">
    <w:name w:val="Tabla con cuadrícula11"/>
    <w:basedOn w:val="TableNormal"/>
    <w:next w:val="TableGrid"/>
    <w:uiPriority w:val="39"/>
    <w:rsid w:val="00E6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62C2C-8CEC-4B14-95F8-E4FD6C33C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22600</Words>
  <Characters>128823</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2020-05-12T20:30:00Z</dcterms:created>
  <dcterms:modified xsi:type="dcterms:W3CDTF">2020-05-12T20:30:00Z</dcterms:modified>
</cp:coreProperties>
</file>