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106CC" w14:textId="45314B14" w:rsidR="00FC0DDC" w:rsidRPr="00C66D3F" w:rsidRDefault="002952CF" w:rsidP="00C66D3F">
      <w:pPr>
        <w:pStyle w:val="Title"/>
      </w:pPr>
      <w:r w:rsidRPr="00C66D3F">
        <w:t xml:space="preserve">The </w:t>
      </w:r>
      <w:r w:rsidR="004E35BC" w:rsidRPr="00C66D3F">
        <w:t>Association</w:t>
      </w:r>
      <w:r w:rsidRPr="00C66D3F">
        <w:t xml:space="preserve"> Between Fear </w:t>
      </w:r>
      <w:r w:rsidR="00435260" w:rsidRPr="00C66D3F">
        <w:t>o</w:t>
      </w:r>
      <w:r w:rsidRPr="00C66D3F">
        <w:t>f Falli</w:t>
      </w:r>
      <w:r w:rsidR="00487155" w:rsidRPr="00C66D3F">
        <w:t xml:space="preserve">ng </w:t>
      </w:r>
      <w:r w:rsidR="00435260" w:rsidRPr="00C66D3F">
        <w:t>a</w:t>
      </w:r>
      <w:r w:rsidR="00487155" w:rsidRPr="00C66D3F">
        <w:t>nd Orthostatic Hypotension i</w:t>
      </w:r>
      <w:r w:rsidRPr="00C66D3F">
        <w:t>n Older Adults</w:t>
      </w:r>
    </w:p>
    <w:p w14:paraId="1609FA61" w14:textId="77777777" w:rsidR="001B3064" w:rsidRPr="00F85073" w:rsidRDefault="001B3064" w:rsidP="002952CF">
      <w:pPr>
        <w:spacing w:line="360" w:lineRule="auto"/>
        <w:jc w:val="center"/>
        <w:rPr>
          <w:b/>
          <w:sz w:val="22"/>
          <w:szCs w:val="22"/>
        </w:rPr>
      </w:pPr>
    </w:p>
    <w:p w14:paraId="7958B414" w14:textId="6A031D52" w:rsidR="001B3064" w:rsidRPr="00F85073" w:rsidRDefault="00532AE5" w:rsidP="002952CF">
      <w:pPr>
        <w:spacing w:line="360" w:lineRule="auto"/>
        <w:jc w:val="center"/>
        <w:rPr>
          <w:sz w:val="22"/>
          <w:szCs w:val="22"/>
        </w:rPr>
      </w:pPr>
      <w:r w:rsidRPr="00F85073">
        <w:rPr>
          <w:sz w:val="22"/>
          <w:szCs w:val="22"/>
        </w:rPr>
        <w:t>Ferhat Arik</w:t>
      </w:r>
      <w:r w:rsidR="002D4C76" w:rsidRPr="00F85073">
        <w:rPr>
          <w:sz w:val="22"/>
          <w:szCs w:val="22"/>
          <w:vertAlign w:val="superscript"/>
        </w:rPr>
        <w:t>a</w:t>
      </w:r>
      <w:r w:rsidRPr="00F85073">
        <w:rPr>
          <w:sz w:val="22"/>
          <w:szCs w:val="22"/>
        </w:rPr>
        <w:t xml:space="preserve">, </w:t>
      </w:r>
      <w:r w:rsidR="001B3064" w:rsidRPr="00F85073">
        <w:rPr>
          <w:sz w:val="22"/>
          <w:szCs w:val="22"/>
        </w:rPr>
        <w:t>Pinar Soysal</w:t>
      </w:r>
      <w:r w:rsidR="001B3064" w:rsidRPr="00F85073">
        <w:rPr>
          <w:sz w:val="22"/>
          <w:szCs w:val="22"/>
          <w:vertAlign w:val="superscript"/>
        </w:rPr>
        <w:t>b</w:t>
      </w:r>
      <w:r w:rsidRPr="00F85073">
        <w:rPr>
          <w:sz w:val="22"/>
          <w:szCs w:val="22"/>
        </w:rPr>
        <w:t>, Emre Capar</w:t>
      </w:r>
      <w:r w:rsidR="002D4C76" w:rsidRPr="00F85073">
        <w:rPr>
          <w:sz w:val="22"/>
          <w:szCs w:val="22"/>
          <w:vertAlign w:val="superscript"/>
        </w:rPr>
        <w:t>c</w:t>
      </w:r>
      <w:r w:rsidRPr="00F85073">
        <w:rPr>
          <w:sz w:val="22"/>
          <w:szCs w:val="22"/>
        </w:rPr>
        <w:t xml:space="preserve">, </w:t>
      </w:r>
      <w:r w:rsidR="001B3064" w:rsidRPr="00F85073">
        <w:rPr>
          <w:sz w:val="22"/>
          <w:szCs w:val="22"/>
          <w:vertAlign w:val="superscript"/>
        </w:rPr>
        <w:t xml:space="preserve">, </w:t>
      </w:r>
      <w:r w:rsidR="001B3064" w:rsidRPr="00F85073">
        <w:rPr>
          <w:sz w:val="22"/>
          <w:szCs w:val="22"/>
        </w:rPr>
        <w:t>Ugur Kalan</w:t>
      </w:r>
      <w:r w:rsidR="001B3064" w:rsidRPr="00F85073">
        <w:rPr>
          <w:sz w:val="22"/>
          <w:szCs w:val="22"/>
          <w:vertAlign w:val="superscript"/>
        </w:rPr>
        <w:t>d</w:t>
      </w:r>
    </w:p>
    <w:p w14:paraId="1BEE7BC1" w14:textId="5B014DAA" w:rsidR="00532AE5" w:rsidRPr="00F85073" w:rsidRDefault="00532AE5" w:rsidP="002952CF">
      <w:pPr>
        <w:spacing w:line="360" w:lineRule="auto"/>
        <w:jc w:val="center"/>
        <w:rPr>
          <w:sz w:val="22"/>
          <w:szCs w:val="22"/>
          <w:vertAlign w:val="superscript"/>
        </w:rPr>
      </w:pPr>
      <w:r w:rsidRPr="00F85073">
        <w:rPr>
          <w:sz w:val="22"/>
          <w:szCs w:val="22"/>
        </w:rPr>
        <w:t>Lee Smith</w:t>
      </w:r>
      <w:r w:rsidR="002D4C76" w:rsidRPr="00F85073">
        <w:rPr>
          <w:sz w:val="22"/>
          <w:szCs w:val="22"/>
          <w:vertAlign w:val="superscript"/>
        </w:rPr>
        <w:t>e</w:t>
      </w:r>
      <w:r w:rsidRPr="00F85073">
        <w:rPr>
          <w:sz w:val="22"/>
          <w:szCs w:val="22"/>
        </w:rPr>
        <w:t xml:space="preserve">, </w:t>
      </w:r>
      <w:r w:rsidR="007364A2" w:rsidRPr="00F85073">
        <w:rPr>
          <w:sz w:val="22"/>
          <w:szCs w:val="22"/>
        </w:rPr>
        <w:t>Mike Trott</w:t>
      </w:r>
      <w:r w:rsidR="002D4C76" w:rsidRPr="00F85073">
        <w:rPr>
          <w:sz w:val="22"/>
          <w:szCs w:val="22"/>
          <w:vertAlign w:val="superscript"/>
        </w:rPr>
        <w:t>f</w:t>
      </w:r>
      <w:r w:rsidR="007364A2" w:rsidRPr="00F85073">
        <w:rPr>
          <w:sz w:val="22"/>
          <w:szCs w:val="22"/>
        </w:rPr>
        <w:t xml:space="preserve">, </w:t>
      </w:r>
      <w:r w:rsidRPr="00F85073">
        <w:rPr>
          <w:sz w:val="22"/>
          <w:szCs w:val="22"/>
        </w:rPr>
        <w:t xml:space="preserve"> </w:t>
      </w:r>
      <w:r w:rsidR="001B3064" w:rsidRPr="00F85073">
        <w:rPr>
          <w:sz w:val="22"/>
          <w:szCs w:val="22"/>
        </w:rPr>
        <w:t>Ahmet Turan Isik</w:t>
      </w:r>
      <w:r w:rsidR="002D4C76" w:rsidRPr="00F85073">
        <w:rPr>
          <w:sz w:val="22"/>
          <w:szCs w:val="22"/>
          <w:vertAlign w:val="superscript"/>
        </w:rPr>
        <w:t>g</w:t>
      </w:r>
    </w:p>
    <w:p w14:paraId="40E7C1FE" w14:textId="77777777" w:rsidR="001B3064" w:rsidRPr="00F85073" w:rsidRDefault="001B3064" w:rsidP="002952CF">
      <w:pPr>
        <w:spacing w:line="360" w:lineRule="auto"/>
        <w:jc w:val="center"/>
        <w:rPr>
          <w:sz w:val="22"/>
          <w:szCs w:val="22"/>
          <w:vertAlign w:val="superscript"/>
        </w:rPr>
      </w:pPr>
    </w:p>
    <w:p w14:paraId="73522D91" w14:textId="06BA47D4" w:rsidR="002D4C76" w:rsidRPr="00F85073" w:rsidRDefault="002D4C76" w:rsidP="002D4C76">
      <w:pPr>
        <w:rPr>
          <w:color w:val="000000"/>
          <w:sz w:val="22"/>
          <w:szCs w:val="22"/>
          <w:shd w:val="clear" w:color="auto" w:fill="FFFFFF"/>
        </w:rPr>
      </w:pPr>
      <w:r w:rsidRPr="00F85073">
        <w:rPr>
          <w:sz w:val="22"/>
          <w:szCs w:val="22"/>
          <w:vertAlign w:val="superscript"/>
        </w:rPr>
        <w:t>a</w:t>
      </w:r>
      <w:r w:rsidR="001A4EE2" w:rsidRPr="00F85073">
        <w:rPr>
          <w:sz w:val="22"/>
          <w:szCs w:val="22"/>
          <w:vertAlign w:val="superscript"/>
        </w:rPr>
        <w:t xml:space="preserve"> </w:t>
      </w:r>
      <w:r w:rsidRPr="00F85073">
        <w:rPr>
          <w:color w:val="000000"/>
          <w:sz w:val="22"/>
          <w:szCs w:val="22"/>
          <w:shd w:val="clear" w:color="auto" w:fill="FFFFFF"/>
        </w:rPr>
        <w:t>Department of Internal Medicine, Tomarza Yasar Karayel State Hospital, Kayseri, Turkey</w:t>
      </w:r>
    </w:p>
    <w:p w14:paraId="1488D205" w14:textId="4E81B388" w:rsidR="001B3064" w:rsidRPr="00F85073" w:rsidRDefault="001B3064" w:rsidP="002D4C76">
      <w:pPr>
        <w:rPr>
          <w:sz w:val="22"/>
          <w:szCs w:val="22"/>
        </w:rPr>
      </w:pPr>
      <w:r w:rsidRPr="00F85073">
        <w:rPr>
          <w:color w:val="000000"/>
          <w:sz w:val="22"/>
          <w:szCs w:val="22"/>
          <w:vertAlign w:val="superscript"/>
        </w:rPr>
        <w:t xml:space="preserve">b </w:t>
      </w:r>
      <w:r w:rsidRPr="00F85073">
        <w:rPr>
          <w:color w:val="000000"/>
          <w:sz w:val="22"/>
          <w:szCs w:val="22"/>
        </w:rPr>
        <w:t>Department of Geriatric Medicine, Bezmialem Vakif University, Faculty of Medicine, Istanbul, Turkey.</w:t>
      </w:r>
    </w:p>
    <w:p w14:paraId="597DB9E6" w14:textId="1E5E39B3" w:rsidR="001B3064" w:rsidRPr="00F85073" w:rsidRDefault="001B3064" w:rsidP="001B3064">
      <w:pPr>
        <w:rPr>
          <w:color w:val="000000"/>
          <w:sz w:val="22"/>
          <w:szCs w:val="22"/>
        </w:rPr>
      </w:pPr>
      <w:r w:rsidRPr="00F85073">
        <w:rPr>
          <w:sz w:val="22"/>
          <w:szCs w:val="22"/>
          <w:vertAlign w:val="superscript"/>
        </w:rPr>
        <w:t>c</w:t>
      </w:r>
      <w:r w:rsidR="001A4EE2" w:rsidRPr="00F85073">
        <w:rPr>
          <w:sz w:val="22"/>
          <w:szCs w:val="22"/>
          <w:vertAlign w:val="superscript"/>
        </w:rPr>
        <w:t xml:space="preserve"> </w:t>
      </w:r>
      <w:r w:rsidRPr="00F85073">
        <w:rPr>
          <w:color w:val="000000"/>
          <w:sz w:val="22"/>
          <w:szCs w:val="22"/>
        </w:rPr>
        <w:t>Department of Internal Medicine, Marmara University, Istanbul, Turkey</w:t>
      </w:r>
    </w:p>
    <w:p w14:paraId="459C7CF7" w14:textId="7482A644" w:rsidR="002D4C76" w:rsidRPr="00F85073" w:rsidRDefault="001B3064" w:rsidP="002D4C76">
      <w:pPr>
        <w:rPr>
          <w:color w:val="000000"/>
          <w:sz w:val="22"/>
          <w:szCs w:val="22"/>
        </w:rPr>
      </w:pPr>
      <w:r w:rsidRPr="00F85073">
        <w:rPr>
          <w:sz w:val="22"/>
          <w:szCs w:val="22"/>
          <w:vertAlign w:val="superscript"/>
        </w:rPr>
        <w:t>d</w:t>
      </w:r>
      <w:r w:rsidR="002D4C76" w:rsidRPr="00F85073">
        <w:rPr>
          <w:color w:val="000000"/>
          <w:sz w:val="22"/>
          <w:szCs w:val="22"/>
        </w:rPr>
        <w:t>.</w:t>
      </w:r>
      <w:r w:rsidRPr="00F85073">
        <w:rPr>
          <w:color w:val="000000"/>
          <w:sz w:val="22"/>
          <w:szCs w:val="22"/>
        </w:rPr>
        <w:t xml:space="preserve"> Department of Internal Medicine, Ermenek State Hospital, Karaman, Turkey.</w:t>
      </w:r>
      <w:r w:rsidR="002D4C76" w:rsidRPr="00F85073">
        <w:rPr>
          <w:color w:val="000000"/>
          <w:sz w:val="22"/>
          <w:szCs w:val="22"/>
        </w:rPr>
        <w:t>.</w:t>
      </w:r>
    </w:p>
    <w:p w14:paraId="102DBBC5" w14:textId="28AE4AE6" w:rsidR="002D4C76" w:rsidRPr="00F85073" w:rsidRDefault="002D4C76" w:rsidP="002D4C76">
      <w:pPr>
        <w:rPr>
          <w:color w:val="000000"/>
          <w:sz w:val="22"/>
          <w:szCs w:val="22"/>
        </w:rPr>
      </w:pPr>
      <w:r w:rsidRPr="00F85073">
        <w:rPr>
          <w:color w:val="000000"/>
          <w:sz w:val="22"/>
          <w:szCs w:val="22"/>
          <w:vertAlign w:val="superscript"/>
        </w:rPr>
        <w:t>e</w:t>
      </w:r>
      <w:r w:rsidR="001A4EE2" w:rsidRPr="00F85073">
        <w:rPr>
          <w:color w:val="000000"/>
          <w:sz w:val="22"/>
          <w:szCs w:val="22"/>
          <w:vertAlign w:val="superscript"/>
        </w:rPr>
        <w:t xml:space="preserve"> </w:t>
      </w:r>
      <w:r w:rsidRPr="00F85073">
        <w:rPr>
          <w:color w:val="000000"/>
          <w:sz w:val="22"/>
          <w:szCs w:val="22"/>
        </w:rPr>
        <w:t>Cambridge Centre for Sport and Exercise Sciences, Anglia Ruskin University, Cambridge, UK.</w:t>
      </w:r>
    </w:p>
    <w:p w14:paraId="09843D2F" w14:textId="05829079" w:rsidR="00507EE0" w:rsidRPr="00F85073" w:rsidRDefault="00507EE0" w:rsidP="00507EE0">
      <w:pPr>
        <w:rPr>
          <w:sz w:val="22"/>
          <w:szCs w:val="22"/>
        </w:rPr>
      </w:pPr>
      <w:r w:rsidRPr="00F85073">
        <w:rPr>
          <w:color w:val="000000"/>
          <w:sz w:val="22"/>
          <w:szCs w:val="22"/>
          <w:vertAlign w:val="superscript"/>
        </w:rPr>
        <w:t xml:space="preserve">f </w:t>
      </w:r>
      <w:r w:rsidR="001A4EE2" w:rsidRPr="00F85073">
        <w:rPr>
          <w:color w:val="000000"/>
          <w:sz w:val="22"/>
          <w:szCs w:val="22"/>
          <w:vertAlign w:val="superscript"/>
        </w:rPr>
        <w:t xml:space="preserve"> </w:t>
      </w:r>
      <w:r w:rsidRPr="00F85073">
        <w:rPr>
          <w:color w:val="000000"/>
          <w:sz w:val="22"/>
          <w:szCs w:val="22"/>
          <w:shd w:val="clear" w:color="auto" w:fill="FFFFFF"/>
        </w:rPr>
        <w:t>Cambridge Centre for Sport and Exercise Sciences, Anglia Ruskin University, Compass House, Cambridge, CB1 1PT, UK</w:t>
      </w:r>
    </w:p>
    <w:p w14:paraId="69507CD9" w14:textId="29ED3DEA" w:rsidR="002D4C76" w:rsidRPr="00F85073" w:rsidRDefault="001B3064" w:rsidP="002D4C76">
      <w:pPr>
        <w:rPr>
          <w:color w:val="000000"/>
          <w:sz w:val="22"/>
          <w:szCs w:val="22"/>
        </w:rPr>
      </w:pPr>
      <w:r w:rsidRPr="00F85073">
        <w:rPr>
          <w:color w:val="000000"/>
          <w:sz w:val="22"/>
          <w:szCs w:val="22"/>
          <w:vertAlign w:val="superscript"/>
        </w:rPr>
        <w:t>g</w:t>
      </w:r>
      <w:r w:rsidRPr="00F85073">
        <w:rPr>
          <w:color w:val="000000"/>
          <w:sz w:val="22"/>
          <w:szCs w:val="22"/>
        </w:rPr>
        <w:t xml:space="preserve"> Department of Geriatric Medicine, Faculty of Medicine, Dokuz Eylul University, Izmir, Turkey</w:t>
      </w:r>
    </w:p>
    <w:p w14:paraId="0D6CF98D" w14:textId="77777777" w:rsidR="001B3064" w:rsidRPr="00F85073" w:rsidRDefault="001B3064" w:rsidP="002D4C76">
      <w:pPr>
        <w:rPr>
          <w:color w:val="000000"/>
          <w:sz w:val="22"/>
          <w:szCs w:val="22"/>
        </w:rPr>
      </w:pPr>
    </w:p>
    <w:p w14:paraId="15E3D23A" w14:textId="2E7544DC" w:rsidR="001B3064" w:rsidRPr="00F85073" w:rsidRDefault="00507EE0" w:rsidP="00507EE0">
      <w:pPr>
        <w:rPr>
          <w:color w:val="000000"/>
          <w:sz w:val="22"/>
          <w:szCs w:val="22"/>
        </w:rPr>
      </w:pPr>
      <w:r w:rsidRPr="00F85073">
        <w:rPr>
          <w:color w:val="000000"/>
          <w:sz w:val="22"/>
          <w:szCs w:val="22"/>
        </w:rPr>
        <w:t>Correspondig</w:t>
      </w:r>
      <w:r w:rsidRPr="00F85073">
        <w:rPr>
          <w:color w:val="000000"/>
          <w:sz w:val="22"/>
          <w:szCs w:val="22"/>
          <w:vertAlign w:val="superscript"/>
        </w:rPr>
        <w:t xml:space="preserve"> </w:t>
      </w:r>
      <w:r w:rsidR="001B3064" w:rsidRPr="00F85073">
        <w:rPr>
          <w:color w:val="000000"/>
          <w:sz w:val="22"/>
          <w:szCs w:val="22"/>
        </w:rPr>
        <w:t xml:space="preserve">author: </w:t>
      </w:r>
      <w:r w:rsidRPr="00F85073">
        <w:rPr>
          <w:color w:val="000000"/>
          <w:sz w:val="22"/>
          <w:szCs w:val="22"/>
        </w:rPr>
        <w:t xml:space="preserve">Pinar Soysal, </w:t>
      </w:r>
      <w:r w:rsidR="001B3064" w:rsidRPr="00F85073">
        <w:rPr>
          <w:color w:val="000000"/>
          <w:sz w:val="22"/>
          <w:szCs w:val="22"/>
        </w:rPr>
        <w:t>MD</w:t>
      </w:r>
    </w:p>
    <w:p w14:paraId="63DF82C3" w14:textId="77777777" w:rsidR="001B3064" w:rsidRPr="00F85073" w:rsidRDefault="001B3064" w:rsidP="00507EE0">
      <w:pPr>
        <w:rPr>
          <w:color w:val="000000"/>
          <w:sz w:val="22"/>
          <w:szCs w:val="22"/>
        </w:rPr>
      </w:pPr>
    </w:p>
    <w:p w14:paraId="22B581F6" w14:textId="6004AD32" w:rsidR="00507EE0" w:rsidRPr="00F85073" w:rsidRDefault="00507EE0" w:rsidP="00507EE0">
      <w:pPr>
        <w:rPr>
          <w:color w:val="000000"/>
          <w:sz w:val="22"/>
          <w:szCs w:val="22"/>
        </w:rPr>
      </w:pPr>
      <w:r w:rsidRPr="00F85073">
        <w:rPr>
          <w:color w:val="000000"/>
          <w:sz w:val="22"/>
          <w:szCs w:val="22"/>
        </w:rPr>
        <w:t>Department of Geriatric Medicine, Bezmialem Vakif University, Faculty of Medicine, Istanbul, Turkey.</w:t>
      </w:r>
    </w:p>
    <w:p w14:paraId="68A65628" w14:textId="24F9FC7D" w:rsidR="00507EE0" w:rsidRPr="00F85073" w:rsidRDefault="00507EE0" w:rsidP="002D4C76">
      <w:pPr>
        <w:rPr>
          <w:color w:val="000000"/>
          <w:sz w:val="22"/>
          <w:szCs w:val="22"/>
        </w:rPr>
      </w:pPr>
      <w:r w:rsidRPr="00F85073">
        <w:rPr>
          <w:color w:val="000000"/>
          <w:sz w:val="22"/>
          <w:szCs w:val="22"/>
        </w:rPr>
        <w:t>E mail: dr.pinarsoysal@hotmail.com</w:t>
      </w:r>
    </w:p>
    <w:p w14:paraId="270E6512" w14:textId="77777777" w:rsidR="002952CF" w:rsidRPr="00F85073" w:rsidRDefault="002952CF" w:rsidP="00F43EDA">
      <w:pPr>
        <w:spacing w:line="360" w:lineRule="auto"/>
        <w:ind w:left="720" w:hanging="360"/>
        <w:jc w:val="both"/>
        <w:rPr>
          <w:sz w:val="22"/>
          <w:szCs w:val="22"/>
        </w:rPr>
      </w:pPr>
    </w:p>
    <w:p w14:paraId="0F0E7646" w14:textId="77777777" w:rsidR="001B3064" w:rsidRPr="00F85073" w:rsidRDefault="001B3064" w:rsidP="00FC0DDC">
      <w:pPr>
        <w:spacing w:line="360" w:lineRule="auto"/>
        <w:jc w:val="both"/>
        <w:rPr>
          <w:b/>
          <w:bCs/>
          <w:sz w:val="22"/>
          <w:szCs w:val="22"/>
        </w:rPr>
      </w:pPr>
    </w:p>
    <w:p w14:paraId="38DC26CF" w14:textId="77777777" w:rsidR="001B3064" w:rsidRPr="00F85073" w:rsidRDefault="001B3064" w:rsidP="00FC0DDC">
      <w:pPr>
        <w:spacing w:line="360" w:lineRule="auto"/>
        <w:jc w:val="both"/>
        <w:rPr>
          <w:b/>
          <w:bCs/>
          <w:sz w:val="22"/>
          <w:szCs w:val="22"/>
        </w:rPr>
      </w:pPr>
    </w:p>
    <w:p w14:paraId="70C9A2B2" w14:textId="77777777" w:rsidR="001B3064" w:rsidRPr="00F85073" w:rsidRDefault="001B3064" w:rsidP="00FC0DDC">
      <w:pPr>
        <w:spacing w:line="360" w:lineRule="auto"/>
        <w:jc w:val="both"/>
        <w:rPr>
          <w:b/>
          <w:bCs/>
          <w:sz w:val="22"/>
          <w:szCs w:val="22"/>
        </w:rPr>
      </w:pPr>
    </w:p>
    <w:p w14:paraId="02737C28" w14:textId="77777777" w:rsidR="001B3064" w:rsidRPr="00F85073" w:rsidRDefault="001B3064" w:rsidP="00FC0DDC">
      <w:pPr>
        <w:spacing w:line="360" w:lineRule="auto"/>
        <w:jc w:val="both"/>
        <w:rPr>
          <w:b/>
          <w:bCs/>
          <w:sz w:val="22"/>
          <w:szCs w:val="22"/>
        </w:rPr>
      </w:pPr>
    </w:p>
    <w:p w14:paraId="236EB6D1" w14:textId="77777777" w:rsidR="001B3064" w:rsidRPr="00F85073" w:rsidRDefault="001B3064" w:rsidP="00FC0DDC">
      <w:pPr>
        <w:spacing w:line="360" w:lineRule="auto"/>
        <w:jc w:val="both"/>
        <w:rPr>
          <w:b/>
          <w:bCs/>
          <w:sz w:val="22"/>
          <w:szCs w:val="22"/>
        </w:rPr>
      </w:pPr>
    </w:p>
    <w:p w14:paraId="696830D0" w14:textId="77777777" w:rsidR="001B3064" w:rsidRPr="00F85073" w:rsidRDefault="001B3064" w:rsidP="00FC0DDC">
      <w:pPr>
        <w:spacing w:line="360" w:lineRule="auto"/>
        <w:jc w:val="both"/>
        <w:rPr>
          <w:b/>
          <w:bCs/>
          <w:sz w:val="22"/>
          <w:szCs w:val="22"/>
        </w:rPr>
      </w:pPr>
    </w:p>
    <w:p w14:paraId="5D2597F1" w14:textId="77777777" w:rsidR="001B3064" w:rsidRPr="00F85073" w:rsidRDefault="001B3064" w:rsidP="00FC0DDC">
      <w:pPr>
        <w:spacing w:line="360" w:lineRule="auto"/>
        <w:jc w:val="both"/>
        <w:rPr>
          <w:b/>
          <w:bCs/>
          <w:sz w:val="22"/>
          <w:szCs w:val="22"/>
        </w:rPr>
      </w:pPr>
    </w:p>
    <w:p w14:paraId="0642E679" w14:textId="77777777" w:rsidR="001B3064" w:rsidRPr="00F85073" w:rsidRDefault="001B3064" w:rsidP="00FC0DDC">
      <w:pPr>
        <w:spacing w:line="360" w:lineRule="auto"/>
        <w:jc w:val="both"/>
        <w:rPr>
          <w:b/>
          <w:bCs/>
          <w:sz w:val="22"/>
          <w:szCs w:val="22"/>
        </w:rPr>
      </w:pPr>
    </w:p>
    <w:p w14:paraId="4F907557" w14:textId="77777777" w:rsidR="001B3064" w:rsidRPr="00F85073" w:rsidRDefault="001B3064" w:rsidP="00FC0DDC">
      <w:pPr>
        <w:spacing w:line="360" w:lineRule="auto"/>
        <w:jc w:val="both"/>
        <w:rPr>
          <w:b/>
          <w:bCs/>
          <w:sz w:val="22"/>
          <w:szCs w:val="22"/>
        </w:rPr>
      </w:pPr>
    </w:p>
    <w:p w14:paraId="73F26C16" w14:textId="77777777" w:rsidR="001B3064" w:rsidRPr="00F85073" w:rsidRDefault="001B3064" w:rsidP="00FC0DDC">
      <w:pPr>
        <w:spacing w:line="360" w:lineRule="auto"/>
        <w:jc w:val="both"/>
        <w:rPr>
          <w:b/>
          <w:bCs/>
          <w:sz w:val="22"/>
          <w:szCs w:val="22"/>
        </w:rPr>
      </w:pPr>
    </w:p>
    <w:p w14:paraId="36296DE5" w14:textId="77777777" w:rsidR="001B3064" w:rsidRPr="00F85073" w:rsidRDefault="001B3064" w:rsidP="00FC0DDC">
      <w:pPr>
        <w:spacing w:line="360" w:lineRule="auto"/>
        <w:jc w:val="both"/>
        <w:rPr>
          <w:b/>
          <w:bCs/>
          <w:sz w:val="22"/>
          <w:szCs w:val="22"/>
        </w:rPr>
      </w:pPr>
    </w:p>
    <w:p w14:paraId="6E69C53A" w14:textId="77777777" w:rsidR="001B3064" w:rsidRPr="00F85073" w:rsidRDefault="001B3064" w:rsidP="00FC0DDC">
      <w:pPr>
        <w:spacing w:line="360" w:lineRule="auto"/>
        <w:jc w:val="both"/>
        <w:rPr>
          <w:b/>
          <w:bCs/>
          <w:sz w:val="22"/>
          <w:szCs w:val="22"/>
        </w:rPr>
      </w:pPr>
    </w:p>
    <w:p w14:paraId="6AC03682" w14:textId="77777777" w:rsidR="001B3064" w:rsidRPr="00F85073" w:rsidRDefault="001B3064" w:rsidP="00FC0DDC">
      <w:pPr>
        <w:spacing w:line="360" w:lineRule="auto"/>
        <w:jc w:val="both"/>
        <w:rPr>
          <w:b/>
          <w:bCs/>
          <w:sz w:val="22"/>
          <w:szCs w:val="22"/>
        </w:rPr>
      </w:pPr>
    </w:p>
    <w:p w14:paraId="2E303C5B" w14:textId="77777777" w:rsidR="00544B43" w:rsidRPr="00F85073" w:rsidRDefault="00544B43" w:rsidP="00FC0DDC">
      <w:pPr>
        <w:spacing w:line="360" w:lineRule="auto"/>
        <w:jc w:val="both"/>
        <w:rPr>
          <w:b/>
          <w:bCs/>
          <w:sz w:val="22"/>
          <w:szCs w:val="22"/>
        </w:rPr>
      </w:pPr>
    </w:p>
    <w:p w14:paraId="0B8840E2" w14:textId="77777777" w:rsidR="00544B43" w:rsidRPr="00F85073" w:rsidRDefault="00544B43" w:rsidP="00FC0DDC">
      <w:pPr>
        <w:spacing w:line="360" w:lineRule="auto"/>
        <w:jc w:val="both"/>
        <w:rPr>
          <w:b/>
          <w:bCs/>
          <w:sz w:val="22"/>
          <w:szCs w:val="22"/>
        </w:rPr>
      </w:pPr>
    </w:p>
    <w:p w14:paraId="052DDF11" w14:textId="77777777" w:rsidR="00544B43" w:rsidRPr="00F85073" w:rsidRDefault="00544B43" w:rsidP="00FC0DDC">
      <w:pPr>
        <w:spacing w:line="360" w:lineRule="auto"/>
        <w:jc w:val="both"/>
        <w:rPr>
          <w:b/>
          <w:bCs/>
          <w:sz w:val="22"/>
          <w:szCs w:val="22"/>
        </w:rPr>
      </w:pPr>
    </w:p>
    <w:p w14:paraId="4BD35529" w14:textId="77777777" w:rsidR="00544B43" w:rsidRPr="00F85073" w:rsidRDefault="00544B43" w:rsidP="00FC0DDC">
      <w:pPr>
        <w:spacing w:line="360" w:lineRule="auto"/>
        <w:jc w:val="both"/>
        <w:rPr>
          <w:b/>
          <w:bCs/>
          <w:sz w:val="22"/>
          <w:szCs w:val="22"/>
        </w:rPr>
      </w:pPr>
    </w:p>
    <w:p w14:paraId="6AF7FD8E" w14:textId="77777777" w:rsidR="001B3064" w:rsidRPr="00F85073" w:rsidRDefault="001B3064" w:rsidP="00FC0DDC">
      <w:pPr>
        <w:spacing w:line="360" w:lineRule="auto"/>
        <w:jc w:val="both"/>
        <w:rPr>
          <w:b/>
          <w:bCs/>
          <w:sz w:val="22"/>
          <w:szCs w:val="22"/>
        </w:rPr>
      </w:pPr>
    </w:p>
    <w:p w14:paraId="46C712BE" w14:textId="77777777" w:rsidR="001B3064" w:rsidRPr="00F85073" w:rsidRDefault="001B3064" w:rsidP="00FC0DDC">
      <w:pPr>
        <w:spacing w:line="360" w:lineRule="auto"/>
        <w:jc w:val="both"/>
        <w:rPr>
          <w:b/>
          <w:bCs/>
          <w:sz w:val="22"/>
          <w:szCs w:val="22"/>
        </w:rPr>
      </w:pPr>
    </w:p>
    <w:p w14:paraId="5E26DB10" w14:textId="780D0A9D" w:rsidR="001B3064" w:rsidRPr="00F85073" w:rsidRDefault="001B3064" w:rsidP="00EA07EF">
      <w:pPr>
        <w:spacing w:line="360" w:lineRule="auto"/>
        <w:jc w:val="center"/>
        <w:rPr>
          <w:b/>
          <w:sz w:val="22"/>
          <w:szCs w:val="22"/>
        </w:rPr>
      </w:pPr>
      <w:r w:rsidRPr="00F85073">
        <w:rPr>
          <w:b/>
          <w:sz w:val="22"/>
          <w:szCs w:val="22"/>
        </w:rPr>
        <w:lastRenderedPageBreak/>
        <w:t xml:space="preserve">The </w:t>
      </w:r>
      <w:r w:rsidR="004E35BC" w:rsidRPr="00F85073">
        <w:rPr>
          <w:b/>
          <w:sz w:val="22"/>
          <w:szCs w:val="22"/>
        </w:rPr>
        <w:t>Association</w:t>
      </w:r>
      <w:r w:rsidRPr="00F85073">
        <w:rPr>
          <w:b/>
          <w:sz w:val="22"/>
          <w:szCs w:val="22"/>
        </w:rPr>
        <w:t xml:space="preserve"> Between Fear </w:t>
      </w:r>
      <w:r w:rsidR="00435260" w:rsidRPr="00F85073">
        <w:rPr>
          <w:b/>
          <w:sz w:val="22"/>
          <w:szCs w:val="22"/>
        </w:rPr>
        <w:t>o</w:t>
      </w:r>
      <w:r w:rsidRPr="00F85073">
        <w:rPr>
          <w:b/>
          <w:sz w:val="22"/>
          <w:szCs w:val="22"/>
        </w:rPr>
        <w:t xml:space="preserve">f Falling </w:t>
      </w:r>
      <w:r w:rsidR="00435260" w:rsidRPr="00F85073">
        <w:rPr>
          <w:b/>
          <w:sz w:val="22"/>
          <w:szCs w:val="22"/>
        </w:rPr>
        <w:t>a</w:t>
      </w:r>
      <w:r w:rsidRPr="00F85073">
        <w:rPr>
          <w:b/>
          <w:sz w:val="22"/>
          <w:szCs w:val="22"/>
        </w:rPr>
        <w:t>nd Orthostatic Hypotension in Older Adults</w:t>
      </w:r>
    </w:p>
    <w:p w14:paraId="28C65437" w14:textId="77777777" w:rsidR="008B047F" w:rsidRPr="00F85073" w:rsidRDefault="008B047F" w:rsidP="00EA07EF">
      <w:pPr>
        <w:spacing w:line="360" w:lineRule="auto"/>
        <w:jc w:val="center"/>
        <w:rPr>
          <w:b/>
          <w:bCs/>
          <w:sz w:val="22"/>
          <w:szCs w:val="22"/>
        </w:rPr>
      </w:pPr>
    </w:p>
    <w:p w14:paraId="6E4821BA" w14:textId="77777777" w:rsidR="00FC0DDC" w:rsidRPr="00C66D3F" w:rsidRDefault="00FC0DDC" w:rsidP="00C66D3F">
      <w:pPr>
        <w:pStyle w:val="Heading1"/>
        <w:numPr>
          <w:ilvl w:val="0"/>
          <w:numId w:val="0"/>
        </w:numPr>
        <w:ind w:left="720" w:hanging="360"/>
      </w:pPr>
      <w:r w:rsidRPr="00C66D3F">
        <w:t>Abstract</w:t>
      </w:r>
      <w:r w:rsidR="00F3149D" w:rsidRPr="00C66D3F">
        <w:t>:</w:t>
      </w:r>
    </w:p>
    <w:p w14:paraId="6042D3A1" w14:textId="77777777" w:rsidR="00F3149D" w:rsidRPr="00F85073" w:rsidRDefault="00F3149D" w:rsidP="00FC0DDC">
      <w:pPr>
        <w:spacing w:line="360" w:lineRule="auto"/>
        <w:jc w:val="both"/>
        <w:rPr>
          <w:b/>
          <w:bCs/>
          <w:sz w:val="22"/>
          <w:szCs w:val="22"/>
        </w:rPr>
      </w:pPr>
    </w:p>
    <w:p w14:paraId="3029BB2F" w14:textId="15D0693E" w:rsidR="00941FE6" w:rsidRPr="00F85073" w:rsidRDefault="005F242A" w:rsidP="00EE71D2">
      <w:pPr>
        <w:spacing w:line="360" w:lineRule="auto"/>
        <w:jc w:val="both"/>
        <w:rPr>
          <w:b/>
          <w:sz w:val="22"/>
          <w:szCs w:val="22"/>
        </w:rPr>
      </w:pPr>
      <w:r w:rsidRPr="00F85073">
        <w:rPr>
          <w:bCs/>
          <w:sz w:val="22"/>
          <w:szCs w:val="22"/>
        </w:rPr>
        <w:t>The aim of this study was to determine the relationship between fear of falling/the degree of fear of falling (FoF) a</w:t>
      </w:r>
      <w:r w:rsidR="006126A8" w:rsidRPr="00F85073">
        <w:rPr>
          <w:bCs/>
          <w:sz w:val="22"/>
          <w:szCs w:val="22"/>
        </w:rPr>
        <w:t>nd orthostatic hypotension (OH)</w:t>
      </w:r>
      <w:r w:rsidRPr="00F85073">
        <w:rPr>
          <w:bCs/>
          <w:sz w:val="22"/>
          <w:szCs w:val="22"/>
        </w:rPr>
        <w:t xml:space="preserve"> in older adults. This cross-sectional study was conducted with 314 older outpatients.</w:t>
      </w:r>
      <w:r w:rsidR="006752BB" w:rsidRPr="00F85073">
        <w:rPr>
          <w:sz w:val="22"/>
          <w:szCs w:val="22"/>
        </w:rPr>
        <w:t xml:space="preserve"> I</w:t>
      </w:r>
      <w:r w:rsidRPr="00F85073">
        <w:rPr>
          <w:sz w:val="22"/>
          <w:szCs w:val="22"/>
        </w:rPr>
        <w:t xml:space="preserve">f the total score of the </w:t>
      </w:r>
      <w:r w:rsidR="001F58CB" w:rsidRPr="00F85073">
        <w:rPr>
          <w:bCs/>
          <w:sz w:val="22"/>
          <w:szCs w:val="22"/>
          <w:lang w:val="en-US"/>
        </w:rPr>
        <w:t>Falls Efficacy Scale–</w:t>
      </w:r>
      <w:r w:rsidR="002D3815" w:rsidRPr="00F85073">
        <w:rPr>
          <w:bCs/>
          <w:sz w:val="22"/>
          <w:szCs w:val="22"/>
          <w:lang w:val="en-US"/>
        </w:rPr>
        <w:t>International</w:t>
      </w:r>
      <w:r w:rsidR="001F58CB" w:rsidRPr="00F85073">
        <w:rPr>
          <w:bCs/>
          <w:sz w:val="22"/>
          <w:szCs w:val="22"/>
          <w:lang w:val="en-US"/>
        </w:rPr>
        <w:t xml:space="preserve"> </w:t>
      </w:r>
      <w:r w:rsidRPr="00F85073">
        <w:rPr>
          <w:sz w:val="22"/>
          <w:szCs w:val="22"/>
        </w:rPr>
        <w:t xml:space="preserve">scale was </w:t>
      </w:r>
      <w:r w:rsidR="004D32F5" w:rsidRPr="00F85073">
        <w:rPr>
          <w:sz w:val="22"/>
          <w:szCs w:val="22"/>
        </w:rPr>
        <w:t>16</w:t>
      </w:r>
      <w:r w:rsidRPr="00F85073">
        <w:rPr>
          <w:sz w:val="22"/>
          <w:szCs w:val="22"/>
        </w:rPr>
        <w:t>-19, 20-27 and ≥28, it was assumed that t</w:t>
      </w:r>
      <w:r w:rsidR="001F58CB" w:rsidRPr="00F85073">
        <w:rPr>
          <w:sz w:val="22"/>
          <w:szCs w:val="22"/>
        </w:rPr>
        <w:t xml:space="preserve">here was low FoF, </w:t>
      </w:r>
      <w:r w:rsidR="00231F33" w:rsidRPr="00F85073">
        <w:rPr>
          <w:sz w:val="22"/>
          <w:szCs w:val="22"/>
        </w:rPr>
        <w:t xml:space="preserve">moderate </w:t>
      </w:r>
      <w:r w:rsidR="001F58CB" w:rsidRPr="00F85073">
        <w:rPr>
          <w:sz w:val="22"/>
          <w:szCs w:val="22"/>
        </w:rPr>
        <w:t xml:space="preserve"> FoF</w:t>
      </w:r>
      <w:r w:rsidRPr="00F85073">
        <w:rPr>
          <w:sz w:val="22"/>
          <w:szCs w:val="22"/>
        </w:rPr>
        <w:t>, and high FoF, respectively.</w:t>
      </w:r>
      <w:r w:rsidR="00487155" w:rsidRPr="00F85073">
        <w:rPr>
          <w:sz w:val="22"/>
          <w:szCs w:val="22"/>
        </w:rPr>
        <w:t xml:space="preserve"> OH w</w:t>
      </w:r>
      <w:r w:rsidR="00435260" w:rsidRPr="00F85073">
        <w:rPr>
          <w:sz w:val="22"/>
          <w:szCs w:val="22"/>
        </w:rPr>
        <w:t>as</w:t>
      </w:r>
      <w:r w:rsidR="00487155" w:rsidRPr="00F85073">
        <w:rPr>
          <w:sz w:val="22"/>
          <w:szCs w:val="22"/>
        </w:rPr>
        <w:t xml:space="preserve"> evaluated for the 1st (OH1) and 3rd (OH3) minutes,</w:t>
      </w:r>
      <w:r w:rsidR="002208AB" w:rsidRPr="00F85073">
        <w:rPr>
          <w:sz w:val="22"/>
          <w:szCs w:val="22"/>
        </w:rPr>
        <w:t xml:space="preserve"> </w:t>
      </w:r>
      <w:r w:rsidR="00333D33" w:rsidRPr="00F85073">
        <w:rPr>
          <w:sz w:val="22"/>
          <w:szCs w:val="22"/>
        </w:rPr>
        <w:t>after transitioning from the supine position to standing</w:t>
      </w:r>
      <w:r w:rsidR="00696A75" w:rsidRPr="00F85073">
        <w:rPr>
          <w:sz w:val="22"/>
          <w:szCs w:val="22"/>
        </w:rPr>
        <w:t>.</w:t>
      </w:r>
      <w:r w:rsidR="0041028E" w:rsidRPr="00F85073">
        <w:rPr>
          <w:b/>
          <w:sz w:val="22"/>
          <w:szCs w:val="22"/>
        </w:rPr>
        <w:t xml:space="preserve"> </w:t>
      </w:r>
      <w:r w:rsidR="00161ED4" w:rsidRPr="00F85073">
        <w:rPr>
          <w:bCs/>
          <w:sz w:val="22"/>
          <w:szCs w:val="22"/>
        </w:rPr>
        <w:t>Participants were aged 65 to 93 years</w:t>
      </w:r>
      <w:r w:rsidR="00161ED4" w:rsidRPr="00F85073">
        <w:rPr>
          <w:b/>
          <w:sz w:val="22"/>
          <w:szCs w:val="22"/>
        </w:rPr>
        <w:t xml:space="preserve"> </w:t>
      </w:r>
      <w:r w:rsidR="00C97A03" w:rsidRPr="00F85073">
        <w:rPr>
          <w:sz w:val="22"/>
          <w:szCs w:val="22"/>
        </w:rPr>
        <w:t>(mean age 74.2±8.5 years)</w:t>
      </w:r>
      <w:r w:rsidR="00C97A03" w:rsidRPr="00F85073">
        <w:rPr>
          <w:b/>
          <w:sz w:val="22"/>
          <w:szCs w:val="22"/>
        </w:rPr>
        <w:t xml:space="preserve"> </w:t>
      </w:r>
      <w:r w:rsidR="00161ED4" w:rsidRPr="00F85073">
        <w:rPr>
          <w:sz w:val="22"/>
          <w:szCs w:val="22"/>
        </w:rPr>
        <w:t xml:space="preserve">and </w:t>
      </w:r>
      <w:r w:rsidR="00683BF3" w:rsidRPr="00F85073">
        <w:rPr>
          <w:sz w:val="22"/>
          <w:szCs w:val="22"/>
        </w:rPr>
        <w:t xml:space="preserve">193 (61.5%) </w:t>
      </w:r>
      <w:r w:rsidR="00161ED4" w:rsidRPr="00F85073">
        <w:rPr>
          <w:sz w:val="22"/>
          <w:szCs w:val="22"/>
        </w:rPr>
        <w:t xml:space="preserve">were </w:t>
      </w:r>
      <w:r w:rsidR="00683BF3" w:rsidRPr="00F85073">
        <w:rPr>
          <w:sz w:val="22"/>
          <w:szCs w:val="22"/>
        </w:rPr>
        <w:t xml:space="preserve">female. </w:t>
      </w:r>
      <w:r w:rsidR="00481DB9" w:rsidRPr="00F85073">
        <w:rPr>
          <w:sz w:val="22"/>
          <w:szCs w:val="22"/>
        </w:rPr>
        <w:t>Among FoF groups, significant differences were found for age, gender, education, marital status, who the patient lived w</w:t>
      </w:r>
      <w:r w:rsidR="003C2B2B" w:rsidRPr="00F85073">
        <w:rPr>
          <w:sz w:val="22"/>
          <w:szCs w:val="22"/>
        </w:rPr>
        <w:t xml:space="preserve">ith, the history of falling and hypertension, </w:t>
      </w:r>
      <w:r w:rsidR="003A0036" w:rsidRPr="00F85073">
        <w:rPr>
          <w:sz w:val="22"/>
          <w:szCs w:val="22"/>
        </w:rPr>
        <w:t>Time</w:t>
      </w:r>
      <w:r w:rsidR="004B76F4" w:rsidRPr="00F85073">
        <w:rPr>
          <w:sz w:val="22"/>
          <w:szCs w:val="22"/>
        </w:rPr>
        <w:t>d</w:t>
      </w:r>
      <w:r w:rsidR="003A0036" w:rsidRPr="00F85073">
        <w:rPr>
          <w:sz w:val="22"/>
          <w:szCs w:val="22"/>
        </w:rPr>
        <w:t xml:space="preserve"> Up-Go </w:t>
      </w:r>
      <w:r w:rsidR="004B76F4" w:rsidRPr="00F85073">
        <w:rPr>
          <w:sz w:val="22"/>
          <w:szCs w:val="22"/>
        </w:rPr>
        <w:t xml:space="preserve">test </w:t>
      </w:r>
      <w:r w:rsidR="003A0036" w:rsidRPr="00F85073">
        <w:rPr>
          <w:sz w:val="22"/>
          <w:szCs w:val="22"/>
        </w:rPr>
        <w:t>score</w:t>
      </w:r>
      <w:r w:rsidR="003C2B2B" w:rsidRPr="00F85073">
        <w:rPr>
          <w:sz w:val="22"/>
          <w:szCs w:val="22"/>
        </w:rPr>
        <w:t>, and hemoglobin levels</w:t>
      </w:r>
      <w:r w:rsidR="00481DB9" w:rsidRPr="00F85073">
        <w:rPr>
          <w:sz w:val="22"/>
          <w:szCs w:val="22"/>
        </w:rPr>
        <w:t xml:space="preserve"> (p &lt;0.005). </w:t>
      </w:r>
      <w:r w:rsidR="001F58CB" w:rsidRPr="00F85073">
        <w:rPr>
          <w:sz w:val="22"/>
          <w:szCs w:val="22"/>
        </w:rPr>
        <w:t xml:space="preserve">The prevalence of </w:t>
      </w:r>
      <w:r w:rsidR="00EE71D2" w:rsidRPr="00F85073">
        <w:rPr>
          <w:sz w:val="22"/>
          <w:szCs w:val="22"/>
        </w:rPr>
        <w:t xml:space="preserve"> OH</w:t>
      </w:r>
      <w:r w:rsidR="00941FE6" w:rsidRPr="00F85073">
        <w:rPr>
          <w:sz w:val="22"/>
          <w:szCs w:val="22"/>
        </w:rPr>
        <w:t>1</w:t>
      </w:r>
      <w:r w:rsidR="00EE71D2" w:rsidRPr="00F85073">
        <w:rPr>
          <w:sz w:val="22"/>
          <w:szCs w:val="22"/>
        </w:rPr>
        <w:t xml:space="preserve"> and OH</w:t>
      </w:r>
      <w:r w:rsidR="00941FE6" w:rsidRPr="00F85073">
        <w:rPr>
          <w:sz w:val="22"/>
          <w:szCs w:val="22"/>
        </w:rPr>
        <w:t>3</w:t>
      </w:r>
      <w:r w:rsidR="00EE71D2" w:rsidRPr="00F85073">
        <w:rPr>
          <w:sz w:val="22"/>
          <w:szCs w:val="22"/>
        </w:rPr>
        <w:t xml:space="preserve"> were found to be significantly higher in those with a FoF score of 20 and above </w:t>
      </w:r>
      <w:r w:rsidR="00D3551E" w:rsidRPr="00F85073">
        <w:rPr>
          <w:sz w:val="22"/>
          <w:szCs w:val="22"/>
        </w:rPr>
        <w:t>than those below 20 (p &lt;0.005).</w:t>
      </w:r>
      <w:r w:rsidR="00435260" w:rsidRPr="00F85073">
        <w:rPr>
          <w:sz w:val="22"/>
          <w:szCs w:val="22"/>
        </w:rPr>
        <w:t xml:space="preserve"> </w:t>
      </w:r>
      <w:r w:rsidR="00084975" w:rsidRPr="00F85073">
        <w:rPr>
          <w:sz w:val="22"/>
          <w:szCs w:val="22"/>
          <w:lang w:val="en-US"/>
        </w:rPr>
        <w:t>After adjustment for potential confounders, p</w:t>
      </w:r>
      <w:r w:rsidR="00EE71D2" w:rsidRPr="00F85073">
        <w:rPr>
          <w:sz w:val="22"/>
          <w:szCs w:val="22"/>
          <w:lang w:val="en-US"/>
        </w:rPr>
        <w:t xml:space="preserve">articipants </w:t>
      </w:r>
      <w:r w:rsidR="00161ED4" w:rsidRPr="00F85073">
        <w:rPr>
          <w:sz w:val="22"/>
          <w:szCs w:val="22"/>
          <w:lang w:val="en-US"/>
        </w:rPr>
        <w:t xml:space="preserve">who reported a </w:t>
      </w:r>
      <w:r w:rsidR="001F58CB" w:rsidRPr="00F85073">
        <w:rPr>
          <w:sz w:val="22"/>
          <w:szCs w:val="22"/>
          <w:lang w:val="en-US"/>
        </w:rPr>
        <w:t xml:space="preserve">high </w:t>
      </w:r>
      <w:proofErr w:type="spellStart"/>
      <w:r w:rsidR="00941FE6" w:rsidRPr="00F85073">
        <w:rPr>
          <w:sz w:val="22"/>
          <w:szCs w:val="22"/>
          <w:lang w:val="en-US"/>
        </w:rPr>
        <w:t>FoF</w:t>
      </w:r>
      <w:proofErr w:type="spellEnd"/>
      <w:r w:rsidR="006126A8" w:rsidRPr="00F85073">
        <w:rPr>
          <w:sz w:val="22"/>
          <w:szCs w:val="22"/>
          <w:lang w:val="en-US"/>
        </w:rPr>
        <w:t xml:space="preserve"> had</w:t>
      </w:r>
      <w:r w:rsidR="00EE71D2" w:rsidRPr="00F85073">
        <w:rPr>
          <w:sz w:val="22"/>
          <w:szCs w:val="22"/>
          <w:lang w:val="en-US"/>
        </w:rPr>
        <w:t xml:space="preserve"> higher </w:t>
      </w:r>
      <w:r w:rsidR="006126A8" w:rsidRPr="00F85073">
        <w:rPr>
          <w:sz w:val="22"/>
          <w:szCs w:val="22"/>
          <w:lang w:val="en-US"/>
        </w:rPr>
        <w:t xml:space="preserve">risk for </w:t>
      </w:r>
      <w:r w:rsidR="00EE71D2" w:rsidRPr="00F85073">
        <w:rPr>
          <w:sz w:val="22"/>
          <w:szCs w:val="22"/>
          <w:lang w:val="en-US"/>
        </w:rPr>
        <w:t>OH</w:t>
      </w:r>
      <w:r w:rsidR="00941FE6" w:rsidRPr="00F85073">
        <w:rPr>
          <w:sz w:val="22"/>
          <w:szCs w:val="22"/>
          <w:lang w:val="en-US"/>
        </w:rPr>
        <w:t>1</w:t>
      </w:r>
      <w:r w:rsidR="00EE71D2" w:rsidRPr="00F85073">
        <w:rPr>
          <w:sz w:val="22"/>
          <w:szCs w:val="22"/>
          <w:lang w:val="en-US"/>
        </w:rPr>
        <w:t xml:space="preserve"> and OH</w:t>
      </w:r>
      <w:r w:rsidR="00696A75" w:rsidRPr="00F85073">
        <w:rPr>
          <w:sz w:val="22"/>
          <w:szCs w:val="22"/>
          <w:lang w:val="en-US"/>
        </w:rPr>
        <w:t>3</w:t>
      </w:r>
      <w:r w:rsidR="00EE71D2" w:rsidRPr="00F85073">
        <w:rPr>
          <w:sz w:val="22"/>
          <w:szCs w:val="22"/>
          <w:lang w:val="en-US"/>
        </w:rPr>
        <w:t xml:space="preserve"> </w:t>
      </w:r>
      <w:r w:rsidR="000C77A5" w:rsidRPr="00F85073">
        <w:rPr>
          <w:sz w:val="22"/>
          <w:szCs w:val="22"/>
          <w:lang w:val="en-US"/>
        </w:rPr>
        <w:t>(OR:</w:t>
      </w:r>
      <w:r w:rsidR="002A3D40" w:rsidRPr="00F85073">
        <w:rPr>
          <w:sz w:val="22"/>
          <w:szCs w:val="22"/>
          <w:lang w:val="en-US"/>
        </w:rPr>
        <w:t xml:space="preserve"> </w:t>
      </w:r>
      <w:r w:rsidR="000C77A5" w:rsidRPr="00F85073">
        <w:rPr>
          <w:sz w:val="22"/>
          <w:szCs w:val="22"/>
          <w:lang w:val="en-US"/>
        </w:rPr>
        <w:t>2.14</w:t>
      </w:r>
      <w:r w:rsidR="008D7721" w:rsidRPr="00F85073">
        <w:rPr>
          <w:sz w:val="22"/>
          <w:szCs w:val="22"/>
          <w:lang w:val="en-US"/>
        </w:rPr>
        <w:t>, 95% CI:</w:t>
      </w:r>
      <w:r w:rsidR="00ED283A" w:rsidRPr="00F85073">
        <w:rPr>
          <w:sz w:val="22"/>
          <w:szCs w:val="22"/>
          <w:lang w:val="en-US"/>
        </w:rPr>
        <w:t xml:space="preserve"> </w:t>
      </w:r>
      <w:r w:rsidR="000C77A5" w:rsidRPr="00F85073">
        <w:rPr>
          <w:sz w:val="22"/>
          <w:szCs w:val="22"/>
        </w:rPr>
        <w:t>1.14-4.0,</w:t>
      </w:r>
      <w:r w:rsidR="000C77A5" w:rsidRPr="00F85073">
        <w:rPr>
          <w:sz w:val="22"/>
          <w:szCs w:val="22"/>
          <w:lang w:val="en-US"/>
        </w:rPr>
        <w:t xml:space="preserve"> p=0.017</w:t>
      </w:r>
      <w:r w:rsidR="008D7721" w:rsidRPr="00F85073">
        <w:rPr>
          <w:sz w:val="22"/>
          <w:szCs w:val="22"/>
          <w:lang w:val="en-US"/>
        </w:rPr>
        <w:t>;</w:t>
      </w:r>
      <w:r w:rsidR="000C77A5" w:rsidRPr="00F85073">
        <w:rPr>
          <w:sz w:val="22"/>
          <w:szCs w:val="22"/>
          <w:lang w:val="en-US"/>
        </w:rPr>
        <w:t xml:space="preserve"> </w:t>
      </w:r>
      <w:r w:rsidR="0011080A" w:rsidRPr="00F85073">
        <w:rPr>
          <w:sz w:val="22"/>
          <w:szCs w:val="22"/>
          <w:lang w:val="en-US"/>
        </w:rPr>
        <w:t xml:space="preserve">and </w:t>
      </w:r>
      <w:r w:rsidR="000C77A5" w:rsidRPr="00F85073">
        <w:rPr>
          <w:sz w:val="22"/>
          <w:szCs w:val="22"/>
          <w:lang w:val="en-US"/>
        </w:rPr>
        <w:t>OR:2.72</w:t>
      </w:r>
      <w:r w:rsidR="008D7721" w:rsidRPr="00F85073">
        <w:rPr>
          <w:sz w:val="22"/>
          <w:szCs w:val="22"/>
          <w:lang w:val="en-US"/>
        </w:rPr>
        <w:t>,</w:t>
      </w:r>
      <w:r w:rsidR="000C77A5" w:rsidRPr="00F85073">
        <w:rPr>
          <w:sz w:val="22"/>
          <w:szCs w:val="22"/>
          <w:lang w:val="en-US"/>
        </w:rPr>
        <w:t xml:space="preserve"> </w:t>
      </w:r>
      <w:r w:rsidR="008D7721" w:rsidRPr="00F85073">
        <w:rPr>
          <w:sz w:val="22"/>
          <w:szCs w:val="22"/>
          <w:lang w:val="en-US"/>
        </w:rPr>
        <w:t>95% CI:</w:t>
      </w:r>
      <w:r w:rsidR="000C77A5" w:rsidRPr="00F85073">
        <w:rPr>
          <w:sz w:val="22"/>
          <w:szCs w:val="22"/>
        </w:rPr>
        <w:t>1.46-5.09</w:t>
      </w:r>
      <w:r w:rsidR="000C77A5" w:rsidRPr="00F85073">
        <w:rPr>
          <w:sz w:val="22"/>
          <w:szCs w:val="22"/>
          <w:lang w:val="en-US"/>
        </w:rPr>
        <w:t>, p=0.002</w:t>
      </w:r>
      <w:r w:rsidR="008D7721" w:rsidRPr="00F85073">
        <w:rPr>
          <w:sz w:val="22"/>
          <w:szCs w:val="22"/>
          <w:lang w:val="en-US"/>
        </w:rPr>
        <w:t>, respectively</w:t>
      </w:r>
      <w:r w:rsidR="00084975" w:rsidRPr="00F85073">
        <w:rPr>
          <w:sz w:val="22"/>
          <w:szCs w:val="22"/>
          <w:lang w:val="en-US"/>
        </w:rPr>
        <w:t xml:space="preserve">), but </w:t>
      </w:r>
      <w:r w:rsidR="00470C1B" w:rsidRPr="00F85073">
        <w:rPr>
          <w:sz w:val="22"/>
          <w:szCs w:val="22"/>
        </w:rPr>
        <w:t>t</w:t>
      </w:r>
      <w:r w:rsidR="00EE71D2" w:rsidRPr="00F85073">
        <w:rPr>
          <w:sz w:val="22"/>
          <w:szCs w:val="22"/>
        </w:rPr>
        <w:t>ho</w:t>
      </w:r>
      <w:r w:rsidR="00941FE6" w:rsidRPr="00F85073">
        <w:rPr>
          <w:sz w:val="22"/>
          <w:szCs w:val="22"/>
        </w:rPr>
        <w:t xml:space="preserve">se with </w:t>
      </w:r>
      <w:r w:rsidR="00BB2178" w:rsidRPr="00F85073">
        <w:rPr>
          <w:sz w:val="22"/>
          <w:szCs w:val="22"/>
        </w:rPr>
        <w:t>moderate</w:t>
      </w:r>
      <w:r w:rsidR="00941FE6" w:rsidRPr="00F85073">
        <w:rPr>
          <w:sz w:val="22"/>
          <w:szCs w:val="22"/>
        </w:rPr>
        <w:t xml:space="preserve"> FoF had</w:t>
      </w:r>
      <w:r w:rsidR="00EE71D2" w:rsidRPr="00F85073">
        <w:rPr>
          <w:sz w:val="22"/>
          <w:szCs w:val="22"/>
        </w:rPr>
        <w:t xml:space="preserve"> </w:t>
      </w:r>
      <w:r w:rsidR="00470C1B" w:rsidRPr="00F85073">
        <w:rPr>
          <w:sz w:val="22"/>
          <w:szCs w:val="22"/>
        </w:rPr>
        <w:t xml:space="preserve">no </w:t>
      </w:r>
      <w:r w:rsidR="00EE71D2" w:rsidRPr="00F85073">
        <w:rPr>
          <w:sz w:val="22"/>
          <w:szCs w:val="22"/>
        </w:rPr>
        <w:t xml:space="preserve">increased risk of </w:t>
      </w:r>
      <w:r w:rsidR="001F1350" w:rsidRPr="00F85073">
        <w:rPr>
          <w:sz w:val="22"/>
          <w:szCs w:val="22"/>
        </w:rPr>
        <w:t xml:space="preserve">having </w:t>
      </w:r>
      <w:r w:rsidR="00470C1B" w:rsidRPr="00F85073">
        <w:rPr>
          <w:sz w:val="22"/>
          <w:szCs w:val="22"/>
        </w:rPr>
        <w:t xml:space="preserve">OH compared to low FoF (p&gt;0.05). </w:t>
      </w:r>
      <w:r w:rsidR="00EC660C" w:rsidRPr="00F85073">
        <w:rPr>
          <w:sz w:val="22"/>
          <w:szCs w:val="22"/>
        </w:rPr>
        <w:t xml:space="preserve">There is a close relationship between </w:t>
      </w:r>
      <w:r w:rsidR="001B59B7" w:rsidRPr="00F85073">
        <w:rPr>
          <w:sz w:val="22"/>
          <w:szCs w:val="22"/>
        </w:rPr>
        <w:t>high FoF</w:t>
      </w:r>
      <w:r w:rsidR="00EC660C" w:rsidRPr="00F85073">
        <w:rPr>
          <w:sz w:val="22"/>
          <w:szCs w:val="22"/>
        </w:rPr>
        <w:t xml:space="preserve"> and OH in older adults. Therefore, when evaluating an older patient with </w:t>
      </w:r>
      <w:r w:rsidR="002D3815" w:rsidRPr="00F85073">
        <w:rPr>
          <w:sz w:val="22"/>
          <w:szCs w:val="22"/>
        </w:rPr>
        <w:t>OH,</w:t>
      </w:r>
      <w:r w:rsidR="00EC660C" w:rsidRPr="00F85073">
        <w:rPr>
          <w:sz w:val="22"/>
          <w:szCs w:val="22"/>
        </w:rPr>
        <w:t xml:space="preserve"> </w:t>
      </w:r>
      <w:r w:rsidR="002D3815" w:rsidRPr="00F85073">
        <w:rPr>
          <w:sz w:val="22"/>
          <w:szCs w:val="22"/>
        </w:rPr>
        <w:t>FoF</w:t>
      </w:r>
      <w:r w:rsidR="00EC660C" w:rsidRPr="00F85073">
        <w:rPr>
          <w:sz w:val="22"/>
          <w:szCs w:val="22"/>
        </w:rPr>
        <w:t xml:space="preserve"> should be evaluated, or </w:t>
      </w:r>
      <w:r w:rsidR="002D3815" w:rsidRPr="00F85073">
        <w:rPr>
          <w:sz w:val="22"/>
          <w:szCs w:val="22"/>
        </w:rPr>
        <w:t>FoF</w:t>
      </w:r>
      <w:r w:rsidR="00EC660C" w:rsidRPr="00F85073">
        <w:rPr>
          <w:sz w:val="22"/>
          <w:szCs w:val="22"/>
        </w:rPr>
        <w:t> should also be questioned in older patient</w:t>
      </w:r>
      <w:r w:rsidR="00161ED4" w:rsidRPr="00F85073">
        <w:rPr>
          <w:sz w:val="22"/>
          <w:szCs w:val="22"/>
        </w:rPr>
        <w:t>s</w:t>
      </w:r>
      <w:r w:rsidR="00EC660C" w:rsidRPr="00F85073">
        <w:rPr>
          <w:sz w:val="22"/>
          <w:szCs w:val="22"/>
        </w:rPr>
        <w:t xml:space="preserve"> with</w:t>
      </w:r>
      <w:r w:rsidR="002D3815" w:rsidRPr="00F85073">
        <w:rPr>
          <w:sz w:val="22"/>
          <w:szCs w:val="22"/>
        </w:rPr>
        <w:t xml:space="preserve"> OH</w:t>
      </w:r>
      <w:r w:rsidR="00EC660C" w:rsidRPr="00F85073">
        <w:rPr>
          <w:sz w:val="22"/>
          <w:szCs w:val="22"/>
        </w:rPr>
        <w:t xml:space="preserve">. </w:t>
      </w:r>
    </w:p>
    <w:p w14:paraId="4BFED689" w14:textId="77777777" w:rsidR="002952CF" w:rsidRPr="00F85073" w:rsidRDefault="002952CF" w:rsidP="00FC0DDC">
      <w:pPr>
        <w:spacing w:line="360" w:lineRule="auto"/>
        <w:jc w:val="both"/>
        <w:rPr>
          <w:sz w:val="22"/>
          <w:szCs w:val="22"/>
        </w:rPr>
      </w:pPr>
    </w:p>
    <w:p w14:paraId="0A7930A9" w14:textId="77777777" w:rsidR="002952CF" w:rsidRPr="00F85073" w:rsidRDefault="002952CF" w:rsidP="00FC0DDC">
      <w:pPr>
        <w:spacing w:line="360" w:lineRule="auto"/>
        <w:jc w:val="both"/>
        <w:rPr>
          <w:sz w:val="22"/>
          <w:szCs w:val="22"/>
        </w:rPr>
      </w:pPr>
    </w:p>
    <w:p w14:paraId="664C67F5" w14:textId="30FB6F35" w:rsidR="00FC0DDC" w:rsidRPr="00F85073" w:rsidRDefault="00FC0DDC" w:rsidP="00FC0DDC">
      <w:pPr>
        <w:spacing w:line="360" w:lineRule="auto"/>
        <w:jc w:val="both"/>
        <w:rPr>
          <w:color w:val="000000" w:themeColor="text1"/>
          <w:sz w:val="22"/>
          <w:szCs w:val="22"/>
        </w:rPr>
      </w:pPr>
      <w:r w:rsidRPr="00F85073">
        <w:rPr>
          <w:b/>
          <w:bCs/>
          <w:sz w:val="22"/>
          <w:szCs w:val="22"/>
        </w:rPr>
        <w:t xml:space="preserve">Keywords: </w:t>
      </w:r>
      <w:r w:rsidR="004F1528" w:rsidRPr="00F85073">
        <w:rPr>
          <w:color w:val="000000" w:themeColor="text1"/>
          <w:sz w:val="22"/>
          <w:szCs w:val="22"/>
        </w:rPr>
        <w:t>Fear of falling</w:t>
      </w:r>
      <w:r w:rsidRPr="00F85073">
        <w:rPr>
          <w:color w:val="000000" w:themeColor="text1"/>
          <w:sz w:val="22"/>
          <w:szCs w:val="22"/>
        </w:rPr>
        <w:t>, orthostatic hypotension</w:t>
      </w:r>
      <w:r w:rsidR="004F1528" w:rsidRPr="00F85073">
        <w:rPr>
          <w:color w:val="000000" w:themeColor="text1"/>
          <w:sz w:val="22"/>
          <w:szCs w:val="22"/>
        </w:rPr>
        <w:t>, older</w:t>
      </w:r>
    </w:p>
    <w:p w14:paraId="38E61507" w14:textId="77777777" w:rsidR="004F1528" w:rsidRPr="00F85073" w:rsidRDefault="004F1528" w:rsidP="00FC0DDC">
      <w:pPr>
        <w:spacing w:line="360" w:lineRule="auto"/>
        <w:jc w:val="both"/>
        <w:rPr>
          <w:color w:val="000000" w:themeColor="text1"/>
          <w:sz w:val="22"/>
          <w:szCs w:val="22"/>
        </w:rPr>
      </w:pPr>
    </w:p>
    <w:p w14:paraId="6DC18009" w14:textId="77777777" w:rsidR="004F1528" w:rsidRPr="00F85073" w:rsidRDefault="004F1528" w:rsidP="00FC0DDC">
      <w:pPr>
        <w:spacing w:line="360" w:lineRule="auto"/>
        <w:jc w:val="both"/>
        <w:rPr>
          <w:color w:val="000000" w:themeColor="text1"/>
          <w:sz w:val="22"/>
          <w:szCs w:val="22"/>
        </w:rPr>
      </w:pPr>
    </w:p>
    <w:p w14:paraId="13670089" w14:textId="77777777" w:rsidR="004017CD" w:rsidRPr="00F85073" w:rsidRDefault="004017CD" w:rsidP="00FC0DDC">
      <w:pPr>
        <w:spacing w:line="360" w:lineRule="auto"/>
        <w:jc w:val="both"/>
        <w:rPr>
          <w:color w:val="000000" w:themeColor="text1"/>
          <w:sz w:val="22"/>
          <w:szCs w:val="22"/>
        </w:rPr>
      </w:pPr>
    </w:p>
    <w:p w14:paraId="718C3CE4" w14:textId="77777777" w:rsidR="004017CD" w:rsidRPr="00F85073" w:rsidRDefault="004017CD" w:rsidP="00FC0DDC">
      <w:pPr>
        <w:spacing w:line="360" w:lineRule="auto"/>
        <w:jc w:val="both"/>
        <w:rPr>
          <w:color w:val="000000" w:themeColor="text1"/>
          <w:sz w:val="22"/>
          <w:szCs w:val="22"/>
        </w:rPr>
      </w:pPr>
    </w:p>
    <w:p w14:paraId="2C08EEB7" w14:textId="77777777" w:rsidR="004017CD" w:rsidRPr="00F85073" w:rsidRDefault="004017CD" w:rsidP="00FC0DDC">
      <w:pPr>
        <w:spacing w:line="360" w:lineRule="auto"/>
        <w:jc w:val="both"/>
        <w:rPr>
          <w:color w:val="000000" w:themeColor="text1"/>
          <w:sz w:val="22"/>
          <w:szCs w:val="22"/>
        </w:rPr>
      </w:pPr>
    </w:p>
    <w:p w14:paraId="6DBAADEE" w14:textId="77777777" w:rsidR="004017CD" w:rsidRPr="00F85073" w:rsidRDefault="004017CD" w:rsidP="00FC0DDC">
      <w:pPr>
        <w:spacing w:line="360" w:lineRule="auto"/>
        <w:jc w:val="both"/>
        <w:rPr>
          <w:color w:val="000000" w:themeColor="text1"/>
          <w:sz w:val="22"/>
          <w:szCs w:val="22"/>
        </w:rPr>
      </w:pPr>
    </w:p>
    <w:p w14:paraId="2DAF804B" w14:textId="77777777" w:rsidR="004017CD" w:rsidRPr="00F85073" w:rsidRDefault="004017CD" w:rsidP="00FC0DDC">
      <w:pPr>
        <w:spacing w:line="360" w:lineRule="auto"/>
        <w:jc w:val="both"/>
        <w:rPr>
          <w:color w:val="000000" w:themeColor="text1"/>
          <w:sz w:val="22"/>
          <w:szCs w:val="22"/>
        </w:rPr>
      </w:pPr>
    </w:p>
    <w:p w14:paraId="1C3D146C" w14:textId="77777777" w:rsidR="009A2B36" w:rsidRPr="00F85073" w:rsidRDefault="009A2B36" w:rsidP="00FC0DDC">
      <w:pPr>
        <w:spacing w:line="360" w:lineRule="auto"/>
        <w:jc w:val="both"/>
        <w:rPr>
          <w:color w:val="000000" w:themeColor="text1"/>
          <w:sz w:val="22"/>
          <w:szCs w:val="22"/>
        </w:rPr>
      </w:pPr>
    </w:p>
    <w:p w14:paraId="6E4534B8" w14:textId="77777777" w:rsidR="009A2B36" w:rsidRPr="00F85073" w:rsidRDefault="009A2B36" w:rsidP="00FC0DDC">
      <w:pPr>
        <w:spacing w:line="360" w:lineRule="auto"/>
        <w:jc w:val="both"/>
        <w:rPr>
          <w:color w:val="000000" w:themeColor="text1"/>
          <w:sz w:val="22"/>
          <w:szCs w:val="22"/>
        </w:rPr>
      </w:pPr>
    </w:p>
    <w:p w14:paraId="0576D266" w14:textId="77777777" w:rsidR="00544B43" w:rsidRPr="00F85073" w:rsidRDefault="00544B43" w:rsidP="00FC0DDC">
      <w:pPr>
        <w:spacing w:line="360" w:lineRule="auto"/>
        <w:jc w:val="both"/>
        <w:rPr>
          <w:color w:val="000000" w:themeColor="text1"/>
          <w:sz w:val="22"/>
          <w:szCs w:val="22"/>
        </w:rPr>
      </w:pPr>
    </w:p>
    <w:p w14:paraId="5B054204" w14:textId="77777777" w:rsidR="00E17AF8" w:rsidRPr="00F85073" w:rsidRDefault="00E17AF8" w:rsidP="00FC0DDC">
      <w:pPr>
        <w:spacing w:line="360" w:lineRule="auto"/>
        <w:jc w:val="both"/>
        <w:rPr>
          <w:color w:val="000000" w:themeColor="text1"/>
          <w:sz w:val="22"/>
          <w:szCs w:val="22"/>
        </w:rPr>
      </w:pPr>
    </w:p>
    <w:p w14:paraId="3A7257FD" w14:textId="77777777" w:rsidR="00544B43" w:rsidRPr="00F85073" w:rsidRDefault="00544B43" w:rsidP="00FC0DDC">
      <w:pPr>
        <w:spacing w:line="360" w:lineRule="auto"/>
        <w:jc w:val="both"/>
        <w:rPr>
          <w:color w:val="000000" w:themeColor="text1"/>
          <w:sz w:val="22"/>
          <w:szCs w:val="22"/>
        </w:rPr>
      </w:pPr>
    </w:p>
    <w:p w14:paraId="00E2BF20" w14:textId="77777777" w:rsidR="009426A8" w:rsidRPr="00C66D3F" w:rsidRDefault="009426A8" w:rsidP="00C66D3F">
      <w:pPr>
        <w:pStyle w:val="Heading1"/>
      </w:pPr>
      <w:r w:rsidRPr="00C66D3F">
        <w:lastRenderedPageBreak/>
        <w:t>INTRODUCTION</w:t>
      </w:r>
    </w:p>
    <w:p w14:paraId="15CAECF8" w14:textId="77777777" w:rsidR="00D6697D" w:rsidRPr="00F85073" w:rsidRDefault="00D6697D" w:rsidP="00F43EDA">
      <w:pPr>
        <w:spacing w:line="360" w:lineRule="auto"/>
        <w:jc w:val="both"/>
        <w:rPr>
          <w:b/>
          <w:bCs/>
          <w:sz w:val="22"/>
          <w:szCs w:val="22"/>
        </w:rPr>
      </w:pPr>
    </w:p>
    <w:p w14:paraId="24F19E5E" w14:textId="2959067A" w:rsidR="00C85976" w:rsidRPr="00F85073" w:rsidRDefault="00305427" w:rsidP="00F43EDA">
      <w:pPr>
        <w:spacing w:line="360" w:lineRule="auto"/>
        <w:jc w:val="both"/>
        <w:rPr>
          <w:sz w:val="22"/>
          <w:szCs w:val="22"/>
        </w:rPr>
      </w:pPr>
      <w:r w:rsidRPr="00F85073">
        <w:rPr>
          <w:sz w:val="22"/>
          <w:szCs w:val="22"/>
        </w:rPr>
        <w:t xml:space="preserve">Orthostatic hypotension (OH) </w:t>
      </w:r>
      <w:r w:rsidR="00B6656F" w:rsidRPr="00F85073">
        <w:rPr>
          <w:sz w:val="22"/>
          <w:szCs w:val="22"/>
        </w:rPr>
        <w:t xml:space="preserve">is common </w:t>
      </w:r>
      <w:r w:rsidRPr="00F85073">
        <w:rPr>
          <w:sz w:val="22"/>
          <w:szCs w:val="22"/>
        </w:rPr>
        <w:t xml:space="preserve">in older </w:t>
      </w:r>
      <w:r w:rsidR="00B6656F" w:rsidRPr="00F85073">
        <w:rPr>
          <w:sz w:val="22"/>
          <w:szCs w:val="22"/>
        </w:rPr>
        <w:t>adults</w:t>
      </w:r>
      <w:r w:rsidRPr="00F85073">
        <w:rPr>
          <w:sz w:val="22"/>
          <w:szCs w:val="22"/>
        </w:rPr>
        <w:t xml:space="preserve"> and its prevalence varies between 20% and 40% depending on the evaluation method or the time elapsed after stan</w:t>
      </w:r>
      <w:r w:rsidR="00242C1E" w:rsidRPr="00F85073">
        <w:rPr>
          <w:sz w:val="22"/>
          <w:szCs w:val="22"/>
        </w:rPr>
        <w:t xml:space="preserve">ding up from the lying position </w:t>
      </w:r>
      <w:r w:rsidR="009E45D1" w:rsidRPr="00F85073">
        <w:rPr>
          <w:sz w:val="22"/>
          <w:szCs w:val="22"/>
        </w:rPr>
        <w:fldChar w:fldCharType="begin" w:fldLock="1"/>
      </w:r>
      <w:r w:rsidR="009E45D1" w:rsidRPr="00F85073">
        <w:rPr>
          <w:sz w:val="22"/>
          <w:szCs w:val="22"/>
        </w:rPr>
        <w:instrText>ADDIN CSL_CITATION {"citationItems":[{"id":"ITEM-1","itemData":{"DOI":"10.2147/CIA.S129868","ISSN":"11781998","abstract":"© 2017 Aydin et al. Background: Correct evaluation of orthostatic hypotension (OH) is crucial in geriatric practice, since OH is associated with mortality and morbidity. The study aimed to determine the most appropriate method for measuring blood pressure in transition from supine to upright position in order to diagnose OH in older adults. Methods: Active standing test (AST) and head-up tilt table (HUT) test as well as comprehensive geriatric assessment (CGA), including mini-mental state examination or the cognitive state test, mini-nutritional assessment, basic and instrumental activities of daily living, and Tinetti performance-oriented mobility assessment indexes, were performed in 290 geriatric patients. Results: The prevalence of OH during HUT and AST was 19% and 37%, respectively. In patients with OH during HUT, the frequency of dementia and recurrent falls were higher (P &lt; 0.05); on the other hand, the levels of serum vitamin D and albumin and estimated glomerular filtration rate were lower (P &lt; 0.05). However, all these parameters for OH during AST were not significant (P &gt; 0.05). Comparison of the groups according to CGA measurements revealed significant differences in terms of cognition, nutritional status, activities of daily life, and balance function in patients with OH only during HUT (P &lt; 0.05), but not during AST (P &gt; 0.05). The sensitivity, specificity, positive predictive value, and negative predictive values of AST were 49.0%, 65.5%, 25.0%, and 84.6% respectively, according to HUT. Conclusion: The results suggest that orthostatic blood pressure changes determined by HUT might be of higher clinical significance than that by AST in older adults. It might be important that the evaluation of OH by HUT should be included in daily geriatric practice.","author":[{"dropping-particle":"","family":"Aydin","given":"A.E.","non-dropping-particle":"","parse-names":false,"suffix":""},{"dropping-particle":"","family":"Soysal","given":"P.","non-dropping-particle":"","parse-names":false,"suffix":""},{"dropping-particle":"","family":"Isik","given":"A.T.","non-dropping-particle":"","parse-names":false,"suffix":""}],"container-title":"Clinical Interventions in Aging","id":"ITEM-1","issued":{"date-parts":[["2017"]]},"title":"Which is preferable for orthostatic hypotension diagnosis in older adults: Active standing test or head-up tilt table test?","type":"article-journal","volume":"12"},"uris":["http://www.mendeley.com/documents/?uuid=4c776d6f-057f-3788-97f5-979f8cd6ce68"]}],"mendeley":{"formattedCitation":"(1)","plainTextFormattedCitation":"(1)","previouslyFormattedCitation":"(1)"},"properties":{"noteIndex":0},"schema":"https://github.com/citation-style-language/schema/raw/master/csl-citation.json"}</w:instrText>
      </w:r>
      <w:r w:rsidR="009E45D1" w:rsidRPr="00F85073">
        <w:rPr>
          <w:sz w:val="22"/>
          <w:szCs w:val="22"/>
        </w:rPr>
        <w:fldChar w:fldCharType="separate"/>
      </w:r>
      <w:r w:rsidR="009E45D1" w:rsidRPr="00F85073">
        <w:rPr>
          <w:noProof/>
          <w:sz w:val="22"/>
          <w:szCs w:val="22"/>
        </w:rPr>
        <w:t>(1)</w:t>
      </w:r>
      <w:r w:rsidR="009E45D1" w:rsidRPr="00F85073">
        <w:rPr>
          <w:sz w:val="22"/>
          <w:szCs w:val="22"/>
        </w:rPr>
        <w:fldChar w:fldCharType="end"/>
      </w:r>
      <w:r w:rsidR="009E45D1" w:rsidRPr="00F85073">
        <w:rPr>
          <w:sz w:val="22"/>
          <w:szCs w:val="22"/>
        </w:rPr>
        <w:t>.</w:t>
      </w:r>
      <w:r w:rsidRPr="00F85073">
        <w:rPr>
          <w:sz w:val="22"/>
          <w:szCs w:val="22"/>
        </w:rPr>
        <w:t xml:space="preserve"> Insufficiency in arterial baroreflex sensitivity, and a decrease in renin-angiotensin aldosterone level a</w:t>
      </w:r>
      <w:r w:rsidR="00B6656F" w:rsidRPr="00F85073">
        <w:rPr>
          <w:sz w:val="22"/>
          <w:szCs w:val="22"/>
        </w:rPr>
        <w:t>s well as its sensitivity may aid in</w:t>
      </w:r>
      <w:r w:rsidR="002779C3" w:rsidRPr="00F85073">
        <w:rPr>
          <w:sz w:val="22"/>
          <w:szCs w:val="22"/>
        </w:rPr>
        <w:t xml:space="preserve"> </w:t>
      </w:r>
      <w:r w:rsidRPr="00F85073">
        <w:rPr>
          <w:sz w:val="22"/>
          <w:szCs w:val="22"/>
        </w:rPr>
        <w:t xml:space="preserve">the development of OH in </w:t>
      </w:r>
      <w:r w:rsidR="00F67935" w:rsidRPr="00F85073">
        <w:rPr>
          <w:sz w:val="22"/>
          <w:szCs w:val="22"/>
        </w:rPr>
        <w:t>older people</w:t>
      </w:r>
      <w:r w:rsidR="009E45D1" w:rsidRPr="00F85073">
        <w:rPr>
          <w:sz w:val="22"/>
          <w:szCs w:val="22"/>
        </w:rPr>
        <w:t xml:space="preserve"> </w:t>
      </w:r>
      <w:r w:rsidR="009E45D1" w:rsidRPr="00F85073">
        <w:rPr>
          <w:sz w:val="22"/>
          <w:szCs w:val="22"/>
        </w:rPr>
        <w:fldChar w:fldCharType="begin" w:fldLock="1"/>
      </w:r>
      <w:r w:rsidR="00F102D1" w:rsidRPr="00F85073">
        <w:rPr>
          <w:sz w:val="22"/>
          <w:szCs w:val="22"/>
        </w:rPr>
        <w:instrText>ADDIN CSL_CITATION {"citationItems":[{"id":"ITEM-1","itemData":{"DOI":"10.1007/s10286-007-1004-0","ISSN":"0959-9851 (Print)","PMID":"18368300","abstract":"Orthostatic Hypotension (OH) is a common manifestation of blood pressure dysregulation. OH takes a heavy toll on quality of life. It has many potential etiologies, and many effects of aging can increase susceptibility to OH. Neurological disorders are especially likely to cause severe OH. In this brief review, the pathogenesis of OH is considered, particularly in terms of autonomic neuropathy, multiple system atrophy (MSA), pure autonomic failure, baroreflex failure, and dopamine beta hydroxylase deficiency. While OH is difficult to treat, its control greatly enhances the quality of life.","author":[{"dropping-particle":"","family":"Robertson","given":"David","non-dropping-particle":"","parse-names":false,"suffix":""}],"container-title":"Clinical autonomic research : official journal of the Clinical Autonomic Research Society","id":"ITEM-1","issued":{"date-parts":[["2008","3"]]},"language":"eng","page":"2-7","publisher-place":"Germany","title":"The pathophysiology and diagnosis of orthostatic hypotension.","type":"article-journal","volume":"18 Suppl 1"},"uris":["http://www.mendeley.com/documents/?uuid=4d39ade7-7998-427a-bfc7-8f1ed2b19f02"]}],"mendeley":{"formattedCitation":"(2)","plainTextFormattedCitation":"(2)","previouslyFormattedCitation":"(2)"},"properties":{"noteIndex":0},"schema":"https://github.com/citation-style-language/schema/raw/master/csl-citation.json"}</w:instrText>
      </w:r>
      <w:r w:rsidR="009E45D1" w:rsidRPr="00F85073">
        <w:rPr>
          <w:sz w:val="22"/>
          <w:szCs w:val="22"/>
        </w:rPr>
        <w:fldChar w:fldCharType="separate"/>
      </w:r>
      <w:r w:rsidR="009E45D1" w:rsidRPr="00F85073">
        <w:rPr>
          <w:noProof/>
          <w:sz w:val="22"/>
          <w:szCs w:val="22"/>
        </w:rPr>
        <w:t>(2)</w:t>
      </w:r>
      <w:r w:rsidR="009E45D1" w:rsidRPr="00F85073">
        <w:rPr>
          <w:sz w:val="22"/>
          <w:szCs w:val="22"/>
        </w:rPr>
        <w:fldChar w:fldCharType="end"/>
      </w:r>
      <w:r w:rsidR="009E45D1" w:rsidRPr="00F85073">
        <w:rPr>
          <w:sz w:val="22"/>
          <w:szCs w:val="22"/>
        </w:rPr>
        <w:t xml:space="preserve">. </w:t>
      </w:r>
      <w:r w:rsidR="00F67935" w:rsidRPr="00F85073">
        <w:rPr>
          <w:sz w:val="22"/>
          <w:szCs w:val="22"/>
        </w:rPr>
        <w:t xml:space="preserve">However, neurodegenerative diseases such as </w:t>
      </w:r>
      <w:r w:rsidR="009E45D1" w:rsidRPr="00F85073">
        <w:rPr>
          <w:sz w:val="22"/>
          <w:szCs w:val="22"/>
        </w:rPr>
        <w:t xml:space="preserve">parkinson's disease, </w:t>
      </w:r>
      <w:r w:rsidR="00F67935" w:rsidRPr="00F85073">
        <w:rPr>
          <w:sz w:val="22"/>
          <w:szCs w:val="22"/>
        </w:rPr>
        <w:t xml:space="preserve">diabetes mellitus, malnutrition, frailty, dehydration, or drugs used (such as antihypertensive drugs, levodopa, antidepressants and benzodiazepines), which increase with aging, </w:t>
      </w:r>
      <w:r w:rsidR="00B6656F" w:rsidRPr="00F85073">
        <w:rPr>
          <w:sz w:val="22"/>
          <w:szCs w:val="22"/>
        </w:rPr>
        <w:t xml:space="preserve">further </w:t>
      </w:r>
      <w:r w:rsidR="00F67935" w:rsidRPr="00F85073">
        <w:rPr>
          <w:sz w:val="22"/>
          <w:szCs w:val="22"/>
        </w:rPr>
        <w:t>incre</w:t>
      </w:r>
      <w:r w:rsidR="00F102D1" w:rsidRPr="00F85073">
        <w:rPr>
          <w:sz w:val="22"/>
          <w:szCs w:val="22"/>
        </w:rPr>
        <w:t>ase</w:t>
      </w:r>
      <w:r w:rsidR="00B6656F" w:rsidRPr="00F85073">
        <w:rPr>
          <w:sz w:val="22"/>
          <w:szCs w:val="22"/>
        </w:rPr>
        <w:t>s</w:t>
      </w:r>
      <w:r w:rsidR="00F102D1" w:rsidRPr="00F85073">
        <w:rPr>
          <w:sz w:val="22"/>
          <w:szCs w:val="22"/>
        </w:rPr>
        <w:t xml:space="preserve"> th</w:t>
      </w:r>
      <w:r w:rsidR="00B6656F" w:rsidRPr="00F85073">
        <w:rPr>
          <w:sz w:val="22"/>
          <w:szCs w:val="22"/>
        </w:rPr>
        <w:t>e</w:t>
      </w:r>
      <w:r w:rsidR="00F102D1" w:rsidRPr="00F85073">
        <w:rPr>
          <w:sz w:val="22"/>
          <w:szCs w:val="22"/>
        </w:rPr>
        <w:t xml:space="preserve"> possibility</w:t>
      </w:r>
      <w:r w:rsidR="00B6656F" w:rsidRPr="00F85073">
        <w:rPr>
          <w:sz w:val="22"/>
          <w:szCs w:val="22"/>
        </w:rPr>
        <w:t xml:space="preserve"> of this condition</w:t>
      </w:r>
      <w:r w:rsidR="00F102D1" w:rsidRPr="00F85073">
        <w:rPr>
          <w:sz w:val="22"/>
          <w:szCs w:val="22"/>
        </w:rPr>
        <w:t xml:space="preserve"> </w:t>
      </w:r>
      <w:r w:rsidR="00F102D1" w:rsidRPr="00F85073">
        <w:rPr>
          <w:sz w:val="22"/>
          <w:szCs w:val="22"/>
        </w:rPr>
        <w:fldChar w:fldCharType="begin" w:fldLock="1"/>
      </w:r>
      <w:r w:rsidR="00F102D1" w:rsidRPr="00F85073">
        <w:rPr>
          <w:sz w:val="22"/>
          <w:szCs w:val="22"/>
        </w:rPr>
        <w:instrText>ADDIN CSL_CITATION {"citationItems":[{"id":"ITEM-1","itemData":{"DOI":"10.1016/j.archger.2016.03.022","ISSN":"18726976 01674943","abstract":"© 2016 Elsevier Ireland Ltd.Detection of orthostatic hypotension (OH) is very important in geriatric practice, since OH is associated with mortality, ischemic stroke, falls, cognitive failure and depression. It was aimed to determine the most appropriate time for measuring blood pressure in transition from supine to upright position in order to diagnose OH in elderly. Comprehensive geriatric assessment (CGA) including Head up Tilt Table (HUT) test was performed in 407 geriatric patients. Orthostatic changes were assessed separately for the 1st, 3rd and 5th minutes (HUT1, HUT3 and HUT5, respectively) taking the data in supine position as the basis. The mean age, recurrent falls, presence of dementia and Parkinson's disease, number of drugs, alpha-blocker and anti-dementia drug use, and fasting blood glucose levels were significantly higher in the patients with versus without OH; whereas, albumin and 25-hydroxy vitamin D levels were significantly lower (p &lt; 0.05). However, different from HUT3 and HUT5, Charlson Comorbidity Index and the prevalence of diabetes mellitus were higher, the use of antidiabetics, antipsychotics, benzodiazepine, opioid and levodopa were more common (p &lt; 0.05). Statistical significance of the number of drugs and fasting blood glucose level was prominent in HUT1 as compared to HUT3 (p &lt; 0.01, p &lt; 0.05). Comparison of the patients that had OH only in HUT1, HUT3or HUT5 revealed no difference in terms of CGA parameters. These results suggests that orthostatic blood pressure changes determined at the 1st minute might be more important for geriatric practice. Moreover, 1st minute measurement might be more convenient in the elderly as it requires shorter time in practice.","author":[{"dropping-particle":"","family":"Soysal","given":"P.","non-dropping-particle":"","parse-names":false,"suffix":""},{"dropping-particle":"","family":"Aydin","given":"A.E.","non-dropping-particle":"","parse-names":false,"suffix":""},{"dropping-particle":"","family":"Koc Okudur","given":"S.","non-dropping-particle":"","parse-names":false,"suffix":""},{"dropping-particle":"","family":"Isik","given":"A.T.","non-dropping-particle":"","parse-names":false,"suffix":""}],"container-title":"Archives of Gerontology and Geriatrics","id":"ITEM-1","issued":{"date-parts":[["2016"]]},"title":"When should orthostatic blood pressure changes be evaluated in elderly: 1st, 3rd or 5th minute?","type":"article-journal","volume":"65"},"uris":["http://www.mendeley.com/documents/?uuid=e53b04be-5e22-36df-a0bb-995acf9e4a94"]},{"id":"ITEM-2","itemData":{"DOI":"10.1016/j.exger.2019.06.001","ISSN":"1873-6815 (Electronic)","PMID":"31173842","abstract":"Orthostatic hypotension (OH) is reported to be more prevalent particularly in patients with Dementia with Lewy bodies (DLB) because of the autonomic dysfunction, but prevalence of OH is not known in patients with Alzheimer Disease (AD). The aim of the present study was to determine whether OH can be used to distinguish DLB from AD. 38 patients with DLB, 88 patients with AD and 521 patients without dementia, underwent Comprehensive Geriatric Assessment. OH were evaluated for the 1st (OH1) and 3rd (OH3) minutes, taking the data in supine position as the basis, by Head-Up-Tilt Test. Prevalence of OH1 was 43.2% in AD, 44.7% in DLB and 17.9% in patients without dementia, and OH3 was 44.3% in AD, 47.4% in DLB and 17.9% in non-dementia group. The frequency of OH1 and OH3 was higher in the AD and DLB groups than in the patients without dementia (p&lt;0.001), but there was no significant difference between DLB and AD in terms of OH (p&gt;0.05). The percentage of asymptomatic patients with OH was 87.2% and 89.6% during 1st and 3rd minutes, respectively, and this percentage was similar in three groups (p&gt;0.05, for each). There was no significant difference between the two dementia groups in terms of comorbidities, drugs and laboratory values (p&gt;0.05). OH is more prevalent in patients with AD than controls and similar levels are observed in those with DLB. The prevalence of OH equally is greater with DLB or AD disease progression. Clinicians should be aware of OH and its related consequences in the management of the AD in older adults.","author":[{"dropping-particle":"","family":"Isik","given":"Ahmet Turan","non-dropping-particle":"","parse-names":false,"suffix":""},{"dropping-particle":"","family":"Kocyigit","given":"Suleyman Emre","non-dropping-particle":"","parse-names":false,"suffix":""},{"dropping-particle":"","family":"Smith","given":"Lee","non-dropping-particle":"","parse-names":false,"suffix":""},{"dropping-particle":"","family":"Aydin","given":"Ali Ekrem","non-dropping-particle":"","parse-names":false,"suffix":""},{"dropping-particle":"","family":"Soysal","given":"Pinar","non-dropping-particle":"","parse-names":false,"suffix":""}],"container-title":"Experimental gerontology","id":"ITEM-2","issued":{"date-parts":[["2019","9"]]},"language":"eng","page":"110628","publisher-place":"England","title":"A comparison of the prevalence of orthostatic hypotension between older patients  with Alzheimer's Disease, Lewy body dementia, and without dementia.","type":"article-journal","volume":"124"},"uris":["http://www.mendeley.com/documents/?uuid=1b87068b-cc5c-47c7-bd1b-ab6eac537c6d"]},{"id":"ITEM-3","itemData":{"DOI":"10.11909/j.issn.1671-5411.2019.03.005","ISSN":"1671-5411 (Print)","PMID":"31080470","abstract":"Background: Frailty and orthostatic hypotension (OH), which is common in older adults, is associated with morbidity and mortality. The relationship between them remains unclear. The aim of the study is to determine whether there is a relationship between frailty and OH. Methods: A total of 496 patients who were admitted to the geriatric clinic and underwent comprehensive geriatric assessment were retrospectively reviewed. In a cross-sectional and observational study, OH was measured by the Head-up Tilt Table test at 1, 3, and 5 min (respectively, OH1, OH3, and OH5) and the frailty was measured by the Fried's frailty scale. Results: The mean age of all patients was 75.4 +/- 7.38. The prevalence of females was 69.8%. When the frail people were compared with the pre-frail and the robust ones, the frailty was associated with OH1. There was no relationship between the groups in terms of OH1 when the pre-frail group was compared with the robust group. OH3 were higher in the frail group than in the pre-frail group (P &lt; 0.05) and the OH5 were higher in the frail group than in the pre-frail and robust group (P &lt; 0.05), but OH3 and OH5 were not associated with frailty status when they were adjusted for age (P &gt; 0.05). Slowness and weakness were associated with OH1 (P &lt; 0.05), whereas the other components of the Fried's test were not. Conclusions: Frailty may be a risk factor for OH1. The 1(st) min measurements of OH should be routinely evaluated in frail older adults to prevent OH-related poor outcomes.","author":[{"dropping-particle":"","family":"Kocyigit","given":"Suleyman Emre","non-dropping-particle":"","parse-names":false,"suffix":""},{"dropping-particle":"","family":"Soysal","given":"Pinar","non-dropping-particle":"","parse-names":false,"suffix":""},{"dropping-particle":"","family":"Bulut","given":"Esra Ates","non-dropping-particle":"","parse-names":false,"suffix":""},{"dropping-particle":"","family":"Aydin","given":"Ali Ekrem","non-dropping-particle":"","parse-names":false,"suffix":""},{"dropping-particle":"","family":"Dokuzlar","given":"Ozge","non-dropping-particle":"","parse-names":false,"suffix":""},{"dropping-particle":"","family":"Isik","given":"Ahmet Turan","non-dropping-particle":"","parse-names":false,"suffix":""}],"container-title":"Journal of geriatric cardiology : JGC","id":"ITEM-3","issue":"3","issued":{"date-parts":[["2019","3"]]},"language":"eng","page":"272-279","publisher-place":"China","title":"What is the relationship between frailty and orthostatic hypotension in older adults?","type":"article-journal","volume":"16"},"uris":["http://www.mendeley.com/documents/?uuid=06b698c3-0dda-485d-88a1-4968a8732034"]},{"id":"ITEM-4","itemData":{"DOI":"10.1007/s12603-018-1032-6","ISSN":"17604788","abstract":"© 2018 Serdi and Springer-Verlag France SAS, part of Springer Nature Background: Malnutrition and orthostatic hypotension(OH) are the two important geriatric syndromes, which have similar negative outcomes such as falls. The aim of the study is to detect whether there is any relation between malnutrition and OH. Methods: 862 geriatric patients, who had undergone comprehensive geriatric assessment (CGA),were included in the retrospective study. OH was identified as 20 and/or 10 mmHg dropped for systolic and/or diastolic blood pressures with the active standing test when patients got up from supine to standing position. Nutritional status was checked according to Mini Nutritional Assesment-Short Form(MNASF). Results: The mean age of the patients was 74±8.05, and %66.3 of them were female. The prevalence of malnutrition, malnutrition-risk and OH were detected as 7.7%, 26.9 % and 21.2%, respectively. When OH, systolic OH, diastolic OH and control group were compared with CGA parameters and the effects of age and gender were removed, the frequency of falls and Timed-Up and Go Test were higher, activity daily living indexes and TINETTI-Balance scores were lower in systolic OH than without it (p &lt; 0.05). Systolic OH was more frequent in malnutrition-risk and malnutrition group than control group (p &lt; 0.002 and p &lt; 0.05, respectively). Diastolic OH was not associated with nutritional status (p &gt; 0.05).OH was only higher in malnutrition-risk group than robust (p &lt; 0.05). Conclusion: Our findings suggest that not only malnutrition but also malnutrition-risk may be associated with systolic OH, which leads to many negative outcomes in older adults. Because malnutrition/malnutrition risk is preventable and reversible, nutritional status should be checked during the evaluation of OH patients.","author":[{"dropping-particle":"","family":"Kocyigit","given":"S.E.","non-dropping-particle":"","parse-names":false,"suffix":""},{"dropping-particle":"","family":"Soysal","given":"P.","non-dropping-particle":"","parse-names":false,"suffix":""},{"dropping-particle":"","family":"Ates Bulut","given":"E.","non-dropping-particle":"","parse-names":false,"suffix":""},{"dropping-particle":"","family":"Isik","given":"A.T.","non-dropping-particle":"","parse-names":false,"suffix":""}],"container-title":"Journal of Nutrition, Health and Aging","id":"ITEM-4","issued":{"date-parts":[["2018"]]},"title":"Malnutrition and Malnutrition Risk Can Be Associated with Systolic Orthostatic Hypotension in Older Adults","type":"article-journal"},"uris":["http://www.mendeley.com/documents/?uuid=e88cd271-178a-3f7b-bf81-1349c54833b5"]}],"mendeley":{"formattedCitation":"(3–6)","plainTextFormattedCitation":"(3–6)","previouslyFormattedCitation":"(3–6)"},"properties":{"noteIndex":0},"schema":"https://github.com/citation-style-language/schema/raw/master/csl-citation.json"}</w:instrText>
      </w:r>
      <w:r w:rsidR="00F102D1" w:rsidRPr="00F85073">
        <w:rPr>
          <w:sz w:val="22"/>
          <w:szCs w:val="22"/>
        </w:rPr>
        <w:fldChar w:fldCharType="separate"/>
      </w:r>
      <w:r w:rsidR="00F102D1" w:rsidRPr="00F85073">
        <w:rPr>
          <w:noProof/>
          <w:sz w:val="22"/>
          <w:szCs w:val="22"/>
        </w:rPr>
        <w:t>(3–6)</w:t>
      </w:r>
      <w:r w:rsidR="00F102D1" w:rsidRPr="00F85073">
        <w:rPr>
          <w:sz w:val="22"/>
          <w:szCs w:val="22"/>
        </w:rPr>
        <w:fldChar w:fldCharType="end"/>
      </w:r>
      <w:r w:rsidR="00F102D1" w:rsidRPr="00F85073">
        <w:rPr>
          <w:sz w:val="22"/>
          <w:szCs w:val="22"/>
        </w:rPr>
        <w:t>.</w:t>
      </w:r>
      <w:r w:rsidR="00F67935" w:rsidRPr="00F85073">
        <w:rPr>
          <w:sz w:val="22"/>
          <w:szCs w:val="22"/>
        </w:rPr>
        <w:t xml:space="preserve"> For these reasons, negative clinical problems associated with OH </w:t>
      </w:r>
      <w:r w:rsidR="00435260" w:rsidRPr="00F85073">
        <w:rPr>
          <w:sz w:val="22"/>
          <w:szCs w:val="22"/>
        </w:rPr>
        <w:t xml:space="preserve">are </w:t>
      </w:r>
      <w:r w:rsidR="00F67935" w:rsidRPr="00F85073">
        <w:rPr>
          <w:sz w:val="22"/>
          <w:szCs w:val="22"/>
        </w:rPr>
        <w:t>more commonly in older people.</w:t>
      </w:r>
      <w:r w:rsidR="00EC04AB" w:rsidRPr="00F85073">
        <w:rPr>
          <w:sz w:val="22"/>
          <w:szCs w:val="22"/>
        </w:rPr>
        <w:t xml:space="preserve"> </w:t>
      </w:r>
    </w:p>
    <w:p w14:paraId="64554AEF" w14:textId="77777777" w:rsidR="00F67935" w:rsidRPr="00F85073" w:rsidRDefault="00F67935" w:rsidP="00F43EDA">
      <w:pPr>
        <w:spacing w:line="360" w:lineRule="auto"/>
        <w:jc w:val="both"/>
        <w:rPr>
          <w:sz w:val="22"/>
          <w:szCs w:val="22"/>
        </w:rPr>
      </w:pPr>
    </w:p>
    <w:p w14:paraId="37289FA9" w14:textId="74825FBC" w:rsidR="00C44BDC" w:rsidRPr="00F85073" w:rsidRDefault="00F67935" w:rsidP="00F43EDA">
      <w:pPr>
        <w:spacing w:line="360" w:lineRule="auto"/>
        <w:jc w:val="both"/>
        <w:rPr>
          <w:sz w:val="22"/>
          <w:szCs w:val="22"/>
        </w:rPr>
      </w:pPr>
      <w:r w:rsidRPr="00F85073">
        <w:rPr>
          <w:sz w:val="22"/>
          <w:szCs w:val="22"/>
        </w:rPr>
        <w:t>In an umbrella review compiling all the latest published observational studies, OH was found to be associated with fall</w:t>
      </w:r>
      <w:r w:rsidR="00B6656F" w:rsidRPr="00F85073">
        <w:rPr>
          <w:sz w:val="22"/>
          <w:szCs w:val="22"/>
        </w:rPr>
        <w:t>ing</w:t>
      </w:r>
      <w:r w:rsidRPr="00F85073">
        <w:rPr>
          <w:sz w:val="22"/>
          <w:szCs w:val="22"/>
        </w:rPr>
        <w:t>, coronary heart disease, congestive heart failure, stroke, dem</w:t>
      </w:r>
      <w:r w:rsidR="00F102D1" w:rsidRPr="00F85073">
        <w:rPr>
          <w:sz w:val="22"/>
          <w:szCs w:val="22"/>
        </w:rPr>
        <w:t xml:space="preserve">entia, and all-cause mortality </w:t>
      </w:r>
      <w:r w:rsidR="00F102D1" w:rsidRPr="00F85073">
        <w:rPr>
          <w:sz w:val="22"/>
          <w:szCs w:val="22"/>
        </w:rPr>
        <w:fldChar w:fldCharType="begin" w:fldLock="1"/>
      </w:r>
      <w:r w:rsidR="00F102D1" w:rsidRPr="00F85073">
        <w:rPr>
          <w:sz w:val="22"/>
          <w:szCs w:val="22"/>
        </w:rPr>
        <w:instrText>ADDIN CSL_CITATION {"citationItems":[{"id":"ITEM-1","itemData":{"DOI":"http://dx.doi.org/10.1007/s41999-019-00239-4","ISSN":"1878-7649","author":[{"dropping-particle":"","family":"P.","given":"Soysal","non-dropping-particle":"","parse-names":false,"suffix":""},{"dropping-particle":"","family":"N.","given":"Veronese","non-dropping-particle":"","parse-names":false,"suffix":""},{"dropping-particle":"","family":"L.","given":"Smith","non-dropping-particle":"","parse-names":false,"suffix":""},{"dropping-particle":"","family":"G.","given":"Torbahn","non-dropping-particle":"","parse-names":false,"suffix":""},{"dropping-particle":"","family":"S.E.","given":"Jackson","non-dropping-particle":"","parse-names":false,"suffix":""},{"dropping-particle":"","family":"L.","given":"Yang","non-dropping-particle":"","parse-names":false,"suffix":""},{"dropping-particle":"","family":"A.","given":"Ungar","non-dropping-particle":"","parse-names":false,"suffix":""},{"dropping-particle":"","family":"G.","given":"Rivasi","non-dropping-particle":"","parse-names":false,"suffix":""},{"dropping-particle":"","family":"M.","given":"Rafanelli","non-dropping-particle":"","parse-names":false,"suffix":""},{"dropping-particle":"","family":"M.","given":"Petrovic","non-dropping-particle":"","parse-names":false,"suffix":""},{"dropping-particle":"","family":"S.","given":"Maggi","non-dropping-particle":"","parse-names":false,"suffix":""},{"dropping-particle":"","family":"A.T.","given":"Isik","non-dropping-particle":"","parse-names":false,"suffix":""},{"dropping-particle":"","family":"J.","given":"Demurtas","non-dropping-particle":"","parse-names":false,"suffix":""}],"container-title":"European Geriatric Medicine","id":"ITEM-1","issue":"6","issued":{"date-parts":[["2019"]]},"language":"English","page":"863-870","title":"Orthostatic hypotension and health outcomes: an umbrella review of observational studies.","type":"article-journal","volume":"10"},"uris":["http://www.mendeley.com/documents/?uuid=d1f54d39-53be-4e3e-baba-c390568f86c1"]}],"mendeley":{"formattedCitation":"(7)","plainTextFormattedCitation":"(7)","previouslyFormattedCitation":"(7)"},"properties":{"noteIndex":0},"schema":"https://github.com/citation-style-language/schema/raw/master/csl-citation.json"}</w:instrText>
      </w:r>
      <w:r w:rsidR="00F102D1" w:rsidRPr="00F85073">
        <w:rPr>
          <w:sz w:val="22"/>
          <w:szCs w:val="22"/>
        </w:rPr>
        <w:fldChar w:fldCharType="separate"/>
      </w:r>
      <w:r w:rsidR="00F102D1" w:rsidRPr="00F85073">
        <w:rPr>
          <w:noProof/>
          <w:sz w:val="22"/>
          <w:szCs w:val="22"/>
        </w:rPr>
        <w:t>(7)</w:t>
      </w:r>
      <w:r w:rsidR="00F102D1" w:rsidRPr="00F85073">
        <w:rPr>
          <w:sz w:val="22"/>
          <w:szCs w:val="22"/>
        </w:rPr>
        <w:fldChar w:fldCharType="end"/>
      </w:r>
      <w:r w:rsidR="00F102D1" w:rsidRPr="00F85073">
        <w:rPr>
          <w:sz w:val="22"/>
          <w:szCs w:val="22"/>
        </w:rPr>
        <w:t xml:space="preserve">. </w:t>
      </w:r>
      <w:r w:rsidR="000335CE" w:rsidRPr="00F85073">
        <w:rPr>
          <w:sz w:val="22"/>
          <w:szCs w:val="22"/>
        </w:rPr>
        <w:t xml:space="preserve">OH may result in decreased physical activity and decreased functionality </w:t>
      </w:r>
      <w:r w:rsidR="00435260" w:rsidRPr="00F85073">
        <w:rPr>
          <w:sz w:val="22"/>
          <w:szCs w:val="22"/>
        </w:rPr>
        <w:t xml:space="preserve">owing to associated </w:t>
      </w:r>
      <w:r w:rsidR="000335CE" w:rsidRPr="00F85073">
        <w:rPr>
          <w:sz w:val="22"/>
          <w:szCs w:val="22"/>
        </w:rPr>
        <w:t xml:space="preserve">symptoms </w:t>
      </w:r>
      <w:r w:rsidR="00435260" w:rsidRPr="00F85073">
        <w:rPr>
          <w:sz w:val="22"/>
          <w:szCs w:val="22"/>
        </w:rPr>
        <w:t xml:space="preserve">when being active </w:t>
      </w:r>
      <w:r w:rsidR="000335CE" w:rsidRPr="00F85073">
        <w:rPr>
          <w:sz w:val="22"/>
          <w:szCs w:val="22"/>
        </w:rPr>
        <w:t>such as dizziness, blackout</w:t>
      </w:r>
      <w:r w:rsidR="00435260" w:rsidRPr="00F85073">
        <w:rPr>
          <w:sz w:val="22"/>
          <w:szCs w:val="22"/>
        </w:rPr>
        <w:t>s</w:t>
      </w:r>
      <w:r w:rsidR="000335CE" w:rsidRPr="00F85073">
        <w:rPr>
          <w:sz w:val="22"/>
          <w:szCs w:val="22"/>
        </w:rPr>
        <w:t>, temporary loss of consciousness, w</w:t>
      </w:r>
      <w:r w:rsidR="00F102D1" w:rsidRPr="00F85073">
        <w:rPr>
          <w:sz w:val="22"/>
          <w:szCs w:val="22"/>
        </w:rPr>
        <w:t xml:space="preserve">eakness, nausea and drowsiness </w:t>
      </w:r>
      <w:r w:rsidR="009F081F" w:rsidRPr="00F85073">
        <w:rPr>
          <w:sz w:val="22"/>
          <w:szCs w:val="22"/>
        </w:rPr>
        <w:fldChar w:fldCharType="begin" w:fldLock="1"/>
      </w:r>
      <w:r w:rsidR="009F081F" w:rsidRPr="00F85073">
        <w:rPr>
          <w:sz w:val="22"/>
          <w:szCs w:val="22"/>
        </w:rPr>
        <w:instrText>ADDIN CSL_CITATION {"citationItems":[{"id":"ITEM-1","itemData":{"DOI":"10.1016/j.arr.2018.10.007","ISSN":"1872-9649 (Electronic)","PMID":"30394339","abstract":"BACKGROUND: Orthostatic hypotension (OH) may negatively affect physical functioning and aggravate morbidities, but existing evidence is contradictory. METHODS: MEDLINE (from 1946), PubMed (from 1966) and EMBASE databases (from 1947) were systematically searched for studies on the association of OH and physical functioning in older adults, categorized as: balance, gait characteristics, walking speed, Timed Up and Go time, handgrip strength (HGS), physical frailty, exercise tolerance, physical activity, activities of daily living (ADL), and performance on the Hoehn and Yahr scale (HY) and Unified Parkinson's Disease Rating Scale (UPDRS). Study quality was assessed using the Newcastle Ottawa Scale. RESULTS: Forty-two studies were included in the systematic review (29,421 individuals) and 29 studies in the meta-analyses (23,879 individuals). Sixteen out of 42 studies reported a significant association of OH with worse physical functioning. Meta-analysis showed a significant association of OH with impaired balance, ADL performance and HY/UPDRS III performance, but not with gait characteristics, mobility, walking speed, TUG, HGS, physical frailty, exercise tolerance, physical activity and UPDRS II performance. CONCLUSIONS: OH was associated with impaired balance, ADL performance and HY/UPDRS III performance, but not with other physical functioning categories. The results suggest that OH interventions could potentially improve some aspects of physical functioning.","author":[{"dropping-particle":"","family":"Mol","given":"Arjen","non-dropping-particle":"","parse-names":false,"suffix":""},{"dropping-particle":"","family":"Reijnierse","given":"Esmee M","non-dropping-particle":"","parse-names":false,"suffix":""},{"dropping-particle":"","family":"Bui Hoang","given":"Phuong Thanh Silvie","non-dropping-particle":"","parse-names":false,"suffix":""},{"dropping-particle":"","family":"Wezel","given":"Richard J A","non-dropping-particle":"van","parse-names":false,"suffix":""},{"dropping-particle":"","family":"Meskers","given":"Carel G M","non-dropping-particle":"","parse-names":false,"suffix":""},{"dropping-particle":"","family":"Maier","given":"Andrea B","non-dropping-particle":"","parse-names":false,"suffix":""}],"container-title":"Ageing research reviews","id":"ITEM-1","issued":{"date-parts":[["2018","12"]]},"language":"eng","page":"122-144","publisher-place":"England","title":"Orthostatic hypotension and physical functioning in older adults: A systematic review and meta-analysis.","type":"article-journal","volume":"48"},"uris":["http://www.mendeley.com/documents/?uuid=b7dd7c4b-9e6c-46e9-9e95-60c86667a99d"]},{"id":"ITEM-2","itemData":{"DOI":"10.4065/70.7.617","ISSN":"0025-6196 (Print)","PMID":"7791382","abstract":"OBJECTIVE: To undertake a prospective study of the clinical characteristics of orthostatic intolerant patients referred to the Mayo Autonomic Reflex Laboratory with suspected orthostatic hypotension (OH). DESIGN: Autonomic function tests were performed to quantify the severity of sudomotor, adrenergic, and cardiovagal failure and generate a composite autonomic symptom score (CASS). CASS was related to a symptom score, which was derived from the frequency of orthostatic intolerance and syncope and the standing time until occurrence of symptoms. RESULTS: Three groups were defined by their response to a tilt study: group I, 90 patients with symptomatic OH, mean age, 63.6 years; group II, 60 patients who had symptoms without OH, mean age, 48.9 years; and group III, 5 patients with asymptomatic OH, mean age, 68.0 years. Group I had a significantly higher CASS (P &lt; 0.001) than did those without OH. Further analysis was done on the 90 patients in group I. The most common symptoms were lightheadedness, weakness, impaired cognition, visual blurring, tremulousness, and vertigo. The most common aggravating factors were prolonged standing, exercise, warming, and eating. Most patients (75%) could stand for less than 5 minutes before symptoms occurred. Symptoms regressed significantly with CASS but not with the tilt grade. CONCLUSION: Patients with generalized autonomic failure have a recognizable pattern of symptoms and aggravating factors that relate, albeit imperfectly, to the severity of autonomic failure.","author":[{"dropping-particle":"","family":"Low","given":"P A","non-dropping-particle":"","parse-names":false,"suffix":""},{"dropping-particle":"","family":"Opfer-Gehrking","given":"T L","non-dropping-particle":"","parse-names":false,"suffix":""},{"dropping-particle":"","family":"McPhee","given":"B R","non-dropping-particle":"","parse-names":false,"suffix":""},{"dropping-particle":"","family":"Fealey","given":"R D","non-dropping-particle":"","parse-names":false,"suffix":""},{"dropping-particle":"","family":"Benarroch","given":"E E","non-dropping-particle":"","parse-names":false,"suffix":""},{"dropping-particle":"","family":"Willner","given":"C L","non-dropping-particle":"","parse-names":false,"suffix":""},{"dropping-particle":"","family":"Suarez","given":"G A","non-dropping-particle":"","parse-names":false,"suffix":""},{"dropping-particle":"","family":"Proper","given":"C J","non-dropping-particle":"","parse-names":false,"suffix":""},{"dropping-particle":"","family":"Felten","given":"J A","non-dropping-particle":"","parse-names":false,"suffix":""},{"dropping-particle":"","family":"Huck","given":"C A","non-dropping-particle":"","parse-names":false,"suffix":""}],"container-title":"Mayo Clinic proceedings","id":"ITEM-2","issue":"7","issued":{"date-parts":[["1995","7"]]},"language":"eng","page":"617-622","publisher-place":"England","title":"Prospective evaluation of clinical characteristics of orthostatic hypotension.","type":"article-journal","volume":"70"},"uris":["http://www.mendeley.com/documents/?uuid=f0688e38-2f33-4b19-ab2a-37d43c3d258b"]}],"mendeley":{"formattedCitation":"(8,9)","plainTextFormattedCitation":"(8,9)","previouslyFormattedCitation":"(8,9)"},"properties":{"noteIndex":0},"schema":"https://github.com/citation-style-language/schema/raw/master/csl-citation.json"}</w:instrText>
      </w:r>
      <w:r w:rsidR="009F081F" w:rsidRPr="00F85073">
        <w:rPr>
          <w:sz w:val="22"/>
          <w:szCs w:val="22"/>
        </w:rPr>
        <w:fldChar w:fldCharType="separate"/>
      </w:r>
      <w:r w:rsidR="009F081F" w:rsidRPr="00F85073">
        <w:rPr>
          <w:noProof/>
          <w:sz w:val="22"/>
          <w:szCs w:val="22"/>
        </w:rPr>
        <w:t>(8,9)</w:t>
      </w:r>
      <w:r w:rsidR="009F081F" w:rsidRPr="00F85073">
        <w:rPr>
          <w:sz w:val="22"/>
          <w:szCs w:val="22"/>
        </w:rPr>
        <w:fldChar w:fldCharType="end"/>
      </w:r>
      <w:r w:rsidR="009F081F" w:rsidRPr="00F85073">
        <w:rPr>
          <w:sz w:val="22"/>
          <w:szCs w:val="22"/>
        </w:rPr>
        <w:t xml:space="preserve">. </w:t>
      </w:r>
      <w:r w:rsidR="000335CE" w:rsidRPr="00F85073">
        <w:rPr>
          <w:sz w:val="22"/>
          <w:szCs w:val="22"/>
        </w:rPr>
        <w:t xml:space="preserve">Therefore, patients may develop fear of being mobilized </w:t>
      </w:r>
      <w:r w:rsidR="009F6579" w:rsidRPr="00F85073">
        <w:rPr>
          <w:sz w:val="22"/>
          <w:szCs w:val="22"/>
        </w:rPr>
        <w:t xml:space="preserve">owing to fear of falling (FoF) </w:t>
      </w:r>
      <w:r w:rsidR="000335CE" w:rsidRPr="00F85073">
        <w:rPr>
          <w:sz w:val="22"/>
          <w:szCs w:val="22"/>
        </w:rPr>
        <w:t xml:space="preserve">, </w:t>
      </w:r>
      <w:r w:rsidR="009F6579" w:rsidRPr="00F85073">
        <w:rPr>
          <w:sz w:val="22"/>
          <w:szCs w:val="22"/>
        </w:rPr>
        <w:t xml:space="preserve">that may consequently  increase risk of </w:t>
      </w:r>
      <w:r w:rsidR="000335CE" w:rsidRPr="00F85073">
        <w:rPr>
          <w:sz w:val="22"/>
          <w:szCs w:val="22"/>
        </w:rPr>
        <w:t xml:space="preserve"> repeated falls over time. However, although the studies carried out so far have shown the relationship of OH with  fall</w:t>
      </w:r>
      <w:r w:rsidR="00B6656F" w:rsidRPr="00F85073">
        <w:rPr>
          <w:sz w:val="22"/>
          <w:szCs w:val="22"/>
        </w:rPr>
        <w:t>ing</w:t>
      </w:r>
      <w:r w:rsidR="000335CE" w:rsidRPr="00F85073">
        <w:rPr>
          <w:sz w:val="22"/>
          <w:szCs w:val="22"/>
        </w:rPr>
        <w:t>, it is not known whether</w:t>
      </w:r>
      <w:r w:rsidR="00231F33" w:rsidRPr="00F85073">
        <w:rPr>
          <w:sz w:val="22"/>
          <w:szCs w:val="22"/>
        </w:rPr>
        <w:t xml:space="preserve"> </w:t>
      </w:r>
      <w:r w:rsidR="009F6579" w:rsidRPr="00F85073">
        <w:rPr>
          <w:sz w:val="22"/>
          <w:szCs w:val="22"/>
        </w:rPr>
        <w:t>FoF</w:t>
      </w:r>
      <w:r w:rsidR="000335CE" w:rsidRPr="00F85073">
        <w:rPr>
          <w:sz w:val="22"/>
          <w:szCs w:val="22"/>
        </w:rPr>
        <w:t xml:space="preserve">, which is as important as falls in geriatric </w:t>
      </w:r>
      <w:r w:rsidR="009F081F" w:rsidRPr="00F85073">
        <w:rPr>
          <w:sz w:val="22"/>
          <w:szCs w:val="22"/>
        </w:rPr>
        <w:t xml:space="preserve">practice, is associated with OH </w:t>
      </w:r>
      <w:r w:rsidR="009F081F" w:rsidRPr="00F85073">
        <w:rPr>
          <w:sz w:val="22"/>
          <w:szCs w:val="22"/>
        </w:rPr>
        <w:fldChar w:fldCharType="begin" w:fldLock="1"/>
      </w:r>
      <w:r w:rsidR="00384490" w:rsidRPr="00F85073">
        <w:rPr>
          <w:sz w:val="22"/>
          <w:szCs w:val="22"/>
        </w:rPr>
        <w:instrText>ADDIN CSL_CITATION {"citationItems":[{"id":"ITEM-1","itemData":{"DOI":"10.1016/j.jamda.2018.11.003","ISSN":"1538-9375 (Electronic)","PMID":"30583909","abstract":"OBJECTIVES: Orthostatic hypotension is a potential risk factor for falls in older adults, but existing evidence on this relationship is inconclusive. This study addresses the association between orthostatic hypotension and falls. DESIGN: Systematic review and meta-analysis of the cross-sectional and longitudinal studies assessing the association between orthostatic hypotension and falls, as preregistered in the PROSPERO database (CRD42017060134). SETTING AND PARTICIPANTS: A literature search was performed on February 20, 2017, in MEDLINE (from 1946), PubMed (from 1966), and EMBASE (from 1947) using the terms orthostatic hypotension, postural hypotension, and falls. References of included studies were screened for other eligible studies. Study selection was performed independently by 2 reviewers using the following inclusion criteria: published in English; mean/median age of the population &gt;/=65 years; blood pressure measurement before and after postural change; and assessment of the association of orthostatic hypotension with falls. The following studies were excluded: conference abstracts, case reports, reviews, and editorials. Data extraction was performed independently by 2 reviewers. MEASURES: Unadjusted odds ratios of the association between orthostatic hypotension and falls were used for pooling using a random effects model. Studies were rated as high, moderate, or low quality using the Newcastle-Ottawa Scale. RESULTS: Out of 5646 studies, 63 studies (51,800 individuals) were included in the systematic review and 50 studies (49,164 individuals) in the meta-analysis. Out of 63 studies, 39 were cross-sectional and 24 were longitudinal. Orthostatic hypotension was positively associated with falls (odds ratio 1.73, 95% confidence interval 1.50-1.99). The result was independent of study population, study design, study quality, orthostatic hypotension definition, and blood pressure measurement method. CONCLUSIONS AND IMPLICATIONS: Orthostatic hypotension is significantly positively associated with falls in older adults, underpinning the clinical relevance to test for an orthostatic blood pressure drop and highlighting the need to investigate orthostatic hypotension treatment to potentially reduce falls.","author":[{"dropping-particle":"","family":"Mol","given":"Arjen","non-dropping-particle":"","parse-names":false,"suffix":""},{"dropping-particle":"","family":"Bui Hoang","given":"Phuong Thanh Silvie","non-dropping-particle":"","parse-names":false,"suffix":""},{"dropping-particle":"","family":"Sharmin","given":"Sifat","non-dropping-particle":"","parse-names":false,"suffix":""},{"dropping-particle":"","family":"Reijnierse","given":"Esmee M","non-dropping-particle":"","parse-names":false,"suffix":""},{"dropping-particle":"","family":"Wezel","given":"Richard J A","non-dropping-particle":"van","parse-names":false,"suffix":""},{"dropping-particle":"","family":"Meskers","given":"Carel G M","non-dropping-particle":"","parse-names":false,"suffix":""},{"dropping-particle":"","family":"Maier","given":"Andrea B","non-dropping-particle":"","parse-names":false,"suffix":""}],"container-title":"Journal of the American Medical Directors Association","id":"ITEM-1","issue":"5","issued":{"date-parts":[["2019","5"]]},"language":"eng","page":"589-597.e5","publisher-place":"United States","title":"Orthostatic Hypotension and Falls in Older Adults: A Systematic Review and Meta-analysis.","type":"article-journal","volume":"20"},"uris":["http://www.mendeley.com/documents/?uuid=b0b8a6f3-69f2-4f62-9227-a473e170c998"]}],"mendeley":{"formattedCitation":"(10)","plainTextFormattedCitation":"(10)","previouslyFormattedCitation":"(10)"},"properties":{"noteIndex":0},"schema":"https://github.com/citation-style-language/schema/raw/master/csl-citation.json"}</w:instrText>
      </w:r>
      <w:r w:rsidR="009F081F" w:rsidRPr="00F85073">
        <w:rPr>
          <w:sz w:val="22"/>
          <w:szCs w:val="22"/>
        </w:rPr>
        <w:fldChar w:fldCharType="separate"/>
      </w:r>
      <w:r w:rsidR="009F081F" w:rsidRPr="00F85073">
        <w:rPr>
          <w:noProof/>
          <w:sz w:val="22"/>
          <w:szCs w:val="22"/>
        </w:rPr>
        <w:t>(10)</w:t>
      </w:r>
      <w:r w:rsidR="009F081F" w:rsidRPr="00F85073">
        <w:rPr>
          <w:sz w:val="22"/>
          <w:szCs w:val="22"/>
        </w:rPr>
        <w:fldChar w:fldCharType="end"/>
      </w:r>
      <w:r w:rsidR="009F081F" w:rsidRPr="00F85073">
        <w:rPr>
          <w:sz w:val="22"/>
          <w:szCs w:val="22"/>
        </w:rPr>
        <w:t>.</w:t>
      </w:r>
      <w:r w:rsidR="00435260" w:rsidRPr="00F85073">
        <w:rPr>
          <w:sz w:val="22"/>
          <w:szCs w:val="22"/>
        </w:rPr>
        <w:t xml:space="preserve"> </w:t>
      </w:r>
    </w:p>
    <w:p w14:paraId="6525F150" w14:textId="77777777" w:rsidR="002779C3" w:rsidRPr="00F85073" w:rsidRDefault="002779C3" w:rsidP="00F43EDA">
      <w:pPr>
        <w:spacing w:line="360" w:lineRule="auto"/>
        <w:jc w:val="both"/>
        <w:rPr>
          <w:sz w:val="22"/>
          <w:szCs w:val="22"/>
        </w:rPr>
      </w:pPr>
    </w:p>
    <w:p w14:paraId="2C81D6AF" w14:textId="37F4B1F7" w:rsidR="009426A8" w:rsidRPr="00F85073" w:rsidRDefault="000335CE" w:rsidP="00F43EDA">
      <w:pPr>
        <w:spacing w:line="360" w:lineRule="auto"/>
        <w:jc w:val="both"/>
        <w:rPr>
          <w:sz w:val="22"/>
          <w:szCs w:val="22"/>
        </w:rPr>
      </w:pPr>
      <w:r w:rsidRPr="00F85073">
        <w:rPr>
          <w:sz w:val="22"/>
          <w:szCs w:val="22"/>
        </w:rPr>
        <w:t>The aim of this study was to det</w:t>
      </w:r>
      <w:r w:rsidR="007B4192" w:rsidRPr="00F85073">
        <w:rPr>
          <w:sz w:val="22"/>
          <w:szCs w:val="22"/>
        </w:rPr>
        <w:t>ermine the relationship between FoF</w:t>
      </w:r>
      <w:r w:rsidR="007B4192" w:rsidRPr="00F85073">
        <w:rPr>
          <w:bCs/>
          <w:sz w:val="22"/>
          <w:szCs w:val="22"/>
        </w:rPr>
        <w:t>/the degree of FoF</w:t>
      </w:r>
      <w:r w:rsidR="007B4192" w:rsidRPr="00F85073">
        <w:rPr>
          <w:sz w:val="22"/>
          <w:szCs w:val="22"/>
        </w:rPr>
        <w:t xml:space="preserve"> and </w:t>
      </w:r>
      <w:r w:rsidRPr="00F85073">
        <w:rPr>
          <w:sz w:val="22"/>
          <w:szCs w:val="22"/>
        </w:rPr>
        <w:t>the 1st and 3rd minutes of OH in older people.</w:t>
      </w:r>
    </w:p>
    <w:p w14:paraId="0C15CB93" w14:textId="77777777" w:rsidR="009426A8" w:rsidRPr="00F85073" w:rsidRDefault="009426A8" w:rsidP="00F43EDA">
      <w:pPr>
        <w:spacing w:line="360" w:lineRule="auto"/>
        <w:jc w:val="both"/>
        <w:rPr>
          <w:b/>
          <w:bCs/>
          <w:sz w:val="22"/>
          <w:szCs w:val="22"/>
        </w:rPr>
      </w:pPr>
    </w:p>
    <w:p w14:paraId="3B2F6B45" w14:textId="77777777" w:rsidR="00F91B01" w:rsidRPr="00F85073" w:rsidRDefault="00D6697D" w:rsidP="00C66D3F">
      <w:pPr>
        <w:pStyle w:val="Heading1"/>
      </w:pPr>
      <w:r w:rsidRPr="00F85073">
        <w:t>METHODS</w:t>
      </w:r>
    </w:p>
    <w:p w14:paraId="2532F7A1" w14:textId="77777777" w:rsidR="00D6697D" w:rsidRPr="00F85073" w:rsidRDefault="00D6697D" w:rsidP="00F43EDA">
      <w:pPr>
        <w:pStyle w:val="ListParagraph"/>
        <w:spacing w:line="360" w:lineRule="auto"/>
        <w:jc w:val="both"/>
        <w:rPr>
          <w:b/>
          <w:bCs/>
          <w:sz w:val="22"/>
          <w:szCs w:val="22"/>
        </w:rPr>
      </w:pPr>
    </w:p>
    <w:p w14:paraId="2F52B2DB" w14:textId="783F84E4" w:rsidR="00F91B01" w:rsidRPr="00C66D3F" w:rsidRDefault="00F91B01" w:rsidP="00C66D3F">
      <w:pPr>
        <w:pStyle w:val="Heading2"/>
      </w:pPr>
      <w:r w:rsidRPr="00C66D3F">
        <w:t>Participants</w:t>
      </w:r>
    </w:p>
    <w:p w14:paraId="70AFB402" w14:textId="77777777" w:rsidR="00C4765F" w:rsidRPr="00F85073" w:rsidRDefault="00C4765F" w:rsidP="00C4765F">
      <w:pPr>
        <w:pStyle w:val="ListParagraph"/>
        <w:spacing w:line="360" w:lineRule="auto"/>
        <w:jc w:val="both"/>
        <w:rPr>
          <w:b/>
          <w:sz w:val="22"/>
          <w:szCs w:val="22"/>
        </w:rPr>
      </w:pPr>
    </w:p>
    <w:p w14:paraId="12A44D75" w14:textId="536673C1" w:rsidR="00F46E4A" w:rsidRPr="00F85073" w:rsidRDefault="005014EE" w:rsidP="00F43EDA">
      <w:pPr>
        <w:spacing w:line="360" w:lineRule="auto"/>
        <w:jc w:val="both"/>
        <w:rPr>
          <w:color w:val="000000"/>
          <w:sz w:val="22"/>
          <w:szCs w:val="22"/>
        </w:rPr>
      </w:pPr>
      <w:r w:rsidRPr="00F85073">
        <w:rPr>
          <w:sz w:val="22"/>
          <w:szCs w:val="22"/>
        </w:rPr>
        <w:t>This cross-sectional study was conducted with 314 adult participants aged 65</w:t>
      </w:r>
      <w:r w:rsidR="00A144C7" w:rsidRPr="00F85073">
        <w:rPr>
          <w:sz w:val="22"/>
          <w:szCs w:val="22"/>
        </w:rPr>
        <w:t xml:space="preserve"> years</w:t>
      </w:r>
      <w:r w:rsidRPr="00F85073">
        <w:rPr>
          <w:sz w:val="22"/>
          <w:szCs w:val="22"/>
        </w:rPr>
        <w:t xml:space="preserve"> and over</w:t>
      </w:r>
      <w:r w:rsidR="004E3595" w:rsidRPr="00F85073">
        <w:rPr>
          <w:sz w:val="22"/>
          <w:szCs w:val="22"/>
        </w:rPr>
        <w:t>,</w:t>
      </w:r>
      <w:r w:rsidRPr="00F85073">
        <w:rPr>
          <w:sz w:val="22"/>
          <w:szCs w:val="22"/>
        </w:rPr>
        <w:t xml:space="preserve"> who </w:t>
      </w:r>
      <w:r w:rsidR="00A144C7" w:rsidRPr="00F85073">
        <w:rPr>
          <w:sz w:val="22"/>
          <w:szCs w:val="22"/>
        </w:rPr>
        <w:t xml:space="preserve">were referred to one geriaric clinic in Turkey </w:t>
      </w:r>
      <w:r w:rsidRPr="00F85073">
        <w:rPr>
          <w:sz w:val="22"/>
          <w:szCs w:val="22"/>
        </w:rPr>
        <w:t>between August 2018 and March 2019.</w:t>
      </w:r>
      <w:r w:rsidR="004E3595" w:rsidRPr="00F85073">
        <w:rPr>
          <w:sz w:val="22"/>
          <w:szCs w:val="22"/>
        </w:rPr>
        <w:t xml:space="preserve"> </w:t>
      </w:r>
      <w:r w:rsidR="004E3595" w:rsidRPr="00F85073">
        <w:rPr>
          <w:color w:val="000000"/>
          <w:sz w:val="22"/>
          <w:szCs w:val="22"/>
        </w:rPr>
        <w:t xml:space="preserve">Inclusion criteria </w:t>
      </w:r>
      <w:r w:rsidR="00A144C7" w:rsidRPr="00F85073">
        <w:rPr>
          <w:color w:val="000000"/>
          <w:sz w:val="22"/>
          <w:szCs w:val="22"/>
        </w:rPr>
        <w:t xml:space="preserve">included: </w:t>
      </w:r>
      <w:r w:rsidR="004E3595" w:rsidRPr="00F85073">
        <w:rPr>
          <w:color w:val="000000"/>
          <w:sz w:val="22"/>
          <w:szCs w:val="22"/>
        </w:rPr>
        <w:t>age</w:t>
      </w:r>
      <w:r w:rsidR="00A144C7" w:rsidRPr="00F85073">
        <w:rPr>
          <w:color w:val="000000"/>
          <w:sz w:val="22"/>
          <w:szCs w:val="22"/>
        </w:rPr>
        <w:t>d</w:t>
      </w:r>
      <w:r w:rsidR="004E3595" w:rsidRPr="00F85073">
        <w:rPr>
          <w:color w:val="000000"/>
          <w:sz w:val="22"/>
          <w:szCs w:val="22"/>
        </w:rPr>
        <w:t xml:space="preserve">  65</w:t>
      </w:r>
      <w:r w:rsidR="00A144C7" w:rsidRPr="00F85073">
        <w:rPr>
          <w:color w:val="000000"/>
          <w:sz w:val="22"/>
          <w:szCs w:val="22"/>
        </w:rPr>
        <w:t xml:space="preserve"> years</w:t>
      </w:r>
      <w:r w:rsidR="004E3595" w:rsidRPr="00F85073">
        <w:rPr>
          <w:color w:val="000000"/>
          <w:sz w:val="22"/>
          <w:szCs w:val="22"/>
        </w:rPr>
        <w:t xml:space="preserve"> and over, applying to the clinic for any health reason and the ability to u</w:t>
      </w:r>
      <w:r w:rsidR="00E07ADE" w:rsidRPr="00F85073">
        <w:rPr>
          <w:color w:val="000000"/>
          <w:sz w:val="22"/>
          <w:szCs w:val="22"/>
        </w:rPr>
        <w:t>nderstand and answer questions.</w:t>
      </w:r>
      <w:r w:rsidR="004E3595" w:rsidRPr="00F85073">
        <w:rPr>
          <w:color w:val="000000"/>
          <w:sz w:val="22"/>
          <w:szCs w:val="22"/>
        </w:rPr>
        <w:t xml:space="preserve"> Pat</w:t>
      </w:r>
      <w:r w:rsidR="00B2368F" w:rsidRPr="00F85073">
        <w:rPr>
          <w:color w:val="000000"/>
          <w:sz w:val="22"/>
          <w:szCs w:val="22"/>
        </w:rPr>
        <w:t>ients who refuse</w:t>
      </w:r>
      <w:r w:rsidR="00A144C7" w:rsidRPr="00F85073">
        <w:rPr>
          <w:color w:val="000000"/>
          <w:sz w:val="22"/>
          <w:szCs w:val="22"/>
        </w:rPr>
        <w:t>d</w:t>
      </w:r>
      <w:r w:rsidR="00B2368F" w:rsidRPr="00F85073">
        <w:rPr>
          <w:color w:val="000000"/>
          <w:sz w:val="22"/>
          <w:szCs w:val="22"/>
        </w:rPr>
        <w:t xml:space="preserve"> to participate,</w:t>
      </w:r>
      <w:r w:rsidR="004E3595" w:rsidRPr="00F85073">
        <w:rPr>
          <w:color w:val="000000"/>
          <w:sz w:val="22"/>
          <w:szCs w:val="22"/>
        </w:rPr>
        <w:t xml:space="preserve"> participants diagnosed with dementia or unable</w:t>
      </w:r>
      <w:r w:rsidR="00B2368F" w:rsidRPr="00F85073">
        <w:rPr>
          <w:color w:val="000000"/>
          <w:sz w:val="22"/>
          <w:szCs w:val="22"/>
        </w:rPr>
        <w:t xml:space="preserve"> to complete FoF questionnaires, p</w:t>
      </w:r>
      <w:r w:rsidR="004E3595" w:rsidRPr="00F85073">
        <w:rPr>
          <w:color w:val="000000"/>
          <w:sz w:val="22"/>
          <w:szCs w:val="22"/>
        </w:rPr>
        <w:t>atients with serious illnesses that may impair the general health condition such as acute cerebrovascular accident, sepsis, acute renal failure, acute coronary syndrome and acute respiratory failure were excluded from the study.</w:t>
      </w:r>
      <w:r w:rsidR="00B2368F" w:rsidRPr="00F85073">
        <w:rPr>
          <w:color w:val="000000"/>
          <w:sz w:val="22"/>
          <w:szCs w:val="22"/>
        </w:rPr>
        <w:t xml:space="preserve"> </w:t>
      </w:r>
      <w:r w:rsidR="00F46E4A" w:rsidRPr="00F85073">
        <w:rPr>
          <w:color w:val="242021"/>
          <w:sz w:val="22"/>
          <w:szCs w:val="22"/>
          <w:lang w:val="en-US"/>
        </w:rPr>
        <w:t xml:space="preserve">Patients' age, gender, level of education, concurrent systemic and chronic </w:t>
      </w:r>
      <w:r w:rsidR="00F46E4A" w:rsidRPr="00F85073">
        <w:rPr>
          <w:color w:val="242021"/>
          <w:sz w:val="22"/>
          <w:szCs w:val="22"/>
          <w:lang w:val="en-US"/>
        </w:rPr>
        <w:lastRenderedPageBreak/>
        <w:t xml:space="preserve">diseases, and number of medications used were recorded. During admission </w:t>
      </w:r>
      <w:r w:rsidR="00A144C7" w:rsidRPr="00F85073">
        <w:rPr>
          <w:color w:val="242021"/>
          <w:sz w:val="22"/>
          <w:szCs w:val="22"/>
          <w:lang w:val="en-US"/>
        </w:rPr>
        <w:t>patients</w:t>
      </w:r>
      <w:r w:rsidR="00F46E4A" w:rsidRPr="00F85073">
        <w:rPr>
          <w:color w:val="242021"/>
          <w:sz w:val="22"/>
          <w:szCs w:val="22"/>
          <w:lang w:val="en-US"/>
        </w:rPr>
        <w:t xml:space="preserve"> were asked whether they had fallen in the previous year and </w:t>
      </w:r>
      <w:r w:rsidR="00B2368F" w:rsidRPr="00F85073">
        <w:rPr>
          <w:color w:val="242021"/>
          <w:sz w:val="22"/>
          <w:szCs w:val="22"/>
          <w:lang w:val="en-US"/>
        </w:rPr>
        <w:t xml:space="preserve">the </w:t>
      </w:r>
      <w:r w:rsidR="00F46E4A" w:rsidRPr="00F85073">
        <w:rPr>
          <w:color w:val="242021"/>
          <w:sz w:val="22"/>
          <w:szCs w:val="22"/>
          <w:lang w:val="en-US"/>
        </w:rPr>
        <w:t xml:space="preserve">previous month. History of hypertension, coronary artery disease, congestive heart failure, diabetes mellitus, hyperlipidemia, peripheral arterial disease, chronic obstructive pulmonary disease, osteoporosis, thyroid disease, </w:t>
      </w:r>
      <w:r w:rsidR="009F6579" w:rsidRPr="00F85073">
        <w:rPr>
          <w:color w:val="242021"/>
          <w:sz w:val="22"/>
          <w:szCs w:val="22"/>
          <w:lang w:val="en-US"/>
        </w:rPr>
        <w:t xml:space="preserve">and </w:t>
      </w:r>
      <w:r w:rsidR="00F46E4A" w:rsidRPr="00F85073">
        <w:rPr>
          <w:color w:val="242021"/>
          <w:sz w:val="22"/>
          <w:szCs w:val="22"/>
          <w:lang w:val="en-US"/>
        </w:rPr>
        <w:t>cerebrovascular disease were determined by patients' self</w:t>
      </w:r>
      <w:r w:rsidR="00A144C7" w:rsidRPr="00F85073">
        <w:rPr>
          <w:color w:val="242021"/>
          <w:sz w:val="22"/>
          <w:szCs w:val="22"/>
          <w:lang w:val="en-US"/>
        </w:rPr>
        <w:t>-</w:t>
      </w:r>
      <w:r w:rsidR="00F46E4A" w:rsidRPr="00F85073">
        <w:rPr>
          <w:color w:val="242021"/>
          <w:sz w:val="22"/>
          <w:szCs w:val="22"/>
          <w:lang w:val="en-US"/>
        </w:rPr>
        <w:t xml:space="preserve">report.  </w:t>
      </w:r>
    </w:p>
    <w:p w14:paraId="443C496F" w14:textId="77777777" w:rsidR="00F91B01" w:rsidRPr="00F85073" w:rsidRDefault="00F91B01" w:rsidP="00F43EDA">
      <w:pPr>
        <w:spacing w:line="360" w:lineRule="auto"/>
        <w:jc w:val="both"/>
        <w:rPr>
          <w:b/>
          <w:color w:val="000000"/>
          <w:sz w:val="22"/>
          <w:szCs w:val="22"/>
          <w:shd w:val="clear" w:color="auto" w:fill="FFFFFF"/>
        </w:rPr>
      </w:pPr>
    </w:p>
    <w:p w14:paraId="57DA0F8C" w14:textId="1C56F801" w:rsidR="00F91B01" w:rsidRPr="00F85073" w:rsidRDefault="00F91B01" w:rsidP="00C66D3F">
      <w:pPr>
        <w:pStyle w:val="Heading2"/>
      </w:pPr>
      <w:r w:rsidRPr="00F85073">
        <w:rPr>
          <w:shd w:val="clear" w:color="auto" w:fill="FFFFFF"/>
        </w:rPr>
        <w:t xml:space="preserve">The </w:t>
      </w:r>
      <w:r w:rsidRPr="00F85073">
        <w:t>Falls Efficacy Scale – International (FES-I)</w:t>
      </w:r>
      <w:r w:rsidRPr="00F85073">
        <w:rPr>
          <w:shd w:val="clear" w:color="auto" w:fill="FFFFFF"/>
        </w:rPr>
        <w:t xml:space="preserve"> </w:t>
      </w:r>
      <w:r w:rsidR="00384490" w:rsidRPr="00F85073">
        <w:rPr>
          <w:shd w:val="clear" w:color="auto" w:fill="FFFFFF"/>
        </w:rPr>
        <w:fldChar w:fldCharType="begin" w:fldLock="1"/>
      </w:r>
      <w:r w:rsidR="00D06634" w:rsidRPr="00F85073">
        <w:rPr>
          <w:shd w:val="clear" w:color="auto" w:fill="FFFFFF"/>
        </w:rPr>
        <w:instrText>ADDIN CSL_CITATION {"citationItems":[{"id":"ITEM-1","itemData":{"DOI":"10.1093/ageing/afp225","ISSN":"1468-2834 (Electronic)","PMID":"20061508","abstract":"OBJECTIVE: this study aimed to perform a comprehensive validation of the 16-item  and 7-item Falls Efficacy Scale International (FES-I) by investigating the overall structure and measurement properties, convergent and predictive validity and responsiveness to change. METHOD: five hundred community-dwelling older people (70-90 years) were assessed on the FES-I in conjunction with demographic, physiological and neuropsychological measures at baseline and at 12 months. Falls were monitored monthly and fear of falling every 3 months. RESULTS: the overall structure and measurement properties of both FES-I scales, as evaluated with item response theory, were good. Discriminative ability on physiological and neuropsychological measures indicated excellent validity, both at baseline (n = 500, convergent validity) and at 1-year follow-up (n = 463, predictive validity). The longitudinal follow-up suggested that FES-I scores increased over time regardless of any fall event, with a trend for a stronger increase in FES-I scores when a person suffered multiple falls in a 3-month period. Additionally, using receiver-operating characteristic (ROC) curves, cut-points were defined to differentiate between lower and higher levels of concern. CONCLUSIONS: the current study builds on the previously established psychometric properties of the FES-I. Both scales have acceptable structures, good validity and reliability and can be recommended for research and clinical purposes. Future studies should explore the FES-I's responsiveness to change during intervention studies and confirm suggested cut-points in other settings, larger samples and across different cultures.","author":[{"dropping-particle":"","family":"Delbaere","given":"Kim","non-dropping-particle":"","parse-names":false,"suffix":""},{"dropping-particle":"","family":"Close","given":"Jacqueline C T","non-dropping-particle":"","parse-names":false,"suffix":""},{"dropping-particle":"","family":"Mikolaizak","given":"A Stefanie","non-dropping-particle":"","parse-names":false,"suffix":""},{"dropping-particle":"","family":"Sachdev","given":"Perminder S","non-dropping-particle":"","parse-names":false,"suffix":""},{"dropping-particle":"","family":"Brodaty","given":"Henry","non-dropping-particle":"","parse-names":false,"suffix":""},{"dropping-particle":"","family":"Lord","given":"Stephen R","non-dropping-particle":"","parse-names":false,"suffix":""}],"container-title":"Age and ageing","id":"ITEM-1","issue":"2","issued":{"date-parts":[["2010","3"]]},"language":"eng","page":"210-216","publisher-place":"England","title":"The Falls Efficacy Scale International (FES-I). A comprehensive longitudinal validation study.","type":"article-journal","volume":"39"},"uris":["http://www.mendeley.com/documents/?uuid=986969ea-7ff9-43af-a584-fcd7c368ac38"]}],"mendeley":{"formattedCitation":"(11)","plainTextFormattedCitation":"(11)","previouslyFormattedCitation":"(11)"},"properties":{"noteIndex":0},"schema":"https://github.com/citation-style-language/schema/raw/master/csl-citation.json"}</w:instrText>
      </w:r>
      <w:r w:rsidR="00384490" w:rsidRPr="00F85073">
        <w:rPr>
          <w:shd w:val="clear" w:color="auto" w:fill="FFFFFF"/>
        </w:rPr>
        <w:fldChar w:fldCharType="separate"/>
      </w:r>
      <w:r w:rsidR="00384490" w:rsidRPr="00F85073">
        <w:rPr>
          <w:noProof/>
          <w:shd w:val="clear" w:color="auto" w:fill="FFFFFF"/>
        </w:rPr>
        <w:t>(11)</w:t>
      </w:r>
      <w:r w:rsidR="00384490" w:rsidRPr="00F85073">
        <w:rPr>
          <w:shd w:val="clear" w:color="auto" w:fill="FFFFFF"/>
        </w:rPr>
        <w:fldChar w:fldCharType="end"/>
      </w:r>
    </w:p>
    <w:p w14:paraId="6081598F" w14:textId="77777777" w:rsidR="00DB4A84" w:rsidRPr="00F85073" w:rsidRDefault="00DB4A84" w:rsidP="00DB4A84">
      <w:pPr>
        <w:pStyle w:val="ListParagraph"/>
        <w:spacing w:line="360" w:lineRule="auto"/>
        <w:jc w:val="both"/>
        <w:rPr>
          <w:b/>
          <w:sz w:val="22"/>
          <w:szCs w:val="22"/>
        </w:rPr>
      </w:pPr>
    </w:p>
    <w:p w14:paraId="5E74CE6C" w14:textId="7FE16DE3" w:rsidR="0005335A" w:rsidRPr="00F85073" w:rsidRDefault="00F91B01" w:rsidP="00F43EDA">
      <w:pPr>
        <w:spacing w:line="360" w:lineRule="auto"/>
        <w:jc w:val="both"/>
        <w:rPr>
          <w:sz w:val="22"/>
          <w:szCs w:val="22"/>
        </w:rPr>
      </w:pPr>
      <w:r w:rsidRPr="00F85073">
        <w:rPr>
          <w:sz w:val="22"/>
          <w:szCs w:val="22"/>
        </w:rPr>
        <w:t xml:space="preserve">FES-I  was used to </w:t>
      </w:r>
      <w:r w:rsidR="00B2368F" w:rsidRPr="00F85073">
        <w:rPr>
          <w:sz w:val="22"/>
          <w:szCs w:val="22"/>
        </w:rPr>
        <w:t>determine and classify FoF. The</w:t>
      </w:r>
      <w:r w:rsidRPr="00F85073">
        <w:rPr>
          <w:sz w:val="22"/>
          <w:szCs w:val="22"/>
        </w:rPr>
        <w:t xml:space="preserve"> scale consists of 16 questions and 1-4 points are </w:t>
      </w:r>
      <w:r w:rsidR="00A144C7" w:rsidRPr="00F85073">
        <w:rPr>
          <w:sz w:val="22"/>
          <w:szCs w:val="22"/>
        </w:rPr>
        <w:t xml:space="preserve">assigned </w:t>
      </w:r>
      <w:r w:rsidRPr="00F85073">
        <w:rPr>
          <w:sz w:val="22"/>
          <w:szCs w:val="22"/>
        </w:rPr>
        <w:t xml:space="preserve"> </w:t>
      </w:r>
      <w:r w:rsidR="00A144C7" w:rsidRPr="00F85073">
        <w:rPr>
          <w:sz w:val="22"/>
          <w:szCs w:val="22"/>
        </w:rPr>
        <w:t>to</w:t>
      </w:r>
      <w:r w:rsidRPr="00F85073">
        <w:rPr>
          <w:sz w:val="22"/>
          <w:szCs w:val="22"/>
        </w:rPr>
        <w:t xml:space="preserve"> each question. FoF was classified according to the total score given to the questions. Total FES-I score</w:t>
      </w:r>
      <w:r w:rsidR="00A144C7" w:rsidRPr="00F85073">
        <w:rPr>
          <w:sz w:val="22"/>
          <w:szCs w:val="22"/>
        </w:rPr>
        <w:t>s</w:t>
      </w:r>
      <w:r w:rsidRPr="00F85073">
        <w:rPr>
          <w:sz w:val="22"/>
          <w:szCs w:val="22"/>
        </w:rPr>
        <w:t xml:space="preserve"> range </w:t>
      </w:r>
      <w:r w:rsidR="00A144C7" w:rsidRPr="00F85073">
        <w:rPr>
          <w:sz w:val="22"/>
          <w:szCs w:val="22"/>
        </w:rPr>
        <w:t>from</w:t>
      </w:r>
      <w:r w:rsidRPr="00F85073">
        <w:rPr>
          <w:sz w:val="22"/>
          <w:szCs w:val="22"/>
        </w:rPr>
        <w:t xml:space="preserve"> minimum 16 (no concern about falling) to maximum 64 (severe concer</w:t>
      </w:r>
      <w:r w:rsidR="00B2368F" w:rsidRPr="00F85073">
        <w:rPr>
          <w:sz w:val="22"/>
          <w:szCs w:val="22"/>
        </w:rPr>
        <w:t>n about falling). In addition, if the total score of the FES-I scale was</w:t>
      </w:r>
      <w:r w:rsidR="00697CDB" w:rsidRPr="00F85073">
        <w:rPr>
          <w:sz w:val="22"/>
          <w:szCs w:val="22"/>
        </w:rPr>
        <w:t xml:space="preserve"> 16</w:t>
      </w:r>
      <w:r w:rsidR="00B2368F" w:rsidRPr="00F85073">
        <w:rPr>
          <w:sz w:val="22"/>
          <w:szCs w:val="22"/>
        </w:rPr>
        <w:t>-19, 20-27 and ≥28, it was</w:t>
      </w:r>
      <w:r w:rsidR="00DB4A84" w:rsidRPr="00F85073">
        <w:rPr>
          <w:sz w:val="22"/>
          <w:szCs w:val="22"/>
        </w:rPr>
        <w:t xml:space="preserve"> assumed that there was </w:t>
      </w:r>
      <w:r w:rsidR="005C6882" w:rsidRPr="00F85073">
        <w:rPr>
          <w:sz w:val="22"/>
          <w:szCs w:val="22"/>
        </w:rPr>
        <w:t>low</w:t>
      </w:r>
      <w:r w:rsidR="00DB4A84" w:rsidRPr="00F85073">
        <w:rPr>
          <w:sz w:val="22"/>
          <w:szCs w:val="22"/>
        </w:rPr>
        <w:t xml:space="preserve"> FoF</w:t>
      </w:r>
      <w:r w:rsidR="00B2368F" w:rsidRPr="00F85073">
        <w:rPr>
          <w:sz w:val="22"/>
          <w:szCs w:val="22"/>
        </w:rPr>
        <w:t xml:space="preserve">, </w:t>
      </w:r>
      <w:r w:rsidR="009813E7" w:rsidRPr="00F85073">
        <w:rPr>
          <w:sz w:val="22"/>
          <w:szCs w:val="22"/>
        </w:rPr>
        <w:t>m</w:t>
      </w:r>
      <w:r w:rsidR="00231F33" w:rsidRPr="00F85073">
        <w:rPr>
          <w:sz w:val="22"/>
          <w:szCs w:val="22"/>
        </w:rPr>
        <w:t>oderate</w:t>
      </w:r>
      <w:r w:rsidR="00DB4A84" w:rsidRPr="00F85073">
        <w:rPr>
          <w:sz w:val="22"/>
          <w:szCs w:val="22"/>
        </w:rPr>
        <w:t xml:space="preserve"> FoF</w:t>
      </w:r>
      <w:r w:rsidR="00B2368F" w:rsidRPr="00F85073">
        <w:rPr>
          <w:sz w:val="22"/>
          <w:szCs w:val="22"/>
        </w:rPr>
        <w:t xml:space="preserve">, </w:t>
      </w:r>
      <w:r w:rsidR="00463875" w:rsidRPr="00F85073">
        <w:rPr>
          <w:sz w:val="22"/>
          <w:szCs w:val="22"/>
        </w:rPr>
        <w:t xml:space="preserve">and high </w:t>
      </w:r>
      <w:r w:rsidR="00DB4A84" w:rsidRPr="00F85073">
        <w:rPr>
          <w:sz w:val="22"/>
          <w:szCs w:val="22"/>
        </w:rPr>
        <w:t xml:space="preserve">FoF, </w:t>
      </w:r>
      <w:r w:rsidR="00463875" w:rsidRPr="00F85073">
        <w:rPr>
          <w:sz w:val="22"/>
          <w:szCs w:val="22"/>
        </w:rPr>
        <w:t>respectively.</w:t>
      </w:r>
      <w:r w:rsidR="00753D31" w:rsidRPr="00F85073">
        <w:rPr>
          <w:sz w:val="22"/>
          <w:szCs w:val="22"/>
        </w:rPr>
        <w:t xml:space="preserve"> </w:t>
      </w:r>
      <w:r w:rsidR="0005335A" w:rsidRPr="00F85073">
        <w:rPr>
          <w:sz w:val="22"/>
          <w:szCs w:val="22"/>
          <w:lang w:val="en-US"/>
        </w:rPr>
        <w:t xml:space="preserve">Timed Up and Go test (TUG) </w:t>
      </w:r>
      <w:r w:rsidR="00753D31" w:rsidRPr="00F85073">
        <w:rPr>
          <w:sz w:val="22"/>
          <w:szCs w:val="22"/>
          <w:lang w:val="en-US"/>
        </w:rPr>
        <w:t xml:space="preserve">were also used </w:t>
      </w:r>
      <w:r w:rsidR="0005335A" w:rsidRPr="00F85073">
        <w:rPr>
          <w:sz w:val="22"/>
          <w:szCs w:val="22"/>
          <w:lang w:val="en-US"/>
        </w:rPr>
        <w:t>for</w:t>
      </w:r>
      <w:r w:rsidR="00753D31" w:rsidRPr="00F85073">
        <w:rPr>
          <w:sz w:val="22"/>
          <w:szCs w:val="22"/>
          <w:lang w:val="en-US"/>
        </w:rPr>
        <w:t xml:space="preserve"> evaluation</w:t>
      </w:r>
      <w:r w:rsidR="0005335A" w:rsidRPr="00F85073">
        <w:rPr>
          <w:sz w:val="22"/>
          <w:szCs w:val="22"/>
          <w:lang w:val="en-US"/>
        </w:rPr>
        <w:t xml:space="preserve"> gait and balance function.</w:t>
      </w:r>
    </w:p>
    <w:p w14:paraId="2800E3DC" w14:textId="77777777" w:rsidR="00F47169" w:rsidRPr="00F85073" w:rsidRDefault="00F47169" w:rsidP="00F43EDA">
      <w:pPr>
        <w:spacing w:line="360" w:lineRule="auto"/>
        <w:jc w:val="both"/>
        <w:rPr>
          <w:color w:val="FF0000"/>
          <w:sz w:val="22"/>
          <w:szCs w:val="22"/>
        </w:rPr>
      </w:pPr>
    </w:p>
    <w:p w14:paraId="4532385A" w14:textId="39AD9DCA" w:rsidR="00F91B01" w:rsidRPr="00F85073" w:rsidRDefault="00F91B01" w:rsidP="00C66D3F">
      <w:pPr>
        <w:pStyle w:val="Heading2"/>
      </w:pPr>
      <w:r w:rsidRPr="00F85073">
        <w:t>Orthostatic Hypotension (OH)</w:t>
      </w:r>
      <w:r w:rsidR="00D06634" w:rsidRPr="00F85073">
        <w:t xml:space="preserve"> </w:t>
      </w:r>
      <w:r w:rsidR="00D06634" w:rsidRPr="00F85073">
        <w:fldChar w:fldCharType="begin" w:fldLock="1"/>
      </w:r>
      <w:r w:rsidR="00741F53" w:rsidRPr="00F85073">
        <w:instrText>ADDIN CSL_CITATION {"citationItems":[{"id":"ITEM-1","itemData":{"DOI":"10.2147/CIA.S129868","ISSN":"11781998","abstract":"© 2017 Aydin et al. Background: Correct evaluation of orthostatic hypotension (OH) is crucial in geriatric practice, since OH is associated with mortality and morbidity. The study aimed to determine the most appropriate method for measuring blood pressure in transition from supine to upright position in order to diagnose OH in older adults. Methods: Active standing test (AST) and head-up tilt table (HUT) test as well as comprehensive geriatric assessment (CGA), including mini-mental state examination or the cognitive state test, mini-nutritional assessment, basic and instrumental activities of daily living, and Tinetti performance-oriented mobility assessment indexes, were performed in 290 geriatric patients. Results: The prevalence of OH during HUT and AST was 19% and 37%, respectively. In patients with OH during HUT, the frequency of dementia and recurrent falls were higher (P &lt; 0.05); on the other hand, the levels of serum vitamin D and albumin and estimated glomerular filtration rate were lower (P &lt; 0.05). However, all these parameters for OH during AST were not significant (P &gt; 0.05). Comparison of the groups according to CGA measurements revealed significant differences in terms of cognition, nutritional status, activities of daily life, and balance function in patients with OH only during HUT (P &lt; 0.05), but not during AST (P &gt; 0.05). The sensitivity, specificity, positive predictive value, and negative predictive values of AST were 49.0%, 65.5%, 25.0%, and 84.6% respectively, according to HUT. Conclusion: The results suggest that orthostatic blood pressure changes determined by HUT might be of higher clinical significance than that by AST in older adults. It might be important that the evaluation of OH by HUT should be included in daily geriatric practice.","author":[{"dropping-particle":"","family":"Aydin","given":"A.E.","non-dropping-particle":"","parse-names":false,"suffix":""},{"dropping-particle":"","family":"Soysal","given":"P.","non-dropping-particle":"","parse-names":false,"suffix":""},{"dropping-particle":"","family":"Isik","given":"A.T.","non-dropping-particle":"","parse-names":false,"suffix":""}],"container-title":"Clinical Interventions in Aging","id":"ITEM-1","issued":{"date-parts":[["2017"]]},"title":"Which is preferable for orthostatic hypotension diagnosis in older adults: Active standing test or head-up tilt table test?","type":"article-journal","volume":"12"},"uris":["http://www.mendeley.com/documents/?uuid=4c776d6f-057f-3788-97f5-979f8cd6ce68"]}],"mendeley":{"formattedCitation":"(1)","plainTextFormattedCitation":"(1)","previouslyFormattedCitation":"(1)"},"properties":{"noteIndex":0},"schema":"https://github.com/citation-style-language/schema/raw/master/csl-citation.json"}</w:instrText>
      </w:r>
      <w:r w:rsidR="00D06634" w:rsidRPr="00F85073">
        <w:fldChar w:fldCharType="separate"/>
      </w:r>
      <w:r w:rsidR="00D06634" w:rsidRPr="00F85073">
        <w:rPr>
          <w:noProof/>
        </w:rPr>
        <w:t>(1)</w:t>
      </w:r>
      <w:r w:rsidR="00D06634" w:rsidRPr="00F85073">
        <w:fldChar w:fldCharType="end"/>
      </w:r>
    </w:p>
    <w:p w14:paraId="7EC4CAB7" w14:textId="77777777" w:rsidR="00473B52" w:rsidRPr="00F85073" w:rsidRDefault="00473B52" w:rsidP="00473B52">
      <w:pPr>
        <w:pStyle w:val="ListParagraph"/>
        <w:spacing w:line="360" w:lineRule="auto"/>
        <w:jc w:val="both"/>
        <w:rPr>
          <w:b/>
          <w:sz w:val="22"/>
          <w:szCs w:val="22"/>
        </w:rPr>
      </w:pPr>
    </w:p>
    <w:p w14:paraId="32A8AED6" w14:textId="449B6932" w:rsidR="00875B89" w:rsidRPr="00F85073" w:rsidRDefault="00B2368F" w:rsidP="00F43EDA">
      <w:pPr>
        <w:spacing w:line="360" w:lineRule="auto"/>
        <w:jc w:val="both"/>
        <w:rPr>
          <w:color w:val="000000"/>
          <w:sz w:val="22"/>
          <w:szCs w:val="22"/>
          <w:shd w:val="clear" w:color="auto" w:fill="FFFFFF"/>
          <w:lang w:val="en-US"/>
        </w:rPr>
      </w:pPr>
      <w:r w:rsidRPr="00F85073">
        <w:rPr>
          <w:sz w:val="22"/>
          <w:szCs w:val="22"/>
        </w:rPr>
        <w:t xml:space="preserve">Blood pressure of patients was measured in the supine position and after standing up for the diagnosis of OH. Blood pressure measurements were carried out in an environment away from noise and temperature in accordance with the correct measurement rules. </w:t>
      </w:r>
      <w:r w:rsidR="00C96543" w:rsidRPr="00F85073">
        <w:rPr>
          <w:sz w:val="22"/>
          <w:szCs w:val="22"/>
        </w:rPr>
        <w:t xml:space="preserve">The patients were informed about avoiding exercise and not eating or drinking (caffeinated beverages such as coffee, tea, cola, cigarettes) </w:t>
      </w:r>
      <w:r w:rsidR="009F6579" w:rsidRPr="00F85073">
        <w:rPr>
          <w:sz w:val="22"/>
          <w:szCs w:val="22"/>
        </w:rPr>
        <w:t>30 minutes</w:t>
      </w:r>
      <w:r w:rsidR="00C96543" w:rsidRPr="00F85073">
        <w:rPr>
          <w:sz w:val="22"/>
          <w:szCs w:val="22"/>
        </w:rPr>
        <w:t xml:space="preserve"> before </w:t>
      </w:r>
      <w:r w:rsidR="009F6579" w:rsidRPr="00F85073">
        <w:rPr>
          <w:sz w:val="22"/>
          <w:szCs w:val="22"/>
        </w:rPr>
        <w:t xml:space="preserve">there appointment. Moreover, </w:t>
      </w:r>
      <w:r w:rsidR="00C96543" w:rsidRPr="00F85073">
        <w:rPr>
          <w:sz w:val="22"/>
          <w:szCs w:val="22"/>
        </w:rPr>
        <w:t>the patient</w:t>
      </w:r>
      <w:r w:rsidR="009F6579" w:rsidRPr="00F85073">
        <w:rPr>
          <w:sz w:val="22"/>
          <w:szCs w:val="22"/>
        </w:rPr>
        <w:t xml:space="preserve"> then</w:t>
      </w:r>
      <w:r w:rsidR="00C96543" w:rsidRPr="00F85073">
        <w:rPr>
          <w:sz w:val="22"/>
          <w:szCs w:val="22"/>
        </w:rPr>
        <w:t xml:space="preserve"> waited for </w:t>
      </w:r>
      <w:r w:rsidR="009F6579" w:rsidRPr="00F85073">
        <w:rPr>
          <w:sz w:val="22"/>
          <w:szCs w:val="22"/>
        </w:rPr>
        <w:t>30 minutes</w:t>
      </w:r>
      <w:r w:rsidR="00C96543" w:rsidRPr="00F85073">
        <w:rPr>
          <w:sz w:val="22"/>
          <w:szCs w:val="22"/>
        </w:rPr>
        <w:t xml:space="preserve"> </w:t>
      </w:r>
      <w:r w:rsidR="009F6579" w:rsidRPr="00F85073">
        <w:rPr>
          <w:sz w:val="22"/>
          <w:szCs w:val="22"/>
        </w:rPr>
        <w:t xml:space="preserve">before </w:t>
      </w:r>
      <w:r w:rsidR="00C96543" w:rsidRPr="00F85073">
        <w:rPr>
          <w:sz w:val="22"/>
          <w:szCs w:val="22"/>
        </w:rPr>
        <w:t>measurements</w:t>
      </w:r>
      <w:r w:rsidR="009F6579" w:rsidRPr="00F85073">
        <w:rPr>
          <w:sz w:val="22"/>
          <w:szCs w:val="22"/>
        </w:rPr>
        <w:t xml:space="preserve"> were taken</w:t>
      </w:r>
      <w:r w:rsidR="00C96543" w:rsidRPr="00F85073">
        <w:rPr>
          <w:sz w:val="22"/>
          <w:szCs w:val="22"/>
        </w:rPr>
        <w:t xml:space="preserve">. </w:t>
      </w:r>
      <w:r w:rsidR="004F4A55" w:rsidRPr="00F85073">
        <w:rPr>
          <w:sz w:val="22"/>
          <w:szCs w:val="22"/>
        </w:rPr>
        <w:t>B</w:t>
      </w:r>
      <w:r w:rsidR="00C96543" w:rsidRPr="00F85073">
        <w:rPr>
          <w:sz w:val="22"/>
          <w:szCs w:val="22"/>
        </w:rPr>
        <w:t xml:space="preserve">lood pressure was measured in the supine position, </w:t>
      </w:r>
      <w:r w:rsidR="004F4A55" w:rsidRPr="00F85073">
        <w:rPr>
          <w:sz w:val="22"/>
          <w:szCs w:val="22"/>
        </w:rPr>
        <w:t xml:space="preserve"> and</w:t>
      </w:r>
      <w:r w:rsidR="00C96543" w:rsidRPr="00F85073">
        <w:rPr>
          <w:sz w:val="22"/>
          <w:szCs w:val="22"/>
        </w:rPr>
        <w:t xml:space="preserve"> after the patient stood up, and recorded at the 1st and 3rd minutes. </w:t>
      </w:r>
      <w:r w:rsidR="00C96543" w:rsidRPr="00F85073">
        <w:rPr>
          <w:color w:val="000000"/>
          <w:sz w:val="22"/>
          <w:szCs w:val="22"/>
          <w:shd w:val="clear" w:color="auto" w:fill="FFFFFF"/>
        </w:rPr>
        <w:t xml:space="preserve">For the measurement of blood pressure, a calibrated Omron M2 Compact (HEM 7102-E) device that meets the requirements of the international protocol was used. </w:t>
      </w:r>
      <w:proofErr w:type="gramStart"/>
      <w:r w:rsidR="00C96543" w:rsidRPr="00F85073">
        <w:rPr>
          <w:color w:val="000000"/>
          <w:sz w:val="22"/>
          <w:szCs w:val="22"/>
          <w:shd w:val="clear" w:color="auto" w:fill="FFFFFF"/>
          <w:lang w:val="en-US"/>
        </w:rPr>
        <w:t>OH</w:t>
      </w:r>
      <w:proofErr w:type="gramEnd"/>
      <w:r w:rsidR="00C96543" w:rsidRPr="00F85073">
        <w:rPr>
          <w:color w:val="000000"/>
          <w:sz w:val="22"/>
          <w:szCs w:val="22"/>
          <w:shd w:val="clear" w:color="auto" w:fill="FFFFFF"/>
          <w:lang w:val="en-US"/>
        </w:rPr>
        <w:t xml:space="preserve"> was defined as a decrease in systolic and / or diastolic blood pressure ≥20 mmHg and / or ≥10 mmHg, respectively, when an individual moved from the supine position to the upright position. </w:t>
      </w:r>
      <w:r w:rsidR="00875B89" w:rsidRPr="00F85073">
        <w:rPr>
          <w:color w:val="000000"/>
          <w:sz w:val="22"/>
          <w:szCs w:val="22"/>
          <w:shd w:val="clear" w:color="auto" w:fill="FFFFFF"/>
          <w:lang w:val="en-US"/>
        </w:rPr>
        <w:t>For example, the diagnosis of OH in the 1</w:t>
      </w:r>
      <w:r w:rsidR="00875B89" w:rsidRPr="00F85073">
        <w:rPr>
          <w:color w:val="000000"/>
          <w:sz w:val="22"/>
          <w:szCs w:val="22"/>
          <w:shd w:val="clear" w:color="auto" w:fill="FFFFFF"/>
          <w:vertAlign w:val="superscript"/>
          <w:lang w:val="en-US"/>
        </w:rPr>
        <w:t>st</w:t>
      </w:r>
      <w:r w:rsidR="00875B89" w:rsidRPr="00F85073">
        <w:rPr>
          <w:color w:val="000000"/>
          <w:sz w:val="22"/>
          <w:szCs w:val="22"/>
          <w:shd w:val="clear" w:color="auto" w:fill="FFFFFF"/>
          <w:lang w:val="en-US"/>
        </w:rPr>
        <w:t xml:space="preserve"> min was made</w:t>
      </w:r>
      <w:r w:rsidR="000660DC" w:rsidRPr="00F85073">
        <w:rPr>
          <w:color w:val="000000"/>
          <w:sz w:val="22"/>
          <w:szCs w:val="22"/>
          <w:shd w:val="clear" w:color="auto" w:fill="FFFFFF"/>
          <w:lang w:val="en-US"/>
        </w:rPr>
        <w:t xml:space="preserve"> by the presence of systolic OH</w:t>
      </w:r>
      <w:r w:rsidR="00875B89" w:rsidRPr="00F85073">
        <w:rPr>
          <w:color w:val="000000"/>
          <w:sz w:val="22"/>
          <w:szCs w:val="22"/>
          <w:shd w:val="clear" w:color="auto" w:fill="FFFFFF"/>
          <w:lang w:val="en-US"/>
        </w:rPr>
        <w:t xml:space="preserve"> in the 1</w:t>
      </w:r>
      <w:r w:rsidR="00875B89" w:rsidRPr="00F85073">
        <w:rPr>
          <w:color w:val="000000"/>
          <w:sz w:val="22"/>
          <w:szCs w:val="22"/>
          <w:shd w:val="clear" w:color="auto" w:fill="FFFFFF"/>
          <w:vertAlign w:val="superscript"/>
          <w:lang w:val="en-US"/>
        </w:rPr>
        <w:t>st</w:t>
      </w:r>
      <w:r w:rsidR="00875B89" w:rsidRPr="00F85073">
        <w:rPr>
          <w:color w:val="000000"/>
          <w:sz w:val="22"/>
          <w:szCs w:val="22"/>
          <w:shd w:val="clear" w:color="auto" w:fill="FFFFFF"/>
          <w:lang w:val="en-US"/>
        </w:rPr>
        <w:t xml:space="preserve"> min  and/or diastolic OH  in the 1</w:t>
      </w:r>
      <w:r w:rsidR="00875B89" w:rsidRPr="00F85073">
        <w:rPr>
          <w:color w:val="000000"/>
          <w:sz w:val="22"/>
          <w:szCs w:val="22"/>
          <w:shd w:val="clear" w:color="auto" w:fill="FFFFFF"/>
          <w:vertAlign w:val="superscript"/>
          <w:lang w:val="en-US"/>
        </w:rPr>
        <w:t>st</w:t>
      </w:r>
      <w:r w:rsidR="00875B89" w:rsidRPr="00F85073">
        <w:rPr>
          <w:color w:val="000000"/>
          <w:sz w:val="22"/>
          <w:szCs w:val="22"/>
          <w:shd w:val="clear" w:color="auto" w:fill="FFFFFF"/>
          <w:lang w:val="en-US"/>
        </w:rPr>
        <w:t xml:space="preserve"> min.</w:t>
      </w:r>
    </w:p>
    <w:p w14:paraId="0C480EED" w14:textId="77777777" w:rsidR="00760F4D" w:rsidRPr="00F85073" w:rsidRDefault="00760F4D" w:rsidP="00F43EDA">
      <w:pPr>
        <w:spacing w:line="360" w:lineRule="auto"/>
        <w:jc w:val="both"/>
        <w:rPr>
          <w:color w:val="000000"/>
          <w:sz w:val="22"/>
          <w:szCs w:val="22"/>
          <w:shd w:val="clear" w:color="auto" w:fill="FFFFFF"/>
          <w:lang w:val="en-US"/>
        </w:rPr>
      </w:pPr>
    </w:p>
    <w:p w14:paraId="43716301" w14:textId="5D61A9DC" w:rsidR="00760F4D" w:rsidRPr="00F85073" w:rsidRDefault="000C2E4F" w:rsidP="00C66D3F">
      <w:pPr>
        <w:pStyle w:val="Heading2"/>
        <w:rPr>
          <w:shd w:val="clear" w:color="auto" w:fill="FFFFFF"/>
        </w:rPr>
      </w:pPr>
      <w:r w:rsidRPr="00F85073">
        <w:rPr>
          <w:shd w:val="clear" w:color="auto" w:fill="FFFFFF"/>
          <w:lang w:val="en-US"/>
        </w:rPr>
        <w:t>Laboratory findings</w:t>
      </w:r>
    </w:p>
    <w:p w14:paraId="6FEFED16" w14:textId="5143061B" w:rsidR="00760F4D" w:rsidRPr="00F85073" w:rsidRDefault="00760F4D" w:rsidP="00F43EDA">
      <w:pPr>
        <w:spacing w:line="360" w:lineRule="auto"/>
        <w:jc w:val="both"/>
        <w:rPr>
          <w:color w:val="000000"/>
          <w:sz w:val="22"/>
          <w:szCs w:val="22"/>
          <w:shd w:val="clear" w:color="auto" w:fill="FFFFFF"/>
        </w:rPr>
      </w:pPr>
      <w:r w:rsidRPr="00F85073">
        <w:rPr>
          <w:color w:val="000000"/>
          <w:sz w:val="22"/>
          <w:szCs w:val="22"/>
          <w:shd w:val="clear" w:color="auto" w:fill="FFFFFF"/>
        </w:rPr>
        <w:t>To evaluate the biochemical relationship of FoF and the metabolic condition, blood samples were collected in the morning after at least 8 hours of fasting. Venous blood samples were</w:t>
      </w:r>
      <w:r w:rsidRPr="00F85073">
        <w:rPr>
          <w:color w:val="000000"/>
          <w:sz w:val="22"/>
          <w:szCs w:val="22"/>
          <w:shd w:val="clear" w:color="auto" w:fill="FFFFFF"/>
        </w:rPr>
        <w:br/>
        <w:t xml:space="preserve">drawn into a standard biochemical tube for biochemical assay from all patients. Complete blood count, kidney, liver and trioid function </w:t>
      </w:r>
      <w:r w:rsidR="00426D73" w:rsidRPr="00F85073">
        <w:rPr>
          <w:color w:val="000000"/>
          <w:sz w:val="22"/>
          <w:szCs w:val="22"/>
          <w:shd w:val="clear" w:color="auto" w:fill="FFFFFF"/>
        </w:rPr>
        <w:t>tests, electrolytes, Vitamin D was</w:t>
      </w:r>
      <w:r w:rsidR="004F4A55" w:rsidRPr="00F85073">
        <w:rPr>
          <w:color w:val="000000"/>
          <w:sz w:val="22"/>
          <w:szCs w:val="22"/>
          <w:shd w:val="clear" w:color="auto" w:fill="FFFFFF"/>
        </w:rPr>
        <w:t xml:space="preserve"> recorded</w:t>
      </w:r>
      <w:r w:rsidR="007D615A" w:rsidRPr="00F85073">
        <w:rPr>
          <w:color w:val="000000"/>
          <w:sz w:val="22"/>
          <w:szCs w:val="22"/>
          <w:shd w:val="clear" w:color="auto" w:fill="FFFFFF"/>
        </w:rPr>
        <w:t>.</w:t>
      </w:r>
    </w:p>
    <w:p w14:paraId="17A31B5E" w14:textId="77777777" w:rsidR="007D615A" w:rsidRPr="00F85073" w:rsidRDefault="007D615A" w:rsidP="00F43EDA">
      <w:pPr>
        <w:spacing w:line="360" w:lineRule="auto"/>
        <w:jc w:val="both"/>
        <w:rPr>
          <w:color w:val="000000"/>
          <w:sz w:val="22"/>
          <w:szCs w:val="22"/>
          <w:shd w:val="clear" w:color="auto" w:fill="FFFFFF"/>
        </w:rPr>
      </w:pPr>
    </w:p>
    <w:p w14:paraId="2F69318A" w14:textId="3D8D2133" w:rsidR="00F91B01" w:rsidRPr="00F85073" w:rsidRDefault="00F91B01" w:rsidP="00C66D3F">
      <w:pPr>
        <w:pStyle w:val="Heading2"/>
        <w:rPr>
          <w:color w:val="000000"/>
          <w:shd w:val="clear" w:color="auto" w:fill="FFFFFF"/>
        </w:rPr>
      </w:pPr>
      <w:r w:rsidRPr="00F85073">
        <w:t>Statistical Analysis</w:t>
      </w:r>
    </w:p>
    <w:p w14:paraId="719E441C" w14:textId="77777777" w:rsidR="00C96543" w:rsidRPr="00F85073" w:rsidRDefault="00C96543" w:rsidP="00F43EDA">
      <w:pPr>
        <w:spacing w:line="360" w:lineRule="auto"/>
        <w:jc w:val="both"/>
        <w:rPr>
          <w:sz w:val="22"/>
          <w:szCs w:val="22"/>
        </w:rPr>
      </w:pPr>
    </w:p>
    <w:p w14:paraId="5FA7E33A" w14:textId="0BBCB198" w:rsidR="00F91B01" w:rsidRPr="00F85073" w:rsidRDefault="0063537C" w:rsidP="00F43EDA">
      <w:pPr>
        <w:spacing w:line="360" w:lineRule="auto"/>
        <w:jc w:val="both"/>
        <w:rPr>
          <w:sz w:val="22"/>
          <w:szCs w:val="22"/>
          <w:lang w:val="en-US"/>
        </w:rPr>
      </w:pPr>
      <w:r w:rsidRPr="00F85073">
        <w:rPr>
          <w:sz w:val="22"/>
          <w:szCs w:val="22"/>
        </w:rPr>
        <w:t xml:space="preserve">Histogram, q-q graphs and Shapiro-Wilk test were used to evaluate data normality. Levene test was performed to evaluate variance homogeneity. </w:t>
      </w:r>
      <w:r w:rsidR="00F91B01" w:rsidRPr="00F85073">
        <w:rPr>
          <w:sz w:val="22"/>
          <w:szCs w:val="22"/>
        </w:rPr>
        <w:t xml:space="preserve">To compare the differences among groups, independent samples </w:t>
      </w:r>
      <w:r w:rsidR="00F91B01" w:rsidRPr="00F85073">
        <w:rPr>
          <w:i/>
          <w:sz w:val="22"/>
          <w:szCs w:val="22"/>
        </w:rPr>
        <w:t>t</w:t>
      </w:r>
      <w:r w:rsidR="00F91B01" w:rsidRPr="00F85073">
        <w:rPr>
          <w:sz w:val="22"/>
          <w:szCs w:val="22"/>
        </w:rPr>
        <w:t xml:space="preserve"> test, one-way analysis of variance (ANOVA) and Kruskal-Wallis tests were used for continuous variables, while Pearson chi-square analysis were used for categorical variables. </w:t>
      </w:r>
      <w:r w:rsidRPr="00F85073">
        <w:rPr>
          <w:sz w:val="22"/>
          <w:szCs w:val="22"/>
        </w:rPr>
        <w:t xml:space="preserve">For post-hoc comparisons, Tukey, Tamhane T2, Dunn-Bonferroni and Bonferroni-adjusted z test were applied. Relationships between FoF groups and OH groups were investigated using multiple binary regression models adjusted for </w:t>
      </w:r>
      <w:r w:rsidR="00110487" w:rsidRPr="00F85073">
        <w:rPr>
          <w:sz w:val="22"/>
          <w:szCs w:val="22"/>
          <w:lang w:val="en-US"/>
        </w:rPr>
        <w:t xml:space="preserve">all potential confounders including age, gender, education, marital status, living arrangement, history of falls, diabetes, cardiovascular disease, hypertension, </w:t>
      </w:r>
      <w:r w:rsidR="00110487" w:rsidRPr="00F85073">
        <w:rPr>
          <w:sz w:val="22"/>
          <w:szCs w:val="22"/>
        </w:rPr>
        <w:t xml:space="preserve">TUG time scores, hemoglobin level </w:t>
      </w:r>
      <w:r w:rsidR="00110487" w:rsidRPr="00F85073">
        <w:rPr>
          <w:sz w:val="22"/>
          <w:szCs w:val="22"/>
          <w:lang w:val="en-US"/>
        </w:rPr>
        <w:t>and Vitamin D deficiency</w:t>
      </w:r>
      <w:r w:rsidRPr="00F85073">
        <w:rPr>
          <w:sz w:val="22"/>
          <w:szCs w:val="22"/>
        </w:rPr>
        <w:t>.</w:t>
      </w:r>
      <w:r w:rsidR="00997F27" w:rsidRPr="00F85073">
        <w:rPr>
          <w:sz w:val="22"/>
          <w:szCs w:val="22"/>
        </w:rPr>
        <w:t xml:space="preserve"> </w:t>
      </w:r>
      <w:r w:rsidR="00F91B01" w:rsidRPr="00F85073">
        <w:rPr>
          <w:color w:val="000000"/>
          <w:sz w:val="22"/>
          <w:szCs w:val="22"/>
          <w:shd w:val="clear" w:color="auto" w:fill="FFFFFF"/>
        </w:rPr>
        <w:t xml:space="preserve">All statistical analyses were performed using the </w:t>
      </w:r>
      <w:r w:rsidR="00F91B01" w:rsidRPr="00F85073">
        <w:rPr>
          <w:color w:val="222222"/>
          <w:sz w:val="22"/>
          <w:szCs w:val="22"/>
          <w:shd w:val="clear" w:color="auto" w:fill="FFFFFF"/>
        </w:rPr>
        <w:t>Statistical Package for the Social Sciences</w:t>
      </w:r>
      <w:r w:rsidR="00F91B01" w:rsidRPr="00F85073">
        <w:rPr>
          <w:color w:val="000000"/>
          <w:sz w:val="22"/>
          <w:szCs w:val="22"/>
          <w:shd w:val="clear" w:color="auto" w:fill="FFFFFF"/>
        </w:rPr>
        <w:t xml:space="preserve"> 22.0 (SPSS Inc.)</w:t>
      </w:r>
      <w:r w:rsidR="00F91B01" w:rsidRPr="00F85073">
        <w:rPr>
          <w:sz w:val="22"/>
          <w:szCs w:val="22"/>
        </w:rPr>
        <w:t xml:space="preserve">. </w:t>
      </w:r>
      <w:r w:rsidRPr="00F85073">
        <w:rPr>
          <w:sz w:val="22"/>
          <w:szCs w:val="22"/>
        </w:rPr>
        <w:t>P value</w:t>
      </w:r>
      <w:r w:rsidR="007D615A" w:rsidRPr="00F85073">
        <w:rPr>
          <w:sz w:val="22"/>
          <w:szCs w:val="22"/>
        </w:rPr>
        <w:t>s</w:t>
      </w:r>
      <w:r w:rsidRPr="00F85073">
        <w:rPr>
          <w:sz w:val="22"/>
          <w:szCs w:val="22"/>
        </w:rPr>
        <w:t xml:space="preserve"> below 0.05 w</w:t>
      </w:r>
      <w:r w:rsidR="007D615A" w:rsidRPr="00F85073">
        <w:rPr>
          <w:sz w:val="22"/>
          <w:szCs w:val="22"/>
        </w:rPr>
        <w:t>ere</w:t>
      </w:r>
      <w:r w:rsidRPr="00F85073">
        <w:rPr>
          <w:sz w:val="22"/>
          <w:szCs w:val="22"/>
        </w:rPr>
        <w:t xml:space="preserve"> considered statistically significant. </w:t>
      </w:r>
      <w:r w:rsidR="009966B8" w:rsidRPr="00F85073">
        <w:rPr>
          <w:sz w:val="22"/>
          <w:szCs w:val="22"/>
          <w:lang w:val="en-US"/>
        </w:rPr>
        <w:t>The required number of samples was calculated as at least 276 patients, with an acceptable 5% error and 95% confidence level.</w:t>
      </w:r>
    </w:p>
    <w:p w14:paraId="46C5080E" w14:textId="77777777" w:rsidR="00D6697D" w:rsidRPr="00F85073" w:rsidRDefault="00D6697D" w:rsidP="00F43EDA">
      <w:pPr>
        <w:spacing w:line="360" w:lineRule="auto"/>
        <w:jc w:val="both"/>
        <w:rPr>
          <w:color w:val="000000"/>
          <w:sz w:val="22"/>
          <w:szCs w:val="22"/>
          <w:shd w:val="clear" w:color="auto" w:fill="FFFFFF"/>
        </w:rPr>
      </w:pPr>
    </w:p>
    <w:p w14:paraId="0FD2CEB7" w14:textId="77777777" w:rsidR="00F91B01" w:rsidRPr="00F85073" w:rsidRDefault="00D6697D" w:rsidP="00C66D3F">
      <w:pPr>
        <w:pStyle w:val="Heading1"/>
        <w:rPr>
          <w:shd w:val="clear" w:color="auto" w:fill="FFFFFF"/>
        </w:rPr>
      </w:pPr>
      <w:r w:rsidRPr="00F85073">
        <w:rPr>
          <w:shd w:val="clear" w:color="auto" w:fill="FFFFFF"/>
        </w:rPr>
        <w:t>RESULTS</w:t>
      </w:r>
    </w:p>
    <w:p w14:paraId="2550FCDA" w14:textId="77777777" w:rsidR="00D6697D" w:rsidRPr="00F85073" w:rsidRDefault="00D6697D" w:rsidP="00F43EDA">
      <w:pPr>
        <w:pStyle w:val="ListParagraph"/>
        <w:spacing w:line="360" w:lineRule="auto"/>
        <w:jc w:val="both"/>
        <w:rPr>
          <w:b/>
          <w:bCs/>
          <w:color w:val="000000"/>
          <w:sz w:val="22"/>
          <w:szCs w:val="22"/>
          <w:shd w:val="clear" w:color="auto" w:fill="FFFFFF"/>
        </w:rPr>
      </w:pPr>
    </w:p>
    <w:p w14:paraId="2F00FDC7" w14:textId="38C99193" w:rsidR="007529ED" w:rsidRPr="00F85073" w:rsidRDefault="007C3821" w:rsidP="00F43EDA">
      <w:pPr>
        <w:spacing w:line="360" w:lineRule="auto"/>
        <w:jc w:val="both"/>
        <w:rPr>
          <w:sz w:val="22"/>
          <w:szCs w:val="22"/>
        </w:rPr>
      </w:pPr>
      <w:r w:rsidRPr="00F85073">
        <w:rPr>
          <w:sz w:val="22"/>
          <w:szCs w:val="22"/>
        </w:rPr>
        <w:t>A total of 314 participants were included in the study aged</w:t>
      </w:r>
      <w:r w:rsidR="000331E6" w:rsidRPr="00F85073">
        <w:rPr>
          <w:sz w:val="22"/>
          <w:szCs w:val="22"/>
        </w:rPr>
        <w:t xml:space="preserve"> </w:t>
      </w:r>
      <w:r w:rsidR="009966B8" w:rsidRPr="00F85073">
        <w:rPr>
          <w:sz w:val="22"/>
          <w:szCs w:val="22"/>
        </w:rPr>
        <w:t>65 to 93</w:t>
      </w:r>
      <w:r w:rsidRPr="00F85073">
        <w:rPr>
          <w:sz w:val="22"/>
          <w:szCs w:val="22"/>
        </w:rPr>
        <w:t xml:space="preserve"> years</w:t>
      </w:r>
      <w:r w:rsidR="000331E6" w:rsidRPr="00F85073">
        <w:rPr>
          <w:sz w:val="22"/>
          <w:szCs w:val="22"/>
        </w:rPr>
        <w:t xml:space="preserve"> (mean age 74.2±8.5 years)</w:t>
      </w:r>
      <w:r w:rsidR="009966B8" w:rsidRPr="00F85073">
        <w:rPr>
          <w:sz w:val="22"/>
          <w:szCs w:val="22"/>
        </w:rPr>
        <w:t xml:space="preserve">, </w:t>
      </w:r>
      <w:r w:rsidRPr="00F85073">
        <w:rPr>
          <w:sz w:val="22"/>
          <w:szCs w:val="22"/>
        </w:rPr>
        <w:t xml:space="preserve">and </w:t>
      </w:r>
      <w:r w:rsidR="009966B8" w:rsidRPr="00F85073">
        <w:rPr>
          <w:sz w:val="22"/>
          <w:szCs w:val="22"/>
        </w:rPr>
        <w:t xml:space="preserve">193 (61.5%) </w:t>
      </w:r>
      <w:r w:rsidRPr="00F85073">
        <w:rPr>
          <w:sz w:val="22"/>
          <w:szCs w:val="22"/>
        </w:rPr>
        <w:t xml:space="preserve">were </w:t>
      </w:r>
      <w:r w:rsidR="009966B8" w:rsidRPr="00F85073">
        <w:rPr>
          <w:sz w:val="22"/>
          <w:szCs w:val="22"/>
        </w:rPr>
        <w:t xml:space="preserve">female. Of </w:t>
      </w:r>
      <w:r w:rsidR="00227661" w:rsidRPr="00F85073">
        <w:rPr>
          <w:sz w:val="22"/>
          <w:szCs w:val="22"/>
        </w:rPr>
        <w:t xml:space="preserve">the </w:t>
      </w:r>
      <w:r w:rsidR="009966B8" w:rsidRPr="00F85073">
        <w:rPr>
          <w:sz w:val="22"/>
          <w:szCs w:val="22"/>
        </w:rPr>
        <w:t>314 older adult</w:t>
      </w:r>
      <w:r w:rsidR="006A230F" w:rsidRPr="00F85073">
        <w:rPr>
          <w:sz w:val="22"/>
          <w:szCs w:val="22"/>
        </w:rPr>
        <w:t>s admitted to the clinic, 30</w:t>
      </w:r>
      <w:r w:rsidR="00B2518A" w:rsidRPr="00F85073">
        <w:rPr>
          <w:sz w:val="22"/>
          <w:szCs w:val="22"/>
        </w:rPr>
        <w:t>.6</w:t>
      </w:r>
      <w:r w:rsidR="009966B8" w:rsidRPr="00F85073">
        <w:rPr>
          <w:sz w:val="22"/>
          <w:szCs w:val="22"/>
        </w:rPr>
        <w:t xml:space="preserve">%, </w:t>
      </w:r>
      <w:r w:rsidR="00B2518A" w:rsidRPr="00F85073">
        <w:rPr>
          <w:sz w:val="22"/>
          <w:szCs w:val="22"/>
        </w:rPr>
        <w:t>29.6% and 39.8</w:t>
      </w:r>
      <w:r w:rsidR="00520A83" w:rsidRPr="00F85073">
        <w:rPr>
          <w:sz w:val="22"/>
          <w:szCs w:val="22"/>
        </w:rPr>
        <w:t xml:space="preserve">% were in the  low FoF, </w:t>
      </w:r>
      <w:r w:rsidR="00231F33" w:rsidRPr="00F85073">
        <w:rPr>
          <w:sz w:val="22"/>
          <w:szCs w:val="22"/>
        </w:rPr>
        <w:t xml:space="preserve">moderate </w:t>
      </w:r>
      <w:r w:rsidR="009966B8" w:rsidRPr="00F85073">
        <w:rPr>
          <w:sz w:val="22"/>
          <w:szCs w:val="22"/>
        </w:rPr>
        <w:t xml:space="preserve"> FoF and high FoF groups, respectively. </w:t>
      </w:r>
      <w:r w:rsidR="007529ED" w:rsidRPr="00F85073">
        <w:rPr>
          <w:sz w:val="22"/>
          <w:szCs w:val="22"/>
        </w:rPr>
        <w:t xml:space="preserve">OH was examined at 1 and 3 minutes after standing up, and the </w:t>
      </w:r>
      <w:r w:rsidR="00842B33" w:rsidRPr="00F85073">
        <w:rPr>
          <w:sz w:val="22"/>
          <w:szCs w:val="22"/>
        </w:rPr>
        <w:t>prevalence of OH1 and OH3 was 20.3% and 21</w:t>
      </w:r>
      <w:r w:rsidR="007529ED" w:rsidRPr="00F85073">
        <w:rPr>
          <w:sz w:val="22"/>
          <w:szCs w:val="22"/>
        </w:rPr>
        <w:t>%</w:t>
      </w:r>
      <w:r w:rsidR="00BF2367" w:rsidRPr="00F85073">
        <w:rPr>
          <w:sz w:val="22"/>
          <w:szCs w:val="22"/>
        </w:rPr>
        <w:t xml:space="preserve"> in </w:t>
      </w:r>
      <w:r w:rsidR="00842B33" w:rsidRPr="00F85073">
        <w:rPr>
          <w:sz w:val="22"/>
          <w:szCs w:val="22"/>
        </w:rPr>
        <w:t>the study population</w:t>
      </w:r>
      <w:r w:rsidR="007529ED" w:rsidRPr="00F85073">
        <w:rPr>
          <w:sz w:val="22"/>
          <w:szCs w:val="22"/>
        </w:rPr>
        <w:t>, respectively. In patients with high FoF, t</w:t>
      </w:r>
      <w:r w:rsidR="00F91B01" w:rsidRPr="00F85073">
        <w:rPr>
          <w:sz w:val="22"/>
          <w:szCs w:val="22"/>
        </w:rPr>
        <w:t xml:space="preserve">he </w:t>
      </w:r>
      <w:r w:rsidR="001037DA" w:rsidRPr="00F85073">
        <w:rPr>
          <w:sz w:val="22"/>
          <w:szCs w:val="22"/>
        </w:rPr>
        <w:t>prevalence of OH1 and OH3 was 28% and 31.2</w:t>
      </w:r>
      <w:r w:rsidR="00F91B01" w:rsidRPr="00F85073">
        <w:rPr>
          <w:sz w:val="22"/>
          <w:szCs w:val="22"/>
        </w:rPr>
        <w:t>%, respectively. The comparison</w:t>
      </w:r>
      <w:r w:rsidR="0026423C" w:rsidRPr="00F85073">
        <w:rPr>
          <w:sz w:val="22"/>
          <w:szCs w:val="22"/>
        </w:rPr>
        <w:t xml:space="preserve"> of patients characteristics</w:t>
      </w:r>
      <w:r w:rsidR="00F91B01" w:rsidRPr="00F85073">
        <w:rPr>
          <w:sz w:val="22"/>
          <w:szCs w:val="22"/>
        </w:rPr>
        <w:t xml:space="preserve"> according to FoF</w:t>
      </w:r>
      <w:r w:rsidR="00692A7E" w:rsidRPr="00F85073">
        <w:rPr>
          <w:sz w:val="22"/>
          <w:szCs w:val="22"/>
        </w:rPr>
        <w:t>’s groups</w:t>
      </w:r>
      <w:r w:rsidR="00F91B01" w:rsidRPr="00F85073">
        <w:rPr>
          <w:sz w:val="22"/>
          <w:szCs w:val="22"/>
        </w:rPr>
        <w:t xml:space="preserve"> is summarized in Table 1.</w:t>
      </w:r>
      <w:r w:rsidR="00692A7E" w:rsidRPr="00F85073">
        <w:rPr>
          <w:sz w:val="22"/>
          <w:szCs w:val="22"/>
        </w:rPr>
        <w:t xml:space="preserve"> </w:t>
      </w:r>
      <w:r w:rsidR="007529ED" w:rsidRPr="00F85073">
        <w:rPr>
          <w:sz w:val="22"/>
          <w:szCs w:val="22"/>
        </w:rPr>
        <w:t xml:space="preserve">Among these groups, significant differences were found </w:t>
      </w:r>
      <w:r w:rsidRPr="00F85073">
        <w:rPr>
          <w:sz w:val="22"/>
          <w:szCs w:val="22"/>
        </w:rPr>
        <w:t xml:space="preserve">for </w:t>
      </w:r>
      <w:r w:rsidR="00A93A87" w:rsidRPr="00F85073">
        <w:rPr>
          <w:sz w:val="22"/>
          <w:szCs w:val="22"/>
        </w:rPr>
        <w:t xml:space="preserve">age, </w:t>
      </w:r>
      <w:r w:rsidR="007529ED" w:rsidRPr="00F85073">
        <w:rPr>
          <w:sz w:val="22"/>
          <w:szCs w:val="22"/>
        </w:rPr>
        <w:t xml:space="preserve">gender, </w:t>
      </w:r>
      <w:r w:rsidR="00A93A87" w:rsidRPr="00F85073">
        <w:rPr>
          <w:sz w:val="22"/>
          <w:szCs w:val="22"/>
        </w:rPr>
        <w:t xml:space="preserve">education, </w:t>
      </w:r>
      <w:r w:rsidR="007529ED" w:rsidRPr="00F85073">
        <w:rPr>
          <w:sz w:val="22"/>
          <w:szCs w:val="22"/>
        </w:rPr>
        <w:t>marital status, who the patient lived with, the history of falling in the past year and last month,</w:t>
      </w:r>
      <w:r w:rsidRPr="00F85073">
        <w:rPr>
          <w:sz w:val="22"/>
          <w:szCs w:val="22"/>
        </w:rPr>
        <w:t xml:space="preserve"> </w:t>
      </w:r>
      <w:r w:rsidR="00466E52" w:rsidRPr="00F85073">
        <w:rPr>
          <w:sz w:val="22"/>
          <w:szCs w:val="22"/>
        </w:rPr>
        <w:t>TUG test</w:t>
      </w:r>
      <w:r w:rsidR="00DF34DB" w:rsidRPr="00F85073">
        <w:rPr>
          <w:sz w:val="22"/>
          <w:szCs w:val="22"/>
        </w:rPr>
        <w:t xml:space="preserve"> scores</w:t>
      </w:r>
      <w:r w:rsidR="00026C90" w:rsidRPr="00F85073">
        <w:rPr>
          <w:sz w:val="22"/>
          <w:szCs w:val="22"/>
        </w:rPr>
        <w:t xml:space="preserve">, </w:t>
      </w:r>
      <w:r w:rsidR="002C1C61" w:rsidRPr="00F85073">
        <w:rPr>
          <w:sz w:val="22"/>
          <w:szCs w:val="22"/>
        </w:rPr>
        <w:t xml:space="preserve">hemoglobin </w:t>
      </w:r>
      <w:r w:rsidR="00DF34DB" w:rsidRPr="00F85073">
        <w:rPr>
          <w:sz w:val="22"/>
          <w:szCs w:val="22"/>
        </w:rPr>
        <w:t xml:space="preserve">level </w:t>
      </w:r>
      <w:r w:rsidRPr="00F85073">
        <w:rPr>
          <w:sz w:val="22"/>
          <w:szCs w:val="22"/>
        </w:rPr>
        <w:t>and</w:t>
      </w:r>
      <w:r w:rsidR="00E23327" w:rsidRPr="00F85073">
        <w:rPr>
          <w:sz w:val="22"/>
          <w:szCs w:val="22"/>
        </w:rPr>
        <w:t xml:space="preserve"> hypertension (p &lt;0.005).</w:t>
      </w:r>
    </w:p>
    <w:p w14:paraId="3D5171BA" w14:textId="77777777" w:rsidR="00CE76D6" w:rsidRPr="00F85073" w:rsidRDefault="00CE76D6" w:rsidP="00F43EDA">
      <w:pPr>
        <w:spacing w:line="360" w:lineRule="auto"/>
        <w:jc w:val="both"/>
        <w:rPr>
          <w:sz w:val="22"/>
          <w:szCs w:val="22"/>
        </w:rPr>
      </w:pPr>
    </w:p>
    <w:p w14:paraId="5414992D" w14:textId="5CD86284" w:rsidR="00227661" w:rsidRPr="00F85073" w:rsidRDefault="00227661" w:rsidP="00F43EDA">
      <w:pPr>
        <w:spacing w:line="360" w:lineRule="auto"/>
        <w:jc w:val="both"/>
        <w:rPr>
          <w:color w:val="000000" w:themeColor="text1"/>
          <w:sz w:val="22"/>
          <w:szCs w:val="22"/>
        </w:rPr>
      </w:pPr>
      <w:r w:rsidRPr="00F85073">
        <w:rPr>
          <w:b/>
          <w:bCs/>
          <w:color w:val="000000" w:themeColor="text1"/>
          <w:sz w:val="22"/>
          <w:szCs w:val="22"/>
        </w:rPr>
        <w:t>Table 1</w:t>
      </w:r>
      <w:r w:rsidRPr="00F85073">
        <w:rPr>
          <w:color w:val="000000" w:themeColor="text1"/>
          <w:sz w:val="22"/>
          <w:szCs w:val="22"/>
        </w:rPr>
        <w:t>.</w:t>
      </w:r>
      <w:r w:rsidR="00BB4FF6" w:rsidRPr="00F85073">
        <w:rPr>
          <w:color w:val="000000" w:themeColor="text1"/>
          <w:sz w:val="22"/>
          <w:szCs w:val="22"/>
        </w:rPr>
        <w:t xml:space="preserve"> Comparison of demographic data, laboratory results and orthostatic blood pressure changes with fear of falling groups obtained from FES-I scores</w:t>
      </w:r>
    </w:p>
    <w:p w14:paraId="3560F278" w14:textId="77777777" w:rsidR="00665E31" w:rsidRPr="00F85073" w:rsidRDefault="00665E31" w:rsidP="00F43EDA">
      <w:pPr>
        <w:spacing w:line="360" w:lineRule="auto"/>
        <w:jc w:val="both"/>
        <w:rPr>
          <w:color w:val="000000" w:themeColor="text1"/>
          <w:sz w:val="22"/>
          <w:szCs w:val="22"/>
        </w:rPr>
      </w:pPr>
    </w:p>
    <w:p w14:paraId="6342A2A9" w14:textId="77777777" w:rsidR="00665E31" w:rsidRPr="00F85073" w:rsidRDefault="00665E31" w:rsidP="00F43EDA">
      <w:pPr>
        <w:spacing w:line="360" w:lineRule="auto"/>
        <w:jc w:val="both"/>
        <w:rPr>
          <w:color w:val="000000" w:themeColor="text1"/>
          <w:sz w:val="22"/>
          <w:szCs w:val="22"/>
        </w:rPr>
      </w:pPr>
    </w:p>
    <w:tbl>
      <w:tblPr>
        <w:tblStyle w:val="DzTablo21"/>
        <w:tblpPr w:leftFromText="141" w:rightFromText="141" w:vertAnchor="page" w:horzAnchor="margin" w:tblpXSpec="center" w:tblpY="1092"/>
        <w:tblW w:w="9322" w:type="dxa"/>
        <w:jc w:val="center"/>
        <w:tblBorders>
          <w:bottom w:val="none" w:sz="0" w:space="0" w:color="auto"/>
          <w:insideH w:val="single" w:sz="4" w:space="0" w:color="7F7F7F" w:themeColor="text1" w:themeTint="80"/>
        </w:tblBorders>
        <w:tblLayout w:type="fixed"/>
        <w:tblLook w:val="04A0" w:firstRow="1" w:lastRow="0" w:firstColumn="1" w:lastColumn="0" w:noHBand="0" w:noVBand="1"/>
      </w:tblPr>
      <w:tblGrid>
        <w:gridCol w:w="1583"/>
        <w:gridCol w:w="956"/>
        <w:gridCol w:w="1566"/>
        <w:gridCol w:w="1566"/>
        <w:gridCol w:w="1566"/>
        <w:gridCol w:w="1510"/>
        <w:gridCol w:w="56"/>
        <w:gridCol w:w="519"/>
      </w:tblGrid>
      <w:tr w:rsidR="00665E31" w:rsidRPr="00F85073" w14:paraId="3896E6C8" w14:textId="77777777" w:rsidTr="00435260">
        <w:trPr>
          <w:gridAfter w:val="1"/>
          <w:cnfStyle w:val="100000000000" w:firstRow="1" w:lastRow="0" w:firstColumn="0" w:lastColumn="0" w:oddVBand="0" w:evenVBand="0" w:oddHBand="0" w:evenHBand="0" w:firstRowFirstColumn="0" w:firstRowLastColumn="0" w:lastRowFirstColumn="0" w:lastRowLastColumn="0"/>
          <w:wAfter w:w="519" w:type="dxa"/>
          <w:trHeight w:val="158"/>
          <w:jc w:val="center"/>
        </w:trPr>
        <w:tc>
          <w:tcPr>
            <w:cnfStyle w:val="001000000000" w:firstRow="0" w:lastRow="0" w:firstColumn="1" w:lastColumn="0" w:oddVBand="0" w:evenVBand="0" w:oddHBand="0" w:evenHBand="0" w:firstRowFirstColumn="0" w:firstRowLastColumn="0" w:lastRowFirstColumn="0" w:lastRowLastColumn="0"/>
            <w:tcW w:w="1583" w:type="dxa"/>
            <w:vMerge w:val="restart"/>
            <w:tcBorders>
              <w:top w:val="single" w:sz="18" w:space="0" w:color="000000" w:themeColor="text1"/>
            </w:tcBorders>
            <w:vAlign w:val="center"/>
          </w:tcPr>
          <w:p w14:paraId="00132F45" w14:textId="77777777" w:rsidR="00665E31" w:rsidRPr="00F85073" w:rsidRDefault="00665E31" w:rsidP="00435260">
            <w:pPr>
              <w:spacing w:line="360" w:lineRule="auto"/>
              <w:rPr>
                <w:color w:val="000000" w:themeColor="text1"/>
                <w:sz w:val="20"/>
                <w:szCs w:val="22"/>
              </w:rPr>
            </w:pPr>
          </w:p>
        </w:tc>
        <w:tc>
          <w:tcPr>
            <w:tcW w:w="956" w:type="dxa"/>
            <w:vMerge w:val="restart"/>
            <w:tcBorders>
              <w:top w:val="single" w:sz="18" w:space="0" w:color="000000" w:themeColor="text1"/>
            </w:tcBorders>
            <w:vAlign w:val="center"/>
          </w:tcPr>
          <w:p w14:paraId="7B092C00" w14:textId="77777777" w:rsidR="00665E31" w:rsidRPr="00F85073" w:rsidRDefault="00665E31" w:rsidP="00435260">
            <w:pPr>
              <w:tabs>
                <w:tab w:val="left" w:pos="428"/>
              </w:tabs>
              <w:spacing w:line="360" w:lineRule="auto"/>
              <w:jc w:val="center"/>
              <w:cnfStyle w:val="100000000000" w:firstRow="1" w:lastRow="0" w:firstColumn="0" w:lastColumn="0" w:oddVBand="0" w:evenVBand="0" w:oddHBand="0" w:evenHBand="0" w:firstRowFirstColumn="0" w:firstRowLastColumn="0" w:lastRowFirstColumn="0" w:lastRowLastColumn="0"/>
              <w:rPr>
                <w:color w:val="000000" w:themeColor="text1"/>
                <w:sz w:val="20"/>
                <w:szCs w:val="22"/>
              </w:rPr>
            </w:pPr>
          </w:p>
        </w:tc>
        <w:tc>
          <w:tcPr>
            <w:tcW w:w="4698" w:type="dxa"/>
            <w:gridSpan w:val="3"/>
            <w:tcBorders>
              <w:top w:val="single" w:sz="18" w:space="0" w:color="000000" w:themeColor="text1"/>
              <w:bottom w:val="single" w:sz="4" w:space="0" w:color="auto"/>
            </w:tcBorders>
            <w:vAlign w:val="center"/>
          </w:tcPr>
          <w:p w14:paraId="29E9F636" w14:textId="77777777" w:rsidR="00665E31" w:rsidRPr="00F85073" w:rsidRDefault="00665E31" w:rsidP="00435260">
            <w:pPr>
              <w:spacing w:line="360" w:lineRule="auto"/>
              <w:jc w:val="center"/>
              <w:cnfStyle w:val="100000000000" w:firstRow="1"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FES-I SCORES</w:t>
            </w:r>
          </w:p>
        </w:tc>
        <w:tc>
          <w:tcPr>
            <w:tcW w:w="1566" w:type="dxa"/>
            <w:gridSpan w:val="2"/>
            <w:tcBorders>
              <w:top w:val="single" w:sz="18" w:space="0" w:color="000000" w:themeColor="text1"/>
              <w:bottom w:val="nil"/>
            </w:tcBorders>
          </w:tcPr>
          <w:p w14:paraId="0F9740A0" w14:textId="77777777" w:rsidR="00665E31" w:rsidRPr="00F85073" w:rsidRDefault="00665E31" w:rsidP="00435260">
            <w:pPr>
              <w:spacing w:line="360" w:lineRule="auto"/>
              <w:jc w:val="center"/>
              <w:cnfStyle w:val="100000000000" w:firstRow="1" w:lastRow="0" w:firstColumn="0" w:lastColumn="0" w:oddVBand="0" w:evenVBand="0" w:oddHBand="0" w:evenHBand="0" w:firstRowFirstColumn="0" w:firstRowLastColumn="0" w:lastRowFirstColumn="0" w:lastRowLastColumn="0"/>
              <w:rPr>
                <w:color w:val="000000" w:themeColor="text1"/>
                <w:sz w:val="20"/>
                <w:szCs w:val="22"/>
              </w:rPr>
            </w:pPr>
          </w:p>
        </w:tc>
      </w:tr>
      <w:tr w:rsidR="00665E31" w:rsidRPr="00F85073" w14:paraId="16DBE9ED" w14:textId="77777777" w:rsidTr="00435260">
        <w:trPr>
          <w:gridAfter w:val="1"/>
          <w:cnfStyle w:val="000000100000" w:firstRow="0" w:lastRow="0" w:firstColumn="0" w:lastColumn="0" w:oddVBand="0" w:evenVBand="0" w:oddHBand="1" w:evenHBand="0" w:firstRowFirstColumn="0" w:firstRowLastColumn="0" w:lastRowFirstColumn="0" w:lastRowLastColumn="0"/>
          <w:wAfter w:w="519" w:type="dxa"/>
          <w:trHeight w:val="298"/>
          <w:jc w:val="center"/>
        </w:trPr>
        <w:tc>
          <w:tcPr>
            <w:cnfStyle w:val="001000000000" w:firstRow="0" w:lastRow="0" w:firstColumn="1" w:lastColumn="0" w:oddVBand="0" w:evenVBand="0" w:oddHBand="0" w:evenHBand="0" w:firstRowFirstColumn="0" w:firstRowLastColumn="0" w:lastRowFirstColumn="0" w:lastRowLastColumn="0"/>
            <w:tcW w:w="1583" w:type="dxa"/>
            <w:vMerge/>
            <w:vAlign w:val="center"/>
          </w:tcPr>
          <w:p w14:paraId="10206A64" w14:textId="77777777" w:rsidR="00665E31" w:rsidRPr="00F85073" w:rsidRDefault="00665E31" w:rsidP="00435260">
            <w:pPr>
              <w:spacing w:line="360" w:lineRule="auto"/>
              <w:rPr>
                <w:color w:val="000000" w:themeColor="text1"/>
                <w:sz w:val="20"/>
                <w:szCs w:val="22"/>
              </w:rPr>
            </w:pPr>
          </w:p>
        </w:tc>
        <w:tc>
          <w:tcPr>
            <w:tcW w:w="956" w:type="dxa"/>
            <w:vMerge/>
            <w:vAlign w:val="center"/>
          </w:tcPr>
          <w:p w14:paraId="469E28BD" w14:textId="77777777" w:rsidR="00665E31" w:rsidRPr="00F85073" w:rsidRDefault="00665E31" w:rsidP="00435260">
            <w:pPr>
              <w:tabs>
                <w:tab w:val="left" w:pos="428"/>
              </w:tabs>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p>
        </w:tc>
        <w:tc>
          <w:tcPr>
            <w:tcW w:w="1566" w:type="dxa"/>
            <w:tcBorders>
              <w:top w:val="single" w:sz="4" w:space="0" w:color="auto"/>
            </w:tcBorders>
          </w:tcPr>
          <w:p w14:paraId="3C8DAD28"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b/>
                <w:color w:val="000000" w:themeColor="text1"/>
                <w:sz w:val="20"/>
                <w:szCs w:val="22"/>
              </w:rPr>
            </w:pPr>
            <w:r w:rsidRPr="00F85073">
              <w:rPr>
                <w:b/>
                <w:color w:val="000000" w:themeColor="text1"/>
                <w:sz w:val="20"/>
                <w:szCs w:val="22"/>
              </w:rPr>
              <w:t>16-19</w:t>
            </w:r>
          </w:p>
          <w:p w14:paraId="2238B0D9"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b/>
                <w:color w:val="000000" w:themeColor="text1"/>
                <w:sz w:val="20"/>
                <w:szCs w:val="22"/>
              </w:rPr>
            </w:pPr>
            <w:r w:rsidRPr="00F85073">
              <w:rPr>
                <w:b/>
                <w:color w:val="000000" w:themeColor="text1"/>
                <w:sz w:val="20"/>
                <w:szCs w:val="22"/>
              </w:rPr>
              <w:t>(</w:t>
            </w:r>
            <w:r w:rsidRPr="00F85073">
              <w:rPr>
                <w:b/>
                <w:i/>
                <w:iCs/>
                <w:color w:val="000000" w:themeColor="text1"/>
                <w:sz w:val="20"/>
                <w:szCs w:val="22"/>
              </w:rPr>
              <w:t>n</w:t>
            </w:r>
            <w:r w:rsidRPr="00F85073">
              <w:rPr>
                <w:b/>
                <w:color w:val="000000" w:themeColor="text1"/>
                <w:sz w:val="20"/>
                <w:szCs w:val="22"/>
              </w:rPr>
              <w:t>=96)</w:t>
            </w:r>
          </w:p>
        </w:tc>
        <w:tc>
          <w:tcPr>
            <w:tcW w:w="1566" w:type="dxa"/>
            <w:tcBorders>
              <w:top w:val="single" w:sz="4" w:space="0" w:color="auto"/>
            </w:tcBorders>
          </w:tcPr>
          <w:p w14:paraId="73E53C16"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b/>
                <w:color w:val="000000" w:themeColor="text1"/>
                <w:sz w:val="20"/>
                <w:szCs w:val="22"/>
              </w:rPr>
            </w:pPr>
            <w:r w:rsidRPr="00F85073">
              <w:rPr>
                <w:b/>
                <w:color w:val="000000" w:themeColor="text1"/>
                <w:sz w:val="20"/>
                <w:szCs w:val="22"/>
              </w:rPr>
              <w:t>20-27</w:t>
            </w:r>
          </w:p>
          <w:p w14:paraId="3C3F0E3B"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b/>
                <w:color w:val="000000" w:themeColor="text1"/>
                <w:sz w:val="20"/>
                <w:szCs w:val="22"/>
              </w:rPr>
            </w:pPr>
            <w:r w:rsidRPr="00F85073">
              <w:rPr>
                <w:b/>
                <w:color w:val="000000" w:themeColor="text1"/>
                <w:sz w:val="20"/>
                <w:szCs w:val="22"/>
              </w:rPr>
              <w:t>(</w:t>
            </w:r>
            <w:r w:rsidRPr="00F85073">
              <w:rPr>
                <w:b/>
                <w:i/>
                <w:iCs/>
                <w:color w:val="000000" w:themeColor="text1"/>
                <w:sz w:val="20"/>
                <w:szCs w:val="22"/>
              </w:rPr>
              <w:t>n</w:t>
            </w:r>
            <w:r w:rsidRPr="00F85073">
              <w:rPr>
                <w:b/>
                <w:color w:val="000000" w:themeColor="text1"/>
                <w:sz w:val="20"/>
                <w:szCs w:val="22"/>
              </w:rPr>
              <w:t>=93)</w:t>
            </w:r>
          </w:p>
        </w:tc>
        <w:tc>
          <w:tcPr>
            <w:tcW w:w="1566" w:type="dxa"/>
          </w:tcPr>
          <w:p w14:paraId="5A11B92F"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b/>
                <w:color w:val="000000" w:themeColor="text1"/>
                <w:sz w:val="20"/>
                <w:szCs w:val="22"/>
              </w:rPr>
            </w:pPr>
            <w:r w:rsidRPr="00F85073">
              <w:rPr>
                <w:b/>
                <w:color w:val="000000" w:themeColor="text1"/>
                <w:sz w:val="20"/>
                <w:szCs w:val="22"/>
              </w:rPr>
              <w:t>≥28</w:t>
            </w:r>
          </w:p>
          <w:p w14:paraId="74FA3269"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b/>
                <w:color w:val="000000" w:themeColor="text1"/>
                <w:sz w:val="20"/>
                <w:szCs w:val="22"/>
              </w:rPr>
            </w:pPr>
            <w:r w:rsidRPr="00F85073">
              <w:rPr>
                <w:b/>
                <w:color w:val="000000" w:themeColor="text1"/>
                <w:sz w:val="20"/>
                <w:szCs w:val="22"/>
              </w:rPr>
              <w:t>(</w:t>
            </w:r>
            <w:r w:rsidRPr="00F85073">
              <w:rPr>
                <w:b/>
                <w:i/>
                <w:iCs/>
                <w:color w:val="000000" w:themeColor="text1"/>
                <w:sz w:val="20"/>
                <w:szCs w:val="22"/>
              </w:rPr>
              <w:t>n</w:t>
            </w:r>
            <w:r w:rsidRPr="00F85073">
              <w:rPr>
                <w:b/>
                <w:color w:val="000000" w:themeColor="text1"/>
                <w:sz w:val="20"/>
                <w:szCs w:val="22"/>
              </w:rPr>
              <w:t>=125)</w:t>
            </w:r>
          </w:p>
        </w:tc>
        <w:tc>
          <w:tcPr>
            <w:tcW w:w="1566" w:type="dxa"/>
            <w:gridSpan w:val="2"/>
            <w:tcBorders>
              <w:bottom w:val="nil"/>
            </w:tcBorders>
            <w:vAlign w:val="center"/>
          </w:tcPr>
          <w:p w14:paraId="3D6CED64" w14:textId="77777777" w:rsidR="00665E31" w:rsidRPr="00F85073" w:rsidRDefault="00665E31" w:rsidP="00435260">
            <w:pPr>
              <w:jc w:val="center"/>
              <w:cnfStyle w:val="000000100000" w:firstRow="0" w:lastRow="0" w:firstColumn="0" w:lastColumn="0" w:oddVBand="0" w:evenVBand="0" w:oddHBand="1" w:evenHBand="0" w:firstRowFirstColumn="0" w:firstRowLastColumn="0" w:lastRowFirstColumn="0" w:lastRowLastColumn="0"/>
              <w:rPr>
                <w:b/>
                <w:bCs/>
                <w:i/>
                <w:iCs/>
                <w:color w:val="000000" w:themeColor="text1"/>
                <w:sz w:val="20"/>
                <w:szCs w:val="22"/>
              </w:rPr>
            </w:pPr>
            <w:r w:rsidRPr="00F85073">
              <w:rPr>
                <w:b/>
                <w:bCs/>
                <w:i/>
                <w:iCs/>
                <w:color w:val="000000" w:themeColor="text1"/>
                <w:sz w:val="20"/>
                <w:szCs w:val="22"/>
              </w:rPr>
              <w:t>p</w:t>
            </w:r>
          </w:p>
        </w:tc>
      </w:tr>
      <w:tr w:rsidR="00665E31" w:rsidRPr="00F85073" w14:paraId="0AFFC852" w14:textId="77777777" w:rsidTr="00435260">
        <w:trPr>
          <w:gridAfter w:val="1"/>
          <w:wAfter w:w="519" w:type="dxa"/>
          <w:trHeight w:val="298"/>
          <w:jc w:val="center"/>
        </w:trPr>
        <w:tc>
          <w:tcPr>
            <w:cnfStyle w:val="001000000000" w:firstRow="0" w:lastRow="0" w:firstColumn="1" w:lastColumn="0" w:oddVBand="0" w:evenVBand="0" w:oddHBand="0" w:evenHBand="0" w:firstRowFirstColumn="0" w:firstRowLastColumn="0" w:lastRowFirstColumn="0" w:lastRowLastColumn="0"/>
            <w:tcW w:w="1583" w:type="dxa"/>
            <w:vAlign w:val="center"/>
          </w:tcPr>
          <w:p w14:paraId="0DA9DF59" w14:textId="77777777" w:rsidR="00665E31" w:rsidRPr="00F85073" w:rsidRDefault="00665E31" w:rsidP="00435260">
            <w:pPr>
              <w:rPr>
                <w:color w:val="222222"/>
                <w:sz w:val="20"/>
                <w:szCs w:val="20"/>
                <w:lang w:val="en"/>
              </w:rPr>
            </w:pPr>
            <w:r w:rsidRPr="00F85073">
              <w:rPr>
                <w:color w:val="222222"/>
                <w:sz w:val="20"/>
                <w:szCs w:val="20"/>
                <w:lang w:val="en"/>
              </w:rPr>
              <w:t>Age</w:t>
            </w:r>
          </w:p>
        </w:tc>
        <w:tc>
          <w:tcPr>
            <w:tcW w:w="956" w:type="dxa"/>
            <w:vAlign w:val="center"/>
          </w:tcPr>
          <w:p w14:paraId="48EA204A" w14:textId="77777777" w:rsidR="00665E31" w:rsidRPr="00F85073" w:rsidRDefault="00665E31" w:rsidP="00435260">
            <w:pPr>
              <w:tabs>
                <w:tab w:val="left" w:pos="428"/>
              </w:tabs>
              <w:spacing w:line="360"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year</w:t>
            </w:r>
          </w:p>
        </w:tc>
        <w:tc>
          <w:tcPr>
            <w:tcW w:w="1566" w:type="dxa"/>
            <w:tcBorders>
              <w:top w:val="single" w:sz="4" w:space="0" w:color="auto"/>
            </w:tcBorders>
          </w:tcPr>
          <w:p w14:paraId="58E5913F"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71.57</w:t>
            </w:r>
            <w:r w:rsidRPr="00F85073">
              <w:rPr>
                <w:color w:val="000000" w:themeColor="text1"/>
                <w:sz w:val="20"/>
                <w:szCs w:val="22"/>
              </w:rPr>
              <w:sym w:font="Symbol" w:char="F0B1"/>
            </w:r>
            <w:r w:rsidRPr="00F85073">
              <w:rPr>
                <w:color w:val="000000" w:themeColor="text1"/>
                <w:sz w:val="20"/>
                <w:szCs w:val="22"/>
              </w:rPr>
              <w:t>5.97</w:t>
            </w:r>
          </w:p>
        </w:tc>
        <w:tc>
          <w:tcPr>
            <w:tcW w:w="1566" w:type="dxa"/>
            <w:tcBorders>
              <w:top w:val="single" w:sz="4" w:space="0" w:color="auto"/>
            </w:tcBorders>
          </w:tcPr>
          <w:p w14:paraId="7A01F9F8"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72.81</w:t>
            </w:r>
            <w:r w:rsidRPr="00F85073">
              <w:rPr>
                <w:color w:val="000000" w:themeColor="text1"/>
                <w:sz w:val="20"/>
                <w:szCs w:val="22"/>
              </w:rPr>
              <w:sym w:font="Symbol" w:char="F0B1"/>
            </w:r>
            <w:r w:rsidRPr="00F85073">
              <w:rPr>
                <w:color w:val="000000" w:themeColor="text1"/>
                <w:sz w:val="20"/>
                <w:szCs w:val="22"/>
              </w:rPr>
              <w:t>6.18</w:t>
            </w:r>
          </w:p>
        </w:tc>
        <w:tc>
          <w:tcPr>
            <w:tcW w:w="1566" w:type="dxa"/>
          </w:tcPr>
          <w:p w14:paraId="38DFA85D"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74.13</w:t>
            </w:r>
            <w:r w:rsidRPr="00F85073">
              <w:rPr>
                <w:color w:val="000000" w:themeColor="text1"/>
                <w:sz w:val="20"/>
                <w:szCs w:val="22"/>
              </w:rPr>
              <w:sym w:font="Symbol" w:char="F0B1"/>
            </w:r>
            <w:r w:rsidRPr="00F85073">
              <w:rPr>
                <w:color w:val="000000" w:themeColor="text1"/>
                <w:sz w:val="20"/>
                <w:szCs w:val="22"/>
              </w:rPr>
              <w:t>7.14</w:t>
            </w:r>
          </w:p>
        </w:tc>
        <w:tc>
          <w:tcPr>
            <w:tcW w:w="1566" w:type="dxa"/>
            <w:gridSpan w:val="2"/>
            <w:tcBorders>
              <w:bottom w:val="nil"/>
            </w:tcBorders>
            <w:vAlign w:val="center"/>
          </w:tcPr>
          <w:p w14:paraId="774AC8A1"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sz w:val="20"/>
                <w:szCs w:val="22"/>
              </w:rPr>
            </w:pPr>
            <w:r w:rsidRPr="00F85073">
              <w:rPr>
                <w:b/>
                <w:bCs/>
                <w:color w:val="000000" w:themeColor="text1"/>
                <w:sz w:val="20"/>
                <w:szCs w:val="22"/>
              </w:rPr>
              <w:t>0.016</w:t>
            </w:r>
          </w:p>
        </w:tc>
      </w:tr>
      <w:tr w:rsidR="00665E31" w:rsidRPr="00F85073" w14:paraId="6038427D" w14:textId="77777777" w:rsidTr="00435260">
        <w:trPr>
          <w:gridAfter w:val="1"/>
          <w:cnfStyle w:val="000000100000" w:firstRow="0" w:lastRow="0" w:firstColumn="0" w:lastColumn="0" w:oddVBand="0" w:evenVBand="0" w:oddHBand="1" w:evenHBand="0" w:firstRowFirstColumn="0" w:firstRowLastColumn="0" w:lastRowFirstColumn="0" w:lastRowLastColumn="0"/>
          <w:wAfter w:w="519" w:type="dxa"/>
          <w:trHeight w:val="329"/>
          <w:jc w:val="center"/>
        </w:trPr>
        <w:tc>
          <w:tcPr>
            <w:cnfStyle w:val="001000000000" w:firstRow="0" w:lastRow="0" w:firstColumn="1" w:lastColumn="0" w:oddVBand="0" w:evenVBand="0" w:oddHBand="0" w:evenHBand="0" w:firstRowFirstColumn="0" w:firstRowLastColumn="0" w:lastRowFirstColumn="0" w:lastRowLastColumn="0"/>
            <w:tcW w:w="1583" w:type="dxa"/>
            <w:vMerge w:val="restart"/>
            <w:shd w:val="clear" w:color="auto" w:fill="auto"/>
            <w:vAlign w:val="center"/>
          </w:tcPr>
          <w:p w14:paraId="11B4A0C6" w14:textId="77777777" w:rsidR="00665E31" w:rsidRPr="00F85073" w:rsidRDefault="00665E31" w:rsidP="00435260">
            <w:pPr>
              <w:spacing w:line="360" w:lineRule="auto"/>
              <w:rPr>
                <w:color w:val="000000" w:themeColor="text1"/>
                <w:sz w:val="20"/>
                <w:szCs w:val="22"/>
              </w:rPr>
            </w:pPr>
            <w:r w:rsidRPr="00F85073">
              <w:rPr>
                <w:color w:val="000000" w:themeColor="text1"/>
                <w:sz w:val="20"/>
                <w:szCs w:val="22"/>
              </w:rPr>
              <w:t>Sex</w:t>
            </w:r>
          </w:p>
        </w:tc>
        <w:tc>
          <w:tcPr>
            <w:tcW w:w="956" w:type="dxa"/>
            <w:vAlign w:val="center"/>
          </w:tcPr>
          <w:p w14:paraId="59887B22" w14:textId="77777777" w:rsidR="00665E31" w:rsidRPr="00F85073" w:rsidRDefault="00665E31" w:rsidP="00435260">
            <w:pPr>
              <w:tabs>
                <w:tab w:val="left" w:pos="428"/>
              </w:tabs>
              <w:spacing w:line="360" w:lineRule="auto"/>
              <w:cnfStyle w:val="000000100000" w:firstRow="0" w:lastRow="0" w:firstColumn="0" w:lastColumn="0" w:oddVBand="0" w:evenVBand="0" w:oddHBand="1" w:evenHBand="0" w:firstRowFirstColumn="0" w:firstRowLastColumn="0" w:lastRowFirstColumn="0" w:lastRowLastColumn="0"/>
              <w:rPr>
                <w:color w:val="000000" w:themeColor="text1"/>
                <w:sz w:val="17"/>
                <w:szCs w:val="17"/>
              </w:rPr>
            </w:pPr>
            <w:r w:rsidRPr="00F85073">
              <w:rPr>
                <w:color w:val="000000" w:themeColor="text1"/>
                <w:sz w:val="17"/>
                <w:szCs w:val="17"/>
              </w:rPr>
              <w:t>Female</w:t>
            </w:r>
          </w:p>
        </w:tc>
        <w:tc>
          <w:tcPr>
            <w:tcW w:w="1566" w:type="dxa"/>
          </w:tcPr>
          <w:p w14:paraId="63E8B1D3"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45 (23.2)</w:t>
            </w:r>
          </w:p>
        </w:tc>
        <w:tc>
          <w:tcPr>
            <w:tcW w:w="1566" w:type="dxa"/>
          </w:tcPr>
          <w:p w14:paraId="70FAC9C2"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63 (32.6)</w:t>
            </w:r>
          </w:p>
        </w:tc>
        <w:tc>
          <w:tcPr>
            <w:tcW w:w="1566" w:type="dxa"/>
          </w:tcPr>
          <w:p w14:paraId="601B1D12" w14:textId="77777777" w:rsidR="00665E31" w:rsidRPr="00F85073" w:rsidRDefault="00665E31" w:rsidP="00435260">
            <w:pPr>
              <w:spacing w:line="360" w:lineRule="auto"/>
              <w:ind w:left="188" w:hanging="188"/>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85(44.0)</w:t>
            </w:r>
          </w:p>
        </w:tc>
        <w:tc>
          <w:tcPr>
            <w:tcW w:w="1566" w:type="dxa"/>
            <w:gridSpan w:val="2"/>
            <w:vMerge w:val="restart"/>
            <w:vAlign w:val="center"/>
          </w:tcPr>
          <w:p w14:paraId="0B3736A6"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2"/>
              </w:rPr>
            </w:pPr>
            <w:r w:rsidRPr="00F85073">
              <w:rPr>
                <w:b/>
                <w:bCs/>
                <w:color w:val="000000" w:themeColor="text1"/>
                <w:sz w:val="20"/>
                <w:szCs w:val="22"/>
              </w:rPr>
              <w:t>0.002</w:t>
            </w:r>
          </w:p>
        </w:tc>
      </w:tr>
      <w:tr w:rsidR="00665E31" w:rsidRPr="00F85073" w14:paraId="67E2AC9B" w14:textId="77777777" w:rsidTr="00435260">
        <w:trPr>
          <w:gridAfter w:val="1"/>
          <w:wAfter w:w="519" w:type="dxa"/>
          <w:trHeight w:val="334"/>
          <w:jc w:val="center"/>
        </w:trPr>
        <w:tc>
          <w:tcPr>
            <w:cnfStyle w:val="001000000000" w:firstRow="0" w:lastRow="0" w:firstColumn="1" w:lastColumn="0" w:oddVBand="0" w:evenVBand="0" w:oddHBand="0" w:evenHBand="0" w:firstRowFirstColumn="0" w:firstRowLastColumn="0" w:lastRowFirstColumn="0" w:lastRowLastColumn="0"/>
            <w:tcW w:w="1583" w:type="dxa"/>
            <w:vMerge/>
            <w:vAlign w:val="center"/>
          </w:tcPr>
          <w:p w14:paraId="695B9A7C" w14:textId="77777777" w:rsidR="00665E31" w:rsidRPr="00F85073" w:rsidRDefault="00665E31" w:rsidP="00435260">
            <w:pPr>
              <w:spacing w:line="360" w:lineRule="auto"/>
              <w:rPr>
                <w:b w:val="0"/>
                <w:color w:val="000000" w:themeColor="text1"/>
                <w:sz w:val="20"/>
                <w:szCs w:val="22"/>
              </w:rPr>
            </w:pPr>
          </w:p>
        </w:tc>
        <w:tc>
          <w:tcPr>
            <w:tcW w:w="956" w:type="dxa"/>
            <w:vAlign w:val="center"/>
          </w:tcPr>
          <w:p w14:paraId="7A428885" w14:textId="77777777" w:rsidR="00665E31" w:rsidRPr="00F85073" w:rsidRDefault="00665E31" w:rsidP="00435260">
            <w:pPr>
              <w:tabs>
                <w:tab w:val="left" w:pos="428"/>
              </w:tabs>
              <w:spacing w:line="360" w:lineRule="auto"/>
              <w:cnfStyle w:val="000000000000" w:firstRow="0" w:lastRow="0" w:firstColumn="0" w:lastColumn="0" w:oddVBand="0" w:evenVBand="0" w:oddHBand="0" w:evenHBand="0" w:firstRowFirstColumn="0" w:firstRowLastColumn="0" w:lastRowFirstColumn="0" w:lastRowLastColumn="0"/>
              <w:rPr>
                <w:color w:val="000000" w:themeColor="text1"/>
                <w:sz w:val="17"/>
                <w:szCs w:val="17"/>
              </w:rPr>
            </w:pPr>
            <w:r w:rsidRPr="00F85073">
              <w:rPr>
                <w:color w:val="000000" w:themeColor="text1"/>
                <w:sz w:val="17"/>
                <w:szCs w:val="17"/>
              </w:rPr>
              <w:t>Male</w:t>
            </w:r>
          </w:p>
        </w:tc>
        <w:tc>
          <w:tcPr>
            <w:tcW w:w="1566" w:type="dxa"/>
          </w:tcPr>
          <w:p w14:paraId="657C51B9"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51 (42.1)</w:t>
            </w:r>
          </w:p>
        </w:tc>
        <w:tc>
          <w:tcPr>
            <w:tcW w:w="1566" w:type="dxa"/>
          </w:tcPr>
          <w:p w14:paraId="6D580656"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30 (24.8)</w:t>
            </w:r>
          </w:p>
        </w:tc>
        <w:tc>
          <w:tcPr>
            <w:tcW w:w="1566" w:type="dxa"/>
          </w:tcPr>
          <w:p w14:paraId="64F8132A"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40(68)</w:t>
            </w:r>
          </w:p>
        </w:tc>
        <w:tc>
          <w:tcPr>
            <w:tcW w:w="1566" w:type="dxa"/>
            <w:gridSpan w:val="2"/>
            <w:vMerge/>
            <w:vAlign w:val="center"/>
          </w:tcPr>
          <w:p w14:paraId="1C043144"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p>
        </w:tc>
      </w:tr>
      <w:tr w:rsidR="00665E31" w:rsidRPr="00F85073" w14:paraId="6679B3DE" w14:textId="77777777" w:rsidTr="00435260">
        <w:trPr>
          <w:gridAfter w:val="1"/>
          <w:cnfStyle w:val="000000100000" w:firstRow="0" w:lastRow="0" w:firstColumn="0" w:lastColumn="0" w:oddVBand="0" w:evenVBand="0" w:oddHBand="1" w:evenHBand="0" w:firstRowFirstColumn="0" w:firstRowLastColumn="0" w:lastRowFirstColumn="0" w:lastRowLastColumn="0"/>
          <w:wAfter w:w="519" w:type="dxa"/>
          <w:trHeight w:val="350"/>
          <w:jc w:val="center"/>
        </w:trPr>
        <w:tc>
          <w:tcPr>
            <w:cnfStyle w:val="001000000000" w:firstRow="0" w:lastRow="0" w:firstColumn="1" w:lastColumn="0" w:oddVBand="0" w:evenVBand="0" w:oddHBand="0" w:evenHBand="0" w:firstRowFirstColumn="0" w:firstRowLastColumn="0" w:lastRowFirstColumn="0" w:lastRowLastColumn="0"/>
            <w:tcW w:w="1583" w:type="dxa"/>
            <w:vMerge w:val="restart"/>
            <w:vAlign w:val="center"/>
          </w:tcPr>
          <w:p w14:paraId="7E04AB45" w14:textId="77777777" w:rsidR="00665E31" w:rsidRPr="00F85073" w:rsidRDefault="00665E31" w:rsidP="00435260">
            <w:pPr>
              <w:spacing w:line="360" w:lineRule="auto"/>
              <w:rPr>
                <w:color w:val="000000" w:themeColor="text1"/>
                <w:sz w:val="20"/>
                <w:szCs w:val="22"/>
              </w:rPr>
            </w:pPr>
            <w:r w:rsidRPr="00F85073">
              <w:rPr>
                <w:color w:val="000000" w:themeColor="text1"/>
                <w:sz w:val="20"/>
                <w:szCs w:val="22"/>
              </w:rPr>
              <w:t>Education (years)</w:t>
            </w:r>
          </w:p>
        </w:tc>
        <w:tc>
          <w:tcPr>
            <w:tcW w:w="956" w:type="dxa"/>
            <w:vAlign w:val="center"/>
          </w:tcPr>
          <w:p w14:paraId="142B64AA" w14:textId="77777777" w:rsidR="00665E31" w:rsidRPr="00F85073" w:rsidRDefault="00665E31" w:rsidP="00435260">
            <w:pPr>
              <w:tabs>
                <w:tab w:val="left" w:pos="428"/>
              </w:tabs>
              <w:spacing w:line="360" w:lineRule="auto"/>
              <w:cnfStyle w:val="000000100000" w:firstRow="0" w:lastRow="0" w:firstColumn="0" w:lastColumn="0" w:oddVBand="0" w:evenVBand="0" w:oddHBand="1" w:evenHBand="0" w:firstRowFirstColumn="0" w:firstRowLastColumn="0" w:lastRowFirstColumn="0" w:lastRowLastColumn="0"/>
              <w:rPr>
                <w:color w:val="000000" w:themeColor="text1"/>
                <w:sz w:val="17"/>
                <w:szCs w:val="17"/>
              </w:rPr>
            </w:pPr>
            <w:r w:rsidRPr="00F85073">
              <w:rPr>
                <w:color w:val="000000" w:themeColor="text1"/>
                <w:sz w:val="17"/>
                <w:szCs w:val="17"/>
              </w:rPr>
              <w:t>none</w:t>
            </w:r>
          </w:p>
        </w:tc>
        <w:tc>
          <w:tcPr>
            <w:tcW w:w="1566" w:type="dxa"/>
          </w:tcPr>
          <w:p w14:paraId="5FC18521"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33 (23.6)</w:t>
            </w:r>
          </w:p>
        </w:tc>
        <w:tc>
          <w:tcPr>
            <w:tcW w:w="1566" w:type="dxa"/>
          </w:tcPr>
          <w:p w14:paraId="1E1D25BF"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51 (36.4)</w:t>
            </w:r>
          </w:p>
        </w:tc>
        <w:tc>
          <w:tcPr>
            <w:tcW w:w="1566" w:type="dxa"/>
          </w:tcPr>
          <w:p w14:paraId="5F3DD34C"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56 (40)</w:t>
            </w:r>
          </w:p>
        </w:tc>
        <w:tc>
          <w:tcPr>
            <w:tcW w:w="1566" w:type="dxa"/>
            <w:gridSpan w:val="2"/>
            <w:vMerge w:val="restart"/>
            <w:vAlign w:val="center"/>
          </w:tcPr>
          <w:p w14:paraId="61DFEC50"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2"/>
              </w:rPr>
            </w:pPr>
            <w:r w:rsidRPr="00F85073">
              <w:rPr>
                <w:b/>
                <w:bCs/>
                <w:color w:val="000000" w:themeColor="text1"/>
                <w:sz w:val="20"/>
                <w:szCs w:val="22"/>
              </w:rPr>
              <w:t>0.027</w:t>
            </w:r>
          </w:p>
        </w:tc>
      </w:tr>
      <w:tr w:rsidR="00665E31" w:rsidRPr="00F85073" w14:paraId="3BAFB999" w14:textId="77777777" w:rsidTr="00435260">
        <w:trPr>
          <w:gridAfter w:val="1"/>
          <w:wAfter w:w="519" w:type="dxa"/>
          <w:trHeight w:val="334"/>
          <w:jc w:val="center"/>
        </w:trPr>
        <w:tc>
          <w:tcPr>
            <w:cnfStyle w:val="001000000000" w:firstRow="0" w:lastRow="0" w:firstColumn="1" w:lastColumn="0" w:oddVBand="0" w:evenVBand="0" w:oddHBand="0" w:evenHBand="0" w:firstRowFirstColumn="0" w:firstRowLastColumn="0" w:lastRowFirstColumn="0" w:lastRowLastColumn="0"/>
            <w:tcW w:w="1583" w:type="dxa"/>
            <w:vMerge/>
            <w:vAlign w:val="center"/>
          </w:tcPr>
          <w:p w14:paraId="65F640AF" w14:textId="77777777" w:rsidR="00665E31" w:rsidRPr="00F85073" w:rsidRDefault="00665E31" w:rsidP="00435260">
            <w:pPr>
              <w:spacing w:line="360" w:lineRule="auto"/>
              <w:rPr>
                <w:color w:val="000000" w:themeColor="text1"/>
                <w:sz w:val="20"/>
                <w:szCs w:val="22"/>
              </w:rPr>
            </w:pPr>
          </w:p>
        </w:tc>
        <w:tc>
          <w:tcPr>
            <w:tcW w:w="956" w:type="dxa"/>
            <w:vAlign w:val="center"/>
          </w:tcPr>
          <w:p w14:paraId="331C6F23" w14:textId="77777777" w:rsidR="00665E31" w:rsidRPr="00F85073" w:rsidRDefault="00665E31" w:rsidP="00435260">
            <w:pPr>
              <w:tabs>
                <w:tab w:val="left" w:pos="428"/>
              </w:tabs>
              <w:spacing w:line="360" w:lineRule="auto"/>
              <w:cnfStyle w:val="000000000000" w:firstRow="0" w:lastRow="0" w:firstColumn="0" w:lastColumn="0" w:oddVBand="0" w:evenVBand="0" w:oddHBand="0" w:evenHBand="0" w:firstRowFirstColumn="0" w:firstRowLastColumn="0" w:lastRowFirstColumn="0" w:lastRowLastColumn="0"/>
              <w:rPr>
                <w:color w:val="000000" w:themeColor="text1"/>
                <w:sz w:val="17"/>
                <w:szCs w:val="17"/>
              </w:rPr>
            </w:pPr>
            <w:r w:rsidRPr="00F85073">
              <w:rPr>
                <w:color w:val="000000" w:themeColor="text1"/>
                <w:sz w:val="17"/>
                <w:szCs w:val="17"/>
              </w:rPr>
              <w:t>1-5</w:t>
            </w:r>
          </w:p>
        </w:tc>
        <w:tc>
          <w:tcPr>
            <w:tcW w:w="1566" w:type="dxa"/>
          </w:tcPr>
          <w:p w14:paraId="64E06B54"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52 (26)</w:t>
            </w:r>
          </w:p>
        </w:tc>
        <w:tc>
          <w:tcPr>
            <w:tcW w:w="1566" w:type="dxa"/>
          </w:tcPr>
          <w:p w14:paraId="108258A6"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37(24.7)</w:t>
            </w:r>
          </w:p>
        </w:tc>
        <w:tc>
          <w:tcPr>
            <w:tcW w:w="1566" w:type="dxa"/>
          </w:tcPr>
          <w:p w14:paraId="738F97B1"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61(40.7)</w:t>
            </w:r>
          </w:p>
        </w:tc>
        <w:tc>
          <w:tcPr>
            <w:tcW w:w="1566" w:type="dxa"/>
            <w:gridSpan w:val="2"/>
            <w:vMerge/>
            <w:vAlign w:val="center"/>
          </w:tcPr>
          <w:p w14:paraId="66BB54C3"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p>
        </w:tc>
      </w:tr>
      <w:tr w:rsidR="00665E31" w:rsidRPr="00F85073" w14:paraId="466001EC" w14:textId="77777777" w:rsidTr="00435260">
        <w:trPr>
          <w:gridAfter w:val="1"/>
          <w:cnfStyle w:val="000000100000" w:firstRow="0" w:lastRow="0" w:firstColumn="0" w:lastColumn="0" w:oddVBand="0" w:evenVBand="0" w:oddHBand="1" w:evenHBand="0" w:firstRowFirstColumn="0" w:firstRowLastColumn="0" w:lastRowFirstColumn="0" w:lastRowLastColumn="0"/>
          <w:wAfter w:w="519" w:type="dxa"/>
          <w:trHeight w:val="334"/>
          <w:jc w:val="center"/>
        </w:trPr>
        <w:tc>
          <w:tcPr>
            <w:cnfStyle w:val="001000000000" w:firstRow="0" w:lastRow="0" w:firstColumn="1" w:lastColumn="0" w:oddVBand="0" w:evenVBand="0" w:oddHBand="0" w:evenHBand="0" w:firstRowFirstColumn="0" w:firstRowLastColumn="0" w:lastRowFirstColumn="0" w:lastRowLastColumn="0"/>
            <w:tcW w:w="1583" w:type="dxa"/>
            <w:vMerge/>
            <w:vAlign w:val="center"/>
          </w:tcPr>
          <w:p w14:paraId="5F6FE69E" w14:textId="77777777" w:rsidR="00665E31" w:rsidRPr="00F85073" w:rsidRDefault="00665E31" w:rsidP="00435260">
            <w:pPr>
              <w:spacing w:line="360" w:lineRule="auto"/>
              <w:rPr>
                <w:color w:val="000000" w:themeColor="text1"/>
                <w:sz w:val="20"/>
                <w:szCs w:val="22"/>
              </w:rPr>
            </w:pPr>
          </w:p>
        </w:tc>
        <w:tc>
          <w:tcPr>
            <w:tcW w:w="956" w:type="dxa"/>
            <w:vAlign w:val="center"/>
          </w:tcPr>
          <w:p w14:paraId="62EF128A" w14:textId="77777777" w:rsidR="00665E31" w:rsidRPr="00F85073" w:rsidRDefault="00665E31" w:rsidP="00435260">
            <w:pPr>
              <w:tabs>
                <w:tab w:val="left" w:pos="428"/>
              </w:tabs>
              <w:spacing w:line="360" w:lineRule="auto"/>
              <w:cnfStyle w:val="000000100000" w:firstRow="0" w:lastRow="0" w:firstColumn="0" w:lastColumn="0" w:oddVBand="0" w:evenVBand="0" w:oddHBand="1" w:evenHBand="0" w:firstRowFirstColumn="0" w:firstRowLastColumn="0" w:lastRowFirstColumn="0" w:lastRowLastColumn="0"/>
              <w:rPr>
                <w:color w:val="000000" w:themeColor="text1"/>
                <w:sz w:val="17"/>
                <w:szCs w:val="17"/>
              </w:rPr>
            </w:pPr>
            <w:r w:rsidRPr="00F85073">
              <w:rPr>
                <w:color w:val="000000" w:themeColor="text1"/>
                <w:sz w:val="17"/>
                <w:szCs w:val="17"/>
              </w:rPr>
              <w:t>5-over</w:t>
            </w:r>
          </w:p>
        </w:tc>
        <w:tc>
          <w:tcPr>
            <w:tcW w:w="1566" w:type="dxa"/>
          </w:tcPr>
          <w:p w14:paraId="08A71B7E"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8 (38.1)</w:t>
            </w:r>
          </w:p>
        </w:tc>
        <w:tc>
          <w:tcPr>
            <w:tcW w:w="1566" w:type="dxa"/>
          </w:tcPr>
          <w:p w14:paraId="0DD65EB5"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4 (19)</w:t>
            </w:r>
          </w:p>
        </w:tc>
        <w:tc>
          <w:tcPr>
            <w:tcW w:w="1566" w:type="dxa"/>
          </w:tcPr>
          <w:p w14:paraId="73FC067D"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6 (28.6)</w:t>
            </w:r>
          </w:p>
        </w:tc>
        <w:tc>
          <w:tcPr>
            <w:tcW w:w="1566" w:type="dxa"/>
            <w:gridSpan w:val="2"/>
            <w:vMerge/>
            <w:vAlign w:val="center"/>
          </w:tcPr>
          <w:p w14:paraId="2691E737"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p>
        </w:tc>
      </w:tr>
      <w:tr w:rsidR="00665E31" w:rsidRPr="00F85073" w14:paraId="0C04EF5C" w14:textId="77777777" w:rsidTr="00435260">
        <w:trPr>
          <w:gridAfter w:val="1"/>
          <w:wAfter w:w="519" w:type="dxa"/>
          <w:trHeight w:val="334"/>
          <w:jc w:val="center"/>
        </w:trPr>
        <w:tc>
          <w:tcPr>
            <w:cnfStyle w:val="001000000000" w:firstRow="0" w:lastRow="0" w:firstColumn="1" w:lastColumn="0" w:oddVBand="0" w:evenVBand="0" w:oddHBand="0" w:evenHBand="0" w:firstRowFirstColumn="0" w:firstRowLastColumn="0" w:lastRowFirstColumn="0" w:lastRowLastColumn="0"/>
            <w:tcW w:w="1583" w:type="dxa"/>
            <w:vMerge w:val="restart"/>
            <w:vAlign w:val="center"/>
          </w:tcPr>
          <w:p w14:paraId="6C368583" w14:textId="77777777" w:rsidR="00665E31" w:rsidRPr="00F85073" w:rsidRDefault="00665E31" w:rsidP="00435260">
            <w:pPr>
              <w:spacing w:line="360" w:lineRule="auto"/>
              <w:rPr>
                <w:color w:val="000000" w:themeColor="text1"/>
                <w:sz w:val="20"/>
                <w:szCs w:val="22"/>
              </w:rPr>
            </w:pPr>
            <w:r w:rsidRPr="00F85073">
              <w:rPr>
                <w:color w:val="000000" w:themeColor="text1"/>
                <w:sz w:val="20"/>
                <w:szCs w:val="22"/>
              </w:rPr>
              <w:t>Marital status</w:t>
            </w:r>
          </w:p>
        </w:tc>
        <w:tc>
          <w:tcPr>
            <w:tcW w:w="956" w:type="dxa"/>
            <w:vAlign w:val="center"/>
          </w:tcPr>
          <w:p w14:paraId="02ACD713" w14:textId="77777777" w:rsidR="00665E31" w:rsidRPr="00F85073" w:rsidRDefault="00665E31" w:rsidP="00435260">
            <w:pPr>
              <w:tabs>
                <w:tab w:val="left" w:pos="428"/>
              </w:tabs>
              <w:spacing w:line="360" w:lineRule="auto"/>
              <w:cnfStyle w:val="000000000000" w:firstRow="0" w:lastRow="0" w:firstColumn="0" w:lastColumn="0" w:oddVBand="0" w:evenVBand="0" w:oddHBand="0" w:evenHBand="0" w:firstRowFirstColumn="0" w:firstRowLastColumn="0" w:lastRowFirstColumn="0" w:lastRowLastColumn="0"/>
              <w:rPr>
                <w:color w:val="000000" w:themeColor="text1"/>
                <w:sz w:val="17"/>
                <w:szCs w:val="17"/>
              </w:rPr>
            </w:pPr>
            <w:r w:rsidRPr="00F85073">
              <w:rPr>
                <w:color w:val="000000" w:themeColor="text1"/>
                <w:sz w:val="17"/>
                <w:szCs w:val="17"/>
              </w:rPr>
              <w:t>Married</w:t>
            </w:r>
          </w:p>
        </w:tc>
        <w:tc>
          <w:tcPr>
            <w:tcW w:w="1566" w:type="dxa"/>
          </w:tcPr>
          <w:p w14:paraId="3BC39758"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79 (33.7)</w:t>
            </w:r>
          </w:p>
        </w:tc>
        <w:tc>
          <w:tcPr>
            <w:tcW w:w="1566" w:type="dxa"/>
          </w:tcPr>
          <w:p w14:paraId="5991E196"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77 (32.9)</w:t>
            </w:r>
          </w:p>
        </w:tc>
        <w:tc>
          <w:tcPr>
            <w:tcW w:w="1566" w:type="dxa"/>
          </w:tcPr>
          <w:p w14:paraId="4C88276F"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78 (33.3)</w:t>
            </w:r>
          </w:p>
        </w:tc>
        <w:tc>
          <w:tcPr>
            <w:tcW w:w="1566" w:type="dxa"/>
            <w:gridSpan w:val="2"/>
            <w:vMerge w:val="restart"/>
            <w:vAlign w:val="center"/>
          </w:tcPr>
          <w:p w14:paraId="1E5DB567"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sz w:val="20"/>
                <w:szCs w:val="22"/>
              </w:rPr>
            </w:pPr>
            <w:r w:rsidRPr="00F85073">
              <w:rPr>
                <w:b/>
                <w:bCs/>
                <w:color w:val="000000" w:themeColor="text1"/>
                <w:sz w:val="20"/>
                <w:szCs w:val="22"/>
              </w:rPr>
              <w:t>&lt;0.001</w:t>
            </w:r>
          </w:p>
        </w:tc>
      </w:tr>
      <w:tr w:rsidR="00665E31" w:rsidRPr="00F85073" w14:paraId="5488E36D" w14:textId="77777777" w:rsidTr="00435260">
        <w:trPr>
          <w:gridAfter w:val="1"/>
          <w:cnfStyle w:val="000000100000" w:firstRow="0" w:lastRow="0" w:firstColumn="0" w:lastColumn="0" w:oddVBand="0" w:evenVBand="0" w:oddHBand="1" w:evenHBand="0" w:firstRowFirstColumn="0" w:firstRowLastColumn="0" w:lastRowFirstColumn="0" w:lastRowLastColumn="0"/>
          <w:wAfter w:w="519" w:type="dxa"/>
          <w:trHeight w:val="334"/>
          <w:jc w:val="center"/>
        </w:trPr>
        <w:tc>
          <w:tcPr>
            <w:cnfStyle w:val="001000000000" w:firstRow="0" w:lastRow="0" w:firstColumn="1" w:lastColumn="0" w:oddVBand="0" w:evenVBand="0" w:oddHBand="0" w:evenHBand="0" w:firstRowFirstColumn="0" w:firstRowLastColumn="0" w:lastRowFirstColumn="0" w:lastRowLastColumn="0"/>
            <w:tcW w:w="1583" w:type="dxa"/>
            <w:vMerge/>
            <w:vAlign w:val="center"/>
          </w:tcPr>
          <w:p w14:paraId="345F6614" w14:textId="77777777" w:rsidR="00665E31" w:rsidRPr="00F85073" w:rsidRDefault="00665E31" w:rsidP="00435260">
            <w:pPr>
              <w:spacing w:line="360" w:lineRule="auto"/>
              <w:rPr>
                <w:color w:val="000000" w:themeColor="text1"/>
                <w:sz w:val="20"/>
                <w:szCs w:val="22"/>
              </w:rPr>
            </w:pPr>
          </w:p>
        </w:tc>
        <w:tc>
          <w:tcPr>
            <w:tcW w:w="956" w:type="dxa"/>
            <w:vAlign w:val="center"/>
          </w:tcPr>
          <w:p w14:paraId="4ADBD5F2" w14:textId="77777777" w:rsidR="00665E31" w:rsidRPr="00F85073" w:rsidRDefault="00665E31" w:rsidP="00435260">
            <w:pPr>
              <w:tabs>
                <w:tab w:val="left" w:pos="428"/>
              </w:tabs>
              <w:spacing w:line="360" w:lineRule="auto"/>
              <w:cnfStyle w:val="000000100000" w:firstRow="0" w:lastRow="0" w:firstColumn="0" w:lastColumn="0" w:oddVBand="0" w:evenVBand="0" w:oddHBand="1" w:evenHBand="0" w:firstRowFirstColumn="0" w:firstRowLastColumn="0" w:lastRowFirstColumn="0" w:lastRowLastColumn="0"/>
              <w:rPr>
                <w:color w:val="000000" w:themeColor="text1"/>
                <w:sz w:val="16"/>
                <w:szCs w:val="16"/>
              </w:rPr>
            </w:pPr>
            <w:r w:rsidRPr="00F85073">
              <w:rPr>
                <w:color w:val="000000" w:themeColor="text1"/>
                <w:sz w:val="16"/>
                <w:szCs w:val="16"/>
              </w:rPr>
              <w:t>Widowed</w:t>
            </w:r>
          </w:p>
        </w:tc>
        <w:tc>
          <w:tcPr>
            <w:tcW w:w="1566" w:type="dxa"/>
          </w:tcPr>
          <w:p w14:paraId="6EAB8618"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17 (21.2)</w:t>
            </w:r>
          </w:p>
        </w:tc>
        <w:tc>
          <w:tcPr>
            <w:tcW w:w="1566" w:type="dxa"/>
          </w:tcPr>
          <w:p w14:paraId="4544371C"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16 (20.0)</w:t>
            </w:r>
          </w:p>
        </w:tc>
        <w:tc>
          <w:tcPr>
            <w:tcW w:w="1566" w:type="dxa"/>
          </w:tcPr>
          <w:p w14:paraId="650318B1"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47 (58.7)</w:t>
            </w:r>
          </w:p>
        </w:tc>
        <w:tc>
          <w:tcPr>
            <w:tcW w:w="1566" w:type="dxa"/>
            <w:gridSpan w:val="2"/>
            <w:vMerge/>
            <w:vAlign w:val="center"/>
          </w:tcPr>
          <w:p w14:paraId="42D7313E"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p>
        </w:tc>
      </w:tr>
      <w:tr w:rsidR="00665E31" w:rsidRPr="00F85073" w14:paraId="15C40957" w14:textId="77777777" w:rsidTr="00435260">
        <w:trPr>
          <w:gridAfter w:val="1"/>
          <w:wAfter w:w="519" w:type="dxa"/>
          <w:trHeight w:val="382"/>
          <w:jc w:val="center"/>
        </w:trPr>
        <w:tc>
          <w:tcPr>
            <w:cnfStyle w:val="001000000000" w:firstRow="0" w:lastRow="0" w:firstColumn="1" w:lastColumn="0" w:oddVBand="0" w:evenVBand="0" w:oddHBand="0" w:evenHBand="0" w:firstRowFirstColumn="0" w:firstRowLastColumn="0" w:lastRowFirstColumn="0" w:lastRowLastColumn="0"/>
            <w:tcW w:w="1583" w:type="dxa"/>
            <w:vMerge w:val="restart"/>
            <w:vAlign w:val="center"/>
          </w:tcPr>
          <w:p w14:paraId="2289A684" w14:textId="77777777" w:rsidR="00665E31" w:rsidRPr="00F85073" w:rsidRDefault="00665E31" w:rsidP="00435260">
            <w:pPr>
              <w:spacing w:line="360" w:lineRule="auto"/>
              <w:rPr>
                <w:b w:val="0"/>
                <w:bCs w:val="0"/>
                <w:sz w:val="20"/>
                <w:szCs w:val="20"/>
              </w:rPr>
            </w:pPr>
            <w:r w:rsidRPr="00F85073">
              <w:rPr>
                <w:sz w:val="20"/>
                <w:szCs w:val="20"/>
              </w:rPr>
              <w:t>Living arrangement</w:t>
            </w:r>
          </w:p>
        </w:tc>
        <w:tc>
          <w:tcPr>
            <w:tcW w:w="956" w:type="dxa"/>
            <w:vAlign w:val="center"/>
          </w:tcPr>
          <w:p w14:paraId="15C5C83C" w14:textId="77777777" w:rsidR="00665E31" w:rsidRPr="00F85073" w:rsidRDefault="00665E31" w:rsidP="00435260">
            <w:pPr>
              <w:tabs>
                <w:tab w:val="left" w:pos="428"/>
              </w:tabs>
              <w:spacing w:line="360" w:lineRule="auto"/>
              <w:cnfStyle w:val="000000000000" w:firstRow="0" w:lastRow="0" w:firstColumn="0" w:lastColumn="0" w:oddVBand="0" w:evenVBand="0" w:oddHBand="0" w:evenHBand="0" w:firstRowFirstColumn="0" w:firstRowLastColumn="0" w:lastRowFirstColumn="0" w:lastRowLastColumn="0"/>
              <w:rPr>
                <w:color w:val="000000" w:themeColor="text1"/>
                <w:sz w:val="17"/>
                <w:szCs w:val="17"/>
              </w:rPr>
            </w:pPr>
            <w:r w:rsidRPr="00F85073">
              <w:rPr>
                <w:color w:val="000000" w:themeColor="text1"/>
                <w:sz w:val="17"/>
                <w:szCs w:val="17"/>
              </w:rPr>
              <w:t>Alone</w:t>
            </w:r>
          </w:p>
        </w:tc>
        <w:tc>
          <w:tcPr>
            <w:tcW w:w="1566" w:type="dxa"/>
          </w:tcPr>
          <w:p w14:paraId="5F9F54B3"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16 (28.5)</w:t>
            </w:r>
          </w:p>
        </w:tc>
        <w:tc>
          <w:tcPr>
            <w:tcW w:w="1566" w:type="dxa"/>
          </w:tcPr>
          <w:p w14:paraId="7E814BFD"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13 (23.1)</w:t>
            </w:r>
          </w:p>
        </w:tc>
        <w:tc>
          <w:tcPr>
            <w:tcW w:w="1566" w:type="dxa"/>
          </w:tcPr>
          <w:p w14:paraId="414D1781"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27 (48.2)</w:t>
            </w:r>
          </w:p>
        </w:tc>
        <w:tc>
          <w:tcPr>
            <w:tcW w:w="1566" w:type="dxa"/>
            <w:gridSpan w:val="2"/>
            <w:vMerge w:val="restart"/>
            <w:vAlign w:val="center"/>
          </w:tcPr>
          <w:p w14:paraId="458B8D99"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sz w:val="20"/>
                <w:szCs w:val="22"/>
              </w:rPr>
            </w:pPr>
            <w:r w:rsidRPr="00F85073">
              <w:rPr>
                <w:b/>
                <w:bCs/>
                <w:color w:val="000000" w:themeColor="text1"/>
                <w:sz w:val="20"/>
                <w:szCs w:val="22"/>
              </w:rPr>
              <w:t>&lt;0.001</w:t>
            </w:r>
          </w:p>
        </w:tc>
      </w:tr>
      <w:tr w:rsidR="00665E31" w:rsidRPr="00F85073" w14:paraId="056EEC1E" w14:textId="77777777" w:rsidTr="00435260">
        <w:trPr>
          <w:gridAfter w:val="1"/>
          <w:cnfStyle w:val="000000100000" w:firstRow="0" w:lastRow="0" w:firstColumn="0" w:lastColumn="0" w:oddVBand="0" w:evenVBand="0" w:oddHBand="1" w:evenHBand="0" w:firstRowFirstColumn="0" w:firstRowLastColumn="0" w:lastRowFirstColumn="0" w:lastRowLastColumn="0"/>
          <w:wAfter w:w="519" w:type="dxa"/>
          <w:trHeight w:val="145"/>
          <w:jc w:val="center"/>
        </w:trPr>
        <w:tc>
          <w:tcPr>
            <w:cnfStyle w:val="001000000000" w:firstRow="0" w:lastRow="0" w:firstColumn="1" w:lastColumn="0" w:oddVBand="0" w:evenVBand="0" w:oddHBand="0" w:evenHBand="0" w:firstRowFirstColumn="0" w:firstRowLastColumn="0" w:lastRowFirstColumn="0" w:lastRowLastColumn="0"/>
            <w:tcW w:w="1583" w:type="dxa"/>
            <w:vMerge/>
            <w:vAlign w:val="center"/>
          </w:tcPr>
          <w:p w14:paraId="1CA71185" w14:textId="77777777" w:rsidR="00665E31" w:rsidRPr="00F85073" w:rsidRDefault="00665E31" w:rsidP="00435260">
            <w:pPr>
              <w:spacing w:line="360" w:lineRule="auto"/>
              <w:rPr>
                <w:color w:val="000000" w:themeColor="text1"/>
                <w:sz w:val="20"/>
                <w:szCs w:val="22"/>
              </w:rPr>
            </w:pPr>
          </w:p>
        </w:tc>
        <w:tc>
          <w:tcPr>
            <w:tcW w:w="956" w:type="dxa"/>
            <w:vAlign w:val="center"/>
          </w:tcPr>
          <w:p w14:paraId="5057D6A9" w14:textId="77777777" w:rsidR="00665E31" w:rsidRPr="00F85073" w:rsidRDefault="00665E31" w:rsidP="00435260">
            <w:pPr>
              <w:tabs>
                <w:tab w:val="left" w:pos="428"/>
              </w:tabs>
              <w:spacing w:line="360" w:lineRule="auto"/>
              <w:cnfStyle w:val="000000100000" w:firstRow="0" w:lastRow="0" w:firstColumn="0" w:lastColumn="0" w:oddVBand="0" w:evenVBand="0" w:oddHBand="1" w:evenHBand="0" w:firstRowFirstColumn="0" w:firstRowLastColumn="0" w:lastRowFirstColumn="0" w:lastRowLastColumn="0"/>
              <w:rPr>
                <w:color w:val="000000" w:themeColor="text1"/>
                <w:sz w:val="17"/>
                <w:szCs w:val="17"/>
              </w:rPr>
            </w:pPr>
            <w:r w:rsidRPr="00F85073">
              <w:rPr>
                <w:sz w:val="17"/>
                <w:szCs w:val="17"/>
              </w:rPr>
              <w:t>Spouse</w:t>
            </w:r>
          </w:p>
        </w:tc>
        <w:tc>
          <w:tcPr>
            <w:tcW w:w="1566" w:type="dxa"/>
          </w:tcPr>
          <w:p w14:paraId="54D2E5D6"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80 (31.0)</w:t>
            </w:r>
          </w:p>
        </w:tc>
        <w:tc>
          <w:tcPr>
            <w:tcW w:w="1566" w:type="dxa"/>
          </w:tcPr>
          <w:p w14:paraId="39C837C8"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80 (31.0)</w:t>
            </w:r>
          </w:p>
        </w:tc>
        <w:tc>
          <w:tcPr>
            <w:tcW w:w="1566" w:type="dxa"/>
          </w:tcPr>
          <w:p w14:paraId="5110C2DB"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98 (38.0)</w:t>
            </w:r>
          </w:p>
        </w:tc>
        <w:tc>
          <w:tcPr>
            <w:tcW w:w="1566" w:type="dxa"/>
            <w:gridSpan w:val="2"/>
            <w:vMerge/>
            <w:vAlign w:val="center"/>
          </w:tcPr>
          <w:p w14:paraId="0B10252D"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p>
        </w:tc>
      </w:tr>
      <w:tr w:rsidR="00665E31" w:rsidRPr="00F85073" w14:paraId="142567EC" w14:textId="77777777" w:rsidTr="00435260">
        <w:trPr>
          <w:gridAfter w:val="1"/>
          <w:wAfter w:w="519" w:type="dxa"/>
          <w:trHeight w:val="285"/>
          <w:jc w:val="center"/>
        </w:trPr>
        <w:tc>
          <w:tcPr>
            <w:cnfStyle w:val="001000000000" w:firstRow="0" w:lastRow="0" w:firstColumn="1" w:lastColumn="0" w:oddVBand="0" w:evenVBand="0" w:oddHBand="0" w:evenHBand="0" w:firstRowFirstColumn="0" w:firstRowLastColumn="0" w:lastRowFirstColumn="0" w:lastRowLastColumn="0"/>
            <w:tcW w:w="1583" w:type="dxa"/>
            <w:vMerge w:val="restart"/>
            <w:vAlign w:val="center"/>
          </w:tcPr>
          <w:p w14:paraId="0B64FA4B" w14:textId="77777777" w:rsidR="00665E31" w:rsidRPr="00F85073" w:rsidRDefault="00665E31" w:rsidP="00435260">
            <w:pPr>
              <w:spacing w:line="360" w:lineRule="auto"/>
              <w:rPr>
                <w:color w:val="000000" w:themeColor="text1"/>
                <w:sz w:val="20"/>
                <w:szCs w:val="22"/>
              </w:rPr>
            </w:pPr>
            <w:r w:rsidRPr="00F85073">
              <w:rPr>
                <w:color w:val="000000" w:themeColor="text1"/>
                <w:sz w:val="20"/>
                <w:szCs w:val="22"/>
              </w:rPr>
              <w:t>Falling (last year)</w:t>
            </w:r>
          </w:p>
        </w:tc>
        <w:tc>
          <w:tcPr>
            <w:tcW w:w="956" w:type="dxa"/>
            <w:vAlign w:val="center"/>
          </w:tcPr>
          <w:p w14:paraId="3BE2B5FC" w14:textId="77777777" w:rsidR="00665E31" w:rsidRPr="00F85073" w:rsidRDefault="00665E31" w:rsidP="00435260">
            <w:pPr>
              <w:tabs>
                <w:tab w:val="left" w:pos="428"/>
              </w:tabs>
              <w:spacing w:line="360"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Yes</w:t>
            </w:r>
          </w:p>
        </w:tc>
        <w:tc>
          <w:tcPr>
            <w:tcW w:w="1566" w:type="dxa"/>
          </w:tcPr>
          <w:p w14:paraId="036C5ADE"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9 (16.9)</w:t>
            </w:r>
          </w:p>
        </w:tc>
        <w:tc>
          <w:tcPr>
            <w:tcW w:w="1566" w:type="dxa"/>
          </w:tcPr>
          <w:p w14:paraId="6EE6B3B6"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14 (26.4)</w:t>
            </w:r>
          </w:p>
        </w:tc>
        <w:tc>
          <w:tcPr>
            <w:tcW w:w="1566" w:type="dxa"/>
          </w:tcPr>
          <w:p w14:paraId="23894EBF"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30 (56.6)</w:t>
            </w:r>
          </w:p>
        </w:tc>
        <w:tc>
          <w:tcPr>
            <w:tcW w:w="1566" w:type="dxa"/>
            <w:gridSpan w:val="2"/>
            <w:vMerge w:val="restart"/>
            <w:vAlign w:val="center"/>
          </w:tcPr>
          <w:p w14:paraId="659EB227"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sz w:val="20"/>
                <w:szCs w:val="22"/>
              </w:rPr>
            </w:pPr>
            <w:r w:rsidRPr="00F85073">
              <w:rPr>
                <w:b/>
                <w:bCs/>
                <w:color w:val="000000" w:themeColor="text1"/>
                <w:sz w:val="20"/>
                <w:szCs w:val="22"/>
              </w:rPr>
              <w:t>0.014</w:t>
            </w:r>
          </w:p>
        </w:tc>
      </w:tr>
      <w:tr w:rsidR="00665E31" w:rsidRPr="00F85073" w14:paraId="7A21BE57" w14:textId="77777777" w:rsidTr="00435260">
        <w:trPr>
          <w:gridAfter w:val="1"/>
          <w:cnfStyle w:val="000000100000" w:firstRow="0" w:lastRow="0" w:firstColumn="0" w:lastColumn="0" w:oddVBand="0" w:evenVBand="0" w:oddHBand="1" w:evenHBand="0" w:firstRowFirstColumn="0" w:firstRowLastColumn="0" w:lastRowFirstColumn="0" w:lastRowLastColumn="0"/>
          <w:wAfter w:w="519" w:type="dxa"/>
          <w:trHeight w:val="249"/>
          <w:jc w:val="center"/>
        </w:trPr>
        <w:tc>
          <w:tcPr>
            <w:cnfStyle w:val="001000000000" w:firstRow="0" w:lastRow="0" w:firstColumn="1" w:lastColumn="0" w:oddVBand="0" w:evenVBand="0" w:oddHBand="0" w:evenHBand="0" w:firstRowFirstColumn="0" w:firstRowLastColumn="0" w:lastRowFirstColumn="0" w:lastRowLastColumn="0"/>
            <w:tcW w:w="1583" w:type="dxa"/>
            <w:vMerge/>
            <w:vAlign w:val="center"/>
          </w:tcPr>
          <w:p w14:paraId="7A1095D5" w14:textId="77777777" w:rsidR="00665E31" w:rsidRPr="00F85073" w:rsidRDefault="00665E31" w:rsidP="00435260">
            <w:pPr>
              <w:spacing w:line="360" w:lineRule="auto"/>
              <w:rPr>
                <w:color w:val="000000" w:themeColor="text1"/>
                <w:sz w:val="20"/>
                <w:szCs w:val="22"/>
              </w:rPr>
            </w:pPr>
          </w:p>
        </w:tc>
        <w:tc>
          <w:tcPr>
            <w:tcW w:w="956" w:type="dxa"/>
            <w:vAlign w:val="center"/>
          </w:tcPr>
          <w:p w14:paraId="6951090F" w14:textId="77777777" w:rsidR="00665E31" w:rsidRPr="00F85073" w:rsidRDefault="00665E31" w:rsidP="00435260">
            <w:pPr>
              <w:tabs>
                <w:tab w:val="left" w:pos="428"/>
              </w:tabs>
              <w:spacing w:line="360" w:lineRule="auto"/>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No</w:t>
            </w:r>
          </w:p>
        </w:tc>
        <w:tc>
          <w:tcPr>
            <w:tcW w:w="1566" w:type="dxa"/>
          </w:tcPr>
          <w:p w14:paraId="64D567E1"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87 (33.3)</w:t>
            </w:r>
          </w:p>
        </w:tc>
        <w:tc>
          <w:tcPr>
            <w:tcW w:w="1566" w:type="dxa"/>
          </w:tcPr>
          <w:p w14:paraId="69FEFE00"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79 (30.3)</w:t>
            </w:r>
          </w:p>
        </w:tc>
        <w:tc>
          <w:tcPr>
            <w:tcW w:w="1566" w:type="dxa"/>
          </w:tcPr>
          <w:p w14:paraId="766328FA"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95 (36.4)</w:t>
            </w:r>
          </w:p>
        </w:tc>
        <w:tc>
          <w:tcPr>
            <w:tcW w:w="1566" w:type="dxa"/>
            <w:gridSpan w:val="2"/>
            <w:vMerge/>
            <w:vAlign w:val="center"/>
          </w:tcPr>
          <w:p w14:paraId="5527FD00"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p>
        </w:tc>
      </w:tr>
      <w:tr w:rsidR="00665E31" w:rsidRPr="00F85073" w14:paraId="00A32BA0" w14:textId="77777777" w:rsidTr="00435260">
        <w:trPr>
          <w:gridAfter w:val="1"/>
          <w:wAfter w:w="519" w:type="dxa"/>
          <w:trHeight w:val="382"/>
          <w:jc w:val="center"/>
        </w:trPr>
        <w:tc>
          <w:tcPr>
            <w:cnfStyle w:val="001000000000" w:firstRow="0" w:lastRow="0" w:firstColumn="1" w:lastColumn="0" w:oddVBand="0" w:evenVBand="0" w:oddHBand="0" w:evenHBand="0" w:firstRowFirstColumn="0" w:firstRowLastColumn="0" w:lastRowFirstColumn="0" w:lastRowLastColumn="0"/>
            <w:tcW w:w="1583" w:type="dxa"/>
            <w:vMerge w:val="restart"/>
            <w:vAlign w:val="center"/>
          </w:tcPr>
          <w:p w14:paraId="7B900B89" w14:textId="77777777" w:rsidR="00665E31" w:rsidRPr="00F85073" w:rsidRDefault="00665E31" w:rsidP="00435260">
            <w:pPr>
              <w:spacing w:line="360" w:lineRule="auto"/>
              <w:rPr>
                <w:color w:val="000000" w:themeColor="text1"/>
                <w:sz w:val="20"/>
                <w:szCs w:val="22"/>
              </w:rPr>
            </w:pPr>
            <w:r w:rsidRPr="00F85073">
              <w:rPr>
                <w:color w:val="000000" w:themeColor="text1"/>
                <w:sz w:val="20"/>
                <w:szCs w:val="22"/>
              </w:rPr>
              <w:t>Falling (last month)</w:t>
            </w:r>
          </w:p>
        </w:tc>
        <w:tc>
          <w:tcPr>
            <w:tcW w:w="956" w:type="dxa"/>
            <w:vAlign w:val="center"/>
          </w:tcPr>
          <w:p w14:paraId="60177164" w14:textId="77777777" w:rsidR="00665E31" w:rsidRPr="00F85073" w:rsidRDefault="00665E31" w:rsidP="00435260">
            <w:pPr>
              <w:tabs>
                <w:tab w:val="left" w:pos="428"/>
              </w:tabs>
              <w:spacing w:line="360"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Yes</w:t>
            </w:r>
          </w:p>
        </w:tc>
        <w:tc>
          <w:tcPr>
            <w:tcW w:w="1566" w:type="dxa"/>
          </w:tcPr>
          <w:p w14:paraId="7E65F572"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3 (15)</w:t>
            </w:r>
          </w:p>
        </w:tc>
        <w:tc>
          <w:tcPr>
            <w:tcW w:w="1566" w:type="dxa"/>
          </w:tcPr>
          <w:p w14:paraId="28861ABD"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2(10)</w:t>
            </w:r>
          </w:p>
        </w:tc>
        <w:tc>
          <w:tcPr>
            <w:tcW w:w="1566" w:type="dxa"/>
          </w:tcPr>
          <w:p w14:paraId="3BBC961C"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15 (75)</w:t>
            </w:r>
          </w:p>
        </w:tc>
        <w:tc>
          <w:tcPr>
            <w:tcW w:w="1566" w:type="dxa"/>
            <w:gridSpan w:val="2"/>
            <w:vMerge w:val="restart"/>
            <w:vAlign w:val="center"/>
          </w:tcPr>
          <w:p w14:paraId="4CD774A8"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sz w:val="20"/>
                <w:szCs w:val="22"/>
              </w:rPr>
            </w:pPr>
            <w:r w:rsidRPr="00F85073">
              <w:rPr>
                <w:b/>
                <w:bCs/>
                <w:color w:val="000000" w:themeColor="text1"/>
                <w:sz w:val="20"/>
                <w:szCs w:val="22"/>
              </w:rPr>
              <w:t>0.004</w:t>
            </w:r>
          </w:p>
        </w:tc>
      </w:tr>
      <w:tr w:rsidR="00665E31" w:rsidRPr="00F85073" w14:paraId="11C18F40" w14:textId="77777777" w:rsidTr="00435260">
        <w:trPr>
          <w:gridAfter w:val="1"/>
          <w:cnfStyle w:val="000000100000" w:firstRow="0" w:lastRow="0" w:firstColumn="0" w:lastColumn="0" w:oddVBand="0" w:evenVBand="0" w:oddHBand="1" w:evenHBand="0" w:firstRowFirstColumn="0" w:firstRowLastColumn="0" w:lastRowFirstColumn="0" w:lastRowLastColumn="0"/>
          <w:wAfter w:w="519" w:type="dxa"/>
          <w:trHeight w:val="382"/>
          <w:jc w:val="center"/>
        </w:trPr>
        <w:tc>
          <w:tcPr>
            <w:cnfStyle w:val="001000000000" w:firstRow="0" w:lastRow="0" w:firstColumn="1" w:lastColumn="0" w:oddVBand="0" w:evenVBand="0" w:oddHBand="0" w:evenHBand="0" w:firstRowFirstColumn="0" w:firstRowLastColumn="0" w:lastRowFirstColumn="0" w:lastRowLastColumn="0"/>
            <w:tcW w:w="1583" w:type="dxa"/>
            <w:vMerge/>
            <w:vAlign w:val="center"/>
          </w:tcPr>
          <w:p w14:paraId="0ECD3D65" w14:textId="77777777" w:rsidR="00665E31" w:rsidRPr="00F85073" w:rsidRDefault="00665E31" w:rsidP="00435260">
            <w:pPr>
              <w:spacing w:line="360" w:lineRule="auto"/>
              <w:rPr>
                <w:color w:val="000000" w:themeColor="text1"/>
                <w:sz w:val="20"/>
                <w:szCs w:val="22"/>
              </w:rPr>
            </w:pPr>
          </w:p>
        </w:tc>
        <w:tc>
          <w:tcPr>
            <w:tcW w:w="956" w:type="dxa"/>
            <w:vAlign w:val="center"/>
          </w:tcPr>
          <w:p w14:paraId="72B8FBDE" w14:textId="77777777" w:rsidR="00665E31" w:rsidRPr="00F85073" w:rsidRDefault="00665E31" w:rsidP="00435260">
            <w:pPr>
              <w:tabs>
                <w:tab w:val="left" w:pos="428"/>
              </w:tabs>
              <w:spacing w:line="360" w:lineRule="auto"/>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No</w:t>
            </w:r>
          </w:p>
        </w:tc>
        <w:tc>
          <w:tcPr>
            <w:tcW w:w="1566" w:type="dxa"/>
          </w:tcPr>
          <w:p w14:paraId="3DA3777C"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93 (31.6)</w:t>
            </w:r>
          </w:p>
        </w:tc>
        <w:tc>
          <w:tcPr>
            <w:tcW w:w="1566" w:type="dxa"/>
          </w:tcPr>
          <w:p w14:paraId="432BADA2"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91 (31)</w:t>
            </w:r>
          </w:p>
        </w:tc>
        <w:tc>
          <w:tcPr>
            <w:tcW w:w="1566" w:type="dxa"/>
          </w:tcPr>
          <w:p w14:paraId="7DB0F4AB"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110 (37.4)</w:t>
            </w:r>
          </w:p>
        </w:tc>
        <w:tc>
          <w:tcPr>
            <w:tcW w:w="1566" w:type="dxa"/>
            <w:gridSpan w:val="2"/>
            <w:vMerge/>
            <w:vAlign w:val="center"/>
          </w:tcPr>
          <w:p w14:paraId="08A735A4"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p>
        </w:tc>
      </w:tr>
      <w:tr w:rsidR="00665E31" w:rsidRPr="00F85073" w14:paraId="72AD812B" w14:textId="77777777" w:rsidTr="00435260">
        <w:trPr>
          <w:gridAfter w:val="1"/>
          <w:wAfter w:w="519" w:type="dxa"/>
          <w:trHeight w:val="272"/>
          <w:jc w:val="center"/>
        </w:trPr>
        <w:tc>
          <w:tcPr>
            <w:cnfStyle w:val="001000000000" w:firstRow="0" w:lastRow="0" w:firstColumn="1" w:lastColumn="0" w:oddVBand="0" w:evenVBand="0" w:oddHBand="0" w:evenHBand="0" w:firstRowFirstColumn="0" w:firstRowLastColumn="0" w:lastRowFirstColumn="0" w:lastRowLastColumn="0"/>
            <w:tcW w:w="1583" w:type="dxa"/>
            <w:vMerge w:val="restart"/>
            <w:vAlign w:val="center"/>
          </w:tcPr>
          <w:p w14:paraId="49A14658" w14:textId="77777777" w:rsidR="00665E31" w:rsidRPr="00F85073" w:rsidRDefault="00665E31" w:rsidP="00435260">
            <w:pPr>
              <w:spacing w:line="360" w:lineRule="auto"/>
              <w:rPr>
                <w:color w:val="000000" w:themeColor="text1"/>
                <w:sz w:val="20"/>
                <w:szCs w:val="20"/>
              </w:rPr>
            </w:pPr>
            <w:r w:rsidRPr="00F85073">
              <w:rPr>
                <w:color w:val="222222"/>
                <w:sz w:val="20"/>
                <w:szCs w:val="20"/>
                <w:lang w:val="en"/>
              </w:rPr>
              <w:t>Polypharmacy</w:t>
            </w:r>
          </w:p>
        </w:tc>
        <w:tc>
          <w:tcPr>
            <w:tcW w:w="956" w:type="dxa"/>
            <w:vAlign w:val="center"/>
          </w:tcPr>
          <w:p w14:paraId="4B146B5F" w14:textId="77777777" w:rsidR="00665E31" w:rsidRPr="00F85073" w:rsidRDefault="00665E31" w:rsidP="00435260">
            <w:pPr>
              <w:tabs>
                <w:tab w:val="left" w:pos="428"/>
              </w:tabs>
              <w:spacing w:line="360"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Yes</w:t>
            </w:r>
          </w:p>
        </w:tc>
        <w:tc>
          <w:tcPr>
            <w:tcW w:w="1566" w:type="dxa"/>
          </w:tcPr>
          <w:p w14:paraId="6967E756"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15 (35.7)</w:t>
            </w:r>
          </w:p>
        </w:tc>
        <w:tc>
          <w:tcPr>
            <w:tcW w:w="1566" w:type="dxa"/>
          </w:tcPr>
          <w:p w14:paraId="5222C78D"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14 (33.3)</w:t>
            </w:r>
          </w:p>
        </w:tc>
        <w:tc>
          <w:tcPr>
            <w:tcW w:w="1566" w:type="dxa"/>
          </w:tcPr>
          <w:p w14:paraId="1B4E48FD"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13 (31)</w:t>
            </w:r>
          </w:p>
        </w:tc>
        <w:tc>
          <w:tcPr>
            <w:tcW w:w="1566" w:type="dxa"/>
            <w:gridSpan w:val="2"/>
            <w:vMerge w:val="restart"/>
            <w:vAlign w:val="center"/>
          </w:tcPr>
          <w:p w14:paraId="2552C071"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0.449</w:t>
            </w:r>
          </w:p>
        </w:tc>
      </w:tr>
      <w:tr w:rsidR="00665E31" w:rsidRPr="00F85073" w14:paraId="5A8273EF" w14:textId="77777777" w:rsidTr="00435260">
        <w:trPr>
          <w:gridAfter w:val="1"/>
          <w:cnfStyle w:val="000000100000" w:firstRow="0" w:lastRow="0" w:firstColumn="0" w:lastColumn="0" w:oddVBand="0" w:evenVBand="0" w:oddHBand="1" w:evenHBand="0" w:firstRowFirstColumn="0" w:firstRowLastColumn="0" w:lastRowFirstColumn="0" w:lastRowLastColumn="0"/>
          <w:wAfter w:w="519" w:type="dxa"/>
          <w:trHeight w:val="278"/>
          <w:jc w:val="center"/>
        </w:trPr>
        <w:tc>
          <w:tcPr>
            <w:cnfStyle w:val="001000000000" w:firstRow="0" w:lastRow="0" w:firstColumn="1" w:lastColumn="0" w:oddVBand="0" w:evenVBand="0" w:oddHBand="0" w:evenHBand="0" w:firstRowFirstColumn="0" w:firstRowLastColumn="0" w:lastRowFirstColumn="0" w:lastRowLastColumn="0"/>
            <w:tcW w:w="1583" w:type="dxa"/>
            <w:vMerge/>
            <w:vAlign w:val="center"/>
          </w:tcPr>
          <w:p w14:paraId="054151D3" w14:textId="77777777" w:rsidR="00665E31" w:rsidRPr="00F85073" w:rsidRDefault="00665E31" w:rsidP="00435260">
            <w:pPr>
              <w:spacing w:line="360" w:lineRule="auto"/>
              <w:jc w:val="center"/>
              <w:rPr>
                <w:color w:val="222222"/>
                <w:sz w:val="20"/>
                <w:szCs w:val="20"/>
                <w:lang w:val="en"/>
              </w:rPr>
            </w:pPr>
          </w:p>
        </w:tc>
        <w:tc>
          <w:tcPr>
            <w:tcW w:w="956" w:type="dxa"/>
            <w:vAlign w:val="center"/>
          </w:tcPr>
          <w:p w14:paraId="35ECC13A" w14:textId="77777777" w:rsidR="00665E31" w:rsidRPr="00F85073" w:rsidRDefault="00665E31" w:rsidP="00435260">
            <w:pPr>
              <w:tabs>
                <w:tab w:val="left" w:pos="428"/>
              </w:tabs>
              <w:spacing w:line="360" w:lineRule="auto"/>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No</w:t>
            </w:r>
          </w:p>
        </w:tc>
        <w:tc>
          <w:tcPr>
            <w:tcW w:w="1566" w:type="dxa"/>
          </w:tcPr>
          <w:p w14:paraId="56BDA30A"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81 (29.7)</w:t>
            </w:r>
          </w:p>
        </w:tc>
        <w:tc>
          <w:tcPr>
            <w:tcW w:w="1566" w:type="dxa"/>
          </w:tcPr>
          <w:p w14:paraId="44248FB9"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79 (29)</w:t>
            </w:r>
          </w:p>
        </w:tc>
        <w:tc>
          <w:tcPr>
            <w:tcW w:w="1566" w:type="dxa"/>
          </w:tcPr>
          <w:p w14:paraId="49AA84EC"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112 (41.2)</w:t>
            </w:r>
          </w:p>
        </w:tc>
        <w:tc>
          <w:tcPr>
            <w:tcW w:w="1566" w:type="dxa"/>
            <w:gridSpan w:val="2"/>
            <w:vMerge/>
            <w:vAlign w:val="center"/>
          </w:tcPr>
          <w:p w14:paraId="2DBA2DF9"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p>
        </w:tc>
      </w:tr>
      <w:tr w:rsidR="00665E31" w:rsidRPr="00F85073" w14:paraId="439BED67" w14:textId="77777777" w:rsidTr="00435260">
        <w:trPr>
          <w:gridAfter w:val="1"/>
          <w:wAfter w:w="519" w:type="dxa"/>
          <w:trHeight w:val="278"/>
          <w:jc w:val="center"/>
        </w:trPr>
        <w:tc>
          <w:tcPr>
            <w:cnfStyle w:val="001000000000" w:firstRow="0" w:lastRow="0" w:firstColumn="1" w:lastColumn="0" w:oddVBand="0" w:evenVBand="0" w:oddHBand="0" w:evenHBand="0" w:firstRowFirstColumn="0" w:firstRowLastColumn="0" w:lastRowFirstColumn="0" w:lastRowLastColumn="0"/>
            <w:tcW w:w="1583" w:type="dxa"/>
            <w:vMerge w:val="restart"/>
            <w:vAlign w:val="center"/>
          </w:tcPr>
          <w:p w14:paraId="59A686CB" w14:textId="77777777" w:rsidR="00665E31" w:rsidRPr="00F85073" w:rsidRDefault="00665E31" w:rsidP="00435260">
            <w:pPr>
              <w:spacing w:line="360" w:lineRule="auto"/>
              <w:rPr>
                <w:color w:val="222222"/>
                <w:sz w:val="20"/>
                <w:szCs w:val="20"/>
                <w:lang w:val="en"/>
              </w:rPr>
            </w:pPr>
            <w:r w:rsidRPr="00F85073">
              <w:rPr>
                <w:color w:val="222222"/>
                <w:sz w:val="20"/>
                <w:szCs w:val="20"/>
                <w:lang w:val="en"/>
              </w:rPr>
              <w:t>DM</w:t>
            </w:r>
          </w:p>
        </w:tc>
        <w:tc>
          <w:tcPr>
            <w:tcW w:w="956" w:type="dxa"/>
            <w:vAlign w:val="center"/>
          </w:tcPr>
          <w:p w14:paraId="648DF3F5" w14:textId="77777777" w:rsidR="00665E31" w:rsidRPr="00F85073" w:rsidRDefault="00665E31" w:rsidP="00435260">
            <w:pPr>
              <w:tabs>
                <w:tab w:val="left" w:pos="428"/>
              </w:tabs>
              <w:spacing w:line="360"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Yes</w:t>
            </w:r>
          </w:p>
        </w:tc>
        <w:tc>
          <w:tcPr>
            <w:tcW w:w="1566" w:type="dxa"/>
          </w:tcPr>
          <w:p w14:paraId="34D4F285"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38 (39.1)</w:t>
            </w:r>
          </w:p>
        </w:tc>
        <w:tc>
          <w:tcPr>
            <w:tcW w:w="1566" w:type="dxa"/>
          </w:tcPr>
          <w:p w14:paraId="68689D19"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26 (26.8)</w:t>
            </w:r>
          </w:p>
        </w:tc>
        <w:tc>
          <w:tcPr>
            <w:tcW w:w="1566" w:type="dxa"/>
          </w:tcPr>
          <w:p w14:paraId="105FBE8C"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33 (34)</w:t>
            </w:r>
          </w:p>
        </w:tc>
        <w:tc>
          <w:tcPr>
            <w:tcW w:w="1566" w:type="dxa"/>
            <w:gridSpan w:val="2"/>
            <w:vMerge w:val="restart"/>
            <w:vAlign w:val="center"/>
          </w:tcPr>
          <w:p w14:paraId="441DBB01"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0.084</w:t>
            </w:r>
          </w:p>
        </w:tc>
      </w:tr>
      <w:tr w:rsidR="00665E31" w:rsidRPr="00F85073" w14:paraId="6913A297" w14:textId="77777777" w:rsidTr="00435260">
        <w:trPr>
          <w:gridAfter w:val="1"/>
          <w:cnfStyle w:val="000000100000" w:firstRow="0" w:lastRow="0" w:firstColumn="0" w:lastColumn="0" w:oddVBand="0" w:evenVBand="0" w:oddHBand="1" w:evenHBand="0" w:firstRowFirstColumn="0" w:firstRowLastColumn="0" w:lastRowFirstColumn="0" w:lastRowLastColumn="0"/>
          <w:wAfter w:w="519" w:type="dxa"/>
          <w:trHeight w:val="278"/>
          <w:jc w:val="center"/>
        </w:trPr>
        <w:tc>
          <w:tcPr>
            <w:cnfStyle w:val="001000000000" w:firstRow="0" w:lastRow="0" w:firstColumn="1" w:lastColumn="0" w:oddVBand="0" w:evenVBand="0" w:oddHBand="0" w:evenHBand="0" w:firstRowFirstColumn="0" w:firstRowLastColumn="0" w:lastRowFirstColumn="0" w:lastRowLastColumn="0"/>
            <w:tcW w:w="1583" w:type="dxa"/>
            <w:vMerge/>
            <w:vAlign w:val="center"/>
          </w:tcPr>
          <w:p w14:paraId="4FEF72AA" w14:textId="77777777" w:rsidR="00665E31" w:rsidRPr="00F85073" w:rsidRDefault="00665E31" w:rsidP="00435260">
            <w:pPr>
              <w:spacing w:line="360" w:lineRule="auto"/>
              <w:rPr>
                <w:color w:val="222222"/>
                <w:sz w:val="20"/>
                <w:szCs w:val="20"/>
                <w:lang w:val="en"/>
              </w:rPr>
            </w:pPr>
          </w:p>
        </w:tc>
        <w:tc>
          <w:tcPr>
            <w:tcW w:w="956" w:type="dxa"/>
            <w:vAlign w:val="center"/>
          </w:tcPr>
          <w:p w14:paraId="300ED354" w14:textId="77777777" w:rsidR="00665E31" w:rsidRPr="00F85073" w:rsidRDefault="00665E31" w:rsidP="00435260">
            <w:pPr>
              <w:tabs>
                <w:tab w:val="left" w:pos="428"/>
              </w:tabs>
              <w:spacing w:line="360" w:lineRule="auto"/>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No</w:t>
            </w:r>
          </w:p>
        </w:tc>
        <w:tc>
          <w:tcPr>
            <w:tcW w:w="1566" w:type="dxa"/>
          </w:tcPr>
          <w:p w14:paraId="43CE02C0"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58 (26.7)</w:t>
            </w:r>
          </w:p>
        </w:tc>
        <w:tc>
          <w:tcPr>
            <w:tcW w:w="1566" w:type="dxa"/>
          </w:tcPr>
          <w:p w14:paraId="514C534B"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67 (30.9)</w:t>
            </w:r>
          </w:p>
        </w:tc>
        <w:tc>
          <w:tcPr>
            <w:tcW w:w="1566" w:type="dxa"/>
          </w:tcPr>
          <w:p w14:paraId="78245263"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92 (42.4)</w:t>
            </w:r>
          </w:p>
        </w:tc>
        <w:tc>
          <w:tcPr>
            <w:tcW w:w="1566" w:type="dxa"/>
            <w:gridSpan w:val="2"/>
            <w:vMerge/>
            <w:vAlign w:val="center"/>
          </w:tcPr>
          <w:p w14:paraId="2479A09E"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p>
        </w:tc>
      </w:tr>
      <w:tr w:rsidR="00665E31" w:rsidRPr="00F85073" w14:paraId="3EDCD72D" w14:textId="77777777" w:rsidTr="00435260">
        <w:trPr>
          <w:gridAfter w:val="1"/>
          <w:wAfter w:w="519" w:type="dxa"/>
          <w:trHeight w:val="278"/>
          <w:jc w:val="center"/>
        </w:trPr>
        <w:tc>
          <w:tcPr>
            <w:cnfStyle w:val="001000000000" w:firstRow="0" w:lastRow="0" w:firstColumn="1" w:lastColumn="0" w:oddVBand="0" w:evenVBand="0" w:oddHBand="0" w:evenHBand="0" w:firstRowFirstColumn="0" w:firstRowLastColumn="0" w:lastRowFirstColumn="0" w:lastRowLastColumn="0"/>
            <w:tcW w:w="1583" w:type="dxa"/>
            <w:vMerge w:val="restart"/>
            <w:vAlign w:val="center"/>
          </w:tcPr>
          <w:p w14:paraId="315168DA" w14:textId="77777777" w:rsidR="00665E31" w:rsidRPr="00F85073" w:rsidRDefault="00665E31" w:rsidP="00435260">
            <w:pPr>
              <w:rPr>
                <w:color w:val="222222"/>
                <w:sz w:val="20"/>
                <w:szCs w:val="20"/>
                <w:lang w:val="en"/>
              </w:rPr>
            </w:pPr>
            <w:r w:rsidRPr="00F85073">
              <w:rPr>
                <w:color w:val="222222"/>
                <w:sz w:val="20"/>
                <w:szCs w:val="20"/>
                <w:lang w:val="en"/>
              </w:rPr>
              <w:t>Cardiovascular disease</w:t>
            </w:r>
          </w:p>
        </w:tc>
        <w:tc>
          <w:tcPr>
            <w:tcW w:w="956" w:type="dxa"/>
            <w:vAlign w:val="center"/>
          </w:tcPr>
          <w:p w14:paraId="1B303F8D" w14:textId="77777777" w:rsidR="00665E31" w:rsidRPr="00F85073" w:rsidRDefault="00665E31" w:rsidP="00435260">
            <w:pPr>
              <w:tabs>
                <w:tab w:val="left" w:pos="428"/>
              </w:tabs>
              <w:spacing w:line="360"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Yes</w:t>
            </w:r>
          </w:p>
        </w:tc>
        <w:tc>
          <w:tcPr>
            <w:tcW w:w="1566" w:type="dxa"/>
          </w:tcPr>
          <w:p w14:paraId="2502BB39"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11 (20)</w:t>
            </w:r>
          </w:p>
        </w:tc>
        <w:tc>
          <w:tcPr>
            <w:tcW w:w="1566" w:type="dxa"/>
          </w:tcPr>
          <w:p w14:paraId="74D5399E"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14 (25.5)</w:t>
            </w:r>
          </w:p>
        </w:tc>
        <w:tc>
          <w:tcPr>
            <w:tcW w:w="1566" w:type="dxa"/>
          </w:tcPr>
          <w:p w14:paraId="33106047"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30 (54.5)</w:t>
            </w:r>
          </w:p>
        </w:tc>
        <w:tc>
          <w:tcPr>
            <w:tcW w:w="1566" w:type="dxa"/>
            <w:gridSpan w:val="2"/>
            <w:vMerge w:val="restart"/>
            <w:vAlign w:val="center"/>
          </w:tcPr>
          <w:p w14:paraId="164A63A1"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0.078</w:t>
            </w:r>
          </w:p>
        </w:tc>
      </w:tr>
      <w:tr w:rsidR="00665E31" w:rsidRPr="00F85073" w14:paraId="7A2A3E35" w14:textId="77777777" w:rsidTr="00435260">
        <w:trPr>
          <w:gridAfter w:val="1"/>
          <w:cnfStyle w:val="000000100000" w:firstRow="0" w:lastRow="0" w:firstColumn="0" w:lastColumn="0" w:oddVBand="0" w:evenVBand="0" w:oddHBand="1" w:evenHBand="0" w:firstRowFirstColumn="0" w:firstRowLastColumn="0" w:lastRowFirstColumn="0" w:lastRowLastColumn="0"/>
          <w:wAfter w:w="519" w:type="dxa"/>
          <w:trHeight w:val="278"/>
          <w:jc w:val="center"/>
        </w:trPr>
        <w:tc>
          <w:tcPr>
            <w:cnfStyle w:val="001000000000" w:firstRow="0" w:lastRow="0" w:firstColumn="1" w:lastColumn="0" w:oddVBand="0" w:evenVBand="0" w:oddHBand="0" w:evenHBand="0" w:firstRowFirstColumn="0" w:firstRowLastColumn="0" w:lastRowFirstColumn="0" w:lastRowLastColumn="0"/>
            <w:tcW w:w="1583" w:type="dxa"/>
            <w:vMerge/>
            <w:vAlign w:val="center"/>
          </w:tcPr>
          <w:p w14:paraId="3937C253" w14:textId="77777777" w:rsidR="00665E31" w:rsidRPr="00F85073" w:rsidRDefault="00665E31" w:rsidP="00435260">
            <w:pPr>
              <w:rPr>
                <w:color w:val="222222"/>
                <w:sz w:val="20"/>
                <w:szCs w:val="20"/>
                <w:lang w:val="en"/>
              </w:rPr>
            </w:pPr>
          </w:p>
        </w:tc>
        <w:tc>
          <w:tcPr>
            <w:tcW w:w="956" w:type="dxa"/>
            <w:vAlign w:val="center"/>
          </w:tcPr>
          <w:p w14:paraId="2B26AFFD" w14:textId="77777777" w:rsidR="00665E31" w:rsidRPr="00F85073" w:rsidRDefault="00665E31" w:rsidP="00435260">
            <w:pPr>
              <w:tabs>
                <w:tab w:val="left" w:pos="428"/>
              </w:tabs>
              <w:spacing w:line="360" w:lineRule="auto"/>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No</w:t>
            </w:r>
          </w:p>
        </w:tc>
        <w:tc>
          <w:tcPr>
            <w:tcW w:w="1566" w:type="dxa"/>
          </w:tcPr>
          <w:p w14:paraId="063A3B7B"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85 (32.8)</w:t>
            </w:r>
          </w:p>
        </w:tc>
        <w:tc>
          <w:tcPr>
            <w:tcW w:w="1566" w:type="dxa"/>
          </w:tcPr>
          <w:p w14:paraId="03088480"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79 (30.5)</w:t>
            </w:r>
          </w:p>
        </w:tc>
        <w:tc>
          <w:tcPr>
            <w:tcW w:w="1566" w:type="dxa"/>
          </w:tcPr>
          <w:p w14:paraId="78CFD96B"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95 (36.7)</w:t>
            </w:r>
          </w:p>
        </w:tc>
        <w:tc>
          <w:tcPr>
            <w:tcW w:w="1566" w:type="dxa"/>
            <w:gridSpan w:val="2"/>
            <w:vMerge/>
            <w:vAlign w:val="center"/>
          </w:tcPr>
          <w:p w14:paraId="58D4E38B"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p>
        </w:tc>
      </w:tr>
      <w:tr w:rsidR="00665E31" w:rsidRPr="00F85073" w14:paraId="41A43026" w14:textId="77777777" w:rsidTr="00435260">
        <w:trPr>
          <w:gridAfter w:val="1"/>
          <w:wAfter w:w="519" w:type="dxa"/>
          <w:trHeight w:val="278"/>
          <w:jc w:val="center"/>
        </w:trPr>
        <w:tc>
          <w:tcPr>
            <w:cnfStyle w:val="001000000000" w:firstRow="0" w:lastRow="0" w:firstColumn="1" w:lastColumn="0" w:oddVBand="0" w:evenVBand="0" w:oddHBand="0" w:evenHBand="0" w:firstRowFirstColumn="0" w:firstRowLastColumn="0" w:lastRowFirstColumn="0" w:lastRowLastColumn="0"/>
            <w:tcW w:w="1583" w:type="dxa"/>
            <w:vMerge w:val="restart"/>
            <w:vAlign w:val="center"/>
          </w:tcPr>
          <w:p w14:paraId="41A17AFA" w14:textId="77777777" w:rsidR="00665E31" w:rsidRPr="00F85073" w:rsidRDefault="00665E31" w:rsidP="00435260">
            <w:pPr>
              <w:rPr>
                <w:color w:val="222222"/>
                <w:sz w:val="20"/>
                <w:szCs w:val="20"/>
                <w:lang w:val="en"/>
              </w:rPr>
            </w:pPr>
            <w:r w:rsidRPr="00F85073">
              <w:rPr>
                <w:color w:val="222222"/>
                <w:sz w:val="20"/>
                <w:szCs w:val="20"/>
                <w:lang w:val="en"/>
              </w:rPr>
              <w:t>HT</w:t>
            </w:r>
          </w:p>
        </w:tc>
        <w:tc>
          <w:tcPr>
            <w:tcW w:w="956" w:type="dxa"/>
            <w:vAlign w:val="center"/>
          </w:tcPr>
          <w:p w14:paraId="6AF7AF3F" w14:textId="77777777" w:rsidR="00665E31" w:rsidRPr="00F85073" w:rsidRDefault="00665E31" w:rsidP="00435260">
            <w:pPr>
              <w:tabs>
                <w:tab w:val="left" w:pos="428"/>
              </w:tabs>
              <w:spacing w:line="360"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Yes</w:t>
            </w:r>
          </w:p>
        </w:tc>
        <w:tc>
          <w:tcPr>
            <w:tcW w:w="1566" w:type="dxa"/>
          </w:tcPr>
          <w:p w14:paraId="3B0AE957"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50 (24.3)</w:t>
            </w:r>
          </w:p>
        </w:tc>
        <w:tc>
          <w:tcPr>
            <w:tcW w:w="1566" w:type="dxa"/>
          </w:tcPr>
          <w:p w14:paraId="2CA68659"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63 (30.7)</w:t>
            </w:r>
          </w:p>
        </w:tc>
        <w:tc>
          <w:tcPr>
            <w:tcW w:w="1566" w:type="dxa"/>
          </w:tcPr>
          <w:p w14:paraId="0B7CD2B6"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92 (44.9)</w:t>
            </w:r>
          </w:p>
        </w:tc>
        <w:tc>
          <w:tcPr>
            <w:tcW w:w="1566" w:type="dxa"/>
            <w:gridSpan w:val="2"/>
            <w:vMerge w:val="restart"/>
            <w:vAlign w:val="center"/>
          </w:tcPr>
          <w:p w14:paraId="4EAC4371"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sz w:val="20"/>
                <w:szCs w:val="22"/>
              </w:rPr>
            </w:pPr>
            <w:r w:rsidRPr="00F85073">
              <w:rPr>
                <w:b/>
                <w:bCs/>
                <w:color w:val="000000" w:themeColor="text1"/>
                <w:sz w:val="20"/>
                <w:szCs w:val="22"/>
              </w:rPr>
              <w:t>0.003</w:t>
            </w:r>
          </w:p>
        </w:tc>
      </w:tr>
      <w:tr w:rsidR="00665E31" w:rsidRPr="00F85073" w14:paraId="7887BB6B" w14:textId="77777777" w:rsidTr="00435260">
        <w:trPr>
          <w:gridAfter w:val="1"/>
          <w:cnfStyle w:val="000000100000" w:firstRow="0" w:lastRow="0" w:firstColumn="0" w:lastColumn="0" w:oddVBand="0" w:evenVBand="0" w:oddHBand="1" w:evenHBand="0" w:firstRowFirstColumn="0" w:firstRowLastColumn="0" w:lastRowFirstColumn="0" w:lastRowLastColumn="0"/>
          <w:wAfter w:w="519" w:type="dxa"/>
          <w:trHeight w:val="278"/>
          <w:jc w:val="center"/>
        </w:trPr>
        <w:tc>
          <w:tcPr>
            <w:cnfStyle w:val="001000000000" w:firstRow="0" w:lastRow="0" w:firstColumn="1" w:lastColumn="0" w:oddVBand="0" w:evenVBand="0" w:oddHBand="0" w:evenHBand="0" w:firstRowFirstColumn="0" w:firstRowLastColumn="0" w:lastRowFirstColumn="0" w:lastRowLastColumn="0"/>
            <w:tcW w:w="1583" w:type="dxa"/>
            <w:vMerge/>
            <w:vAlign w:val="center"/>
          </w:tcPr>
          <w:p w14:paraId="52D8036F" w14:textId="77777777" w:rsidR="00665E31" w:rsidRPr="00F85073" w:rsidRDefault="00665E31" w:rsidP="00435260">
            <w:pPr>
              <w:rPr>
                <w:color w:val="222222"/>
                <w:sz w:val="20"/>
                <w:szCs w:val="20"/>
                <w:lang w:val="en"/>
              </w:rPr>
            </w:pPr>
          </w:p>
        </w:tc>
        <w:tc>
          <w:tcPr>
            <w:tcW w:w="956" w:type="dxa"/>
            <w:vAlign w:val="center"/>
          </w:tcPr>
          <w:p w14:paraId="4408AD2A" w14:textId="77777777" w:rsidR="00665E31" w:rsidRPr="00F85073" w:rsidRDefault="00665E31" w:rsidP="00435260">
            <w:pPr>
              <w:tabs>
                <w:tab w:val="left" w:pos="428"/>
              </w:tabs>
              <w:spacing w:line="360" w:lineRule="auto"/>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No</w:t>
            </w:r>
          </w:p>
        </w:tc>
        <w:tc>
          <w:tcPr>
            <w:tcW w:w="1566" w:type="dxa"/>
          </w:tcPr>
          <w:p w14:paraId="1BE7F70E"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46 (42.2)</w:t>
            </w:r>
          </w:p>
        </w:tc>
        <w:tc>
          <w:tcPr>
            <w:tcW w:w="1566" w:type="dxa"/>
          </w:tcPr>
          <w:p w14:paraId="2CFDA2E9"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30 (27.5)</w:t>
            </w:r>
          </w:p>
        </w:tc>
        <w:tc>
          <w:tcPr>
            <w:tcW w:w="1566" w:type="dxa"/>
          </w:tcPr>
          <w:p w14:paraId="195FA1C8"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33 (30.2)</w:t>
            </w:r>
          </w:p>
        </w:tc>
        <w:tc>
          <w:tcPr>
            <w:tcW w:w="1566" w:type="dxa"/>
            <w:gridSpan w:val="2"/>
            <w:vMerge/>
            <w:vAlign w:val="center"/>
          </w:tcPr>
          <w:p w14:paraId="04CE4708"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p>
        </w:tc>
      </w:tr>
      <w:tr w:rsidR="00665E31" w:rsidRPr="00F85073" w14:paraId="02C12BD7" w14:textId="77777777" w:rsidTr="00435260">
        <w:trPr>
          <w:gridAfter w:val="1"/>
          <w:wAfter w:w="519" w:type="dxa"/>
          <w:trHeight w:val="278"/>
          <w:jc w:val="center"/>
        </w:trPr>
        <w:tc>
          <w:tcPr>
            <w:cnfStyle w:val="001000000000" w:firstRow="0" w:lastRow="0" w:firstColumn="1" w:lastColumn="0" w:oddVBand="0" w:evenVBand="0" w:oddHBand="0" w:evenHBand="0" w:firstRowFirstColumn="0" w:firstRowLastColumn="0" w:lastRowFirstColumn="0" w:lastRowLastColumn="0"/>
            <w:tcW w:w="1583" w:type="dxa"/>
            <w:vMerge w:val="restart"/>
            <w:vAlign w:val="center"/>
          </w:tcPr>
          <w:p w14:paraId="0A2DFCF3" w14:textId="77777777" w:rsidR="00665E31" w:rsidRPr="00F85073" w:rsidRDefault="00665E31" w:rsidP="00435260">
            <w:pPr>
              <w:pStyle w:val="HTMLPreformatted"/>
              <w:spacing w:line="360" w:lineRule="auto"/>
              <w:rPr>
                <w:rFonts w:ascii="Times New Roman" w:hAnsi="Times New Roman" w:cs="Times New Roman"/>
                <w:b w:val="0"/>
                <w:bCs w:val="0"/>
                <w:color w:val="222222"/>
                <w:lang w:val="en"/>
              </w:rPr>
            </w:pPr>
            <w:r w:rsidRPr="00F85073">
              <w:rPr>
                <w:rFonts w:ascii="Times New Roman" w:hAnsi="Times New Roman" w:cs="Times New Roman"/>
                <w:color w:val="222222"/>
                <w:lang w:val="en"/>
              </w:rPr>
              <w:t>Depressive</w:t>
            </w:r>
          </w:p>
          <w:p w14:paraId="214D9A2C" w14:textId="77777777" w:rsidR="00665E31" w:rsidRPr="00F85073" w:rsidRDefault="00665E31" w:rsidP="00435260">
            <w:pPr>
              <w:pStyle w:val="HTMLPreformatted"/>
              <w:spacing w:line="360" w:lineRule="auto"/>
              <w:rPr>
                <w:rFonts w:ascii="Times New Roman" w:hAnsi="Times New Roman" w:cs="Times New Roman"/>
                <w:color w:val="222222"/>
              </w:rPr>
            </w:pPr>
            <w:r w:rsidRPr="00F85073">
              <w:rPr>
                <w:rFonts w:ascii="Times New Roman" w:hAnsi="Times New Roman" w:cs="Times New Roman"/>
                <w:color w:val="222222"/>
                <w:lang w:val="en"/>
              </w:rPr>
              <w:t>symptoms</w:t>
            </w:r>
          </w:p>
        </w:tc>
        <w:tc>
          <w:tcPr>
            <w:tcW w:w="956" w:type="dxa"/>
            <w:vAlign w:val="center"/>
          </w:tcPr>
          <w:p w14:paraId="39203DB0" w14:textId="77777777" w:rsidR="00665E31" w:rsidRPr="00F85073" w:rsidRDefault="00665E31" w:rsidP="00435260">
            <w:pPr>
              <w:tabs>
                <w:tab w:val="left" w:pos="428"/>
              </w:tabs>
              <w:spacing w:line="360"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Yes</w:t>
            </w:r>
          </w:p>
        </w:tc>
        <w:tc>
          <w:tcPr>
            <w:tcW w:w="1566" w:type="dxa"/>
          </w:tcPr>
          <w:p w14:paraId="24EB4927"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8 (25.8)</w:t>
            </w:r>
          </w:p>
        </w:tc>
        <w:tc>
          <w:tcPr>
            <w:tcW w:w="1566" w:type="dxa"/>
          </w:tcPr>
          <w:p w14:paraId="71622A31"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9 (29)</w:t>
            </w:r>
          </w:p>
        </w:tc>
        <w:tc>
          <w:tcPr>
            <w:tcW w:w="1566" w:type="dxa"/>
          </w:tcPr>
          <w:p w14:paraId="5DF98F83"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14 (45.2)</w:t>
            </w:r>
          </w:p>
        </w:tc>
        <w:tc>
          <w:tcPr>
            <w:tcW w:w="1566" w:type="dxa"/>
            <w:gridSpan w:val="2"/>
            <w:vMerge w:val="restart"/>
            <w:vAlign w:val="center"/>
          </w:tcPr>
          <w:p w14:paraId="4A037C37"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0.776</w:t>
            </w:r>
          </w:p>
        </w:tc>
      </w:tr>
      <w:tr w:rsidR="00665E31" w:rsidRPr="00F85073" w14:paraId="3BEF73E1" w14:textId="77777777" w:rsidTr="00435260">
        <w:trPr>
          <w:gridAfter w:val="1"/>
          <w:cnfStyle w:val="000000100000" w:firstRow="0" w:lastRow="0" w:firstColumn="0" w:lastColumn="0" w:oddVBand="0" w:evenVBand="0" w:oddHBand="1" w:evenHBand="0" w:firstRowFirstColumn="0" w:firstRowLastColumn="0" w:lastRowFirstColumn="0" w:lastRowLastColumn="0"/>
          <w:wAfter w:w="519" w:type="dxa"/>
          <w:trHeight w:val="511"/>
          <w:jc w:val="center"/>
        </w:trPr>
        <w:tc>
          <w:tcPr>
            <w:cnfStyle w:val="001000000000" w:firstRow="0" w:lastRow="0" w:firstColumn="1" w:lastColumn="0" w:oddVBand="0" w:evenVBand="0" w:oddHBand="0" w:evenHBand="0" w:firstRowFirstColumn="0" w:firstRowLastColumn="0" w:lastRowFirstColumn="0" w:lastRowLastColumn="0"/>
            <w:tcW w:w="1583" w:type="dxa"/>
            <w:vMerge/>
            <w:vAlign w:val="center"/>
          </w:tcPr>
          <w:p w14:paraId="47BB931F" w14:textId="77777777" w:rsidR="00665E31" w:rsidRPr="00F85073" w:rsidRDefault="00665E31" w:rsidP="00435260">
            <w:pPr>
              <w:spacing w:line="360" w:lineRule="auto"/>
              <w:rPr>
                <w:color w:val="000000" w:themeColor="text1"/>
                <w:sz w:val="20"/>
                <w:szCs w:val="22"/>
              </w:rPr>
            </w:pPr>
          </w:p>
        </w:tc>
        <w:tc>
          <w:tcPr>
            <w:tcW w:w="956" w:type="dxa"/>
          </w:tcPr>
          <w:p w14:paraId="0207F910" w14:textId="77777777" w:rsidR="00665E31" w:rsidRPr="00F85073" w:rsidRDefault="00665E31" w:rsidP="00435260">
            <w:pPr>
              <w:tabs>
                <w:tab w:val="left" w:pos="428"/>
              </w:tabs>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No</w:t>
            </w:r>
          </w:p>
        </w:tc>
        <w:tc>
          <w:tcPr>
            <w:tcW w:w="1566" w:type="dxa"/>
          </w:tcPr>
          <w:p w14:paraId="06EA9B68" w14:textId="77777777" w:rsidR="00665E31" w:rsidRPr="00F85073" w:rsidRDefault="00665E31" w:rsidP="00435260">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88 (31.1)</w:t>
            </w:r>
          </w:p>
        </w:tc>
        <w:tc>
          <w:tcPr>
            <w:tcW w:w="1566" w:type="dxa"/>
          </w:tcPr>
          <w:p w14:paraId="715887EC" w14:textId="77777777" w:rsidR="00665E31" w:rsidRPr="00F85073" w:rsidRDefault="00665E31" w:rsidP="00435260">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84 (29.7)</w:t>
            </w:r>
          </w:p>
        </w:tc>
        <w:tc>
          <w:tcPr>
            <w:tcW w:w="1566" w:type="dxa"/>
          </w:tcPr>
          <w:p w14:paraId="6C6360D5" w14:textId="77777777" w:rsidR="00665E31" w:rsidRPr="00F85073" w:rsidRDefault="00665E31" w:rsidP="00435260">
            <w:pPr>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111 (39.2)</w:t>
            </w:r>
          </w:p>
        </w:tc>
        <w:tc>
          <w:tcPr>
            <w:tcW w:w="1566" w:type="dxa"/>
            <w:gridSpan w:val="2"/>
            <w:vMerge/>
          </w:tcPr>
          <w:p w14:paraId="3B86C2E4"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p>
        </w:tc>
      </w:tr>
      <w:tr w:rsidR="00DD4515" w:rsidRPr="00F85073" w14:paraId="507BE903" w14:textId="77777777" w:rsidTr="00435260">
        <w:trPr>
          <w:gridAfter w:val="2"/>
          <w:wAfter w:w="575" w:type="dxa"/>
          <w:trHeight w:val="278"/>
          <w:jc w:val="center"/>
        </w:trPr>
        <w:tc>
          <w:tcPr>
            <w:cnfStyle w:val="001000000000" w:firstRow="0" w:lastRow="0" w:firstColumn="1" w:lastColumn="0" w:oddVBand="0" w:evenVBand="0" w:oddHBand="0" w:evenHBand="0" w:firstRowFirstColumn="0" w:firstRowLastColumn="0" w:lastRowFirstColumn="0" w:lastRowLastColumn="0"/>
            <w:tcW w:w="8747" w:type="dxa"/>
            <w:gridSpan w:val="6"/>
          </w:tcPr>
          <w:p w14:paraId="7CB1EA71" w14:textId="118BBE53" w:rsidR="00DD4515" w:rsidRPr="00F85073" w:rsidRDefault="00DD4515" w:rsidP="00644B23">
            <w:pPr>
              <w:tabs>
                <w:tab w:val="left" w:pos="428"/>
              </w:tabs>
              <w:rPr>
                <w:i/>
                <w:color w:val="222222"/>
                <w:sz w:val="20"/>
                <w:szCs w:val="20"/>
                <w:lang w:val="en-US"/>
              </w:rPr>
            </w:pPr>
            <w:r w:rsidRPr="00F85073">
              <w:rPr>
                <w:i/>
                <w:color w:val="222222"/>
                <w:sz w:val="20"/>
                <w:szCs w:val="20"/>
                <w:lang w:val="en-US"/>
              </w:rPr>
              <w:t xml:space="preserve">TUG </w:t>
            </w:r>
            <w:r w:rsidR="00644B23" w:rsidRPr="00F85073">
              <w:rPr>
                <w:i/>
                <w:color w:val="222222"/>
                <w:sz w:val="20"/>
                <w:szCs w:val="20"/>
                <w:lang w:val="en-US"/>
              </w:rPr>
              <w:t xml:space="preserve">(3 meter)                                  </w:t>
            </w:r>
            <w:r w:rsidR="00644B23" w:rsidRPr="00F85073">
              <w:rPr>
                <w:b w:val="0"/>
                <w:color w:val="222222"/>
                <w:sz w:val="20"/>
                <w:szCs w:val="20"/>
                <w:lang w:val="en-US"/>
              </w:rPr>
              <w:t>10 (7-20)              11(7-22)</w:t>
            </w:r>
            <w:r w:rsidR="00644B23" w:rsidRPr="00F85073">
              <w:rPr>
                <w:b w:val="0"/>
                <w:color w:val="222222"/>
                <w:sz w:val="20"/>
                <w:szCs w:val="20"/>
                <w:lang w:val="en-US"/>
              </w:rPr>
              <w:tab/>
              <w:t xml:space="preserve">     14(0-44)                   </w:t>
            </w:r>
            <w:r w:rsidR="00644B23" w:rsidRPr="00F85073">
              <w:rPr>
                <w:color w:val="222222"/>
                <w:sz w:val="20"/>
                <w:szCs w:val="20"/>
              </w:rPr>
              <w:t>&lt;0.001</w:t>
            </w:r>
          </w:p>
        </w:tc>
      </w:tr>
      <w:tr w:rsidR="00665E31" w:rsidRPr="00F85073" w14:paraId="065CAFE2" w14:textId="77777777" w:rsidTr="00435260">
        <w:trPr>
          <w:gridAfter w:val="2"/>
          <w:cnfStyle w:val="000000100000" w:firstRow="0" w:lastRow="0" w:firstColumn="0" w:lastColumn="0" w:oddVBand="0" w:evenVBand="0" w:oddHBand="1" w:evenHBand="0" w:firstRowFirstColumn="0" w:firstRowLastColumn="0" w:lastRowFirstColumn="0" w:lastRowLastColumn="0"/>
          <w:wAfter w:w="575" w:type="dxa"/>
          <w:trHeight w:val="278"/>
          <w:jc w:val="center"/>
        </w:trPr>
        <w:tc>
          <w:tcPr>
            <w:cnfStyle w:val="001000000000" w:firstRow="0" w:lastRow="0" w:firstColumn="1" w:lastColumn="0" w:oddVBand="0" w:evenVBand="0" w:oddHBand="0" w:evenHBand="0" w:firstRowFirstColumn="0" w:firstRowLastColumn="0" w:lastRowFirstColumn="0" w:lastRowLastColumn="0"/>
            <w:tcW w:w="8747" w:type="dxa"/>
            <w:gridSpan w:val="6"/>
          </w:tcPr>
          <w:p w14:paraId="6C3D4A6A" w14:textId="77777777" w:rsidR="00665E31" w:rsidRPr="00F85073" w:rsidRDefault="00665E31" w:rsidP="00435260">
            <w:pPr>
              <w:tabs>
                <w:tab w:val="left" w:pos="428"/>
              </w:tabs>
              <w:rPr>
                <w:i/>
                <w:color w:val="000000" w:themeColor="text1"/>
                <w:sz w:val="22"/>
                <w:szCs w:val="22"/>
              </w:rPr>
            </w:pPr>
            <w:r w:rsidRPr="00F85073">
              <w:rPr>
                <w:i/>
                <w:color w:val="222222"/>
                <w:sz w:val="22"/>
                <w:szCs w:val="22"/>
                <w:lang w:val="en-US"/>
              </w:rPr>
              <w:t>Laboratory findings</w:t>
            </w:r>
          </w:p>
        </w:tc>
      </w:tr>
      <w:tr w:rsidR="00665E31" w:rsidRPr="00F85073" w14:paraId="55DF2585" w14:textId="77777777" w:rsidTr="00435260">
        <w:trPr>
          <w:gridAfter w:val="1"/>
          <w:wAfter w:w="519" w:type="dxa"/>
          <w:trHeight w:val="278"/>
          <w:jc w:val="center"/>
        </w:trPr>
        <w:tc>
          <w:tcPr>
            <w:cnfStyle w:val="001000000000" w:firstRow="0" w:lastRow="0" w:firstColumn="1" w:lastColumn="0" w:oddVBand="0" w:evenVBand="0" w:oddHBand="0" w:evenHBand="0" w:firstRowFirstColumn="0" w:firstRowLastColumn="0" w:lastRowFirstColumn="0" w:lastRowLastColumn="0"/>
            <w:tcW w:w="1583" w:type="dxa"/>
            <w:vAlign w:val="center"/>
          </w:tcPr>
          <w:p w14:paraId="2CD42FD1" w14:textId="77777777" w:rsidR="00665E31" w:rsidRPr="00F85073" w:rsidRDefault="00665E31" w:rsidP="00435260">
            <w:pPr>
              <w:rPr>
                <w:color w:val="222222"/>
                <w:sz w:val="20"/>
                <w:szCs w:val="20"/>
                <w:lang w:val="en"/>
              </w:rPr>
            </w:pPr>
            <w:r w:rsidRPr="00F85073">
              <w:rPr>
                <w:color w:val="222222"/>
                <w:sz w:val="20"/>
                <w:szCs w:val="20"/>
                <w:lang w:val="en"/>
              </w:rPr>
              <w:t>Glucose</w:t>
            </w:r>
          </w:p>
        </w:tc>
        <w:tc>
          <w:tcPr>
            <w:tcW w:w="956" w:type="dxa"/>
            <w:vAlign w:val="center"/>
          </w:tcPr>
          <w:p w14:paraId="633B4009" w14:textId="77777777" w:rsidR="00665E31" w:rsidRPr="00F85073" w:rsidRDefault="00665E31" w:rsidP="00435260">
            <w:pPr>
              <w:tabs>
                <w:tab w:val="left" w:pos="428"/>
              </w:tabs>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mg/dL</w:t>
            </w:r>
          </w:p>
        </w:tc>
        <w:tc>
          <w:tcPr>
            <w:tcW w:w="1566" w:type="dxa"/>
          </w:tcPr>
          <w:p w14:paraId="731494AC"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120 (102-158)</w:t>
            </w:r>
          </w:p>
        </w:tc>
        <w:tc>
          <w:tcPr>
            <w:tcW w:w="1566" w:type="dxa"/>
          </w:tcPr>
          <w:p w14:paraId="779890E7"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F85073">
              <w:rPr>
                <w:color w:val="000000" w:themeColor="text1"/>
                <w:sz w:val="18"/>
                <w:szCs w:val="18"/>
              </w:rPr>
              <w:t>113 (100-138)</w:t>
            </w:r>
          </w:p>
        </w:tc>
        <w:tc>
          <w:tcPr>
            <w:tcW w:w="1566" w:type="dxa"/>
          </w:tcPr>
          <w:p w14:paraId="32FBE907"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109 (100-133)</w:t>
            </w:r>
          </w:p>
        </w:tc>
        <w:tc>
          <w:tcPr>
            <w:tcW w:w="1566" w:type="dxa"/>
            <w:gridSpan w:val="2"/>
          </w:tcPr>
          <w:p w14:paraId="052775CE"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0.153</w:t>
            </w:r>
          </w:p>
        </w:tc>
      </w:tr>
      <w:tr w:rsidR="00665E31" w:rsidRPr="00F85073" w14:paraId="74139748" w14:textId="77777777" w:rsidTr="00435260">
        <w:trPr>
          <w:gridAfter w:val="1"/>
          <w:cnfStyle w:val="000000100000" w:firstRow="0" w:lastRow="0" w:firstColumn="0" w:lastColumn="0" w:oddVBand="0" w:evenVBand="0" w:oddHBand="1" w:evenHBand="0" w:firstRowFirstColumn="0" w:firstRowLastColumn="0" w:lastRowFirstColumn="0" w:lastRowLastColumn="0"/>
          <w:wAfter w:w="519" w:type="dxa"/>
          <w:trHeight w:val="278"/>
          <w:jc w:val="center"/>
        </w:trPr>
        <w:tc>
          <w:tcPr>
            <w:cnfStyle w:val="001000000000" w:firstRow="0" w:lastRow="0" w:firstColumn="1" w:lastColumn="0" w:oddVBand="0" w:evenVBand="0" w:oddHBand="0" w:evenHBand="0" w:firstRowFirstColumn="0" w:firstRowLastColumn="0" w:lastRowFirstColumn="0" w:lastRowLastColumn="0"/>
            <w:tcW w:w="1583" w:type="dxa"/>
            <w:vAlign w:val="center"/>
          </w:tcPr>
          <w:p w14:paraId="6CAF364E" w14:textId="6A4E4F21" w:rsidR="00665E31" w:rsidRPr="00F85073" w:rsidRDefault="00665E31" w:rsidP="00435260">
            <w:pPr>
              <w:rPr>
                <w:color w:val="222222"/>
                <w:sz w:val="20"/>
                <w:szCs w:val="20"/>
                <w:lang w:val="en"/>
              </w:rPr>
            </w:pPr>
            <w:r w:rsidRPr="00F85073">
              <w:rPr>
                <w:color w:val="222222"/>
                <w:sz w:val="20"/>
                <w:szCs w:val="20"/>
              </w:rPr>
              <w:t>Hemoglobin</w:t>
            </w:r>
          </w:p>
        </w:tc>
        <w:tc>
          <w:tcPr>
            <w:tcW w:w="956" w:type="dxa"/>
            <w:vAlign w:val="center"/>
          </w:tcPr>
          <w:p w14:paraId="18C34A1F" w14:textId="77777777" w:rsidR="00665E31" w:rsidRPr="00F85073" w:rsidRDefault="00665E31" w:rsidP="00435260">
            <w:pPr>
              <w:tabs>
                <w:tab w:val="left" w:pos="428"/>
              </w:tabs>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g/dL</w:t>
            </w:r>
          </w:p>
        </w:tc>
        <w:tc>
          <w:tcPr>
            <w:tcW w:w="1566" w:type="dxa"/>
          </w:tcPr>
          <w:p w14:paraId="16FF3D70"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14.78</w:t>
            </w:r>
            <w:r w:rsidRPr="00F85073">
              <w:rPr>
                <w:color w:val="000000" w:themeColor="text1"/>
                <w:sz w:val="20"/>
                <w:szCs w:val="22"/>
              </w:rPr>
              <w:sym w:font="Symbol" w:char="F0B1"/>
            </w:r>
            <w:r w:rsidRPr="00F85073">
              <w:rPr>
                <w:color w:val="000000" w:themeColor="text1"/>
                <w:sz w:val="20"/>
                <w:szCs w:val="22"/>
              </w:rPr>
              <w:t>1.56</w:t>
            </w:r>
          </w:p>
        </w:tc>
        <w:tc>
          <w:tcPr>
            <w:tcW w:w="1566" w:type="dxa"/>
          </w:tcPr>
          <w:p w14:paraId="58E4B1AD"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13.95</w:t>
            </w:r>
            <w:r w:rsidRPr="00F85073">
              <w:rPr>
                <w:color w:val="000000" w:themeColor="text1"/>
                <w:sz w:val="20"/>
                <w:szCs w:val="22"/>
              </w:rPr>
              <w:sym w:font="Symbol" w:char="F0B1"/>
            </w:r>
            <w:r w:rsidRPr="00F85073">
              <w:rPr>
                <w:color w:val="000000" w:themeColor="text1"/>
                <w:sz w:val="20"/>
                <w:szCs w:val="22"/>
              </w:rPr>
              <w:t>1.60</w:t>
            </w:r>
          </w:p>
        </w:tc>
        <w:tc>
          <w:tcPr>
            <w:tcW w:w="1566" w:type="dxa"/>
          </w:tcPr>
          <w:p w14:paraId="58811855"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13.35</w:t>
            </w:r>
            <w:r w:rsidRPr="00F85073">
              <w:rPr>
                <w:color w:val="000000" w:themeColor="text1"/>
                <w:sz w:val="20"/>
                <w:szCs w:val="22"/>
              </w:rPr>
              <w:sym w:font="Symbol" w:char="F0B1"/>
            </w:r>
            <w:r w:rsidRPr="00F85073">
              <w:rPr>
                <w:color w:val="000000" w:themeColor="text1"/>
                <w:sz w:val="20"/>
                <w:szCs w:val="22"/>
              </w:rPr>
              <w:t>1.56</w:t>
            </w:r>
          </w:p>
        </w:tc>
        <w:tc>
          <w:tcPr>
            <w:tcW w:w="1566" w:type="dxa"/>
            <w:gridSpan w:val="2"/>
          </w:tcPr>
          <w:p w14:paraId="6B8F5097"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sz w:val="20"/>
                <w:szCs w:val="22"/>
              </w:rPr>
            </w:pPr>
            <w:r w:rsidRPr="00F85073">
              <w:rPr>
                <w:b/>
                <w:bCs/>
                <w:color w:val="000000" w:themeColor="text1"/>
                <w:sz w:val="20"/>
                <w:szCs w:val="22"/>
              </w:rPr>
              <w:t>&lt;0.001</w:t>
            </w:r>
          </w:p>
        </w:tc>
      </w:tr>
      <w:tr w:rsidR="00665E31" w:rsidRPr="00F85073" w14:paraId="481BFA26" w14:textId="77777777" w:rsidTr="00435260">
        <w:trPr>
          <w:gridAfter w:val="1"/>
          <w:wAfter w:w="519" w:type="dxa"/>
          <w:trHeight w:val="278"/>
          <w:jc w:val="center"/>
        </w:trPr>
        <w:tc>
          <w:tcPr>
            <w:cnfStyle w:val="001000000000" w:firstRow="0" w:lastRow="0" w:firstColumn="1" w:lastColumn="0" w:oddVBand="0" w:evenVBand="0" w:oddHBand="0" w:evenHBand="0" w:firstRowFirstColumn="0" w:firstRowLastColumn="0" w:lastRowFirstColumn="0" w:lastRowLastColumn="0"/>
            <w:tcW w:w="1583" w:type="dxa"/>
            <w:vAlign w:val="center"/>
          </w:tcPr>
          <w:p w14:paraId="2E9F8AAF" w14:textId="77777777" w:rsidR="00665E31" w:rsidRPr="00F85073" w:rsidRDefault="00665E31" w:rsidP="00435260">
            <w:pPr>
              <w:rPr>
                <w:color w:val="222222"/>
                <w:sz w:val="20"/>
                <w:szCs w:val="20"/>
                <w:lang w:val="en"/>
              </w:rPr>
            </w:pPr>
            <w:r w:rsidRPr="00F85073">
              <w:rPr>
                <w:color w:val="222222"/>
                <w:sz w:val="20"/>
                <w:szCs w:val="20"/>
                <w:lang w:val="en"/>
              </w:rPr>
              <w:t>TSH</w:t>
            </w:r>
          </w:p>
        </w:tc>
        <w:tc>
          <w:tcPr>
            <w:tcW w:w="956" w:type="dxa"/>
            <w:vAlign w:val="center"/>
          </w:tcPr>
          <w:p w14:paraId="39983A36" w14:textId="77777777" w:rsidR="00665E31" w:rsidRPr="00F85073" w:rsidRDefault="00665E31" w:rsidP="00435260">
            <w:pPr>
              <w:tabs>
                <w:tab w:val="left" w:pos="428"/>
              </w:tabs>
              <w:spacing w:line="360"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mg/dL</w:t>
            </w:r>
          </w:p>
        </w:tc>
        <w:tc>
          <w:tcPr>
            <w:tcW w:w="1566" w:type="dxa"/>
          </w:tcPr>
          <w:p w14:paraId="1FFDECE8"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F85073">
              <w:rPr>
                <w:color w:val="000000" w:themeColor="text1"/>
                <w:sz w:val="18"/>
                <w:szCs w:val="18"/>
              </w:rPr>
              <w:t>1.26 (0.80-2.28)</w:t>
            </w:r>
          </w:p>
        </w:tc>
        <w:tc>
          <w:tcPr>
            <w:tcW w:w="1566" w:type="dxa"/>
          </w:tcPr>
          <w:p w14:paraId="6B76381A" w14:textId="77777777" w:rsidR="00665E31" w:rsidRPr="00F85073" w:rsidRDefault="00665E31" w:rsidP="00435260">
            <w:pPr>
              <w:spacing w:line="360" w:lineRule="auto"/>
              <w:cnfStyle w:val="000000000000" w:firstRow="0" w:lastRow="0" w:firstColumn="0" w:lastColumn="0" w:oddVBand="0" w:evenVBand="0" w:oddHBand="0" w:evenHBand="0" w:firstRowFirstColumn="0" w:firstRowLastColumn="0" w:lastRowFirstColumn="0" w:lastRowLastColumn="0"/>
              <w:rPr>
                <w:color w:val="000000" w:themeColor="text1"/>
                <w:sz w:val="18"/>
                <w:szCs w:val="18"/>
              </w:rPr>
            </w:pPr>
            <w:r w:rsidRPr="00F85073">
              <w:rPr>
                <w:color w:val="000000" w:themeColor="text1"/>
                <w:sz w:val="18"/>
                <w:szCs w:val="18"/>
              </w:rPr>
              <w:t>1.06 (0.69-1.89)</w:t>
            </w:r>
          </w:p>
        </w:tc>
        <w:tc>
          <w:tcPr>
            <w:tcW w:w="1566" w:type="dxa"/>
          </w:tcPr>
          <w:p w14:paraId="315323A6"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1.16(0.69-1.86)</w:t>
            </w:r>
          </w:p>
        </w:tc>
        <w:tc>
          <w:tcPr>
            <w:tcW w:w="1566" w:type="dxa"/>
            <w:gridSpan w:val="2"/>
          </w:tcPr>
          <w:p w14:paraId="5D8B67DA"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0.516</w:t>
            </w:r>
          </w:p>
        </w:tc>
      </w:tr>
      <w:tr w:rsidR="00665E31" w:rsidRPr="00F85073" w14:paraId="43E35829" w14:textId="77777777" w:rsidTr="00435260">
        <w:trPr>
          <w:gridAfter w:val="1"/>
          <w:cnfStyle w:val="000000100000" w:firstRow="0" w:lastRow="0" w:firstColumn="0" w:lastColumn="0" w:oddVBand="0" w:evenVBand="0" w:oddHBand="1" w:evenHBand="0" w:firstRowFirstColumn="0" w:firstRowLastColumn="0" w:lastRowFirstColumn="0" w:lastRowLastColumn="0"/>
          <w:wAfter w:w="519" w:type="dxa"/>
          <w:trHeight w:val="278"/>
          <w:jc w:val="center"/>
        </w:trPr>
        <w:tc>
          <w:tcPr>
            <w:cnfStyle w:val="001000000000" w:firstRow="0" w:lastRow="0" w:firstColumn="1" w:lastColumn="0" w:oddVBand="0" w:evenVBand="0" w:oddHBand="0" w:evenHBand="0" w:firstRowFirstColumn="0" w:firstRowLastColumn="0" w:lastRowFirstColumn="0" w:lastRowLastColumn="0"/>
            <w:tcW w:w="1583" w:type="dxa"/>
            <w:vMerge w:val="restart"/>
            <w:vAlign w:val="center"/>
          </w:tcPr>
          <w:p w14:paraId="7458697B" w14:textId="77777777" w:rsidR="00665E31" w:rsidRPr="00F85073" w:rsidRDefault="00665E31" w:rsidP="00435260">
            <w:pPr>
              <w:rPr>
                <w:b w:val="0"/>
                <w:bCs w:val="0"/>
                <w:color w:val="222222"/>
                <w:sz w:val="20"/>
                <w:szCs w:val="20"/>
                <w:lang w:val="en"/>
              </w:rPr>
            </w:pPr>
            <w:r w:rsidRPr="00F85073">
              <w:rPr>
                <w:color w:val="222222"/>
                <w:sz w:val="20"/>
                <w:szCs w:val="20"/>
                <w:lang w:val="en"/>
              </w:rPr>
              <w:t xml:space="preserve">Deficiency of </w:t>
            </w:r>
          </w:p>
          <w:p w14:paraId="7ED3802D" w14:textId="77777777" w:rsidR="00665E31" w:rsidRPr="00F85073" w:rsidRDefault="00665E31" w:rsidP="00435260">
            <w:pPr>
              <w:rPr>
                <w:color w:val="222222"/>
                <w:sz w:val="20"/>
                <w:szCs w:val="20"/>
                <w:lang w:val="en"/>
              </w:rPr>
            </w:pPr>
            <w:r w:rsidRPr="00F85073">
              <w:rPr>
                <w:color w:val="222222"/>
                <w:sz w:val="20"/>
                <w:szCs w:val="20"/>
                <w:lang w:val="en"/>
              </w:rPr>
              <w:t>Vitamin D</w:t>
            </w:r>
          </w:p>
        </w:tc>
        <w:tc>
          <w:tcPr>
            <w:tcW w:w="956" w:type="dxa"/>
            <w:vAlign w:val="center"/>
          </w:tcPr>
          <w:p w14:paraId="12E93F27" w14:textId="77777777" w:rsidR="00665E31" w:rsidRPr="00F85073" w:rsidRDefault="00665E31" w:rsidP="00435260">
            <w:pPr>
              <w:tabs>
                <w:tab w:val="left" w:pos="428"/>
              </w:tabs>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Yes</w:t>
            </w:r>
          </w:p>
        </w:tc>
        <w:tc>
          <w:tcPr>
            <w:tcW w:w="1566" w:type="dxa"/>
          </w:tcPr>
          <w:p w14:paraId="192877F0"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71 (28.6)</w:t>
            </w:r>
          </w:p>
        </w:tc>
        <w:tc>
          <w:tcPr>
            <w:tcW w:w="1566" w:type="dxa"/>
          </w:tcPr>
          <w:p w14:paraId="408DF194"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77 (31)</w:t>
            </w:r>
          </w:p>
        </w:tc>
        <w:tc>
          <w:tcPr>
            <w:tcW w:w="1566" w:type="dxa"/>
          </w:tcPr>
          <w:p w14:paraId="207987DE"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100 (40.3)</w:t>
            </w:r>
          </w:p>
        </w:tc>
        <w:tc>
          <w:tcPr>
            <w:tcW w:w="1566" w:type="dxa"/>
            <w:gridSpan w:val="2"/>
            <w:vMerge w:val="restart"/>
          </w:tcPr>
          <w:p w14:paraId="715E25F7"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0.308</w:t>
            </w:r>
          </w:p>
        </w:tc>
      </w:tr>
      <w:tr w:rsidR="00665E31" w:rsidRPr="00F85073" w14:paraId="3EBFE3B2" w14:textId="77777777" w:rsidTr="00435260">
        <w:trPr>
          <w:gridAfter w:val="1"/>
          <w:wAfter w:w="519" w:type="dxa"/>
          <w:trHeight w:val="278"/>
          <w:jc w:val="center"/>
        </w:trPr>
        <w:tc>
          <w:tcPr>
            <w:cnfStyle w:val="001000000000" w:firstRow="0" w:lastRow="0" w:firstColumn="1" w:lastColumn="0" w:oddVBand="0" w:evenVBand="0" w:oddHBand="0" w:evenHBand="0" w:firstRowFirstColumn="0" w:firstRowLastColumn="0" w:lastRowFirstColumn="0" w:lastRowLastColumn="0"/>
            <w:tcW w:w="1583" w:type="dxa"/>
            <w:vMerge/>
            <w:vAlign w:val="center"/>
          </w:tcPr>
          <w:p w14:paraId="03B9F83C" w14:textId="77777777" w:rsidR="00665E31" w:rsidRPr="00F85073" w:rsidRDefault="00665E31" w:rsidP="00435260">
            <w:pPr>
              <w:rPr>
                <w:color w:val="222222"/>
                <w:sz w:val="20"/>
                <w:szCs w:val="20"/>
                <w:lang w:val="en"/>
              </w:rPr>
            </w:pPr>
          </w:p>
        </w:tc>
        <w:tc>
          <w:tcPr>
            <w:tcW w:w="956" w:type="dxa"/>
            <w:vAlign w:val="center"/>
          </w:tcPr>
          <w:p w14:paraId="1074D963" w14:textId="77777777" w:rsidR="00665E31" w:rsidRPr="00F85073" w:rsidRDefault="00665E31" w:rsidP="00435260">
            <w:pPr>
              <w:tabs>
                <w:tab w:val="left" w:pos="428"/>
              </w:tabs>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No</w:t>
            </w:r>
          </w:p>
        </w:tc>
        <w:tc>
          <w:tcPr>
            <w:tcW w:w="1566" w:type="dxa"/>
          </w:tcPr>
          <w:p w14:paraId="6DC4584B"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25 (37.8)</w:t>
            </w:r>
          </w:p>
        </w:tc>
        <w:tc>
          <w:tcPr>
            <w:tcW w:w="1566" w:type="dxa"/>
          </w:tcPr>
          <w:p w14:paraId="207C3154"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16 (24.2)</w:t>
            </w:r>
          </w:p>
        </w:tc>
        <w:tc>
          <w:tcPr>
            <w:tcW w:w="1566" w:type="dxa"/>
          </w:tcPr>
          <w:p w14:paraId="577D3590"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25 (37.9)</w:t>
            </w:r>
          </w:p>
        </w:tc>
        <w:tc>
          <w:tcPr>
            <w:tcW w:w="1566" w:type="dxa"/>
            <w:gridSpan w:val="2"/>
            <w:vMerge/>
          </w:tcPr>
          <w:p w14:paraId="797CAB2D"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p>
        </w:tc>
      </w:tr>
      <w:tr w:rsidR="00665E31" w:rsidRPr="00F85073" w14:paraId="20CE647D" w14:textId="77777777" w:rsidTr="00435260">
        <w:trPr>
          <w:cnfStyle w:val="000000100000" w:firstRow="0" w:lastRow="0" w:firstColumn="0" w:lastColumn="0" w:oddVBand="0" w:evenVBand="0" w:oddHBand="1" w:evenHBand="0" w:firstRowFirstColumn="0" w:firstRowLastColumn="0" w:lastRowFirstColumn="0" w:lastRowLastColumn="0"/>
          <w:trHeight w:val="382"/>
          <w:jc w:val="center"/>
        </w:trPr>
        <w:tc>
          <w:tcPr>
            <w:cnfStyle w:val="001000000000" w:firstRow="0" w:lastRow="0" w:firstColumn="1" w:lastColumn="0" w:oddVBand="0" w:evenVBand="0" w:oddHBand="0" w:evenHBand="0" w:firstRowFirstColumn="0" w:firstRowLastColumn="0" w:lastRowFirstColumn="0" w:lastRowLastColumn="0"/>
            <w:tcW w:w="9322" w:type="dxa"/>
            <w:gridSpan w:val="8"/>
            <w:vAlign w:val="center"/>
          </w:tcPr>
          <w:p w14:paraId="628EF15D" w14:textId="77777777" w:rsidR="00665E31" w:rsidRPr="00F85073" w:rsidRDefault="00665E31" w:rsidP="00435260">
            <w:pPr>
              <w:tabs>
                <w:tab w:val="left" w:pos="428"/>
              </w:tabs>
              <w:spacing w:line="360" w:lineRule="auto"/>
              <w:rPr>
                <w:bCs w:val="0"/>
                <w:i/>
                <w:color w:val="000000" w:themeColor="text1"/>
                <w:sz w:val="22"/>
                <w:szCs w:val="22"/>
              </w:rPr>
            </w:pPr>
            <w:r w:rsidRPr="00F85073">
              <w:rPr>
                <w:i/>
                <w:color w:val="222222"/>
                <w:sz w:val="22"/>
                <w:szCs w:val="22"/>
                <w:lang w:val="en"/>
              </w:rPr>
              <w:t>Orthostatic Blood Pressure Changes</w:t>
            </w:r>
          </w:p>
        </w:tc>
      </w:tr>
      <w:tr w:rsidR="00665E31" w:rsidRPr="00F85073" w14:paraId="41A84FB9" w14:textId="77777777" w:rsidTr="00435260">
        <w:trPr>
          <w:gridAfter w:val="1"/>
          <w:wAfter w:w="519" w:type="dxa"/>
          <w:trHeight w:val="382"/>
          <w:jc w:val="center"/>
        </w:trPr>
        <w:tc>
          <w:tcPr>
            <w:cnfStyle w:val="001000000000" w:firstRow="0" w:lastRow="0" w:firstColumn="1" w:lastColumn="0" w:oddVBand="0" w:evenVBand="0" w:oddHBand="0" w:evenHBand="0" w:firstRowFirstColumn="0" w:firstRowLastColumn="0" w:lastRowFirstColumn="0" w:lastRowLastColumn="0"/>
            <w:tcW w:w="1583" w:type="dxa"/>
            <w:vMerge w:val="restart"/>
            <w:vAlign w:val="center"/>
          </w:tcPr>
          <w:p w14:paraId="28F1D1E0" w14:textId="77777777" w:rsidR="00665E31" w:rsidRPr="00F85073" w:rsidRDefault="00665E31" w:rsidP="00435260">
            <w:pPr>
              <w:pStyle w:val="HTMLPreformatted"/>
              <w:rPr>
                <w:rFonts w:ascii="Times New Roman" w:hAnsi="Times New Roman" w:cs="Times New Roman"/>
                <w:b w:val="0"/>
                <w:bCs w:val="0"/>
                <w:color w:val="222222"/>
                <w:lang w:val="en"/>
              </w:rPr>
            </w:pPr>
            <w:r w:rsidRPr="00F85073">
              <w:rPr>
                <w:rFonts w:ascii="Times New Roman" w:hAnsi="Times New Roman" w:cs="Times New Roman"/>
                <w:color w:val="222222"/>
                <w:lang w:val="en"/>
              </w:rPr>
              <w:lastRenderedPageBreak/>
              <w:t>Systolic OH</w:t>
            </w:r>
          </w:p>
          <w:p w14:paraId="600D3645" w14:textId="77777777" w:rsidR="00665E31" w:rsidRPr="00F85073" w:rsidRDefault="00665E31" w:rsidP="00435260">
            <w:pPr>
              <w:pStyle w:val="HTMLPreformatted"/>
              <w:rPr>
                <w:rFonts w:ascii="Times New Roman" w:hAnsi="Times New Roman" w:cs="Times New Roman"/>
                <w:color w:val="222222"/>
              </w:rPr>
            </w:pPr>
            <w:r w:rsidRPr="00F85073">
              <w:rPr>
                <w:rFonts w:ascii="Times New Roman" w:hAnsi="Times New Roman" w:cs="Times New Roman"/>
                <w:color w:val="222222"/>
                <w:lang w:val="en"/>
              </w:rPr>
              <w:t>(first minute)</w:t>
            </w:r>
          </w:p>
        </w:tc>
        <w:tc>
          <w:tcPr>
            <w:tcW w:w="956" w:type="dxa"/>
            <w:vAlign w:val="center"/>
          </w:tcPr>
          <w:p w14:paraId="75E7E23C" w14:textId="77777777" w:rsidR="00665E31" w:rsidRPr="00F85073" w:rsidRDefault="00665E31" w:rsidP="00435260">
            <w:pPr>
              <w:tabs>
                <w:tab w:val="left" w:pos="428"/>
              </w:tabs>
              <w:spacing w:line="360"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Yes</w:t>
            </w:r>
          </w:p>
        </w:tc>
        <w:tc>
          <w:tcPr>
            <w:tcW w:w="1566" w:type="dxa"/>
            <w:vAlign w:val="center"/>
          </w:tcPr>
          <w:p w14:paraId="5BDF0A96"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2 (7.1)</w:t>
            </w:r>
          </w:p>
        </w:tc>
        <w:tc>
          <w:tcPr>
            <w:tcW w:w="1566" w:type="dxa"/>
            <w:vAlign w:val="center"/>
          </w:tcPr>
          <w:p w14:paraId="16A600D3"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10 (35.7)</w:t>
            </w:r>
          </w:p>
        </w:tc>
        <w:tc>
          <w:tcPr>
            <w:tcW w:w="1566" w:type="dxa"/>
          </w:tcPr>
          <w:p w14:paraId="797A5A71"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16 (57.1)</w:t>
            </w:r>
          </w:p>
        </w:tc>
        <w:tc>
          <w:tcPr>
            <w:tcW w:w="1566" w:type="dxa"/>
            <w:gridSpan w:val="2"/>
            <w:vAlign w:val="center"/>
          </w:tcPr>
          <w:p w14:paraId="65EC9F4E"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sz w:val="20"/>
                <w:szCs w:val="22"/>
              </w:rPr>
            </w:pPr>
            <w:r w:rsidRPr="00F85073">
              <w:rPr>
                <w:b/>
                <w:bCs/>
                <w:color w:val="000000" w:themeColor="text1"/>
                <w:sz w:val="20"/>
                <w:szCs w:val="22"/>
              </w:rPr>
              <w:t>0.016</w:t>
            </w:r>
          </w:p>
        </w:tc>
      </w:tr>
      <w:tr w:rsidR="00665E31" w:rsidRPr="00F85073" w14:paraId="76C533D9" w14:textId="77777777" w:rsidTr="00435260">
        <w:trPr>
          <w:gridAfter w:val="1"/>
          <w:cnfStyle w:val="000000100000" w:firstRow="0" w:lastRow="0" w:firstColumn="0" w:lastColumn="0" w:oddVBand="0" w:evenVBand="0" w:oddHBand="1" w:evenHBand="0" w:firstRowFirstColumn="0" w:firstRowLastColumn="0" w:lastRowFirstColumn="0" w:lastRowLastColumn="0"/>
          <w:wAfter w:w="519" w:type="dxa"/>
          <w:trHeight w:val="339"/>
          <w:jc w:val="center"/>
        </w:trPr>
        <w:tc>
          <w:tcPr>
            <w:cnfStyle w:val="001000000000" w:firstRow="0" w:lastRow="0" w:firstColumn="1" w:lastColumn="0" w:oddVBand="0" w:evenVBand="0" w:oddHBand="0" w:evenHBand="0" w:firstRowFirstColumn="0" w:firstRowLastColumn="0" w:lastRowFirstColumn="0" w:lastRowLastColumn="0"/>
            <w:tcW w:w="1583" w:type="dxa"/>
            <w:vMerge/>
          </w:tcPr>
          <w:p w14:paraId="7107449F" w14:textId="77777777" w:rsidR="00665E31" w:rsidRPr="00F85073" w:rsidRDefault="00665E31" w:rsidP="00435260">
            <w:pPr>
              <w:spacing w:line="360" w:lineRule="auto"/>
              <w:jc w:val="both"/>
              <w:rPr>
                <w:color w:val="000000" w:themeColor="text1"/>
                <w:sz w:val="20"/>
                <w:szCs w:val="22"/>
              </w:rPr>
            </w:pPr>
          </w:p>
        </w:tc>
        <w:tc>
          <w:tcPr>
            <w:tcW w:w="956" w:type="dxa"/>
            <w:vAlign w:val="center"/>
          </w:tcPr>
          <w:p w14:paraId="3EE06E7D" w14:textId="77777777" w:rsidR="00665E31" w:rsidRPr="00F85073" w:rsidRDefault="00665E31" w:rsidP="00435260">
            <w:pPr>
              <w:tabs>
                <w:tab w:val="left" w:pos="428"/>
              </w:tabs>
              <w:spacing w:line="360" w:lineRule="auto"/>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No</w:t>
            </w:r>
          </w:p>
        </w:tc>
        <w:tc>
          <w:tcPr>
            <w:tcW w:w="1566" w:type="dxa"/>
            <w:vAlign w:val="center"/>
          </w:tcPr>
          <w:p w14:paraId="42FB8C73"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94 (32.8)</w:t>
            </w:r>
          </w:p>
        </w:tc>
        <w:tc>
          <w:tcPr>
            <w:tcW w:w="1566" w:type="dxa"/>
            <w:vAlign w:val="center"/>
          </w:tcPr>
          <w:p w14:paraId="4747E5DA"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83 (29)</w:t>
            </w:r>
          </w:p>
        </w:tc>
        <w:tc>
          <w:tcPr>
            <w:tcW w:w="1566" w:type="dxa"/>
          </w:tcPr>
          <w:p w14:paraId="2C49C060"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109 (38.1)</w:t>
            </w:r>
          </w:p>
        </w:tc>
        <w:tc>
          <w:tcPr>
            <w:tcW w:w="1566" w:type="dxa"/>
            <w:gridSpan w:val="2"/>
          </w:tcPr>
          <w:p w14:paraId="2465F719"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p>
        </w:tc>
      </w:tr>
      <w:tr w:rsidR="00665E31" w:rsidRPr="00F85073" w14:paraId="1AD8FAB0" w14:textId="77777777" w:rsidTr="00435260">
        <w:trPr>
          <w:gridAfter w:val="1"/>
          <w:wAfter w:w="519" w:type="dxa"/>
          <w:trHeight w:val="339"/>
          <w:jc w:val="center"/>
        </w:trPr>
        <w:tc>
          <w:tcPr>
            <w:cnfStyle w:val="001000000000" w:firstRow="0" w:lastRow="0" w:firstColumn="1" w:lastColumn="0" w:oddVBand="0" w:evenVBand="0" w:oddHBand="0" w:evenHBand="0" w:firstRowFirstColumn="0" w:firstRowLastColumn="0" w:lastRowFirstColumn="0" w:lastRowLastColumn="0"/>
            <w:tcW w:w="1583" w:type="dxa"/>
            <w:vMerge w:val="restart"/>
            <w:vAlign w:val="center"/>
          </w:tcPr>
          <w:p w14:paraId="06630DC3" w14:textId="77777777" w:rsidR="00665E31" w:rsidRPr="00F85073" w:rsidRDefault="00665E31" w:rsidP="00435260">
            <w:pPr>
              <w:pStyle w:val="HTMLPreformatted"/>
              <w:rPr>
                <w:rFonts w:ascii="Times New Roman" w:hAnsi="Times New Roman" w:cs="Times New Roman"/>
                <w:b w:val="0"/>
                <w:bCs w:val="0"/>
                <w:color w:val="222222"/>
                <w:lang w:val="en"/>
              </w:rPr>
            </w:pPr>
            <w:r w:rsidRPr="00F85073">
              <w:rPr>
                <w:rFonts w:ascii="Times New Roman" w:hAnsi="Times New Roman" w:cs="Times New Roman"/>
                <w:color w:val="222222"/>
                <w:lang w:val="en"/>
              </w:rPr>
              <w:t xml:space="preserve">Diastolic OH </w:t>
            </w:r>
          </w:p>
          <w:p w14:paraId="2113A41E" w14:textId="77777777" w:rsidR="00665E31" w:rsidRPr="00F85073" w:rsidRDefault="00665E31" w:rsidP="00435260">
            <w:pPr>
              <w:pStyle w:val="HTMLPreformatted"/>
              <w:rPr>
                <w:rFonts w:ascii="Times New Roman" w:hAnsi="Times New Roman" w:cs="Times New Roman"/>
                <w:color w:val="222222"/>
              </w:rPr>
            </w:pPr>
            <w:r w:rsidRPr="00F85073">
              <w:rPr>
                <w:rFonts w:ascii="Times New Roman" w:hAnsi="Times New Roman" w:cs="Times New Roman"/>
                <w:color w:val="222222"/>
                <w:lang w:val="en"/>
              </w:rPr>
              <w:t>(first minute)</w:t>
            </w:r>
          </w:p>
        </w:tc>
        <w:tc>
          <w:tcPr>
            <w:tcW w:w="956" w:type="dxa"/>
            <w:vAlign w:val="center"/>
          </w:tcPr>
          <w:p w14:paraId="098BE82C" w14:textId="77777777" w:rsidR="00665E31" w:rsidRPr="00F85073" w:rsidRDefault="00665E31" w:rsidP="00435260">
            <w:pPr>
              <w:tabs>
                <w:tab w:val="left" w:pos="428"/>
              </w:tabs>
              <w:spacing w:line="360"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Yes</w:t>
            </w:r>
          </w:p>
        </w:tc>
        <w:tc>
          <w:tcPr>
            <w:tcW w:w="1566" w:type="dxa"/>
            <w:vAlign w:val="center"/>
          </w:tcPr>
          <w:p w14:paraId="57568838"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8 (20)</w:t>
            </w:r>
          </w:p>
        </w:tc>
        <w:tc>
          <w:tcPr>
            <w:tcW w:w="1566" w:type="dxa"/>
            <w:vAlign w:val="center"/>
          </w:tcPr>
          <w:p w14:paraId="2DB4BAF0"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13 (32.5)</w:t>
            </w:r>
          </w:p>
        </w:tc>
        <w:tc>
          <w:tcPr>
            <w:tcW w:w="1566" w:type="dxa"/>
          </w:tcPr>
          <w:p w14:paraId="097466ED"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19 (47.5)</w:t>
            </w:r>
          </w:p>
        </w:tc>
        <w:tc>
          <w:tcPr>
            <w:tcW w:w="1566" w:type="dxa"/>
            <w:gridSpan w:val="2"/>
            <w:vMerge w:val="restart"/>
            <w:vAlign w:val="center"/>
          </w:tcPr>
          <w:p w14:paraId="519D4E7D"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0.289</w:t>
            </w:r>
          </w:p>
        </w:tc>
      </w:tr>
      <w:tr w:rsidR="00665E31" w:rsidRPr="00F85073" w14:paraId="44F15FE4" w14:textId="77777777" w:rsidTr="00435260">
        <w:trPr>
          <w:gridAfter w:val="1"/>
          <w:cnfStyle w:val="000000100000" w:firstRow="0" w:lastRow="0" w:firstColumn="0" w:lastColumn="0" w:oddVBand="0" w:evenVBand="0" w:oddHBand="1" w:evenHBand="0" w:firstRowFirstColumn="0" w:firstRowLastColumn="0" w:lastRowFirstColumn="0" w:lastRowLastColumn="0"/>
          <w:wAfter w:w="519" w:type="dxa"/>
          <w:trHeight w:val="339"/>
          <w:jc w:val="center"/>
        </w:trPr>
        <w:tc>
          <w:tcPr>
            <w:cnfStyle w:val="001000000000" w:firstRow="0" w:lastRow="0" w:firstColumn="1" w:lastColumn="0" w:oddVBand="0" w:evenVBand="0" w:oddHBand="0" w:evenHBand="0" w:firstRowFirstColumn="0" w:firstRowLastColumn="0" w:lastRowFirstColumn="0" w:lastRowLastColumn="0"/>
            <w:tcW w:w="1583" w:type="dxa"/>
            <w:vMerge/>
            <w:vAlign w:val="center"/>
          </w:tcPr>
          <w:p w14:paraId="1115ED49" w14:textId="77777777" w:rsidR="00665E31" w:rsidRPr="00F85073" w:rsidRDefault="00665E31" w:rsidP="00435260">
            <w:pPr>
              <w:pStyle w:val="HTMLPreformatted"/>
              <w:rPr>
                <w:rFonts w:ascii="Times New Roman" w:hAnsi="Times New Roman" w:cs="Times New Roman"/>
                <w:color w:val="222222"/>
                <w:lang w:val="en"/>
              </w:rPr>
            </w:pPr>
          </w:p>
        </w:tc>
        <w:tc>
          <w:tcPr>
            <w:tcW w:w="956" w:type="dxa"/>
            <w:vAlign w:val="center"/>
          </w:tcPr>
          <w:p w14:paraId="113CB79B" w14:textId="77777777" w:rsidR="00665E31" w:rsidRPr="00F85073" w:rsidRDefault="00665E31" w:rsidP="00435260">
            <w:pPr>
              <w:tabs>
                <w:tab w:val="left" w:pos="428"/>
              </w:tabs>
              <w:spacing w:line="360" w:lineRule="auto"/>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No</w:t>
            </w:r>
          </w:p>
        </w:tc>
        <w:tc>
          <w:tcPr>
            <w:tcW w:w="1566" w:type="dxa"/>
            <w:vAlign w:val="center"/>
          </w:tcPr>
          <w:p w14:paraId="615C5D9E"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88 (32.1)</w:t>
            </w:r>
          </w:p>
        </w:tc>
        <w:tc>
          <w:tcPr>
            <w:tcW w:w="1566" w:type="dxa"/>
            <w:vAlign w:val="center"/>
          </w:tcPr>
          <w:p w14:paraId="2F806BF6"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80 (29.2)</w:t>
            </w:r>
          </w:p>
        </w:tc>
        <w:tc>
          <w:tcPr>
            <w:tcW w:w="1566" w:type="dxa"/>
          </w:tcPr>
          <w:p w14:paraId="6CBA95FB"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106 (38.7)</w:t>
            </w:r>
          </w:p>
        </w:tc>
        <w:tc>
          <w:tcPr>
            <w:tcW w:w="1566" w:type="dxa"/>
            <w:gridSpan w:val="2"/>
            <w:vMerge/>
          </w:tcPr>
          <w:p w14:paraId="4D18A150"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p>
        </w:tc>
      </w:tr>
      <w:tr w:rsidR="00665E31" w:rsidRPr="00F85073" w14:paraId="0F605344" w14:textId="77777777" w:rsidTr="00435260">
        <w:trPr>
          <w:gridAfter w:val="1"/>
          <w:wAfter w:w="519" w:type="dxa"/>
          <w:trHeight w:val="339"/>
          <w:jc w:val="center"/>
        </w:trPr>
        <w:tc>
          <w:tcPr>
            <w:cnfStyle w:val="001000000000" w:firstRow="0" w:lastRow="0" w:firstColumn="1" w:lastColumn="0" w:oddVBand="0" w:evenVBand="0" w:oddHBand="0" w:evenHBand="0" w:firstRowFirstColumn="0" w:firstRowLastColumn="0" w:lastRowFirstColumn="0" w:lastRowLastColumn="0"/>
            <w:tcW w:w="1583" w:type="dxa"/>
            <w:vMerge w:val="restart"/>
            <w:vAlign w:val="center"/>
          </w:tcPr>
          <w:p w14:paraId="7AF881E5" w14:textId="77777777" w:rsidR="00665E31" w:rsidRPr="00F85073" w:rsidRDefault="00665E31" w:rsidP="00435260">
            <w:pPr>
              <w:pStyle w:val="HTMLPreformatted"/>
              <w:rPr>
                <w:rFonts w:ascii="Times New Roman" w:hAnsi="Times New Roman" w:cs="Times New Roman"/>
                <w:b w:val="0"/>
                <w:bCs w:val="0"/>
                <w:color w:val="222222"/>
                <w:lang w:val="en"/>
              </w:rPr>
            </w:pPr>
            <w:r w:rsidRPr="00F85073">
              <w:rPr>
                <w:rFonts w:ascii="Times New Roman" w:hAnsi="Times New Roman" w:cs="Times New Roman"/>
                <w:color w:val="222222"/>
                <w:lang w:val="en"/>
              </w:rPr>
              <w:t>OH</w:t>
            </w:r>
          </w:p>
          <w:p w14:paraId="2A9C26C1" w14:textId="77777777" w:rsidR="00665E31" w:rsidRPr="00F85073" w:rsidRDefault="00665E31" w:rsidP="00435260">
            <w:pPr>
              <w:pStyle w:val="HTMLPreformatted"/>
              <w:rPr>
                <w:rFonts w:ascii="Times New Roman" w:hAnsi="Times New Roman" w:cs="Times New Roman"/>
                <w:color w:val="222222"/>
                <w:lang w:val="en"/>
              </w:rPr>
            </w:pPr>
            <w:r w:rsidRPr="00F85073">
              <w:rPr>
                <w:rFonts w:ascii="Times New Roman" w:hAnsi="Times New Roman" w:cs="Times New Roman"/>
                <w:color w:val="222222"/>
                <w:lang w:val="en"/>
              </w:rPr>
              <w:t>(first minute)</w:t>
            </w:r>
          </w:p>
        </w:tc>
        <w:tc>
          <w:tcPr>
            <w:tcW w:w="956" w:type="dxa"/>
            <w:vAlign w:val="center"/>
          </w:tcPr>
          <w:p w14:paraId="438777A1" w14:textId="77777777" w:rsidR="00665E31" w:rsidRPr="00F85073" w:rsidRDefault="00665E31" w:rsidP="00435260">
            <w:pPr>
              <w:tabs>
                <w:tab w:val="left" w:pos="428"/>
              </w:tabs>
              <w:spacing w:line="360"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Yes</w:t>
            </w:r>
          </w:p>
        </w:tc>
        <w:tc>
          <w:tcPr>
            <w:tcW w:w="1566" w:type="dxa"/>
            <w:vAlign w:val="center"/>
          </w:tcPr>
          <w:p w14:paraId="3F053A33"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9 (14)</w:t>
            </w:r>
          </w:p>
        </w:tc>
        <w:tc>
          <w:tcPr>
            <w:tcW w:w="1566" w:type="dxa"/>
            <w:vAlign w:val="center"/>
          </w:tcPr>
          <w:p w14:paraId="469680C8"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20 (31.3)</w:t>
            </w:r>
          </w:p>
        </w:tc>
        <w:tc>
          <w:tcPr>
            <w:tcW w:w="1566" w:type="dxa"/>
          </w:tcPr>
          <w:p w14:paraId="16D752B9"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35 (54.7)</w:t>
            </w:r>
          </w:p>
        </w:tc>
        <w:tc>
          <w:tcPr>
            <w:tcW w:w="1566" w:type="dxa"/>
            <w:gridSpan w:val="2"/>
            <w:vMerge w:val="restart"/>
            <w:vAlign w:val="center"/>
          </w:tcPr>
          <w:p w14:paraId="5D8D436B"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sz w:val="20"/>
                <w:szCs w:val="22"/>
              </w:rPr>
            </w:pPr>
            <w:r w:rsidRPr="00F85073">
              <w:rPr>
                <w:b/>
                <w:bCs/>
                <w:color w:val="000000" w:themeColor="text1"/>
                <w:sz w:val="20"/>
                <w:szCs w:val="22"/>
              </w:rPr>
              <w:t>0.008</w:t>
            </w:r>
          </w:p>
        </w:tc>
      </w:tr>
      <w:tr w:rsidR="00665E31" w:rsidRPr="00F85073" w14:paraId="5C13690E" w14:textId="77777777" w:rsidTr="00435260">
        <w:trPr>
          <w:gridAfter w:val="1"/>
          <w:cnfStyle w:val="000000100000" w:firstRow="0" w:lastRow="0" w:firstColumn="0" w:lastColumn="0" w:oddVBand="0" w:evenVBand="0" w:oddHBand="1" w:evenHBand="0" w:firstRowFirstColumn="0" w:firstRowLastColumn="0" w:lastRowFirstColumn="0" w:lastRowLastColumn="0"/>
          <w:wAfter w:w="519" w:type="dxa"/>
          <w:trHeight w:val="339"/>
          <w:jc w:val="center"/>
        </w:trPr>
        <w:tc>
          <w:tcPr>
            <w:cnfStyle w:val="001000000000" w:firstRow="0" w:lastRow="0" w:firstColumn="1" w:lastColumn="0" w:oddVBand="0" w:evenVBand="0" w:oddHBand="0" w:evenHBand="0" w:firstRowFirstColumn="0" w:firstRowLastColumn="0" w:lastRowFirstColumn="0" w:lastRowLastColumn="0"/>
            <w:tcW w:w="1583" w:type="dxa"/>
            <w:vMerge/>
            <w:vAlign w:val="center"/>
          </w:tcPr>
          <w:p w14:paraId="7D6700AF" w14:textId="77777777" w:rsidR="00665E31" w:rsidRPr="00F85073" w:rsidRDefault="00665E31" w:rsidP="00435260">
            <w:pPr>
              <w:pStyle w:val="HTMLPreformatted"/>
              <w:rPr>
                <w:rFonts w:ascii="Times New Roman" w:hAnsi="Times New Roman" w:cs="Times New Roman"/>
                <w:color w:val="222222"/>
                <w:lang w:val="en"/>
              </w:rPr>
            </w:pPr>
          </w:p>
        </w:tc>
        <w:tc>
          <w:tcPr>
            <w:tcW w:w="956" w:type="dxa"/>
            <w:vAlign w:val="center"/>
          </w:tcPr>
          <w:p w14:paraId="7392477C" w14:textId="77777777" w:rsidR="00665E31" w:rsidRPr="00F85073" w:rsidRDefault="00665E31" w:rsidP="00435260">
            <w:pPr>
              <w:tabs>
                <w:tab w:val="left" w:pos="428"/>
              </w:tabs>
              <w:spacing w:line="360" w:lineRule="auto"/>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No</w:t>
            </w:r>
          </w:p>
        </w:tc>
        <w:tc>
          <w:tcPr>
            <w:tcW w:w="1566" w:type="dxa"/>
            <w:vAlign w:val="center"/>
          </w:tcPr>
          <w:p w14:paraId="4DCD6173"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87 (34.8)</w:t>
            </w:r>
          </w:p>
        </w:tc>
        <w:tc>
          <w:tcPr>
            <w:tcW w:w="1566" w:type="dxa"/>
            <w:vAlign w:val="center"/>
          </w:tcPr>
          <w:p w14:paraId="5B2046ED"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73 (29.2)</w:t>
            </w:r>
          </w:p>
        </w:tc>
        <w:tc>
          <w:tcPr>
            <w:tcW w:w="1566" w:type="dxa"/>
          </w:tcPr>
          <w:p w14:paraId="004DDD40"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90 (36)</w:t>
            </w:r>
          </w:p>
        </w:tc>
        <w:tc>
          <w:tcPr>
            <w:tcW w:w="1566" w:type="dxa"/>
            <w:gridSpan w:val="2"/>
            <w:vMerge/>
          </w:tcPr>
          <w:p w14:paraId="462D89FC"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p>
        </w:tc>
      </w:tr>
      <w:tr w:rsidR="00665E31" w:rsidRPr="00F85073" w14:paraId="378447BE" w14:textId="77777777" w:rsidTr="00435260">
        <w:trPr>
          <w:gridAfter w:val="1"/>
          <w:wAfter w:w="519" w:type="dxa"/>
          <w:trHeight w:val="339"/>
          <w:jc w:val="center"/>
        </w:trPr>
        <w:tc>
          <w:tcPr>
            <w:cnfStyle w:val="001000000000" w:firstRow="0" w:lastRow="0" w:firstColumn="1" w:lastColumn="0" w:oddVBand="0" w:evenVBand="0" w:oddHBand="0" w:evenHBand="0" w:firstRowFirstColumn="0" w:firstRowLastColumn="0" w:lastRowFirstColumn="0" w:lastRowLastColumn="0"/>
            <w:tcW w:w="1583" w:type="dxa"/>
            <w:vMerge w:val="restart"/>
            <w:vAlign w:val="center"/>
          </w:tcPr>
          <w:p w14:paraId="6FB22483" w14:textId="77777777" w:rsidR="00665E31" w:rsidRPr="00F85073" w:rsidRDefault="00665E31" w:rsidP="00435260">
            <w:pPr>
              <w:pStyle w:val="HTMLPreformatted"/>
              <w:rPr>
                <w:rFonts w:ascii="Times New Roman" w:hAnsi="Times New Roman" w:cs="Times New Roman"/>
                <w:b w:val="0"/>
                <w:bCs w:val="0"/>
                <w:color w:val="222222"/>
                <w:lang w:val="en"/>
              </w:rPr>
            </w:pPr>
            <w:r w:rsidRPr="00F85073">
              <w:rPr>
                <w:rFonts w:ascii="Times New Roman" w:hAnsi="Times New Roman" w:cs="Times New Roman"/>
                <w:color w:val="222222"/>
                <w:lang w:val="en"/>
              </w:rPr>
              <w:t>Systolic OH</w:t>
            </w:r>
          </w:p>
          <w:p w14:paraId="202F9B0C" w14:textId="77777777" w:rsidR="00665E31" w:rsidRPr="00F85073" w:rsidRDefault="00665E31" w:rsidP="00435260">
            <w:pPr>
              <w:pStyle w:val="HTMLPreformatted"/>
              <w:rPr>
                <w:rFonts w:ascii="Times New Roman" w:hAnsi="Times New Roman" w:cs="Times New Roman"/>
                <w:color w:val="222222"/>
              </w:rPr>
            </w:pPr>
            <w:r w:rsidRPr="00F85073">
              <w:rPr>
                <w:rFonts w:ascii="Times New Roman" w:hAnsi="Times New Roman" w:cs="Times New Roman"/>
                <w:color w:val="222222"/>
                <w:lang w:val="en"/>
              </w:rPr>
              <w:t>(third minute)</w:t>
            </w:r>
          </w:p>
        </w:tc>
        <w:tc>
          <w:tcPr>
            <w:tcW w:w="956" w:type="dxa"/>
            <w:vAlign w:val="center"/>
          </w:tcPr>
          <w:p w14:paraId="5D5BCCBC" w14:textId="77777777" w:rsidR="00665E31" w:rsidRPr="00F85073" w:rsidRDefault="00665E31" w:rsidP="00435260">
            <w:pPr>
              <w:tabs>
                <w:tab w:val="left" w:pos="428"/>
              </w:tabs>
              <w:spacing w:line="360"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Yes</w:t>
            </w:r>
          </w:p>
        </w:tc>
        <w:tc>
          <w:tcPr>
            <w:tcW w:w="1566" w:type="dxa"/>
            <w:vAlign w:val="center"/>
          </w:tcPr>
          <w:p w14:paraId="25CA3D09"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5 (12.8)</w:t>
            </w:r>
          </w:p>
        </w:tc>
        <w:tc>
          <w:tcPr>
            <w:tcW w:w="1566" w:type="dxa"/>
            <w:vAlign w:val="center"/>
          </w:tcPr>
          <w:p w14:paraId="5A945BF5"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11 (28.2)</w:t>
            </w:r>
          </w:p>
        </w:tc>
        <w:tc>
          <w:tcPr>
            <w:tcW w:w="1566" w:type="dxa"/>
          </w:tcPr>
          <w:p w14:paraId="0898B01B"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23 (59)</w:t>
            </w:r>
          </w:p>
        </w:tc>
        <w:tc>
          <w:tcPr>
            <w:tcW w:w="1566" w:type="dxa"/>
            <w:gridSpan w:val="2"/>
            <w:vMerge w:val="restart"/>
            <w:vAlign w:val="center"/>
          </w:tcPr>
          <w:p w14:paraId="64A8B713"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sz w:val="20"/>
                <w:szCs w:val="22"/>
              </w:rPr>
            </w:pPr>
            <w:r w:rsidRPr="00F85073">
              <w:rPr>
                <w:b/>
                <w:bCs/>
                <w:color w:val="000000" w:themeColor="text1"/>
                <w:sz w:val="20"/>
                <w:szCs w:val="22"/>
              </w:rPr>
              <w:t>0.013</w:t>
            </w:r>
          </w:p>
        </w:tc>
      </w:tr>
      <w:tr w:rsidR="00665E31" w:rsidRPr="00F85073" w14:paraId="3D24F44F" w14:textId="77777777" w:rsidTr="00435260">
        <w:trPr>
          <w:gridAfter w:val="1"/>
          <w:cnfStyle w:val="000000100000" w:firstRow="0" w:lastRow="0" w:firstColumn="0" w:lastColumn="0" w:oddVBand="0" w:evenVBand="0" w:oddHBand="1" w:evenHBand="0" w:firstRowFirstColumn="0" w:firstRowLastColumn="0" w:lastRowFirstColumn="0" w:lastRowLastColumn="0"/>
          <w:wAfter w:w="519" w:type="dxa"/>
          <w:trHeight w:val="339"/>
          <w:jc w:val="center"/>
        </w:trPr>
        <w:tc>
          <w:tcPr>
            <w:cnfStyle w:val="001000000000" w:firstRow="0" w:lastRow="0" w:firstColumn="1" w:lastColumn="0" w:oddVBand="0" w:evenVBand="0" w:oddHBand="0" w:evenHBand="0" w:firstRowFirstColumn="0" w:firstRowLastColumn="0" w:lastRowFirstColumn="0" w:lastRowLastColumn="0"/>
            <w:tcW w:w="1583" w:type="dxa"/>
            <w:vMerge/>
            <w:vAlign w:val="center"/>
          </w:tcPr>
          <w:p w14:paraId="68C116D1" w14:textId="77777777" w:rsidR="00665E31" w:rsidRPr="00F85073" w:rsidRDefault="00665E31" w:rsidP="00435260">
            <w:pPr>
              <w:pStyle w:val="HTMLPreformatted"/>
              <w:rPr>
                <w:rFonts w:ascii="Times New Roman" w:hAnsi="Times New Roman" w:cs="Times New Roman"/>
                <w:color w:val="222222"/>
                <w:lang w:val="en"/>
              </w:rPr>
            </w:pPr>
          </w:p>
        </w:tc>
        <w:tc>
          <w:tcPr>
            <w:tcW w:w="956" w:type="dxa"/>
            <w:vAlign w:val="center"/>
          </w:tcPr>
          <w:p w14:paraId="5295451D" w14:textId="77777777" w:rsidR="00665E31" w:rsidRPr="00F85073" w:rsidRDefault="00665E31" w:rsidP="00435260">
            <w:pPr>
              <w:tabs>
                <w:tab w:val="left" w:pos="428"/>
              </w:tabs>
              <w:spacing w:line="360" w:lineRule="auto"/>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No</w:t>
            </w:r>
          </w:p>
        </w:tc>
        <w:tc>
          <w:tcPr>
            <w:tcW w:w="1566" w:type="dxa"/>
            <w:vAlign w:val="center"/>
          </w:tcPr>
          <w:p w14:paraId="438946AC"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91 (23.6)</w:t>
            </w:r>
          </w:p>
        </w:tc>
        <w:tc>
          <w:tcPr>
            <w:tcW w:w="1566" w:type="dxa"/>
            <w:vAlign w:val="center"/>
          </w:tcPr>
          <w:p w14:paraId="046905DC"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82 (29.8)</w:t>
            </w:r>
          </w:p>
        </w:tc>
        <w:tc>
          <w:tcPr>
            <w:tcW w:w="1566" w:type="dxa"/>
          </w:tcPr>
          <w:p w14:paraId="4C128670"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102 (37.1)</w:t>
            </w:r>
          </w:p>
        </w:tc>
        <w:tc>
          <w:tcPr>
            <w:tcW w:w="1566" w:type="dxa"/>
            <w:gridSpan w:val="2"/>
            <w:vMerge/>
          </w:tcPr>
          <w:p w14:paraId="7DBC5565"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p>
        </w:tc>
      </w:tr>
      <w:tr w:rsidR="00665E31" w:rsidRPr="00F85073" w14:paraId="396E3DF0" w14:textId="77777777" w:rsidTr="00435260">
        <w:trPr>
          <w:gridAfter w:val="1"/>
          <w:wAfter w:w="519" w:type="dxa"/>
          <w:trHeight w:val="339"/>
          <w:jc w:val="center"/>
        </w:trPr>
        <w:tc>
          <w:tcPr>
            <w:cnfStyle w:val="001000000000" w:firstRow="0" w:lastRow="0" w:firstColumn="1" w:lastColumn="0" w:oddVBand="0" w:evenVBand="0" w:oddHBand="0" w:evenHBand="0" w:firstRowFirstColumn="0" w:firstRowLastColumn="0" w:lastRowFirstColumn="0" w:lastRowLastColumn="0"/>
            <w:tcW w:w="1583" w:type="dxa"/>
            <w:vMerge w:val="restart"/>
            <w:vAlign w:val="center"/>
          </w:tcPr>
          <w:p w14:paraId="4DBD54D6" w14:textId="77777777" w:rsidR="00665E31" w:rsidRPr="00F85073" w:rsidRDefault="00665E31" w:rsidP="00435260">
            <w:pPr>
              <w:pStyle w:val="HTMLPreformatted"/>
              <w:rPr>
                <w:rFonts w:ascii="Times New Roman" w:hAnsi="Times New Roman" w:cs="Times New Roman"/>
                <w:b w:val="0"/>
                <w:bCs w:val="0"/>
                <w:color w:val="222222"/>
                <w:lang w:val="en"/>
              </w:rPr>
            </w:pPr>
            <w:r w:rsidRPr="00F85073">
              <w:rPr>
                <w:rFonts w:ascii="Times New Roman" w:hAnsi="Times New Roman" w:cs="Times New Roman"/>
                <w:color w:val="222222"/>
                <w:lang w:val="en"/>
              </w:rPr>
              <w:t xml:space="preserve">Diastolic OH </w:t>
            </w:r>
          </w:p>
          <w:p w14:paraId="736C8349" w14:textId="77777777" w:rsidR="00665E31" w:rsidRPr="00F85073" w:rsidRDefault="00665E31" w:rsidP="00435260">
            <w:pPr>
              <w:pStyle w:val="HTMLPreformatted"/>
              <w:rPr>
                <w:rFonts w:ascii="Times New Roman" w:hAnsi="Times New Roman" w:cs="Times New Roman"/>
                <w:color w:val="222222"/>
                <w:lang w:val="en"/>
              </w:rPr>
            </w:pPr>
            <w:r w:rsidRPr="00F85073">
              <w:rPr>
                <w:rFonts w:ascii="Times New Roman" w:hAnsi="Times New Roman" w:cs="Times New Roman"/>
                <w:color w:val="222222"/>
                <w:lang w:val="en"/>
              </w:rPr>
              <w:t>(third minute)</w:t>
            </w:r>
          </w:p>
        </w:tc>
        <w:tc>
          <w:tcPr>
            <w:tcW w:w="956" w:type="dxa"/>
            <w:vAlign w:val="center"/>
          </w:tcPr>
          <w:p w14:paraId="24F576CA" w14:textId="77777777" w:rsidR="00665E31" w:rsidRPr="00F85073" w:rsidRDefault="00665E31" w:rsidP="00435260">
            <w:pPr>
              <w:tabs>
                <w:tab w:val="left" w:pos="428"/>
              </w:tabs>
              <w:spacing w:line="360"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Yes</w:t>
            </w:r>
          </w:p>
        </w:tc>
        <w:tc>
          <w:tcPr>
            <w:tcW w:w="1566" w:type="dxa"/>
            <w:vAlign w:val="center"/>
          </w:tcPr>
          <w:p w14:paraId="77DAF32E"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4 (10)</w:t>
            </w:r>
          </w:p>
        </w:tc>
        <w:tc>
          <w:tcPr>
            <w:tcW w:w="1566" w:type="dxa"/>
            <w:vAlign w:val="center"/>
          </w:tcPr>
          <w:p w14:paraId="25B016B6"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13 (32.5)</w:t>
            </w:r>
          </w:p>
        </w:tc>
        <w:tc>
          <w:tcPr>
            <w:tcW w:w="1566" w:type="dxa"/>
          </w:tcPr>
          <w:p w14:paraId="6F640647"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23 (57.5)</w:t>
            </w:r>
          </w:p>
        </w:tc>
        <w:tc>
          <w:tcPr>
            <w:tcW w:w="1566" w:type="dxa"/>
            <w:gridSpan w:val="2"/>
            <w:vMerge w:val="restart"/>
            <w:vAlign w:val="center"/>
          </w:tcPr>
          <w:p w14:paraId="6B51BA8A"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sz w:val="20"/>
                <w:szCs w:val="22"/>
              </w:rPr>
            </w:pPr>
            <w:r w:rsidRPr="00F85073">
              <w:rPr>
                <w:b/>
                <w:bCs/>
                <w:color w:val="000000" w:themeColor="text1"/>
                <w:sz w:val="20"/>
                <w:szCs w:val="22"/>
              </w:rPr>
              <w:t>0.006</w:t>
            </w:r>
          </w:p>
        </w:tc>
      </w:tr>
      <w:tr w:rsidR="00665E31" w:rsidRPr="00F85073" w14:paraId="1FF52114" w14:textId="77777777" w:rsidTr="00435260">
        <w:trPr>
          <w:gridAfter w:val="1"/>
          <w:cnfStyle w:val="000000100000" w:firstRow="0" w:lastRow="0" w:firstColumn="0" w:lastColumn="0" w:oddVBand="0" w:evenVBand="0" w:oddHBand="1" w:evenHBand="0" w:firstRowFirstColumn="0" w:firstRowLastColumn="0" w:lastRowFirstColumn="0" w:lastRowLastColumn="0"/>
          <w:wAfter w:w="519" w:type="dxa"/>
          <w:trHeight w:val="339"/>
          <w:jc w:val="center"/>
        </w:trPr>
        <w:tc>
          <w:tcPr>
            <w:cnfStyle w:val="001000000000" w:firstRow="0" w:lastRow="0" w:firstColumn="1" w:lastColumn="0" w:oddVBand="0" w:evenVBand="0" w:oddHBand="0" w:evenHBand="0" w:firstRowFirstColumn="0" w:firstRowLastColumn="0" w:lastRowFirstColumn="0" w:lastRowLastColumn="0"/>
            <w:tcW w:w="1583" w:type="dxa"/>
            <w:vMerge/>
            <w:vAlign w:val="center"/>
          </w:tcPr>
          <w:p w14:paraId="554AF920" w14:textId="77777777" w:rsidR="00665E31" w:rsidRPr="00F85073" w:rsidRDefault="00665E31" w:rsidP="00435260">
            <w:pPr>
              <w:pStyle w:val="HTMLPreformatted"/>
              <w:rPr>
                <w:rFonts w:ascii="Times New Roman" w:hAnsi="Times New Roman" w:cs="Times New Roman"/>
                <w:color w:val="222222"/>
                <w:lang w:val="en"/>
              </w:rPr>
            </w:pPr>
          </w:p>
        </w:tc>
        <w:tc>
          <w:tcPr>
            <w:tcW w:w="956" w:type="dxa"/>
            <w:vAlign w:val="center"/>
          </w:tcPr>
          <w:p w14:paraId="384431C4" w14:textId="77777777" w:rsidR="00665E31" w:rsidRPr="00F85073" w:rsidRDefault="00665E31" w:rsidP="00435260">
            <w:pPr>
              <w:tabs>
                <w:tab w:val="left" w:pos="428"/>
              </w:tabs>
              <w:spacing w:line="360" w:lineRule="auto"/>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No</w:t>
            </w:r>
          </w:p>
        </w:tc>
        <w:tc>
          <w:tcPr>
            <w:tcW w:w="1566" w:type="dxa"/>
            <w:vAlign w:val="center"/>
          </w:tcPr>
          <w:p w14:paraId="2B3610AF"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92 (33.6)</w:t>
            </w:r>
          </w:p>
        </w:tc>
        <w:tc>
          <w:tcPr>
            <w:tcW w:w="1566" w:type="dxa"/>
            <w:vAlign w:val="center"/>
          </w:tcPr>
          <w:p w14:paraId="542AD34E"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80 (29.2)</w:t>
            </w:r>
          </w:p>
        </w:tc>
        <w:tc>
          <w:tcPr>
            <w:tcW w:w="1566" w:type="dxa"/>
          </w:tcPr>
          <w:p w14:paraId="09F926FD"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102 (37.2)</w:t>
            </w:r>
          </w:p>
        </w:tc>
        <w:tc>
          <w:tcPr>
            <w:tcW w:w="1566" w:type="dxa"/>
            <w:gridSpan w:val="2"/>
            <w:vMerge/>
          </w:tcPr>
          <w:p w14:paraId="36596E9C"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p>
        </w:tc>
      </w:tr>
      <w:tr w:rsidR="00665E31" w:rsidRPr="00F85073" w14:paraId="188AA338" w14:textId="77777777" w:rsidTr="00435260">
        <w:trPr>
          <w:gridAfter w:val="1"/>
          <w:wAfter w:w="519" w:type="dxa"/>
          <w:trHeight w:val="339"/>
          <w:jc w:val="center"/>
        </w:trPr>
        <w:tc>
          <w:tcPr>
            <w:cnfStyle w:val="001000000000" w:firstRow="0" w:lastRow="0" w:firstColumn="1" w:lastColumn="0" w:oddVBand="0" w:evenVBand="0" w:oddHBand="0" w:evenHBand="0" w:firstRowFirstColumn="0" w:firstRowLastColumn="0" w:lastRowFirstColumn="0" w:lastRowLastColumn="0"/>
            <w:tcW w:w="1583" w:type="dxa"/>
            <w:vMerge w:val="restart"/>
            <w:vAlign w:val="center"/>
          </w:tcPr>
          <w:p w14:paraId="1A02BDE8" w14:textId="77777777" w:rsidR="00665E31" w:rsidRPr="00F85073" w:rsidRDefault="00665E31" w:rsidP="00435260">
            <w:pPr>
              <w:pStyle w:val="HTMLPreformatted"/>
              <w:rPr>
                <w:rFonts w:ascii="Times New Roman" w:hAnsi="Times New Roman" w:cs="Times New Roman"/>
                <w:b w:val="0"/>
                <w:bCs w:val="0"/>
                <w:color w:val="222222"/>
                <w:lang w:val="en"/>
              </w:rPr>
            </w:pPr>
            <w:r w:rsidRPr="00F85073">
              <w:rPr>
                <w:rFonts w:ascii="Times New Roman" w:hAnsi="Times New Roman" w:cs="Times New Roman"/>
                <w:color w:val="222222"/>
                <w:lang w:val="en"/>
              </w:rPr>
              <w:t xml:space="preserve">OH </w:t>
            </w:r>
          </w:p>
          <w:p w14:paraId="763C2540" w14:textId="77777777" w:rsidR="00665E31" w:rsidRPr="00F85073" w:rsidRDefault="00665E31" w:rsidP="00435260">
            <w:pPr>
              <w:pStyle w:val="HTMLPreformatted"/>
              <w:rPr>
                <w:rFonts w:ascii="Times New Roman" w:hAnsi="Times New Roman" w:cs="Times New Roman"/>
                <w:color w:val="222222"/>
                <w:lang w:val="en"/>
              </w:rPr>
            </w:pPr>
            <w:r w:rsidRPr="00F85073">
              <w:rPr>
                <w:rFonts w:ascii="Times New Roman" w:hAnsi="Times New Roman" w:cs="Times New Roman"/>
                <w:color w:val="222222"/>
                <w:lang w:val="en"/>
              </w:rPr>
              <w:t>(third minute)</w:t>
            </w:r>
          </w:p>
        </w:tc>
        <w:tc>
          <w:tcPr>
            <w:tcW w:w="956" w:type="dxa"/>
            <w:vAlign w:val="center"/>
          </w:tcPr>
          <w:p w14:paraId="7C6DFC63" w14:textId="77777777" w:rsidR="00665E31" w:rsidRPr="00F85073" w:rsidRDefault="00665E31" w:rsidP="00435260">
            <w:pPr>
              <w:tabs>
                <w:tab w:val="left" w:pos="428"/>
              </w:tabs>
              <w:spacing w:line="360" w:lineRule="auto"/>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Yes</w:t>
            </w:r>
          </w:p>
        </w:tc>
        <w:tc>
          <w:tcPr>
            <w:tcW w:w="1566" w:type="dxa"/>
            <w:vAlign w:val="center"/>
          </w:tcPr>
          <w:p w14:paraId="227850C9"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8 (12.1)</w:t>
            </w:r>
          </w:p>
        </w:tc>
        <w:tc>
          <w:tcPr>
            <w:tcW w:w="1566" w:type="dxa"/>
            <w:vAlign w:val="center"/>
          </w:tcPr>
          <w:p w14:paraId="7CBFFB5E"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19 (28.8)</w:t>
            </w:r>
          </w:p>
        </w:tc>
        <w:tc>
          <w:tcPr>
            <w:tcW w:w="1566" w:type="dxa"/>
          </w:tcPr>
          <w:p w14:paraId="6C1B48DF"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color w:val="000000" w:themeColor="text1"/>
                <w:sz w:val="20"/>
                <w:szCs w:val="22"/>
              </w:rPr>
            </w:pPr>
            <w:r w:rsidRPr="00F85073">
              <w:rPr>
                <w:color w:val="000000" w:themeColor="text1"/>
                <w:sz w:val="20"/>
                <w:szCs w:val="22"/>
              </w:rPr>
              <w:t>39 (59.1)</w:t>
            </w:r>
          </w:p>
        </w:tc>
        <w:tc>
          <w:tcPr>
            <w:tcW w:w="1566" w:type="dxa"/>
            <w:gridSpan w:val="2"/>
            <w:vMerge w:val="restart"/>
            <w:vAlign w:val="center"/>
          </w:tcPr>
          <w:p w14:paraId="6DC77970" w14:textId="77777777" w:rsidR="00665E31" w:rsidRPr="00F85073" w:rsidRDefault="00665E31" w:rsidP="00435260">
            <w:pPr>
              <w:spacing w:line="360"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sz w:val="20"/>
                <w:szCs w:val="22"/>
              </w:rPr>
            </w:pPr>
            <w:r w:rsidRPr="00F85073">
              <w:rPr>
                <w:b/>
                <w:bCs/>
                <w:color w:val="000000" w:themeColor="text1"/>
                <w:sz w:val="20"/>
                <w:szCs w:val="22"/>
              </w:rPr>
              <w:t>&lt;0.001</w:t>
            </w:r>
          </w:p>
        </w:tc>
      </w:tr>
      <w:tr w:rsidR="00665E31" w:rsidRPr="00F85073" w14:paraId="3D3364A4" w14:textId="77777777" w:rsidTr="00435260">
        <w:trPr>
          <w:gridAfter w:val="1"/>
          <w:cnfStyle w:val="000000100000" w:firstRow="0" w:lastRow="0" w:firstColumn="0" w:lastColumn="0" w:oddVBand="0" w:evenVBand="0" w:oddHBand="1" w:evenHBand="0" w:firstRowFirstColumn="0" w:firstRowLastColumn="0" w:lastRowFirstColumn="0" w:lastRowLastColumn="0"/>
          <w:wAfter w:w="519" w:type="dxa"/>
          <w:trHeight w:val="339"/>
          <w:jc w:val="center"/>
        </w:trPr>
        <w:tc>
          <w:tcPr>
            <w:cnfStyle w:val="001000000000" w:firstRow="0" w:lastRow="0" w:firstColumn="1" w:lastColumn="0" w:oddVBand="0" w:evenVBand="0" w:oddHBand="0" w:evenHBand="0" w:firstRowFirstColumn="0" w:firstRowLastColumn="0" w:lastRowFirstColumn="0" w:lastRowLastColumn="0"/>
            <w:tcW w:w="1583" w:type="dxa"/>
            <w:vMerge/>
            <w:tcBorders>
              <w:bottom w:val="single" w:sz="4" w:space="0" w:color="auto"/>
            </w:tcBorders>
            <w:vAlign w:val="center"/>
          </w:tcPr>
          <w:p w14:paraId="19A4539E" w14:textId="77777777" w:rsidR="00665E31" w:rsidRPr="00F85073" w:rsidRDefault="00665E31" w:rsidP="00435260">
            <w:pPr>
              <w:pStyle w:val="HTMLPreformatted"/>
              <w:rPr>
                <w:rFonts w:ascii="Times New Roman" w:hAnsi="Times New Roman" w:cs="Times New Roman"/>
                <w:color w:val="222222"/>
                <w:lang w:val="en"/>
              </w:rPr>
            </w:pPr>
          </w:p>
        </w:tc>
        <w:tc>
          <w:tcPr>
            <w:tcW w:w="956" w:type="dxa"/>
            <w:tcBorders>
              <w:bottom w:val="single" w:sz="4" w:space="0" w:color="auto"/>
            </w:tcBorders>
            <w:vAlign w:val="center"/>
          </w:tcPr>
          <w:p w14:paraId="502897AF" w14:textId="77777777" w:rsidR="00665E31" w:rsidRPr="00F85073" w:rsidRDefault="00665E31" w:rsidP="00435260">
            <w:pPr>
              <w:tabs>
                <w:tab w:val="left" w:pos="428"/>
              </w:tabs>
              <w:spacing w:line="360" w:lineRule="auto"/>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No</w:t>
            </w:r>
          </w:p>
        </w:tc>
        <w:tc>
          <w:tcPr>
            <w:tcW w:w="1566" w:type="dxa"/>
            <w:tcBorders>
              <w:bottom w:val="single" w:sz="4" w:space="0" w:color="auto"/>
            </w:tcBorders>
            <w:vAlign w:val="center"/>
          </w:tcPr>
          <w:p w14:paraId="404FF2C2"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88 (45.5)</w:t>
            </w:r>
          </w:p>
        </w:tc>
        <w:tc>
          <w:tcPr>
            <w:tcW w:w="1566" w:type="dxa"/>
            <w:tcBorders>
              <w:bottom w:val="single" w:sz="4" w:space="0" w:color="auto"/>
            </w:tcBorders>
            <w:vAlign w:val="center"/>
          </w:tcPr>
          <w:p w14:paraId="5620E2AD"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74 (29.8)</w:t>
            </w:r>
          </w:p>
        </w:tc>
        <w:tc>
          <w:tcPr>
            <w:tcW w:w="1566" w:type="dxa"/>
            <w:tcBorders>
              <w:bottom w:val="single" w:sz="4" w:space="0" w:color="auto"/>
            </w:tcBorders>
          </w:tcPr>
          <w:p w14:paraId="46A4FDC2"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r w:rsidRPr="00F85073">
              <w:rPr>
                <w:color w:val="000000" w:themeColor="text1"/>
                <w:sz w:val="20"/>
                <w:szCs w:val="22"/>
              </w:rPr>
              <w:t>86 (34.7)</w:t>
            </w:r>
          </w:p>
        </w:tc>
        <w:tc>
          <w:tcPr>
            <w:tcW w:w="1566" w:type="dxa"/>
            <w:gridSpan w:val="2"/>
            <w:vMerge/>
            <w:tcBorders>
              <w:bottom w:val="single" w:sz="4" w:space="0" w:color="auto"/>
            </w:tcBorders>
          </w:tcPr>
          <w:p w14:paraId="42A7DF6E" w14:textId="77777777" w:rsidR="00665E31" w:rsidRPr="00F85073" w:rsidRDefault="00665E31" w:rsidP="00435260">
            <w:pPr>
              <w:spacing w:line="360" w:lineRule="auto"/>
              <w:jc w:val="center"/>
              <w:cnfStyle w:val="000000100000" w:firstRow="0" w:lastRow="0" w:firstColumn="0" w:lastColumn="0" w:oddVBand="0" w:evenVBand="0" w:oddHBand="1" w:evenHBand="0" w:firstRowFirstColumn="0" w:firstRowLastColumn="0" w:lastRowFirstColumn="0" w:lastRowLastColumn="0"/>
              <w:rPr>
                <w:color w:val="000000" w:themeColor="text1"/>
                <w:sz w:val="20"/>
                <w:szCs w:val="22"/>
              </w:rPr>
            </w:pPr>
          </w:p>
        </w:tc>
      </w:tr>
    </w:tbl>
    <w:p w14:paraId="2F4DB45A" w14:textId="77777777" w:rsidR="008F31C0" w:rsidRPr="00F85073" w:rsidRDefault="00665E31" w:rsidP="00665E31">
      <w:pPr>
        <w:rPr>
          <w:color w:val="000000" w:themeColor="text1"/>
          <w:sz w:val="20"/>
          <w:szCs w:val="20"/>
        </w:rPr>
      </w:pPr>
      <w:r w:rsidRPr="00F85073">
        <w:rPr>
          <w:color w:val="222222"/>
          <w:sz w:val="20"/>
          <w:szCs w:val="20"/>
        </w:rPr>
        <w:t>.</w:t>
      </w:r>
      <w:r w:rsidRPr="00F85073">
        <w:rPr>
          <w:color w:val="000000" w:themeColor="text1"/>
          <w:sz w:val="20"/>
          <w:szCs w:val="20"/>
        </w:rPr>
        <w:t xml:space="preserve">. </w:t>
      </w:r>
    </w:p>
    <w:p w14:paraId="2B37619D" w14:textId="77777777" w:rsidR="008F31C0" w:rsidRPr="00F85073" w:rsidRDefault="008F31C0" w:rsidP="00665E31">
      <w:pPr>
        <w:rPr>
          <w:color w:val="000000" w:themeColor="text1"/>
          <w:sz w:val="20"/>
          <w:szCs w:val="20"/>
        </w:rPr>
      </w:pPr>
    </w:p>
    <w:p w14:paraId="06A89722" w14:textId="77777777" w:rsidR="008F31C0" w:rsidRPr="00F85073" w:rsidRDefault="008F31C0" w:rsidP="00665E31">
      <w:pPr>
        <w:rPr>
          <w:color w:val="000000" w:themeColor="text1"/>
          <w:sz w:val="20"/>
          <w:szCs w:val="20"/>
        </w:rPr>
      </w:pPr>
    </w:p>
    <w:p w14:paraId="0CBAB7B1" w14:textId="77777777" w:rsidR="008F31C0" w:rsidRPr="00F85073" w:rsidRDefault="008F31C0" w:rsidP="00665E31">
      <w:pPr>
        <w:rPr>
          <w:color w:val="000000" w:themeColor="text1"/>
          <w:sz w:val="20"/>
          <w:szCs w:val="20"/>
        </w:rPr>
      </w:pPr>
    </w:p>
    <w:p w14:paraId="7225A796" w14:textId="77777777" w:rsidR="008F31C0" w:rsidRPr="00F85073" w:rsidRDefault="008F31C0" w:rsidP="00665E31">
      <w:pPr>
        <w:rPr>
          <w:color w:val="000000" w:themeColor="text1"/>
          <w:sz w:val="20"/>
          <w:szCs w:val="20"/>
        </w:rPr>
      </w:pPr>
    </w:p>
    <w:p w14:paraId="299B1EBA" w14:textId="77777777" w:rsidR="008F31C0" w:rsidRPr="00F85073" w:rsidRDefault="008F31C0" w:rsidP="00665E31">
      <w:pPr>
        <w:rPr>
          <w:color w:val="000000" w:themeColor="text1"/>
          <w:sz w:val="20"/>
          <w:szCs w:val="20"/>
        </w:rPr>
      </w:pPr>
    </w:p>
    <w:p w14:paraId="3EF69B83" w14:textId="77777777" w:rsidR="008F31C0" w:rsidRPr="00F85073" w:rsidRDefault="008F31C0" w:rsidP="00665E31">
      <w:pPr>
        <w:rPr>
          <w:color w:val="000000" w:themeColor="text1"/>
          <w:sz w:val="20"/>
          <w:szCs w:val="20"/>
        </w:rPr>
      </w:pPr>
    </w:p>
    <w:p w14:paraId="15B8D78B" w14:textId="77777777" w:rsidR="008F31C0" w:rsidRPr="00F85073" w:rsidRDefault="008F31C0" w:rsidP="00665E31">
      <w:pPr>
        <w:rPr>
          <w:color w:val="000000" w:themeColor="text1"/>
          <w:sz w:val="20"/>
          <w:szCs w:val="20"/>
        </w:rPr>
      </w:pPr>
    </w:p>
    <w:p w14:paraId="6F31B900" w14:textId="77777777" w:rsidR="008F31C0" w:rsidRPr="00F85073" w:rsidRDefault="008F31C0" w:rsidP="00665E31">
      <w:pPr>
        <w:rPr>
          <w:color w:val="000000" w:themeColor="text1"/>
          <w:sz w:val="20"/>
          <w:szCs w:val="20"/>
        </w:rPr>
      </w:pPr>
    </w:p>
    <w:p w14:paraId="6193161B" w14:textId="77777777" w:rsidR="008F31C0" w:rsidRPr="00F85073" w:rsidRDefault="008F31C0" w:rsidP="00665E31">
      <w:pPr>
        <w:rPr>
          <w:color w:val="000000" w:themeColor="text1"/>
          <w:sz w:val="20"/>
          <w:szCs w:val="20"/>
        </w:rPr>
      </w:pPr>
    </w:p>
    <w:p w14:paraId="62C3F33B" w14:textId="77777777" w:rsidR="008F31C0" w:rsidRPr="00F85073" w:rsidRDefault="008F31C0" w:rsidP="00665E31">
      <w:pPr>
        <w:rPr>
          <w:color w:val="000000" w:themeColor="text1"/>
          <w:sz w:val="20"/>
          <w:szCs w:val="20"/>
        </w:rPr>
      </w:pPr>
    </w:p>
    <w:p w14:paraId="12570E14" w14:textId="77777777" w:rsidR="008F31C0" w:rsidRPr="00F85073" w:rsidRDefault="008F31C0" w:rsidP="00665E31">
      <w:pPr>
        <w:rPr>
          <w:color w:val="000000" w:themeColor="text1"/>
          <w:sz w:val="20"/>
          <w:szCs w:val="20"/>
        </w:rPr>
      </w:pPr>
    </w:p>
    <w:p w14:paraId="30C3E178" w14:textId="77777777" w:rsidR="008F31C0" w:rsidRPr="00F85073" w:rsidRDefault="008F31C0" w:rsidP="00665E31">
      <w:pPr>
        <w:rPr>
          <w:color w:val="000000" w:themeColor="text1"/>
          <w:sz w:val="20"/>
          <w:szCs w:val="20"/>
        </w:rPr>
      </w:pPr>
    </w:p>
    <w:p w14:paraId="65AD8804" w14:textId="77777777" w:rsidR="008F31C0" w:rsidRPr="00F85073" w:rsidRDefault="008F31C0" w:rsidP="00665E31">
      <w:pPr>
        <w:rPr>
          <w:color w:val="000000" w:themeColor="text1"/>
          <w:sz w:val="20"/>
          <w:szCs w:val="20"/>
        </w:rPr>
      </w:pPr>
    </w:p>
    <w:p w14:paraId="4D47EFF9" w14:textId="77777777" w:rsidR="008F31C0" w:rsidRPr="00F85073" w:rsidRDefault="008F31C0" w:rsidP="00665E31">
      <w:pPr>
        <w:rPr>
          <w:color w:val="000000" w:themeColor="text1"/>
          <w:sz w:val="20"/>
          <w:szCs w:val="20"/>
        </w:rPr>
      </w:pPr>
    </w:p>
    <w:p w14:paraId="5BCDFA39" w14:textId="77777777" w:rsidR="008F31C0" w:rsidRPr="00F85073" w:rsidRDefault="008F31C0" w:rsidP="00665E31">
      <w:pPr>
        <w:rPr>
          <w:color w:val="000000" w:themeColor="text1"/>
          <w:sz w:val="20"/>
          <w:szCs w:val="20"/>
        </w:rPr>
      </w:pPr>
    </w:p>
    <w:p w14:paraId="08054396" w14:textId="77777777" w:rsidR="008F31C0" w:rsidRPr="00F85073" w:rsidRDefault="008F31C0" w:rsidP="00665E31">
      <w:pPr>
        <w:rPr>
          <w:color w:val="000000" w:themeColor="text1"/>
          <w:sz w:val="20"/>
          <w:szCs w:val="20"/>
        </w:rPr>
      </w:pPr>
    </w:p>
    <w:p w14:paraId="4CFE9407" w14:textId="77777777" w:rsidR="008F31C0" w:rsidRPr="00F85073" w:rsidRDefault="008F31C0" w:rsidP="00665E31">
      <w:pPr>
        <w:rPr>
          <w:color w:val="000000" w:themeColor="text1"/>
          <w:sz w:val="20"/>
          <w:szCs w:val="20"/>
        </w:rPr>
      </w:pPr>
    </w:p>
    <w:p w14:paraId="5D81B5C5" w14:textId="77777777" w:rsidR="008F31C0" w:rsidRPr="00F85073" w:rsidRDefault="008F31C0" w:rsidP="00665E31">
      <w:pPr>
        <w:rPr>
          <w:color w:val="000000" w:themeColor="text1"/>
          <w:sz w:val="20"/>
          <w:szCs w:val="20"/>
        </w:rPr>
      </w:pPr>
    </w:p>
    <w:p w14:paraId="77A8ADB5" w14:textId="51CD855C" w:rsidR="00665E31" w:rsidRPr="00F85073" w:rsidRDefault="00665E31" w:rsidP="00665E31">
      <w:pPr>
        <w:rPr>
          <w:sz w:val="20"/>
          <w:szCs w:val="20"/>
        </w:rPr>
      </w:pPr>
      <w:r w:rsidRPr="00F85073">
        <w:rPr>
          <w:color w:val="000000" w:themeColor="text1"/>
          <w:sz w:val="20"/>
          <w:szCs w:val="20"/>
        </w:rPr>
        <w:t>DM: diabetes mellitus</w:t>
      </w:r>
      <w:r w:rsidR="008F31C0" w:rsidRPr="00F85073">
        <w:rPr>
          <w:color w:val="000000" w:themeColor="text1"/>
          <w:sz w:val="20"/>
          <w:szCs w:val="20"/>
        </w:rPr>
        <w:t xml:space="preserve">; HT: Hypertension; OH: orthostatic hypotension; TSH: </w:t>
      </w:r>
      <w:r w:rsidR="008F31C0" w:rsidRPr="00F85073">
        <w:rPr>
          <w:color w:val="222222"/>
          <w:sz w:val="20"/>
          <w:szCs w:val="20"/>
        </w:rPr>
        <w:t>thyroid-stimulating hormone; TUG: Timed Up and Go.</w:t>
      </w:r>
      <w:r w:rsidR="0095588F" w:rsidRPr="00F85073">
        <w:rPr>
          <w:color w:val="222222"/>
          <w:sz w:val="20"/>
          <w:szCs w:val="20"/>
        </w:rPr>
        <w:t xml:space="preserve"> </w:t>
      </w:r>
      <w:r w:rsidRPr="00F85073">
        <w:rPr>
          <w:color w:val="000000" w:themeColor="text1"/>
          <w:sz w:val="20"/>
          <w:szCs w:val="20"/>
        </w:rPr>
        <w:t>The data is expressed using N (%). mean</w:t>
      </w:r>
      <w:r w:rsidRPr="00F85073">
        <w:rPr>
          <w:color w:val="000000" w:themeColor="text1"/>
          <w:sz w:val="20"/>
          <w:szCs w:val="20"/>
        </w:rPr>
        <w:sym w:font="Symbol" w:char="F0B1"/>
      </w:r>
      <w:r w:rsidRPr="00F85073">
        <w:rPr>
          <w:color w:val="000000" w:themeColor="text1"/>
          <w:sz w:val="20"/>
          <w:szCs w:val="20"/>
        </w:rPr>
        <w:t>standard deviation or median at first and third quarter.</w:t>
      </w:r>
    </w:p>
    <w:p w14:paraId="1D1CF98F" w14:textId="77777777" w:rsidR="00665E31" w:rsidRPr="00F85073" w:rsidRDefault="00665E31" w:rsidP="00665E31"/>
    <w:p w14:paraId="7B9E9FB6" w14:textId="77777777" w:rsidR="00665E31" w:rsidRPr="00F85073" w:rsidRDefault="00665E31" w:rsidP="00665E31"/>
    <w:p w14:paraId="3545440A" w14:textId="1FAB06FB" w:rsidR="007529ED" w:rsidRPr="00F85073" w:rsidRDefault="007529ED" w:rsidP="00F43EDA">
      <w:pPr>
        <w:spacing w:line="360" w:lineRule="auto"/>
        <w:jc w:val="both"/>
        <w:rPr>
          <w:sz w:val="22"/>
          <w:szCs w:val="22"/>
        </w:rPr>
      </w:pPr>
      <w:r w:rsidRPr="00F85073">
        <w:rPr>
          <w:sz w:val="22"/>
          <w:szCs w:val="22"/>
        </w:rPr>
        <w:t>The prevalence of OH</w:t>
      </w:r>
      <w:r w:rsidR="00AD231D" w:rsidRPr="00F85073">
        <w:rPr>
          <w:sz w:val="22"/>
          <w:szCs w:val="22"/>
        </w:rPr>
        <w:t>1, systolic OH1, and OH3,</w:t>
      </w:r>
      <w:r w:rsidRPr="00F85073">
        <w:rPr>
          <w:sz w:val="22"/>
          <w:szCs w:val="22"/>
        </w:rPr>
        <w:t xml:space="preserve"> </w:t>
      </w:r>
      <w:r w:rsidR="00AD231D" w:rsidRPr="00F85073">
        <w:rPr>
          <w:sz w:val="22"/>
          <w:szCs w:val="22"/>
        </w:rPr>
        <w:t>systolic and</w:t>
      </w:r>
      <w:r w:rsidRPr="00F85073">
        <w:rPr>
          <w:sz w:val="22"/>
          <w:szCs w:val="22"/>
        </w:rPr>
        <w:t xml:space="preserve"> diastolic OH</w:t>
      </w:r>
      <w:r w:rsidR="00AD231D" w:rsidRPr="00F85073">
        <w:rPr>
          <w:sz w:val="22"/>
          <w:szCs w:val="22"/>
        </w:rPr>
        <w:t>3</w:t>
      </w:r>
      <w:r w:rsidRPr="00F85073">
        <w:rPr>
          <w:sz w:val="22"/>
          <w:szCs w:val="22"/>
        </w:rPr>
        <w:t xml:space="preserve"> were found to be significantly higher in those with a FoF score of 20 and above than those below 20 (p &lt;0.005). </w:t>
      </w:r>
    </w:p>
    <w:p w14:paraId="43EB41EB" w14:textId="77777777" w:rsidR="00AD231D" w:rsidRPr="00F85073" w:rsidRDefault="00AD231D" w:rsidP="00F43EDA">
      <w:pPr>
        <w:spacing w:line="360" w:lineRule="auto"/>
        <w:jc w:val="both"/>
        <w:rPr>
          <w:color w:val="000000" w:themeColor="text1"/>
          <w:sz w:val="22"/>
          <w:szCs w:val="22"/>
        </w:rPr>
      </w:pPr>
    </w:p>
    <w:p w14:paraId="717AEF6B" w14:textId="33472195" w:rsidR="00394171" w:rsidRPr="00F85073" w:rsidRDefault="00E67A6D" w:rsidP="00F43EDA">
      <w:pPr>
        <w:spacing w:line="360" w:lineRule="auto"/>
        <w:jc w:val="both"/>
        <w:rPr>
          <w:color w:val="000000" w:themeColor="text1"/>
          <w:sz w:val="22"/>
          <w:szCs w:val="22"/>
        </w:rPr>
      </w:pPr>
      <w:r w:rsidRPr="00F85073">
        <w:rPr>
          <w:color w:val="000000" w:themeColor="text1"/>
          <w:sz w:val="22"/>
          <w:szCs w:val="22"/>
        </w:rPr>
        <w:t xml:space="preserve">According to those </w:t>
      </w:r>
      <w:r w:rsidR="001E012B" w:rsidRPr="00F85073">
        <w:rPr>
          <w:color w:val="000000" w:themeColor="text1"/>
          <w:sz w:val="22"/>
          <w:szCs w:val="22"/>
        </w:rPr>
        <w:t>with low FoF (FES-1 score 16-19</w:t>
      </w:r>
      <w:r w:rsidRPr="00F85073">
        <w:rPr>
          <w:color w:val="000000" w:themeColor="text1"/>
          <w:sz w:val="22"/>
          <w:szCs w:val="22"/>
        </w:rPr>
        <w:t xml:space="preserve">), the risk of </w:t>
      </w:r>
      <w:r w:rsidR="007C3821" w:rsidRPr="00F85073">
        <w:rPr>
          <w:color w:val="000000" w:themeColor="text1"/>
          <w:sz w:val="22"/>
          <w:szCs w:val="22"/>
        </w:rPr>
        <w:t>OH</w:t>
      </w:r>
      <w:r w:rsidRPr="00F85073">
        <w:rPr>
          <w:color w:val="000000" w:themeColor="text1"/>
          <w:sz w:val="22"/>
          <w:szCs w:val="22"/>
        </w:rPr>
        <w:t xml:space="preserve"> in </w:t>
      </w:r>
      <w:r w:rsidR="007D615A" w:rsidRPr="00F85073">
        <w:rPr>
          <w:color w:val="000000" w:themeColor="text1"/>
          <w:sz w:val="22"/>
          <w:szCs w:val="22"/>
        </w:rPr>
        <w:t xml:space="preserve">the </w:t>
      </w:r>
      <w:r w:rsidR="00231F33" w:rsidRPr="00F85073">
        <w:rPr>
          <w:color w:val="000000" w:themeColor="text1"/>
          <w:sz w:val="22"/>
          <w:szCs w:val="22"/>
        </w:rPr>
        <w:t xml:space="preserve">moderate </w:t>
      </w:r>
      <w:r w:rsidRPr="00F85073">
        <w:rPr>
          <w:color w:val="000000" w:themeColor="text1"/>
          <w:sz w:val="22"/>
          <w:szCs w:val="22"/>
        </w:rPr>
        <w:t>FoF and hig</w:t>
      </w:r>
      <w:r w:rsidR="003219AF" w:rsidRPr="00F85073">
        <w:rPr>
          <w:color w:val="000000" w:themeColor="text1"/>
          <w:sz w:val="22"/>
          <w:szCs w:val="22"/>
        </w:rPr>
        <w:t xml:space="preserve">h FoF groups is shown in </w:t>
      </w:r>
      <w:r w:rsidR="003219AF" w:rsidRPr="00F85073">
        <w:rPr>
          <w:b/>
          <w:color w:val="000000" w:themeColor="text1"/>
          <w:sz w:val="22"/>
          <w:szCs w:val="22"/>
        </w:rPr>
        <w:t>table 2</w:t>
      </w:r>
      <w:r w:rsidRPr="00F85073">
        <w:rPr>
          <w:b/>
          <w:color w:val="000000" w:themeColor="text1"/>
          <w:sz w:val="22"/>
          <w:szCs w:val="22"/>
        </w:rPr>
        <w:t>.</w:t>
      </w:r>
      <w:r w:rsidRPr="00F85073">
        <w:rPr>
          <w:color w:val="000000" w:themeColor="text1"/>
          <w:sz w:val="22"/>
          <w:szCs w:val="22"/>
        </w:rPr>
        <w:t xml:space="preserve"> </w:t>
      </w:r>
      <w:r w:rsidR="00FC7E67" w:rsidRPr="00F85073">
        <w:rPr>
          <w:color w:val="000000" w:themeColor="text1"/>
          <w:sz w:val="22"/>
          <w:szCs w:val="22"/>
        </w:rPr>
        <w:t xml:space="preserve"> </w:t>
      </w:r>
      <w:r w:rsidR="00394171" w:rsidRPr="00F85073">
        <w:rPr>
          <w:color w:val="000000" w:themeColor="text1"/>
          <w:sz w:val="22"/>
          <w:szCs w:val="22"/>
          <w:lang w:val="en-US"/>
        </w:rPr>
        <w:t xml:space="preserve">Participants who reported a high </w:t>
      </w:r>
      <w:proofErr w:type="spellStart"/>
      <w:r w:rsidR="00394171" w:rsidRPr="00F85073">
        <w:rPr>
          <w:color w:val="000000" w:themeColor="text1"/>
          <w:sz w:val="22"/>
          <w:szCs w:val="22"/>
          <w:lang w:val="en-US"/>
        </w:rPr>
        <w:t>FoF</w:t>
      </w:r>
      <w:proofErr w:type="spellEnd"/>
      <w:r w:rsidR="00394171" w:rsidRPr="00F85073">
        <w:rPr>
          <w:color w:val="000000" w:themeColor="text1"/>
          <w:sz w:val="22"/>
          <w:szCs w:val="22"/>
          <w:lang w:val="en-US"/>
        </w:rPr>
        <w:t xml:space="preserve"> had higher risk for OH1 and OH3 (OR:2.14, 95% CI:</w:t>
      </w:r>
      <w:r w:rsidR="00394171" w:rsidRPr="00F85073">
        <w:rPr>
          <w:color w:val="000000" w:themeColor="text1"/>
          <w:sz w:val="22"/>
          <w:szCs w:val="22"/>
        </w:rPr>
        <w:t>1.14-4.0,</w:t>
      </w:r>
      <w:r w:rsidR="00394171" w:rsidRPr="00F85073">
        <w:rPr>
          <w:color w:val="000000" w:themeColor="text1"/>
          <w:sz w:val="22"/>
          <w:szCs w:val="22"/>
          <w:lang w:val="en-US"/>
        </w:rPr>
        <w:t xml:space="preserve"> p=0.017; OR:2.72, 95% CI:</w:t>
      </w:r>
      <w:r w:rsidR="00394171" w:rsidRPr="00F85073">
        <w:rPr>
          <w:color w:val="000000" w:themeColor="text1"/>
          <w:sz w:val="22"/>
          <w:szCs w:val="22"/>
        </w:rPr>
        <w:t>1.46-5.09</w:t>
      </w:r>
      <w:r w:rsidR="00394171" w:rsidRPr="00F85073">
        <w:rPr>
          <w:color w:val="000000" w:themeColor="text1"/>
          <w:sz w:val="22"/>
          <w:szCs w:val="22"/>
          <w:lang w:val="en-US"/>
        </w:rPr>
        <w:t xml:space="preserve">, p=0.002, respectively), after adjustment for all potential confounders including age, </w:t>
      </w:r>
      <w:r w:rsidR="00E17AF8" w:rsidRPr="00F85073">
        <w:rPr>
          <w:color w:val="000000" w:themeColor="text1"/>
          <w:sz w:val="22"/>
          <w:szCs w:val="22"/>
          <w:lang w:val="en-US"/>
        </w:rPr>
        <w:t xml:space="preserve">gender, </w:t>
      </w:r>
      <w:r w:rsidR="00394171" w:rsidRPr="00F85073">
        <w:rPr>
          <w:color w:val="000000" w:themeColor="text1"/>
          <w:sz w:val="22"/>
          <w:szCs w:val="22"/>
          <w:lang w:val="en-US"/>
        </w:rPr>
        <w:t xml:space="preserve">education, marital status, living arrangement, history of falls, diabetes, cardiovascular disease, hypertension, </w:t>
      </w:r>
      <w:r w:rsidR="00E17AF8" w:rsidRPr="00F85073">
        <w:rPr>
          <w:color w:val="000000" w:themeColor="text1"/>
          <w:sz w:val="22"/>
          <w:szCs w:val="22"/>
        </w:rPr>
        <w:t>TUG time scores, hemoglobin</w:t>
      </w:r>
      <w:r w:rsidR="00DF34DB" w:rsidRPr="00F85073">
        <w:rPr>
          <w:color w:val="000000" w:themeColor="text1"/>
          <w:sz w:val="22"/>
          <w:szCs w:val="22"/>
        </w:rPr>
        <w:t xml:space="preserve"> level</w:t>
      </w:r>
      <w:r w:rsidR="00E17AF8" w:rsidRPr="00F85073">
        <w:rPr>
          <w:color w:val="000000" w:themeColor="text1"/>
          <w:sz w:val="22"/>
          <w:szCs w:val="22"/>
        </w:rPr>
        <w:t xml:space="preserve"> </w:t>
      </w:r>
      <w:r w:rsidR="00394171" w:rsidRPr="00F85073">
        <w:rPr>
          <w:color w:val="000000" w:themeColor="text1"/>
          <w:sz w:val="22"/>
          <w:szCs w:val="22"/>
          <w:lang w:val="en-US"/>
        </w:rPr>
        <w:t>and Vit</w:t>
      </w:r>
      <w:r w:rsidR="007D615A" w:rsidRPr="00F85073">
        <w:rPr>
          <w:color w:val="000000" w:themeColor="text1"/>
          <w:sz w:val="22"/>
          <w:szCs w:val="22"/>
          <w:lang w:val="en-US"/>
        </w:rPr>
        <w:t>amin</w:t>
      </w:r>
      <w:r w:rsidR="00394171" w:rsidRPr="00F85073">
        <w:rPr>
          <w:color w:val="000000" w:themeColor="text1"/>
          <w:sz w:val="22"/>
          <w:szCs w:val="22"/>
          <w:lang w:val="en-US"/>
        </w:rPr>
        <w:t xml:space="preserve"> D deficiency. However, after adjustment for </w:t>
      </w:r>
      <w:r w:rsidR="007D615A" w:rsidRPr="00F85073">
        <w:rPr>
          <w:color w:val="000000" w:themeColor="text1"/>
          <w:sz w:val="22"/>
          <w:szCs w:val="22"/>
          <w:lang w:val="en-US"/>
        </w:rPr>
        <w:t xml:space="preserve">the </w:t>
      </w:r>
      <w:r w:rsidR="00394171" w:rsidRPr="00F85073">
        <w:rPr>
          <w:color w:val="000000" w:themeColor="text1"/>
          <w:sz w:val="22"/>
          <w:szCs w:val="22"/>
          <w:lang w:val="en-US"/>
        </w:rPr>
        <w:t xml:space="preserve">same confounders, </w:t>
      </w:r>
      <w:r w:rsidR="00394171" w:rsidRPr="00F85073">
        <w:rPr>
          <w:color w:val="000000" w:themeColor="text1"/>
          <w:sz w:val="22"/>
          <w:szCs w:val="22"/>
        </w:rPr>
        <w:t xml:space="preserve">those with </w:t>
      </w:r>
      <w:r w:rsidR="00231F33" w:rsidRPr="00F85073">
        <w:rPr>
          <w:color w:val="000000" w:themeColor="text1"/>
          <w:sz w:val="22"/>
          <w:szCs w:val="22"/>
        </w:rPr>
        <w:t>moderate</w:t>
      </w:r>
      <w:r w:rsidR="00394171" w:rsidRPr="00F85073">
        <w:rPr>
          <w:color w:val="000000" w:themeColor="text1"/>
          <w:sz w:val="22"/>
          <w:szCs w:val="22"/>
        </w:rPr>
        <w:t xml:space="preserve"> FoF had no increased risk of </w:t>
      </w:r>
      <w:r w:rsidR="001F1350" w:rsidRPr="00F85073">
        <w:rPr>
          <w:color w:val="000000" w:themeColor="text1"/>
          <w:sz w:val="22"/>
          <w:szCs w:val="22"/>
        </w:rPr>
        <w:t>having</w:t>
      </w:r>
      <w:r w:rsidR="00394171" w:rsidRPr="00F85073">
        <w:rPr>
          <w:color w:val="000000" w:themeColor="text1"/>
          <w:sz w:val="22"/>
          <w:szCs w:val="22"/>
        </w:rPr>
        <w:t xml:space="preserve"> OH compared to low FoF (p&gt;0.05).</w:t>
      </w:r>
    </w:p>
    <w:p w14:paraId="031FBDB7" w14:textId="77777777" w:rsidR="000418FE" w:rsidRPr="00F85073" w:rsidRDefault="000418FE" w:rsidP="00DD4515">
      <w:pPr>
        <w:rPr>
          <w:b/>
          <w:bCs/>
          <w:color w:val="000000" w:themeColor="text1"/>
          <w:sz w:val="22"/>
          <w:szCs w:val="22"/>
        </w:rPr>
      </w:pPr>
    </w:p>
    <w:p w14:paraId="73BDBB64" w14:textId="77777777" w:rsidR="000418FE" w:rsidRPr="00F85073" w:rsidRDefault="000418FE" w:rsidP="00DD4515">
      <w:pPr>
        <w:rPr>
          <w:b/>
          <w:bCs/>
          <w:color w:val="000000" w:themeColor="text1"/>
          <w:sz w:val="22"/>
          <w:szCs w:val="22"/>
        </w:rPr>
      </w:pPr>
    </w:p>
    <w:p w14:paraId="50CAE816" w14:textId="77777777" w:rsidR="000418FE" w:rsidRPr="00F85073" w:rsidRDefault="000418FE" w:rsidP="00DD4515">
      <w:pPr>
        <w:rPr>
          <w:b/>
          <w:bCs/>
          <w:color w:val="000000" w:themeColor="text1"/>
          <w:sz w:val="22"/>
          <w:szCs w:val="22"/>
        </w:rPr>
      </w:pPr>
    </w:p>
    <w:p w14:paraId="13366F08" w14:textId="77777777" w:rsidR="000418FE" w:rsidRPr="00F85073" w:rsidRDefault="000418FE" w:rsidP="00DD4515">
      <w:pPr>
        <w:rPr>
          <w:b/>
          <w:bCs/>
          <w:color w:val="000000" w:themeColor="text1"/>
          <w:sz w:val="22"/>
          <w:szCs w:val="22"/>
        </w:rPr>
      </w:pPr>
    </w:p>
    <w:p w14:paraId="169D1A6F" w14:textId="3B63A874" w:rsidR="006E1024" w:rsidRPr="00F85073" w:rsidRDefault="00394171" w:rsidP="00DD4515">
      <w:pPr>
        <w:rPr>
          <w:color w:val="FF0000"/>
          <w:sz w:val="22"/>
          <w:szCs w:val="22"/>
        </w:rPr>
      </w:pPr>
      <w:r w:rsidRPr="00F85073">
        <w:rPr>
          <w:b/>
          <w:bCs/>
          <w:color w:val="000000" w:themeColor="text1"/>
          <w:sz w:val="22"/>
          <w:szCs w:val="22"/>
        </w:rPr>
        <w:t>Table 2</w:t>
      </w:r>
      <w:r w:rsidR="004F3AB2" w:rsidRPr="00F85073">
        <w:rPr>
          <w:b/>
          <w:bCs/>
          <w:color w:val="000000" w:themeColor="text1"/>
          <w:sz w:val="22"/>
          <w:szCs w:val="22"/>
        </w:rPr>
        <w:t xml:space="preserve">. </w:t>
      </w:r>
      <w:r w:rsidR="00BB4FF6" w:rsidRPr="00F85073">
        <w:rPr>
          <w:color w:val="000000" w:themeColor="text1"/>
          <w:sz w:val="22"/>
          <w:szCs w:val="22"/>
        </w:rPr>
        <w:t xml:space="preserve">The </w:t>
      </w:r>
      <w:r w:rsidR="004E35BC" w:rsidRPr="00F85073">
        <w:rPr>
          <w:color w:val="000000" w:themeColor="text1"/>
          <w:sz w:val="22"/>
          <w:szCs w:val="22"/>
        </w:rPr>
        <w:t>Association</w:t>
      </w:r>
      <w:r w:rsidR="00BB4FF6" w:rsidRPr="00F85073">
        <w:rPr>
          <w:color w:val="000000" w:themeColor="text1"/>
          <w:sz w:val="22"/>
          <w:szCs w:val="22"/>
        </w:rPr>
        <w:t xml:space="preserve"> Between Fear of Falling And Orthostatic Hypotension</w:t>
      </w:r>
    </w:p>
    <w:tbl>
      <w:tblPr>
        <w:tblStyle w:val="TableGrid"/>
        <w:tblpPr w:leftFromText="180" w:rightFromText="180" w:vertAnchor="page" w:horzAnchor="margin" w:tblpXSpec="center" w:tblpY="1560"/>
        <w:tblW w:w="7791" w:type="dxa"/>
        <w:tblLook w:val="04A0" w:firstRow="1" w:lastRow="0" w:firstColumn="1" w:lastColumn="0" w:noHBand="0" w:noVBand="1"/>
      </w:tblPr>
      <w:tblGrid>
        <w:gridCol w:w="1974"/>
        <w:gridCol w:w="2079"/>
        <w:gridCol w:w="756"/>
        <w:gridCol w:w="2211"/>
        <w:gridCol w:w="762"/>
        <w:gridCol w:w="9"/>
      </w:tblGrid>
      <w:tr w:rsidR="00EA18FB" w:rsidRPr="00F85073" w14:paraId="69739943" w14:textId="77777777" w:rsidTr="00EA18FB">
        <w:trPr>
          <w:trHeight w:val="204"/>
        </w:trPr>
        <w:tc>
          <w:tcPr>
            <w:tcW w:w="1974" w:type="dxa"/>
            <w:vMerge w:val="restart"/>
          </w:tcPr>
          <w:p w14:paraId="6F3319D9" w14:textId="77777777" w:rsidR="00EA18FB" w:rsidRPr="00F85073" w:rsidRDefault="00EA18FB" w:rsidP="00EA18FB">
            <w:pPr>
              <w:rPr>
                <w:sz w:val="20"/>
                <w:szCs w:val="20"/>
              </w:rPr>
            </w:pPr>
          </w:p>
        </w:tc>
        <w:tc>
          <w:tcPr>
            <w:tcW w:w="5817" w:type="dxa"/>
            <w:gridSpan w:val="5"/>
          </w:tcPr>
          <w:p w14:paraId="167389A1" w14:textId="77777777" w:rsidR="00EA18FB" w:rsidRPr="00F85073" w:rsidRDefault="00EA18FB" w:rsidP="00EA18FB">
            <w:pPr>
              <w:jc w:val="center"/>
              <w:rPr>
                <w:sz w:val="20"/>
                <w:szCs w:val="20"/>
              </w:rPr>
            </w:pPr>
            <w:r w:rsidRPr="00F85073">
              <w:rPr>
                <w:b/>
                <w:bCs/>
                <w:color w:val="000000" w:themeColor="text1"/>
                <w:sz w:val="20"/>
                <w:szCs w:val="20"/>
              </w:rPr>
              <w:t>FES-I SCORES</w:t>
            </w:r>
          </w:p>
        </w:tc>
      </w:tr>
      <w:tr w:rsidR="00EA18FB" w:rsidRPr="00F85073" w14:paraId="1D0BA8FD" w14:textId="77777777" w:rsidTr="00EA18FB">
        <w:trPr>
          <w:trHeight w:val="509"/>
        </w:trPr>
        <w:tc>
          <w:tcPr>
            <w:tcW w:w="1974" w:type="dxa"/>
            <w:vMerge/>
          </w:tcPr>
          <w:p w14:paraId="12CB8CE3" w14:textId="77777777" w:rsidR="00EA18FB" w:rsidRPr="00F85073" w:rsidRDefault="00EA18FB" w:rsidP="00EA18FB">
            <w:pPr>
              <w:rPr>
                <w:sz w:val="20"/>
                <w:szCs w:val="20"/>
              </w:rPr>
            </w:pPr>
          </w:p>
        </w:tc>
        <w:tc>
          <w:tcPr>
            <w:tcW w:w="2835" w:type="dxa"/>
            <w:gridSpan w:val="2"/>
          </w:tcPr>
          <w:p w14:paraId="25E8A95F" w14:textId="77777777" w:rsidR="00EA18FB" w:rsidRPr="00F85073" w:rsidRDefault="00EA18FB" w:rsidP="00EA18FB">
            <w:pPr>
              <w:jc w:val="center"/>
              <w:rPr>
                <w:b/>
                <w:bCs/>
                <w:sz w:val="20"/>
                <w:szCs w:val="20"/>
              </w:rPr>
            </w:pPr>
            <w:r w:rsidRPr="00F85073">
              <w:rPr>
                <w:b/>
                <w:bCs/>
                <w:sz w:val="20"/>
                <w:szCs w:val="20"/>
              </w:rPr>
              <w:t>20-27</w:t>
            </w:r>
          </w:p>
          <w:p w14:paraId="69B6713C" w14:textId="77777777" w:rsidR="00EA18FB" w:rsidRPr="00F85073" w:rsidRDefault="00EA18FB" w:rsidP="00EA18FB">
            <w:pPr>
              <w:jc w:val="center"/>
              <w:rPr>
                <w:b/>
                <w:bCs/>
                <w:i/>
                <w:iCs/>
                <w:sz w:val="20"/>
                <w:szCs w:val="20"/>
              </w:rPr>
            </w:pPr>
            <w:r w:rsidRPr="00F85073">
              <w:rPr>
                <w:b/>
                <w:bCs/>
                <w:sz w:val="20"/>
                <w:szCs w:val="20"/>
              </w:rPr>
              <w:t>(n:93)</w:t>
            </w:r>
          </w:p>
        </w:tc>
        <w:tc>
          <w:tcPr>
            <w:tcW w:w="2982" w:type="dxa"/>
            <w:gridSpan w:val="3"/>
          </w:tcPr>
          <w:p w14:paraId="1722EED4" w14:textId="311EFC15" w:rsidR="00EA18FB" w:rsidRPr="00F85073" w:rsidRDefault="007705E4" w:rsidP="00EA18FB">
            <w:pPr>
              <w:jc w:val="center"/>
              <w:rPr>
                <w:b/>
                <w:bCs/>
                <w:sz w:val="20"/>
                <w:szCs w:val="20"/>
              </w:rPr>
            </w:pPr>
            <w:r w:rsidRPr="00F85073">
              <w:rPr>
                <w:b/>
                <w:bCs/>
                <w:sz w:val="20"/>
                <w:szCs w:val="20"/>
              </w:rPr>
              <w:t>≥</w:t>
            </w:r>
            <w:r w:rsidR="00EA18FB" w:rsidRPr="00F85073">
              <w:rPr>
                <w:b/>
                <w:bCs/>
                <w:sz w:val="20"/>
                <w:szCs w:val="20"/>
              </w:rPr>
              <w:t>28</w:t>
            </w:r>
          </w:p>
          <w:p w14:paraId="3231014D" w14:textId="77777777" w:rsidR="00EA18FB" w:rsidRPr="00F85073" w:rsidRDefault="00EA18FB" w:rsidP="00EA18FB">
            <w:pPr>
              <w:jc w:val="center"/>
              <w:rPr>
                <w:b/>
                <w:bCs/>
                <w:i/>
                <w:iCs/>
                <w:sz w:val="20"/>
                <w:szCs w:val="20"/>
              </w:rPr>
            </w:pPr>
            <w:r w:rsidRPr="00F85073">
              <w:rPr>
                <w:b/>
                <w:bCs/>
                <w:sz w:val="20"/>
                <w:szCs w:val="20"/>
              </w:rPr>
              <w:t>(n:125)</w:t>
            </w:r>
          </w:p>
        </w:tc>
      </w:tr>
      <w:tr w:rsidR="00EA18FB" w:rsidRPr="00F85073" w14:paraId="16EB2B72" w14:textId="77777777" w:rsidTr="00EA18FB">
        <w:trPr>
          <w:gridAfter w:val="1"/>
          <w:wAfter w:w="9" w:type="dxa"/>
          <w:trHeight w:val="480"/>
        </w:trPr>
        <w:tc>
          <w:tcPr>
            <w:tcW w:w="1974" w:type="dxa"/>
          </w:tcPr>
          <w:p w14:paraId="635EA65C" w14:textId="77777777" w:rsidR="00EA18FB" w:rsidRPr="00F85073" w:rsidRDefault="00EA18FB" w:rsidP="00EA18FB">
            <w:pPr>
              <w:rPr>
                <w:sz w:val="20"/>
                <w:szCs w:val="20"/>
              </w:rPr>
            </w:pPr>
          </w:p>
        </w:tc>
        <w:tc>
          <w:tcPr>
            <w:tcW w:w="2079" w:type="dxa"/>
          </w:tcPr>
          <w:p w14:paraId="4120F6F5" w14:textId="77777777" w:rsidR="00EA18FB" w:rsidRPr="00F85073" w:rsidRDefault="00EA18FB" w:rsidP="00EA18FB">
            <w:pPr>
              <w:jc w:val="center"/>
              <w:rPr>
                <w:b/>
                <w:bCs/>
                <w:sz w:val="20"/>
                <w:szCs w:val="20"/>
              </w:rPr>
            </w:pPr>
            <w:r w:rsidRPr="00F85073">
              <w:rPr>
                <w:b/>
                <w:bCs/>
                <w:sz w:val="20"/>
                <w:szCs w:val="20"/>
              </w:rPr>
              <w:t>OR (95% CI)</w:t>
            </w:r>
          </w:p>
        </w:tc>
        <w:tc>
          <w:tcPr>
            <w:tcW w:w="756" w:type="dxa"/>
          </w:tcPr>
          <w:p w14:paraId="28AEDF2F" w14:textId="77777777" w:rsidR="00EA18FB" w:rsidRPr="00F85073" w:rsidRDefault="00EA18FB" w:rsidP="00EA18FB">
            <w:pPr>
              <w:jc w:val="center"/>
              <w:rPr>
                <w:b/>
                <w:bCs/>
                <w:i/>
                <w:iCs/>
                <w:sz w:val="20"/>
                <w:szCs w:val="20"/>
              </w:rPr>
            </w:pPr>
            <w:r w:rsidRPr="00F85073">
              <w:rPr>
                <w:b/>
                <w:bCs/>
                <w:i/>
                <w:iCs/>
                <w:sz w:val="20"/>
                <w:szCs w:val="20"/>
              </w:rPr>
              <w:t>p</w:t>
            </w:r>
          </w:p>
        </w:tc>
        <w:tc>
          <w:tcPr>
            <w:tcW w:w="2211" w:type="dxa"/>
          </w:tcPr>
          <w:p w14:paraId="57B4E12B" w14:textId="77777777" w:rsidR="00EA18FB" w:rsidRPr="00F85073" w:rsidRDefault="00EA18FB" w:rsidP="00EA18FB">
            <w:pPr>
              <w:jc w:val="center"/>
              <w:rPr>
                <w:b/>
                <w:bCs/>
                <w:sz w:val="20"/>
                <w:szCs w:val="20"/>
              </w:rPr>
            </w:pPr>
            <w:r w:rsidRPr="00F85073">
              <w:rPr>
                <w:b/>
                <w:bCs/>
                <w:sz w:val="20"/>
                <w:szCs w:val="20"/>
              </w:rPr>
              <w:t>OR (95% CI)</w:t>
            </w:r>
          </w:p>
        </w:tc>
        <w:tc>
          <w:tcPr>
            <w:tcW w:w="762" w:type="dxa"/>
          </w:tcPr>
          <w:p w14:paraId="512F1951" w14:textId="77777777" w:rsidR="00EA18FB" w:rsidRPr="00F85073" w:rsidRDefault="00EA18FB" w:rsidP="00EA18FB">
            <w:pPr>
              <w:jc w:val="center"/>
              <w:rPr>
                <w:b/>
                <w:bCs/>
                <w:i/>
                <w:iCs/>
                <w:sz w:val="20"/>
                <w:szCs w:val="20"/>
              </w:rPr>
            </w:pPr>
            <w:r w:rsidRPr="00F85073">
              <w:rPr>
                <w:b/>
                <w:bCs/>
                <w:i/>
                <w:iCs/>
                <w:sz w:val="20"/>
                <w:szCs w:val="20"/>
              </w:rPr>
              <w:t>p</w:t>
            </w:r>
          </w:p>
        </w:tc>
      </w:tr>
      <w:tr w:rsidR="00EA18FB" w:rsidRPr="00F85073" w14:paraId="52266B82" w14:textId="77777777" w:rsidTr="00EA18FB">
        <w:trPr>
          <w:gridAfter w:val="1"/>
          <w:wAfter w:w="9" w:type="dxa"/>
          <w:trHeight w:val="453"/>
        </w:trPr>
        <w:tc>
          <w:tcPr>
            <w:tcW w:w="1974" w:type="dxa"/>
          </w:tcPr>
          <w:p w14:paraId="56EE60EC" w14:textId="77777777" w:rsidR="00EA18FB" w:rsidRPr="00F85073" w:rsidRDefault="00EA18FB" w:rsidP="00EA18FB">
            <w:pPr>
              <w:pStyle w:val="HTMLPreformatted"/>
              <w:rPr>
                <w:rFonts w:ascii="Times New Roman" w:hAnsi="Times New Roman" w:cs="Times New Roman"/>
                <w:b/>
                <w:bCs/>
                <w:color w:val="222222"/>
                <w:lang w:val="en"/>
              </w:rPr>
            </w:pPr>
            <w:r w:rsidRPr="00F85073">
              <w:rPr>
                <w:rFonts w:ascii="Times New Roman" w:hAnsi="Times New Roman" w:cs="Times New Roman"/>
                <w:b/>
                <w:bCs/>
                <w:color w:val="222222"/>
                <w:lang w:val="en"/>
              </w:rPr>
              <w:t>Systolic OH</w:t>
            </w:r>
          </w:p>
          <w:p w14:paraId="12091388" w14:textId="77777777" w:rsidR="00EA18FB" w:rsidRPr="00F85073" w:rsidRDefault="00EA18FB" w:rsidP="00EA18FB">
            <w:pPr>
              <w:rPr>
                <w:b/>
                <w:bCs/>
                <w:sz w:val="20"/>
                <w:szCs w:val="20"/>
              </w:rPr>
            </w:pPr>
            <w:r w:rsidRPr="00F85073">
              <w:rPr>
                <w:b/>
                <w:bCs/>
                <w:color w:val="222222"/>
                <w:sz w:val="20"/>
                <w:szCs w:val="20"/>
                <w:lang w:val="en"/>
              </w:rPr>
              <w:t>(first minute)</w:t>
            </w:r>
          </w:p>
        </w:tc>
        <w:tc>
          <w:tcPr>
            <w:tcW w:w="2079" w:type="dxa"/>
          </w:tcPr>
          <w:p w14:paraId="013EFB10" w14:textId="77777777" w:rsidR="00EA18FB" w:rsidRPr="00F85073" w:rsidRDefault="00EA18FB" w:rsidP="00EA18FB">
            <w:pPr>
              <w:tabs>
                <w:tab w:val="center" w:pos="931"/>
              </w:tabs>
              <w:rPr>
                <w:sz w:val="20"/>
                <w:szCs w:val="20"/>
              </w:rPr>
            </w:pPr>
            <w:r w:rsidRPr="00F85073">
              <w:rPr>
                <w:sz w:val="20"/>
                <w:szCs w:val="20"/>
              </w:rPr>
              <w:t>1,20 (0,51-2,81)</w:t>
            </w:r>
          </w:p>
        </w:tc>
        <w:tc>
          <w:tcPr>
            <w:tcW w:w="756" w:type="dxa"/>
          </w:tcPr>
          <w:p w14:paraId="68324032" w14:textId="77777777" w:rsidR="00EA18FB" w:rsidRPr="00F85073" w:rsidRDefault="00EA18FB" w:rsidP="00EA18FB">
            <w:pPr>
              <w:rPr>
                <w:sz w:val="20"/>
                <w:szCs w:val="20"/>
              </w:rPr>
            </w:pPr>
            <w:r w:rsidRPr="00F85073">
              <w:rPr>
                <w:sz w:val="20"/>
                <w:szCs w:val="20"/>
              </w:rPr>
              <w:t>0,670</w:t>
            </w:r>
          </w:p>
        </w:tc>
        <w:tc>
          <w:tcPr>
            <w:tcW w:w="2211" w:type="dxa"/>
          </w:tcPr>
          <w:p w14:paraId="6AD59E85" w14:textId="77777777" w:rsidR="00EA18FB" w:rsidRPr="00F85073" w:rsidRDefault="00EA18FB" w:rsidP="00EA18FB">
            <w:pPr>
              <w:rPr>
                <w:sz w:val="20"/>
                <w:szCs w:val="20"/>
              </w:rPr>
            </w:pPr>
            <w:r w:rsidRPr="00F85073">
              <w:rPr>
                <w:sz w:val="20"/>
                <w:szCs w:val="20"/>
              </w:rPr>
              <w:t>2,58 (1,07-6,24)</w:t>
            </w:r>
          </w:p>
        </w:tc>
        <w:tc>
          <w:tcPr>
            <w:tcW w:w="762" w:type="dxa"/>
          </w:tcPr>
          <w:p w14:paraId="202F5040" w14:textId="77777777" w:rsidR="00EA18FB" w:rsidRPr="00F85073" w:rsidRDefault="00EA18FB" w:rsidP="00EA18FB">
            <w:pPr>
              <w:rPr>
                <w:sz w:val="20"/>
                <w:szCs w:val="20"/>
              </w:rPr>
            </w:pPr>
            <w:r w:rsidRPr="00F85073">
              <w:rPr>
                <w:sz w:val="20"/>
                <w:szCs w:val="20"/>
              </w:rPr>
              <w:t>0,035</w:t>
            </w:r>
          </w:p>
        </w:tc>
      </w:tr>
      <w:tr w:rsidR="00EA18FB" w:rsidRPr="00F85073" w14:paraId="41CC5370" w14:textId="77777777" w:rsidTr="00EA18FB">
        <w:trPr>
          <w:gridAfter w:val="1"/>
          <w:wAfter w:w="9" w:type="dxa"/>
          <w:trHeight w:val="532"/>
        </w:trPr>
        <w:tc>
          <w:tcPr>
            <w:tcW w:w="1974" w:type="dxa"/>
          </w:tcPr>
          <w:p w14:paraId="26F74646" w14:textId="77777777" w:rsidR="00EA18FB" w:rsidRPr="00F85073" w:rsidRDefault="00EA18FB" w:rsidP="00EA18FB">
            <w:pPr>
              <w:pStyle w:val="HTMLPreformatted"/>
              <w:rPr>
                <w:rFonts w:ascii="Times New Roman" w:hAnsi="Times New Roman" w:cs="Times New Roman"/>
                <w:b/>
                <w:bCs/>
                <w:color w:val="222222"/>
                <w:lang w:val="en"/>
              </w:rPr>
            </w:pPr>
            <w:r w:rsidRPr="00F85073">
              <w:rPr>
                <w:rFonts w:ascii="Times New Roman" w:hAnsi="Times New Roman" w:cs="Times New Roman"/>
                <w:b/>
                <w:bCs/>
                <w:color w:val="222222"/>
                <w:lang w:val="en"/>
              </w:rPr>
              <w:t xml:space="preserve">Diastolic OH </w:t>
            </w:r>
          </w:p>
          <w:p w14:paraId="774FC26B" w14:textId="77777777" w:rsidR="00EA18FB" w:rsidRPr="00F85073" w:rsidRDefault="00EA18FB" w:rsidP="00EA18FB">
            <w:pPr>
              <w:rPr>
                <w:b/>
                <w:bCs/>
                <w:sz w:val="20"/>
                <w:szCs w:val="20"/>
              </w:rPr>
            </w:pPr>
            <w:r w:rsidRPr="00F85073">
              <w:rPr>
                <w:b/>
                <w:bCs/>
                <w:color w:val="222222"/>
                <w:sz w:val="20"/>
                <w:szCs w:val="20"/>
                <w:lang w:val="en"/>
              </w:rPr>
              <w:t>(first minute)</w:t>
            </w:r>
          </w:p>
        </w:tc>
        <w:tc>
          <w:tcPr>
            <w:tcW w:w="2079" w:type="dxa"/>
          </w:tcPr>
          <w:p w14:paraId="49E27EA7" w14:textId="77777777" w:rsidR="00EA18FB" w:rsidRPr="00F85073" w:rsidRDefault="00EA18FB" w:rsidP="00EA18FB">
            <w:pPr>
              <w:rPr>
                <w:sz w:val="20"/>
                <w:szCs w:val="20"/>
              </w:rPr>
            </w:pPr>
            <w:r w:rsidRPr="00F85073">
              <w:rPr>
                <w:sz w:val="20"/>
                <w:szCs w:val="20"/>
              </w:rPr>
              <w:t>1,30 (0,61-2,74)</w:t>
            </w:r>
          </w:p>
        </w:tc>
        <w:tc>
          <w:tcPr>
            <w:tcW w:w="756" w:type="dxa"/>
          </w:tcPr>
          <w:p w14:paraId="1121A935" w14:textId="77777777" w:rsidR="00EA18FB" w:rsidRPr="00F85073" w:rsidRDefault="00EA18FB" w:rsidP="00EA18FB">
            <w:pPr>
              <w:rPr>
                <w:sz w:val="20"/>
                <w:szCs w:val="20"/>
              </w:rPr>
            </w:pPr>
            <w:r w:rsidRPr="00F85073">
              <w:rPr>
                <w:sz w:val="20"/>
                <w:szCs w:val="20"/>
              </w:rPr>
              <w:t>0,488</w:t>
            </w:r>
          </w:p>
        </w:tc>
        <w:tc>
          <w:tcPr>
            <w:tcW w:w="2211" w:type="dxa"/>
          </w:tcPr>
          <w:p w14:paraId="5365163E" w14:textId="77777777" w:rsidR="00EA18FB" w:rsidRPr="00F85073" w:rsidRDefault="00EA18FB" w:rsidP="00EA18FB">
            <w:pPr>
              <w:rPr>
                <w:sz w:val="20"/>
                <w:szCs w:val="20"/>
              </w:rPr>
            </w:pPr>
            <w:r w:rsidRPr="00F85073">
              <w:rPr>
                <w:sz w:val="20"/>
                <w:szCs w:val="20"/>
              </w:rPr>
              <w:t>1,22 (0,57-2,60)</w:t>
            </w:r>
          </w:p>
        </w:tc>
        <w:tc>
          <w:tcPr>
            <w:tcW w:w="762" w:type="dxa"/>
          </w:tcPr>
          <w:p w14:paraId="68132702" w14:textId="77777777" w:rsidR="00EA18FB" w:rsidRPr="00F85073" w:rsidRDefault="00EA18FB" w:rsidP="00EA18FB">
            <w:pPr>
              <w:rPr>
                <w:sz w:val="20"/>
                <w:szCs w:val="20"/>
              </w:rPr>
            </w:pPr>
            <w:r w:rsidRPr="00F85073">
              <w:rPr>
                <w:sz w:val="20"/>
                <w:szCs w:val="20"/>
              </w:rPr>
              <w:t>0,599</w:t>
            </w:r>
          </w:p>
        </w:tc>
      </w:tr>
      <w:tr w:rsidR="00EA18FB" w:rsidRPr="00F85073" w14:paraId="22E68061" w14:textId="77777777" w:rsidTr="00EA18FB">
        <w:trPr>
          <w:gridAfter w:val="1"/>
          <w:wAfter w:w="9" w:type="dxa"/>
          <w:trHeight w:val="425"/>
        </w:trPr>
        <w:tc>
          <w:tcPr>
            <w:tcW w:w="1974" w:type="dxa"/>
          </w:tcPr>
          <w:p w14:paraId="56A9D61D" w14:textId="77777777" w:rsidR="00EA18FB" w:rsidRPr="00F85073" w:rsidRDefault="00EA18FB" w:rsidP="00EA18FB">
            <w:pPr>
              <w:pStyle w:val="HTMLPreformatted"/>
              <w:rPr>
                <w:rFonts w:ascii="Times New Roman" w:hAnsi="Times New Roman" w:cs="Times New Roman"/>
                <w:b/>
                <w:bCs/>
                <w:color w:val="222222"/>
                <w:lang w:val="en"/>
              </w:rPr>
            </w:pPr>
            <w:r w:rsidRPr="00F85073">
              <w:rPr>
                <w:rFonts w:ascii="Times New Roman" w:hAnsi="Times New Roman" w:cs="Times New Roman"/>
                <w:b/>
                <w:bCs/>
                <w:color w:val="222222"/>
                <w:lang w:val="en"/>
              </w:rPr>
              <w:t>OH</w:t>
            </w:r>
          </w:p>
          <w:p w14:paraId="4C87FBFD" w14:textId="77777777" w:rsidR="00EA18FB" w:rsidRPr="00F85073" w:rsidRDefault="00EA18FB" w:rsidP="00EA18FB">
            <w:pPr>
              <w:rPr>
                <w:b/>
                <w:bCs/>
                <w:sz w:val="20"/>
                <w:szCs w:val="20"/>
              </w:rPr>
            </w:pPr>
            <w:r w:rsidRPr="00F85073">
              <w:rPr>
                <w:b/>
                <w:bCs/>
                <w:color w:val="222222"/>
                <w:sz w:val="20"/>
                <w:szCs w:val="20"/>
                <w:lang w:val="en"/>
              </w:rPr>
              <w:t>(first minute)</w:t>
            </w:r>
          </w:p>
        </w:tc>
        <w:tc>
          <w:tcPr>
            <w:tcW w:w="2079" w:type="dxa"/>
          </w:tcPr>
          <w:p w14:paraId="17DAF081" w14:textId="77777777" w:rsidR="00EA18FB" w:rsidRPr="00F85073" w:rsidRDefault="00EA18FB" w:rsidP="00EA18FB">
            <w:pPr>
              <w:rPr>
                <w:sz w:val="20"/>
                <w:szCs w:val="20"/>
              </w:rPr>
            </w:pPr>
            <w:r w:rsidRPr="00F85073">
              <w:rPr>
                <w:sz w:val="20"/>
                <w:szCs w:val="20"/>
              </w:rPr>
              <w:t>1,10 (0,59-2,06)</w:t>
            </w:r>
          </w:p>
        </w:tc>
        <w:tc>
          <w:tcPr>
            <w:tcW w:w="756" w:type="dxa"/>
          </w:tcPr>
          <w:p w14:paraId="4549454D" w14:textId="77777777" w:rsidR="00EA18FB" w:rsidRPr="00F85073" w:rsidRDefault="00EA18FB" w:rsidP="00EA18FB">
            <w:pPr>
              <w:rPr>
                <w:sz w:val="20"/>
                <w:szCs w:val="20"/>
              </w:rPr>
            </w:pPr>
            <w:r w:rsidRPr="00F85073">
              <w:rPr>
                <w:sz w:val="20"/>
                <w:szCs w:val="20"/>
              </w:rPr>
              <w:t>0,747</w:t>
            </w:r>
          </w:p>
        </w:tc>
        <w:tc>
          <w:tcPr>
            <w:tcW w:w="2211" w:type="dxa"/>
          </w:tcPr>
          <w:p w14:paraId="26F47CE8" w14:textId="77777777" w:rsidR="00EA18FB" w:rsidRPr="00F85073" w:rsidRDefault="00EA18FB" w:rsidP="00EA18FB">
            <w:pPr>
              <w:rPr>
                <w:sz w:val="20"/>
                <w:szCs w:val="20"/>
              </w:rPr>
            </w:pPr>
            <w:r w:rsidRPr="00F85073">
              <w:rPr>
                <w:sz w:val="20"/>
                <w:szCs w:val="20"/>
              </w:rPr>
              <w:t>2,14 (1,14-4,00)</w:t>
            </w:r>
          </w:p>
        </w:tc>
        <w:tc>
          <w:tcPr>
            <w:tcW w:w="762" w:type="dxa"/>
          </w:tcPr>
          <w:p w14:paraId="0C689345" w14:textId="77777777" w:rsidR="00EA18FB" w:rsidRPr="00F85073" w:rsidRDefault="00EA18FB" w:rsidP="00EA18FB">
            <w:pPr>
              <w:rPr>
                <w:sz w:val="20"/>
                <w:szCs w:val="20"/>
              </w:rPr>
            </w:pPr>
            <w:r w:rsidRPr="00F85073">
              <w:rPr>
                <w:sz w:val="20"/>
                <w:szCs w:val="20"/>
              </w:rPr>
              <w:t>0,017</w:t>
            </w:r>
          </w:p>
        </w:tc>
      </w:tr>
      <w:tr w:rsidR="00EA18FB" w:rsidRPr="00F85073" w14:paraId="7124D8D2" w14:textId="77777777" w:rsidTr="00EA18FB">
        <w:trPr>
          <w:gridAfter w:val="1"/>
          <w:wAfter w:w="9" w:type="dxa"/>
          <w:trHeight w:val="516"/>
        </w:trPr>
        <w:tc>
          <w:tcPr>
            <w:tcW w:w="1974" w:type="dxa"/>
          </w:tcPr>
          <w:p w14:paraId="7FD7D98F" w14:textId="77777777" w:rsidR="00EA18FB" w:rsidRPr="00F85073" w:rsidRDefault="00EA18FB" w:rsidP="00EA18FB">
            <w:pPr>
              <w:pStyle w:val="HTMLPreformatted"/>
              <w:rPr>
                <w:rFonts w:ascii="Times New Roman" w:hAnsi="Times New Roman" w:cs="Times New Roman"/>
                <w:b/>
                <w:bCs/>
                <w:color w:val="222222"/>
                <w:lang w:val="en"/>
              </w:rPr>
            </w:pPr>
            <w:r w:rsidRPr="00F85073">
              <w:rPr>
                <w:rFonts w:ascii="Times New Roman" w:hAnsi="Times New Roman" w:cs="Times New Roman"/>
                <w:b/>
                <w:bCs/>
                <w:color w:val="222222"/>
                <w:lang w:val="en"/>
              </w:rPr>
              <w:t>Systolic OH</w:t>
            </w:r>
          </w:p>
          <w:p w14:paraId="16C2385D" w14:textId="77777777" w:rsidR="00EA18FB" w:rsidRPr="00F85073" w:rsidRDefault="00EA18FB" w:rsidP="00EA18FB">
            <w:pPr>
              <w:rPr>
                <w:b/>
                <w:bCs/>
                <w:sz w:val="20"/>
                <w:szCs w:val="20"/>
              </w:rPr>
            </w:pPr>
            <w:r w:rsidRPr="00F85073">
              <w:rPr>
                <w:b/>
                <w:bCs/>
                <w:color w:val="222222"/>
                <w:sz w:val="20"/>
                <w:szCs w:val="20"/>
                <w:lang w:val="en"/>
              </w:rPr>
              <w:t>(third minute)</w:t>
            </w:r>
          </w:p>
        </w:tc>
        <w:tc>
          <w:tcPr>
            <w:tcW w:w="2079" w:type="dxa"/>
          </w:tcPr>
          <w:p w14:paraId="33F9138A" w14:textId="77777777" w:rsidR="00EA18FB" w:rsidRPr="00F85073" w:rsidRDefault="00EA18FB" w:rsidP="00EA18FB">
            <w:pPr>
              <w:rPr>
                <w:sz w:val="20"/>
                <w:szCs w:val="20"/>
              </w:rPr>
            </w:pPr>
            <w:r w:rsidRPr="00F85073">
              <w:rPr>
                <w:sz w:val="20"/>
                <w:szCs w:val="20"/>
              </w:rPr>
              <w:t>0,79 (0,36-1,71)</w:t>
            </w:r>
          </w:p>
        </w:tc>
        <w:tc>
          <w:tcPr>
            <w:tcW w:w="756" w:type="dxa"/>
          </w:tcPr>
          <w:p w14:paraId="756F611B" w14:textId="77777777" w:rsidR="00EA18FB" w:rsidRPr="00F85073" w:rsidRDefault="00EA18FB" w:rsidP="00EA18FB">
            <w:pPr>
              <w:rPr>
                <w:sz w:val="20"/>
                <w:szCs w:val="20"/>
              </w:rPr>
            </w:pPr>
            <w:r w:rsidRPr="00F85073">
              <w:rPr>
                <w:sz w:val="20"/>
                <w:szCs w:val="20"/>
              </w:rPr>
              <w:t>0,55</w:t>
            </w:r>
          </w:p>
        </w:tc>
        <w:tc>
          <w:tcPr>
            <w:tcW w:w="2211" w:type="dxa"/>
          </w:tcPr>
          <w:p w14:paraId="4CED500E" w14:textId="77777777" w:rsidR="00EA18FB" w:rsidRPr="00F85073" w:rsidRDefault="00EA18FB" w:rsidP="00EA18FB">
            <w:pPr>
              <w:rPr>
                <w:sz w:val="20"/>
                <w:szCs w:val="20"/>
              </w:rPr>
            </w:pPr>
            <w:r w:rsidRPr="00F85073">
              <w:rPr>
                <w:sz w:val="20"/>
                <w:szCs w:val="20"/>
              </w:rPr>
              <w:t>2,69 (1,26-5,77)</w:t>
            </w:r>
          </w:p>
        </w:tc>
        <w:tc>
          <w:tcPr>
            <w:tcW w:w="762" w:type="dxa"/>
          </w:tcPr>
          <w:p w14:paraId="4724FDAE" w14:textId="77777777" w:rsidR="00EA18FB" w:rsidRPr="00F85073" w:rsidRDefault="00EA18FB" w:rsidP="00EA18FB">
            <w:pPr>
              <w:rPr>
                <w:sz w:val="20"/>
                <w:szCs w:val="20"/>
              </w:rPr>
            </w:pPr>
            <w:r w:rsidRPr="00F85073">
              <w:rPr>
                <w:sz w:val="20"/>
                <w:szCs w:val="20"/>
              </w:rPr>
              <w:t>0,011</w:t>
            </w:r>
          </w:p>
        </w:tc>
      </w:tr>
      <w:tr w:rsidR="00EA18FB" w:rsidRPr="00F85073" w14:paraId="3D2E009C" w14:textId="77777777" w:rsidTr="00EA18FB">
        <w:trPr>
          <w:gridAfter w:val="1"/>
          <w:wAfter w:w="9" w:type="dxa"/>
          <w:trHeight w:val="424"/>
        </w:trPr>
        <w:tc>
          <w:tcPr>
            <w:tcW w:w="1974" w:type="dxa"/>
          </w:tcPr>
          <w:p w14:paraId="2D9EDD9C" w14:textId="77777777" w:rsidR="00EA18FB" w:rsidRPr="00F85073" w:rsidRDefault="00EA18FB" w:rsidP="00EA18FB">
            <w:pPr>
              <w:pStyle w:val="HTMLPreformatted"/>
              <w:rPr>
                <w:rFonts w:ascii="Times New Roman" w:hAnsi="Times New Roman" w:cs="Times New Roman"/>
                <w:b/>
                <w:bCs/>
                <w:color w:val="222222"/>
                <w:lang w:val="en"/>
              </w:rPr>
            </w:pPr>
            <w:r w:rsidRPr="00F85073">
              <w:rPr>
                <w:rFonts w:ascii="Times New Roman" w:hAnsi="Times New Roman" w:cs="Times New Roman"/>
                <w:b/>
                <w:bCs/>
                <w:color w:val="222222"/>
                <w:lang w:val="en"/>
              </w:rPr>
              <w:t xml:space="preserve">Diastolic OH </w:t>
            </w:r>
          </w:p>
          <w:p w14:paraId="42A8841C" w14:textId="77777777" w:rsidR="00EA18FB" w:rsidRPr="00F85073" w:rsidRDefault="00EA18FB" w:rsidP="00EA18FB">
            <w:pPr>
              <w:rPr>
                <w:b/>
                <w:bCs/>
                <w:sz w:val="20"/>
                <w:szCs w:val="20"/>
              </w:rPr>
            </w:pPr>
            <w:r w:rsidRPr="00F85073">
              <w:rPr>
                <w:b/>
                <w:bCs/>
                <w:color w:val="222222"/>
                <w:sz w:val="20"/>
                <w:szCs w:val="20"/>
                <w:lang w:val="en"/>
              </w:rPr>
              <w:t>(third minute)</w:t>
            </w:r>
          </w:p>
        </w:tc>
        <w:tc>
          <w:tcPr>
            <w:tcW w:w="2079" w:type="dxa"/>
          </w:tcPr>
          <w:p w14:paraId="55E1093A" w14:textId="77777777" w:rsidR="00EA18FB" w:rsidRPr="00F85073" w:rsidRDefault="00EA18FB" w:rsidP="00EA18FB">
            <w:pPr>
              <w:rPr>
                <w:sz w:val="20"/>
                <w:szCs w:val="20"/>
              </w:rPr>
            </w:pPr>
            <w:r w:rsidRPr="00F85073">
              <w:rPr>
                <w:sz w:val="20"/>
                <w:szCs w:val="20"/>
              </w:rPr>
              <w:t>1,16 (0,54-2,45)</w:t>
            </w:r>
          </w:p>
        </w:tc>
        <w:tc>
          <w:tcPr>
            <w:tcW w:w="756" w:type="dxa"/>
          </w:tcPr>
          <w:p w14:paraId="352BD4DB" w14:textId="77777777" w:rsidR="00EA18FB" w:rsidRPr="00F85073" w:rsidRDefault="00EA18FB" w:rsidP="00EA18FB">
            <w:pPr>
              <w:rPr>
                <w:sz w:val="20"/>
                <w:szCs w:val="20"/>
              </w:rPr>
            </w:pPr>
            <w:r w:rsidRPr="00F85073">
              <w:rPr>
                <w:sz w:val="20"/>
                <w:szCs w:val="20"/>
              </w:rPr>
              <w:t>0,69</w:t>
            </w:r>
          </w:p>
        </w:tc>
        <w:tc>
          <w:tcPr>
            <w:tcW w:w="2211" w:type="dxa"/>
          </w:tcPr>
          <w:p w14:paraId="6D91A6C7" w14:textId="77777777" w:rsidR="00EA18FB" w:rsidRPr="00F85073" w:rsidRDefault="00EA18FB" w:rsidP="00EA18FB">
            <w:pPr>
              <w:rPr>
                <w:sz w:val="20"/>
                <w:szCs w:val="20"/>
              </w:rPr>
            </w:pPr>
            <w:r w:rsidRPr="00F85073">
              <w:rPr>
                <w:sz w:val="20"/>
                <w:szCs w:val="20"/>
              </w:rPr>
              <w:t>1,98 (0,93-4,49)</w:t>
            </w:r>
          </w:p>
        </w:tc>
        <w:tc>
          <w:tcPr>
            <w:tcW w:w="762" w:type="dxa"/>
          </w:tcPr>
          <w:p w14:paraId="07B81C9A" w14:textId="77777777" w:rsidR="00EA18FB" w:rsidRPr="00F85073" w:rsidRDefault="00EA18FB" w:rsidP="00EA18FB">
            <w:pPr>
              <w:rPr>
                <w:sz w:val="20"/>
                <w:szCs w:val="20"/>
              </w:rPr>
            </w:pPr>
            <w:r w:rsidRPr="00F85073">
              <w:rPr>
                <w:sz w:val="20"/>
                <w:szCs w:val="20"/>
              </w:rPr>
              <w:t>0,073</w:t>
            </w:r>
          </w:p>
        </w:tc>
      </w:tr>
      <w:tr w:rsidR="00EA18FB" w:rsidRPr="00F85073" w14:paraId="299A5BBC" w14:textId="77777777" w:rsidTr="00EA18FB">
        <w:trPr>
          <w:gridAfter w:val="1"/>
          <w:wAfter w:w="9" w:type="dxa"/>
          <w:trHeight w:val="516"/>
        </w:trPr>
        <w:tc>
          <w:tcPr>
            <w:tcW w:w="1974" w:type="dxa"/>
          </w:tcPr>
          <w:p w14:paraId="28DA3126" w14:textId="77777777" w:rsidR="00EA18FB" w:rsidRPr="00F85073" w:rsidRDefault="00EA18FB" w:rsidP="00EA18FB">
            <w:pPr>
              <w:pStyle w:val="HTMLPreformatted"/>
              <w:rPr>
                <w:rFonts w:ascii="Times New Roman" w:hAnsi="Times New Roman" w:cs="Times New Roman"/>
                <w:b/>
                <w:bCs/>
                <w:color w:val="222222"/>
                <w:lang w:val="en"/>
              </w:rPr>
            </w:pPr>
            <w:r w:rsidRPr="00F85073">
              <w:rPr>
                <w:rFonts w:ascii="Times New Roman" w:hAnsi="Times New Roman" w:cs="Times New Roman"/>
                <w:b/>
                <w:bCs/>
                <w:color w:val="222222"/>
                <w:lang w:val="en"/>
              </w:rPr>
              <w:t xml:space="preserve">OH </w:t>
            </w:r>
          </w:p>
          <w:p w14:paraId="559C356D" w14:textId="77777777" w:rsidR="00EA18FB" w:rsidRPr="00F85073" w:rsidRDefault="00EA18FB" w:rsidP="00EA18FB">
            <w:pPr>
              <w:rPr>
                <w:b/>
                <w:bCs/>
                <w:sz w:val="20"/>
                <w:szCs w:val="20"/>
              </w:rPr>
            </w:pPr>
            <w:r w:rsidRPr="00F85073">
              <w:rPr>
                <w:b/>
                <w:bCs/>
                <w:color w:val="222222"/>
                <w:sz w:val="20"/>
                <w:szCs w:val="20"/>
                <w:lang w:val="en"/>
              </w:rPr>
              <w:t>(third minute)</w:t>
            </w:r>
          </w:p>
        </w:tc>
        <w:tc>
          <w:tcPr>
            <w:tcW w:w="2079" w:type="dxa"/>
          </w:tcPr>
          <w:p w14:paraId="64BA8065" w14:textId="77777777" w:rsidR="00EA18FB" w:rsidRPr="00F85073" w:rsidRDefault="00EA18FB" w:rsidP="00EA18FB">
            <w:pPr>
              <w:rPr>
                <w:sz w:val="20"/>
                <w:szCs w:val="20"/>
              </w:rPr>
            </w:pPr>
            <w:r w:rsidRPr="00F85073">
              <w:rPr>
                <w:sz w:val="20"/>
                <w:szCs w:val="20"/>
              </w:rPr>
              <w:t>0,89 (0,47-1,67)</w:t>
            </w:r>
          </w:p>
        </w:tc>
        <w:tc>
          <w:tcPr>
            <w:tcW w:w="756" w:type="dxa"/>
          </w:tcPr>
          <w:p w14:paraId="61DC8ED0" w14:textId="77777777" w:rsidR="00EA18FB" w:rsidRPr="00F85073" w:rsidRDefault="00EA18FB" w:rsidP="00EA18FB">
            <w:pPr>
              <w:rPr>
                <w:sz w:val="20"/>
                <w:szCs w:val="20"/>
              </w:rPr>
            </w:pPr>
            <w:r w:rsidRPr="00F85073">
              <w:rPr>
                <w:sz w:val="20"/>
                <w:szCs w:val="20"/>
              </w:rPr>
              <w:t>0,727</w:t>
            </w:r>
          </w:p>
        </w:tc>
        <w:tc>
          <w:tcPr>
            <w:tcW w:w="2211" w:type="dxa"/>
          </w:tcPr>
          <w:p w14:paraId="655F9F85" w14:textId="77777777" w:rsidR="00EA18FB" w:rsidRPr="00F85073" w:rsidRDefault="00EA18FB" w:rsidP="00EA18FB">
            <w:pPr>
              <w:rPr>
                <w:sz w:val="20"/>
                <w:szCs w:val="20"/>
              </w:rPr>
            </w:pPr>
            <w:r w:rsidRPr="00F85073">
              <w:rPr>
                <w:sz w:val="20"/>
                <w:szCs w:val="20"/>
              </w:rPr>
              <w:t>2,72 (1,46-5,09)</w:t>
            </w:r>
          </w:p>
        </w:tc>
        <w:tc>
          <w:tcPr>
            <w:tcW w:w="762" w:type="dxa"/>
          </w:tcPr>
          <w:p w14:paraId="2077A8FB" w14:textId="77777777" w:rsidR="00EA18FB" w:rsidRPr="00F85073" w:rsidRDefault="00EA18FB" w:rsidP="00EA18FB">
            <w:pPr>
              <w:rPr>
                <w:sz w:val="20"/>
                <w:szCs w:val="20"/>
              </w:rPr>
            </w:pPr>
            <w:r w:rsidRPr="00F85073">
              <w:rPr>
                <w:sz w:val="20"/>
                <w:szCs w:val="20"/>
              </w:rPr>
              <w:t>0,002</w:t>
            </w:r>
          </w:p>
        </w:tc>
      </w:tr>
    </w:tbl>
    <w:p w14:paraId="077AE7AD" w14:textId="35BB43D1" w:rsidR="00BB4FF6" w:rsidRPr="00F85073" w:rsidRDefault="00BB4FF6" w:rsidP="00BB4FF6">
      <w:pPr>
        <w:rPr>
          <w:sz w:val="22"/>
          <w:szCs w:val="22"/>
        </w:rPr>
      </w:pPr>
    </w:p>
    <w:p w14:paraId="5CBA88E4" w14:textId="77777777" w:rsidR="00BB4FF6" w:rsidRPr="00F85073" w:rsidRDefault="00BB4FF6" w:rsidP="00F43EDA">
      <w:pPr>
        <w:spacing w:line="360" w:lineRule="auto"/>
        <w:jc w:val="both"/>
        <w:rPr>
          <w:color w:val="FF0000"/>
          <w:sz w:val="22"/>
          <w:szCs w:val="22"/>
        </w:rPr>
      </w:pPr>
    </w:p>
    <w:p w14:paraId="6C257E91" w14:textId="77777777" w:rsidR="00EA18FB" w:rsidRPr="00F85073" w:rsidRDefault="00EA18FB" w:rsidP="006A4AD7">
      <w:pPr>
        <w:spacing w:line="360" w:lineRule="auto"/>
        <w:jc w:val="both"/>
        <w:rPr>
          <w:sz w:val="22"/>
          <w:szCs w:val="22"/>
        </w:rPr>
      </w:pPr>
    </w:p>
    <w:p w14:paraId="7575721D" w14:textId="77777777" w:rsidR="00EA18FB" w:rsidRPr="00F85073" w:rsidRDefault="00EA18FB" w:rsidP="006A4AD7">
      <w:pPr>
        <w:spacing w:line="360" w:lineRule="auto"/>
        <w:jc w:val="both"/>
        <w:rPr>
          <w:sz w:val="22"/>
          <w:szCs w:val="22"/>
        </w:rPr>
      </w:pPr>
    </w:p>
    <w:p w14:paraId="35A7C30A" w14:textId="77777777" w:rsidR="00EA18FB" w:rsidRPr="00F85073" w:rsidRDefault="00EA18FB" w:rsidP="006A4AD7">
      <w:pPr>
        <w:spacing w:line="360" w:lineRule="auto"/>
        <w:jc w:val="both"/>
        <w:rPr>
          <w:sz w:val="22"/>
          <w:szCs w:val="22"/>
        </w:rPr>
      </w:pPr>
    </w:p>
    <w:p w14:paraId="7FF21DE3" w14:textId="77777777" w:rsidR="00EA18FB" w:rsidRPr="00F85073" w:rsidRDefault="00EA18FB" w:rsidP="006A4AD7">
      <w:pPr>
        <w:spacing w:line="360" w:lineRule="auto"/>
        <w:jc w:val="both"/>
        <w:rPr>
          <w:sz w:val="22"/>
          <w:szCs w:val="22"/>
        </w:rPr>
      </w:pPr>
    </w:p>
    <w:p w14:paraId="067183B5" w14:textId="77777777" w:rsidR="00EA18FB" w:rsidRPr="00F85073" w:rsidRDefault="00EA18FB" w:rsidP="006A4AD7">
      <w:pPr>
        <w:spacing w:line="360" w:lineRule="auto"/>
        <w:jc w:val="both"/>
        <w:rPr>
          <w:sz w:val="22"/>
          <w:szCs w:val="22"/>
        </w:rPr>
      </w:pPr>
    </w:p>
    <w:p w14:paraId="4BD65C25" w14:textId="77777777" w:rsidR="00EA18FB" w:rsidRPr="00F85073" w:rsidRDefault="00EA18FB" w:rsidP="006A4AD7">
      <w:pPr>
        <w:spacing w:line="360" w:lineRule="auto"/>
        <w:jc w:val="both"/>
        <w:rPr>
          <w:sz w:val="22"/>
          <w:szCs w:val="22"/>
        </w:rPr>
      </w:pPr>
    </w:p>
    <w:p w14:paraId="7999C36A" w14:textId="77777777" w:rsidR="00EA18FB" w:rsidRPr="00F85073" w:rsidRDefault="00EA18FB" w:rsidP="006A4AD7">
      <w:pPr>
        <w:spacing w:line="360" w:lineRule="auto"/>
        <w:jc w:val="both"/>
        <w:rPr>
          <w:sz w:val="22"/>
          <w:szCs w:val="22"/>
        </w:rPr>
      </w:pPr>
    </w:p>
    <w:p w14:paraId="1AEAC0C2" w14:textId="77777777" w:rsidR="00EA18FB" w:rsidRPr="00F85073" w:rsidRDefault="00EA18FB" w:rsidP="006A4AD7">
      <w:pPr>
        <w:spacing w:line="360" w:lineRule="auto"/>
        <w:jc w:val="both"/>
        <w:rPr>
          <w:sz w:val="22"/>
          <w:szCs w:val="22"/>
        </w:rPr>
      </w:pPr>
    </w:p>
    <w:p w14:paraId="3AF180B5" w14:textId="77777777" w:rsidR="00EA18FB" w:rsidRPr="00F85073" w:rsidRDefault="00EA18FB" w:rsidP="006A4AD7">
      <w:pPr>
        <w:spacing w:line="360" w:lineRule="auto"/>
        <w:jc w:val="both"/>
        <w:rPr>
          <w:sz w:val="22"/>
          <w:szCs w:val="22"/>
        </w:rPr>
      </w:pPr>
    </w:p>
    <w:p w14:paraId="5DE37C5D" w14:textId="77777777" w:rsidR="00EA18FB" w:rsidRPr="00F85073" w:rsidRDefault="00EA18FB" w:rsidP="006A4AD7">
      <w:pPr>
        <w:spacing w:line="360" w:lineRule="auto"/>
        <w:jc w:val="both"/>
        <w:rPr>
          <w:sz w:val="22"/>
          <w:szCs w:val="22"/>
        </w:rPr>
      </w:pPr>
    </w:p>
    <w:p w14:paraId="160EC716" w14:textId="77777777" w:rsidR="00F80265" w:rsidRPr="00F85073" w:rsidRDefault="00F80265" w:rsidP="00F80265">
      <w:pPr>
        <w:spacing w:line="360" w:lineRule="auto"/>
        <w:jc w:val="both"/>
        <w:rPr>
          <w:sz w:val="22"/>
          <w:szCs w:val="22"/>
        </w:rPr>
      </w:pPr>
      <w:r w:rsidRPr="00F85073">
        <w:rPr>
          <w:sz w:val="22"/>
          <w:szCs w:val="22"/>
        </w:rPr>
        <w:t>OH: orthostatic hypotension, Logistic regression analysis. (OR: odds ratio, CI: confidence Interval)</w:t>
      </w:r>
    </w:p>
    <w:p w14:paraId="1EC98B2D" w14:textId="77777777" w:rsidR="00EA18FB" w:rsidRPr="00F85073" w:rsidRDefault="00EA18FB" w:rsidP="006A4AD7">
      <w:pPr>
        <w:spacing w:line="360" w:lineRule="auto"/>
        <w:jc w:val="both"/>
        <w:rPr>
          <w:sz w:val="22"/>
          <w:szCs w:val="22"/>
        </w:rPr>
      </w:pPr>
    </w:p>
    <w:p w14:paraId="178CA579" w14:textId="5363181D" w:rsidR="006A4AD7" w:rsidRPr="00F85073" w:rsidRDefault="006A4AD7" w:rsidP="00F43EDA">
      <w:pPr>
        <w:spacing w:line="360" w:lineRule="auto"/>
        <w:jc w:val="both"/>
        <w:rPr>
          <w:color w:val="FF0000"/>
          <w:sz w:val="22"/>
          <w:szCs w:val="22"/>
        </w:rPr>
      </w:pPr>
      <w:r w:rsidRPr="00F85073">
        <w:rPr>
          <w:sz w:val="22"/>
          <w:szCs w:val="22"/>
        </w:rPr>
        <w:t>It was determined that there was a significant relationship between 7 items of FoF and 1 minute OH, and 14 items of FoF with 3</w:t>
      </w:r>
      <w:r w:rsidR="000A4482" w:rsidRPr="00F85073">
        <w:rPr>
          <w:sz w:val="22"/>
          <w:szCs w:val="22"/>
        </w:rPr>
        <w:t xml:space="preserve"> minutes OH (p &lt;0.005). </w:t>
      </w:r>
      <w:r w:rsidR="000A4482" w:rsidRPr="00F85073">
        <w:rPr>
          <w:sz w:val="22"/>
          <w:szCs w:val="22"/>
          <w:lang w:val="en-US"/>
        </w:rPr>
        <w:t>Supplementary table</w:t>
      </w:r>
      <w:r w:rsidR="000A4482" w:rsidRPr="00F85073">
        <w:rPr>
          <w:sz w:val="22"/>
          <w:szCs w:val="22"/>
        </w:rPr>
        <w:t xml:space="preserve"> 1 </w:t>
      </w:r>
      <w:r w:rsidRPr="00F85073">
        <w:rPr>
          <w:sz w:val="22"/>
          <w:szCs w:val="22"/>
        </w:rPr>
        <w:t xml:space="preserve">shows which items </w:t>
      </w:r>
      <w:r w:rsidR="000A4482" w:rsidRPr="00F85073">
        <w:rPr>
          <w:sz w:val="22"/>
          <w:szCs w:val="22"/>
        </w:rPr>
        <w:t xml:space="preserve">of FoF </w:t>
      </w:r>
      <w:r w:rsidRPr="00F85073">
        <w:rPr>
          <w:sz w:val="22"/>
          <w:szCs w:val="22"/>
        </w:rPr>
        <w:t>are related t</w:t>
      </w:r>
      <w:r w:rsidR="000A4482" w:rsidRPr="00F85073">
        <w:rPr>
          <w:sz w:val="22"/>
          <w:szCs w:val="22"/>
        </w:rPr>
        <w:t>o OH in the 1st and 3rd Minute.</w:t>
      </w:r>
      <w:r w:rsidR="009073E9" w:rsidRPr="00F85073">
        <w:rPr>
          <w:sz w:val="22"/>
          <w:szCs w:val="22"/>
        </w:rPr>
        <w:t xml:space="preserve">  The presence of OH  according to scores from each FES-1 questions were also shown in this table. </w:t>
      </w:r>
    </w:p>
    <w:p w14:paraId="240BC0E9" w14:textId="77777777" w:rsidR="004F3AB2" w:rsidRPr="00F85073" w:rsidRDefault="004F3AB2" w:rsidP="00F43EDA">
      <w:pPr>
        <w:spacing w:line="360" w:lineRule="auto"/>
        <w:jc w:val="both"/>
        <w:rPr>
          <w:color w:val="FF0000"/>
          <w:sz w:val="22"/>
          <w:szCs w:val="22"/>
        </w:rPr>
      </w:pPr>
    </w:p>
    <w:p w14:paraId="71F4610A" w14:textId="77777777" w:rsidR="008B2B09" w:rsidRPr="00F85073" w:rsidRDefault="004F3AB2" w:rsidP="00C66D3F">
      <w:pPr>
        <w:pStyle w:val="Heading1"/>
      </w:pPr>
      <w:r w:rsidRPr="00F85073">
        <w:t>D</w:t>
      </w:r>
      <w:r w:rsidR="00D6697D" w:rsidRPr="00F85073">
        <w:t>ISCUSSION</w:t>
      </w:r>
    </w:p>
    <w:p w14:paraId="473BB7E4" w14:textId="77777777" w:rsidR="00D6697D" w:rsidRPr="00F85073" w:rsidRDefault="00D6697D" w:rsidP="00F43EDA">
      <w:pPr>
        <w:spacing w:line="360" w:lineRule="auto"/>
        <w:rPr>
          <w:b/>
          <w:sz w:val="22"/>
          <w:szCs w:val="22"/>
        </w:rPr>
      </w:pPr>
    </w:p>
    <w:p w14:paraId="01AB61FD" w14:textId="28B03D3B" w:rsidR="00F43EDA" w:rsidRPr="00F85073" w:rsidRDefault="00F43EDA" w:rsidP="00F43EDA">
      <w:pPr>
        <w:spacing w:line="360" w:lineRule="auto"/>
        <w:jc w:val="both"/>
        <w:rPr>
          <w:sz w:val="22"/>
          <w:szCs w:val="22"/>
        </w:rPr>
      </w:pPr>
      <w:r w:rsidRPr="00F85073">
        <w:rPr>
          <w:sz w:val="22"/>
          <w:szCs w:val="22"/>
        </w:rPr>
        <w:t xml:space="preserve">In this study, it was observed that </w:t>
      </w:r>
      <w:r w:rsidR="00231F33" w:rsidRPr="00F85073">
        <w:rPr>
          <w:sz w:val="22"/>
          <w:szCs w:val="22"/>
        </w:rPr>
        <w:t>moderate</w:t>
      </w:r>
      <w:r w:rsidR="00DB55C3" w:rsidRPr="00F85073">
        <w:rPr>
          <w:sz w:val="22"/>
          <w:szCs w:val="22"/>
        </w:rPr>
        <w:t xml:space="preserve"> and high FoF</w:t>
      </w:r>
      <w:r w:rsidRPr="00F85073">
        <w:rPr>
          <w:sz w:val="22"/>
          <w:szCs w:val="22"/>
        </w:rPr>
        <w:t xml:space="preserve"> is common in the elderly (30% and 40%, respectively). It was found that there was a higher FoF in women, those living alone, living with relatives or caregivers, those with a history of falling in the past month or in the past year, and with hypertension.</w:t>
      </w:r>
      <w:r w:rsidR="00705D82" w:rsidRPr="00F85073">
        <w:rPr>
          <w:sz w:val="22"/>
          <w:szCs w:val="22"/>
        </w:rPr>
        <w:t xml:space="preserve"> I</w:t>
      </w:r>
      <w:r w:rsidRPr="00F85073">
        <w:rPr>
          <w:sz w:val="22"/>
          <w:szCs w:val="22"/>
        </w:rPr>
        <w:t xml:space="preserve">t was observed that </w:t>
      </w:r>
      <w:r w:rsidR="00705D82" w:rsidRPr="00F85073">
        <w:rPr>
          <w:sz w:val="22"/>
          <w:szCs w:val="22"/>
        </w:rPr>
        <w:t xml:space="preserve">advanced age, </w:t>
      </w:r>
      <w:r w:rsidRPr="00F85073">
        <w:rPr>
          <w:sz w:val="22"/>
          <w:szCs w:val="22"/>
        </w:rPr>
        <w:t>low hemoglobin and prolonged TUG</w:t>
      </w:r>
      <w:r w:rsidR="00466E52" w:rsidRPr="00F85073">
        <w:rPr>
          <w:sz w:val="22"/>
          <w:szCs w:val="22"/>
        </w:rPr>
        <w:t xml:space="preserve"> test </w:t>
      </w:r>
      <w:r w:rsidRPr="00F85073">
        <w:rPr>
          <w:sz w:val="22"/>
          <w:szCs w:val="22"/>
        </w:rPr>
        <w:t>were associated with increased FoF.</w:t>
      </w:r>
      <w:r w:rsidR="007C3821" w:rsidRPr="00F85073">
        <w:rPr>
          <w:sz w:val="22"/>
          <w:szCs w:val="22"/>
        </w:rPr>
        <w:t xml:space="preserve"> Moreover,</w:t>
      </w:r>
      <w:r w:rsidR="00705D82" w:rsidRPr="00F85073">
        <w:rPr>
          <w:sz w:val="22"/>
          <w:szCs w:val="22"/>
        </w:rPr>
        <w:t xml:space="preserve"> </w:t>
      </w:r>
      <w:r w:rsidR="007C3821" w:rsidRPr="00F85073">
        <w:rPr>
          <w:sz w:val="22"/>
          <w:szCs w:val="22"/>
        </w:rPr>
        <w:t>it was</w:t>
      </w:r>
      <w:r w:rsidRPr="00F85073">
        <w:rPr>
          <w:sz w:val="22"/>
          <w:szCs w:val="22"/>
        </w:rPr>
        <w:t xml:space="preserve"> observed that the OH prevalence of the first and third minutes increased as </w:t>
      </w:r>
      <w:r w:rsidR="007C3821" w:rsidRPr="00F85073">
        <w:rPr>
          <w:sz w:val="22"/>
          <w:szCs w:val="22"/>
        </w:rPr>
        <w:t>FoF</w:t>
      </w:r>
      <w:r w:rsidRPr="00F85073">
        <w:rPr>
          <w:sz w:val="22"/>
          <w:szCs w:val="22"/>
        </w:rPr>
        <w:t xml:space="preserve"> from low to high grade increased. </w:t>
      </w:r>
    </w:p>
    <w:p w14:paraId="1A93E69C" w14:textId="77777777" w:rsidR="00CE76D6" w:rsidRPr="00F85073" w:rsidRDefault="00CE76D6" w:rsidP="00F43EDA">
      <w:pPr>
        <w:spacing w:line="360" w:lineRule="auto"/>
        <w:jc w:val="both"/>
        <w:rPr>
          <w:sz w:val="22"/>
          <w:szCs w:val="22"/>
        </w:rPr>
      </w:pPr>
    </w:p>
    <w:p w14:paraId="26DAD84A" w14:textId="060063B0" w:rsidR="00F43EDA" w:rsidRPr="00F85073" w:rsidRDefault="00F43EDA" w:rsidP="00F43EDA">
      <w:pPr>
        <w:spacing w:line="360" w:lineRule="auto"/>
        <w:jc w:val="both"/>
        <w:rPr>
          <w:sz w:val="22"/>
          <w:szCs w:val="22"/>
        </w:rPr>
      </w:pPr>
      <w:r w:rsidRPr="00F85073">
        <w:rPr>
          <w:sz w:val="22"/>
          <w:szCs w:val="22"/>
        </w:rPr>
        <w:t xml:space="preserve">FoF </w:t>
      </w:r>
      <w:r w:rsidR="00876D4B" w:rsidRPr="00F85073">
        <w:rPr>
          <w:sz w:val="22"/>
          <w:szCs w:val="22"/>
        </w:rPr>
        <w:t>may be</w:t>
      </w:r>
      <w:r w:rsidRPr="00F85073">
        <w:rPr>
          <w:sz w:val="22"/>
          <w:szCs w:val="22"/>
        </w:rPr>
        <w:t xml:space="preserve"> an important </w:t>
      </w:r>
      <w:r w:rsidR="00876D4B" w:rsidRPr="00F85073">
        <w:rPr>
          <w:sz w:val="22"/>
          <w:szCs w:val="22"/>
        </w:rPr>
        <w:t xml:space="preserve">correlate </w:t>
      </w:r>
      <w:r w:rsidRPr="00F85073">
        <w:rPr>
          <w:sz w:val="22"/>
          <w:szCs w:val="22"/>
        </w:rPr>
        <w:t xml:space="preserve"> for the development of</w:t>
      </w:r>
      <w:r w:rsidR="00741F53" w:rsidRPr="00F85073">
        <w:rPr>
          <w:sz w:val="22"/>
          <w:szCs w:val="22"/>
        </w:rPr>
        <w:t xml:space="preserve"> disability in  older adults </w:t>
      </w:r>
      <w:r w:rsidR="00741F53" w:rsidRPr="00F85073">
        <w:rPr>
          <w:sz w:val="22"/>
          <w:szCs w:val="22"/>
        </w:rPr>
        <w:fldChar w:fldCharType="begin" w:fldLock="1"/>
      </w:r>
      <w:r w:rsidR="00741F53" w:rsidRPr="00F85073">
        <w:rPr>
          <w:sz w:val="22"/>
          <w:szCs w:val="22"/>
        </w:rPr>
        <w:instrText>ADDIN CSL_CITATION {"citationItems":[{"id":"ITEM-1","itemData":{"DOI":"10.1016/j.gerinurse.2017.08.005","ISSN":"1528-3984 (Electronic)","PMID":"28941942","abstract":"Fear of falling presents a significant problem for many older adults by reducing  physical function and increasing the risk of future falls. Several different types of interventions have improved fear of falling and a summary of efficacious interventions will help clinicians recommend treatment options. Using the Arksey and O'Malley Framework for scoping reviews, the purpose of this review was to identify efficacious interventions for treating fear of falling among community-dwelling older adults in order to provide a list of potential treatment options for care providers. A total of 45 publications were identified for inclusion in this review.","author":[{"dropping-particle":"","family":"Whipple","given":"Mary O","non-dropping-particle":"","parse-names":false,"suffix":""},{"dropping-particle":"V","family":"Hamel","given":"Aimee","non-dropping-particle":"","parse-names":false,"suffix":""},{"dropping-particle":"","family":"Talley","given":"Kristine M C","non-dropping-particle":"","parse-names":false,"suffix":""}],"container-title":"Geriatric nursing (New York, N.Y.)","id":"ITEM-1","issue":"2","issued":{"date-parts":[["2018","3"]]},"language":"eng","page":"170-177","publisher-place":"United States","title":"Fear of falling among community-dwelling older adults: A scoping review to identify effective evidence-based interventions.","type":"article-journal","volume":"39"},"uris":["http://www.mendeley.com/documents/?uuid=4043e2c5-055c-4b84-b563-85941f44d99a"]}],"mendeley":{"formattedCitation":"(12)","plainTextFormattedCitation":"(12)","previouslyFormattedCitation":"(12)"},"properties":{"noteIndex":0},"schema":"https://github.com/citation-style-language/schema/raw/master/csl-citation.json"}</w:instrText>
      </w:r>
      <w:r w:rsidR="00741F53" w:rsidRPr="00F85073">
        <w:rPr>
          <w:sz w:val="22"/>
          <w:szCs w:val="22"/>
        </w:rPr>
        <w:fldChar w:fldCharType="separate"/>
      </w:r>
      <w:r w:rsidR="00741F53" w:rsidRPr="00F85073">
        <w:rPr>
          <w:noProof/>
          <w:sz w:val="22"/>
          <w:szCs w:val="22"/>
        </w:rPr>
        <w:t>(12)</w:t>
      </w:r>
      <w:r w:rsidR="00741F53" w:rsidRPr="00F85073">
        <w:rPr>
          <w:sz w:val="22"/>
          <w:szCs w:val="22"/>
        </w:rPr>
        <w:fldChar w:fldCharType="end"/>
      </w:r>
      <w:r w:rsidRPr="00F85073">
        <w:rPr>
          <w:sz w:val="22"/>
          <w:szCs w:val="22"/>
        </w:rPr>
        <w:t xml:space="preserve"> The prevalence of FoF i</w:t>
      </w:r>
      <w:r w:rsidR="00741F53" w:rsidRPr="00F85073">
        <w:rPr>
          <w:sz w:val="22"/>
          <w:szCs w:val="22"/>
        </w:rPr>
        <w:t xml:space="preserve">s 20-39% among  older adults </w:t>
      </w:r>
      <w:r w:rsidR="00741F53" w:rsidRPr="00F85073">
        <w:rPr>
          <w:sz w:val="22"/>
          <w:szCs w:val="22"/>
        </w:rPr>
        <w:fldChar w:fldCharType="begin" w:fldLock="1"/>
      </w:r>
      <w:r w:rsidR="00741F53" w:rsidRPr="00F85073">
        <w:rPr>
          <w:sz w:val="22"/>
          <w:szCs w:val="22"/>
        </w:rPr>
        <w:instrText>ADDIN CSL_CITATION {"citationItems":[{"id":"ITEM-1","itemData":{"DOI":"10.1016/j.gerinurse.2017.08.005","ISSN":"1528-3984 (Electronic)","PMID":"28941942","abstract":"Fear of falling presents a significant problem for many older adults by reducing  physical function and increasing the risk of future falls. Several different types of interventions have improved fear of falling and a summary of efficacious interventions will help clinicians recommend treatment options. Using the Arksey and O'Malley Framework for scoping reviews, the purpose of this review was to identify efficacious interventions for treating fear of falling among community-dwelling older adults in order to provide a list of potential treatment options for care providers. A total of 45 publications were identified for inclusion in this review.","author":[{"dropping-particle":"","family":"Whipple","given":"Mary O","non-dropping-particle":"","parse-names":false,"suffix":""},{"dropping-particle":"V","family":"Hamel","given":"Aimee","non-dropping-particle":"","parse-names":false,"suffix":""},{"dropping-particle":"","family":"Talley","given":"Kristine M C","non-dropping-particle":"","parse-names":false,"suffix":""}],"container-title":"Geriatric nursing (New York, N.Y.)","id":"ITEM-1","issue":"2","issued":{"date-parts":[["2018","3"]]},"language":"eng","page":"170-177","publisher-place":"United States","title":"Fear of falling among community-dwelling older adults: A scoping review to identify effective evidence-based interventions.","type":"article-journal","volume":"39"},"uris":["http://www.mendeley.com/documents/?uuid=4043e2c5-055c-4b84-b563-85941f44d99a"]},{"id":"ITEM-2","itemData":{"DOI":"10.1097/MD.0000000000009721","ISSN":"1536-5964 (Electronic)","PMID":"29369207","abstract":"To determine the prevalence of fear of falling and associated factors among Japanese community-dwelling older adults.Cross-sectional study between 2011 and 2013.Community in which residents voluntarily attended a health examination.We recruited 844 older adults (male, n = 350; female, n = 494) aged 60 to 92 years from among those who presented at the health examination.We assessed fear of falling, falls in the previous year, pain, comorbidity, and cataracts. Five times chair stand time was applied as an indicator of physical performance.The prevalence of fear of falling was 26.9% and 43.3% among the men and women, respectively. Men and women who feared falling were older (P &lt; .01), had longer 5 times chair stand time (P &lt; .01), and more falls in the previous year (P &lt; .05), pain (P &lt; .01), and comorbidity (P &lt; .05). Multivariate logistic regression analysis identified advanced age (odds ratios [OR], 1.57; 95% confidence interval [CI], 1.03-2.39), falls in the previous year (OR, 2.44; 95%CI, 1.29-4.64), and pain (OR, 1.82; 95%CI, 1.03-3.22) in men, and advanced age (OR, 1.59; 95%CI, 1.13-2.24), longer 5 times chair stand times (OR, 1.28; 95%CI, 1.04-1.59), falls in the previous year (OR, 2.59; 95%CI, 1.54-4.34), and pain (OR, 1.65; 95%CI, 1.06-2.55) in women as being independently associated with fear of falling.The prevalence of fear of falling was similar to previous reports. Advanced age, falls in previous year, and pain were associated with fear of falling in men. A longer 5 times chair stand time was also associated with fear of falling among older adult women. Maintenance of physical function and pain management might be important for older adults with fear of falling.","author":[{"dropping-particle":"","family":"Tomita","given":"Yoshihito","non-dropping-particle":"","parse-names":false,"suffix":""},{"dropping-particle":"","family":"Arima","given":"Kazuhiko","non-dropping-particle":"","parse-names":false,"suffix":""},{"dropping-particle":"","family":"Tsujimoto","given":"Ritsu","non-dropping-particle":"","parse-names":false,"suffix":""},{"dropping-particle":"","family":"Kawashiri","given":"Shin-Ya","non-dropping-particle":"","parse-names":false,"suffix":""},{"dropping-particle":"","family":"Nishimura","given":"Takayuki","non-dropping-particle":"","parse-names":false,"suffix":""},{"dropping-particle":"","family":"Mizukami","given":"Satoshi","non-dropping-particle":"","parse-names":false,"suffix":""},{"dropping-particle":"","family":"Okabe","given":"Takuhiro","non-dropping-particle":"","parse-names":false,"suffix":""},{"dropping-particle":"","family":"Tanaka","given":"Natsumi","non-dropping-particle":"","parse-names":false,"suffix":""},{"dropping-particle":"","family":"Honda","given":"Yuzo","non-dropping-particle":"","parse-names":false,"suffix":""},{"dropping-particle":"","family":"Izutsu","given":"Kazumi","non-dropping-particle":"","parse-names":false,"suffix":""},{"dropping-particle":"","family":"Yamamoto","given":"Naoko","non-dropping-particle":"","parse-names":false,"suffix":""},{"dropping-particle":"","family":"Ohmachi","given":"Izumi","non-dropping-particle":"","parse-names":false,"suffix":""},{"dropping-particle":"","family":"Kanagae","given":"Mitsuo","non-dropping-particle":"","parse-names":false,"suffix":""},{"dropping-particle":"","family":"Abe","given":"Yasuyo","non-dropping-particle":"","parse-names":false,"suffix":""},{"dropping-particle":"","family":"Aoyagi","given":"Kiyoshi","non-dropping-particle":"","parse-names":false,"suffix":""}],"container-title":"Medicine","id":"ITEM-2","issue":"4","issued":{"date-parts":[["2018","1"]]},"language":"eng","page":"e9721","publisher-place":"United States","title":"Prevalence of fear of falling and associated factors among Japanese community-dwelling older adults.","type":"article-journal","volume":"97"},"uris":["http://www.mendeley.com/documents/?uuid=75556c61-c084-4e52-ae95-c6fb993a2da1"]},{"id":"ITEM-3","itemData":{"DOI":"10.1016/j.jamda.2019.08.020","ISSN":"1538-9375 (Electronic)","PMID":"31610994","abstract":"OBJECTIVES: Fear of falling (FoF) is common in older people and may lead to physical decline, disability, poor quality of life, and falls. Several risk factors for FoF have been identified in cross-sectional studies, but evidence on predictors of its incidence is scarce. We investigated the latter in community-dwelling older people undergoing a comprehensive geriatric assessment at baseline and after a 2-year follow-up. DESIGN: Longitudinal study. SETTING AND PARTICIPANTS: Convenience sample of community-dwelling people aged &gt;/=60 years evaluated in an Irish university hospital. METHODS: Participants were evaluated at baseline (August 2007-May 2009) and after a 2-year follow-up. FoF was measured using the Modified Falls Efficacy Scale. Predictors of incident FoF at 2 years were investigated. RESULTS: At baseline, there were 563 participants (69% female, mean age 73 years). Among individuals that were not fearful at baseline, 105 (18.7%) developed FoF (incident FoF) after a median follow-up of 2.1 years. Individuals reporting incident FoF were older at baseline (P &lt; .001), had worse performance in balance and physical function tests, and more frequently needed a walking aid (P &lt; .001). Anxiety (P = .012) and depressive symptoms (P &lt; .001) were more prevalent, as well as self-reported previous falls (P &lt; .001). In multivariate analysis, older age, walking aid use, and a higher burden of depressive symptoms at baseline were predictors of incident FoF. CONCLUSIONS AND IMPLICATIONS: Almost a fifth of older adults using a walking aid and reporting depressive symptoms at baseline developed FoF after 2 years. These identifiable prodromal factors could help design FoF prevention strategies.","author":[{"dropping-particle":"","family":"Rivasi","given":"Giulia","non-dropping-particle":"","parse-names":false,"suffix":""},{"dropping-particle":"","family":"Kenny","given":"Rose Anne","non-dropping-particle":"","parse-names":false,"suffix":""},{"dropping-particle":"","family":"Ungar","given":"Andrea","non-dropping-particle":"","parse-names":false,"suffix":""},{"dropping-particle":"","family":"Romero-Ortuno","given":"Roman","non-dropping-particle":"","parse-names":false,"suffix":""}],"container-title":"Journal of the American Medical Directors Association","id":"ITEM-3","issued":{"date-parts":[["2019","10"]]},"language":"eng","publisher-place":"United States","title":"Predictors of Incident Fear of Falling in Community-Dwelling Older Adults.","type":"article-journal"},"uris":["http://www.mendeley.com/documents/?uuid=a27d9518-655b-48c5-aae0-32fd201c7b68"]}],"mendeley":{"formattedCitation":"(12–14)","plainTextFormattedCitation":"(12–14)","previouslyFormattedCitation":"(12–14)"},"properties":{"noteIndex":0},"schema":"https://github.com/citation-style-language/schema/raw/master/csl-citation.json"}</w:instrText>
      </w:r>
      <w:r w:rsidR="00741F53" w:rsidRPr="00F85073">
        <w:rPr>
          <w:sz w:val="22"/>
          <w:szCs w:val="22"/>
        </w:rPr>
        <w:fldChar w:fldCharType="separate"/>
      </w:r>
      <w:r w:rsidR="00741F53" w:rsidRPr="00F85073">
        <w:rPr>
          <w:noProof/>
          <w:sz w:val="22"/>
          <w:szCs w:val="22"/>
        </w:rPr>
        <w:t>(12–14)</w:t>
      </w:r>
      <w:r w:rsidR="00741F53" w:rsidRPr="00F85073">
        <w:rPr>
          <w:sz w:val="22"/>
          <w:szCs w:val="22"/>
        </w:rPr>
        <w:fldChar w:fldCharType="end"/>
      </w:r>
      <w:r w:rsidR="00741F53" w:rsidRPr="00F85073">
        <w:rPr>
          <w:sz w:val="22"/>
          <w:szCs w:val="22"/>
        </w:rPr>
        <w:t>.</w:t>
      </w:r>
      <w:r w:rsidR="00BD6A22" w:rsidRPr="00F85073">
        <w:rPr>
          <w:sz w:val="22"/>
          <w:szCs w:val="22"/>
        </w:rPr>
        <w:t xml:space="preserve"> I</w:t>
      </w:r>
      <w:r w:rsidRPr="00F85073">
        <w:rPr>
          <w:sz w:val="22"/>
          <w:szCs w:val="22"/>
        </w:rPr>
        <w:t xml:space="preserve">n </w:t>
      </w:r>
      <w:r w:rsidR="00876D4B" w:rsidRPr="00F85073">
        <w:rPr>
          <w:sz w:val="22"/>
          <w:szCs w:val="22"/>
        </w:rPr>
        <w:t>the present</w:t>
      </w:r>
      <w:r w:rsidRPr="00F85073">
        <w:rPr>
          <w:sz w:val="22"/>
          <w:szCs w:val="22"/>
        </w:rPr>
        <w:t xml:space="preserve"> study, the percentage of participants who stated that the</w:t>
      </w:r>
      <w:r w:rsidR="00876D4B" w:rsidRPr="00F85073">
        <w:rPr>
          <w:sz w:val="22"/>
          <w:szCs w:val="22"/>
        </w:rPr>
        <w:t xml:space="preserve">y had </w:t>
      </w:r>
      <w:r w:rsidR="00F37D87" w:rsidRPr="00F85073">
        <w:rPr>
          <w:sz w:val="22"/>
          <w:szCs w:val="22"/>
        </w:rPr>
        <w:t xml:space="preserve"> low FoF</w:t>
      </w:r>
      <w:r w:rsidR="00BD6A22" w:rsidRPr="00F85073">
        <w:rPr>
          <w:sz w:val="22"/>
          <w:szCs w:val="22"/>
        </w:rPr>
        <w:t>, m</w:t>
      </w:r>
      <w:r w:rsidR="00231F33" w:rsidRPr="00F85073">
        <w:rPr>
          <w:sz w:val="22"/>
          <w:szCs w:val="22"/>
        </w:rPr>
        <w:t>oderate</w:t>
      </w:r>
      <w:r w:rsidR="00BD6A22" w:rsidRPr="00F85073">
        <w:rPr>
          <w:sz w:val="22"/>
          <w:szCs w:val="22"/>
        </w:rPr>
        <w:t xml:space="preserve"> FoF and high FoF</w:t>
      </w:r>
      <w:r w:rsidR="00F37D87" w:rsidRPr="00F85073">
        <w:rPr>
          <w:sz w:val="22"/>
          <w:szCs w:val="22"/>
        </w:rPr>
        <w:t xml:space="preserve"> was 30.6</w:t>
      </w:r>
      <w:r w:rsidRPr="00F85073">
        <w:rPr>
          <w:sz w:val="22"/>
          <w:szCs w:val="22"/>
        </w:rPr>
        <w:t>%</w:t>
      </w:r>
      <w:r w:rsidR="00BD6A22" w:rsidRPr="00F85073">
        <w:rPr>
          <w:sz w:val="22"/>
          <w:szCs w:val="22"/>
        </w:rPr>
        <w:t>, 29.6% and 39.8%,</w:t>
      </w:r>
      <w:r w:rsidR="00BD6A22" w:rsidRPr="00F85073">
        <w:rPr>
          <w:color w:val="000000" w:themeColor="text1"/>
          <w:sz w:val="22"/>
          <w:szCs w:val="22"/>
          <w:lang w:val="en-US"/>
        </w:rPr>
        <w:t xml:space="preserve"> </w:t>
      </w:r>
      <w:r w:rsidR="00BD6A22" w:rsidRPr="00F85073">
        <w:rPr>
          <w:sz w:val="22"/>
          <w:szCs w:val="22"/>
          <w:lang w:val="en-US"/>
        </w:rPr>
        <w:t>respectively</w:t>
      </w:r>
      <w:r w:rsidR="00BD6A22" w:rsidRPr="00F85073">
        <w:rPr>
          <w:sz w:val="22"/>
          <w:szCs w:val="22"/>
        </w:rPr>
        <w:t xml:space="preserve">.  </w:t>
      </w:r>
      <w:r w:rsidRPr="00F85073">
        <w:rPr>
          <w:sz w:val="22"/>
          <w:szCs w:val="22"/>
        </w:rPr>
        <w:t>The reason for th</w:t>
      </w:r>
      <w:r w:rsidR="00876D4B" w:rsidRPr="00F85073">
        <w:rPr>
          <w:sz w:val="22"/>
          <w:szCs w:val="22"/>
        </w:rPr>
        <w:t xml:space="preserve">ese </w:t>
      </w:r>
      <w:r w:rsidR="00BD6A22" w:rsidRPr="00F85073">
        <w:rPr>
          <w:sz w:val="22"/>
          <w:szCs w:val="22"/>
        </w:rPr>
        <w:t>high</w:t>
      </w:r>
      <w:r w:rsidRPr="00F85073">
        <w:rPr>
          <w:sz w:val="22"/>
          <w:szCs w:val="22"/>
        </w:rPr>
        <w:t xml:space="preserve"> </w:t>
      </w:r>
      <w:r w:rsidR="00BD6A22" w:rsidRPr="00F85073">
        <w:rPr>
          <w:sz w:val="22"/>
          <w:szCs w:val="22"/>
        </w:rPr>
        <w:t>ratios</w:t>
      </w:r>
      <w:r w:rsidRPr="00F85073">
        <w:rPr>
          <w:sz w:val="22"/>
          <w:szCs w:val="22"/>
        </w:rPr>
        <w:t xml:space="preserve">  may be </w:t>
      </w:r>
      <w:r w:rsidR="00876D4B" w:rsidRPr="00F85073">
        <w:rPr>
          <w:sz w:val="22"/>
          <w:szCs w:val="22"/>
        </w:rPr>
        <w:t>owing to differences in populations studied (communit</w:t>
      </w:r>
      <w:r w:rsidR="00BD6A22" w:rsidRPr="00F85073">
        <w:rPr>
          <w:sz w:val="22"/>
          <w:szCs w:val="22"/>
        </w:rPr>
        <w:t>y</w:t>
      </w:r>
      <w:r w:rsidR="00876D4B" w:rsidRPr="00F85073">
        <w:rPr>
          <w:sz w:val="22"/>
          <w:szCs w:val="22"/>
        </w:rPr>
        <w:t>-dwelling older adults versus outpatients)</w:t>
      </w:r>
      <w:r w:rsidR="00BD6A22" w:rsidRPr="00F85073">
        <w:rPr>
          <w:sz w:val="22"/>
          <w:szCs w:val="22"/>
        </w:rPr>
        <w:t xml:space="preserve">. </w:t>
      </w:r>
      <w:r w:rsidRPr="00F85073">
        <w:rPr>
          <w:sz w:val="22"/>
          <w:szCs w:val="22"/>
        </w:rPr>
        <w:t xml:space="preserve">On the other hand, studies conducted in health institutions have been shown to be as high as </w:t>
      </w:r>
      <w:r w:rsidR="00876D4B" w:rsidRPr="00F85073">
        <w:rPr>
          <w:sz w:val="22"/>
          <w:szCs w:val="22"/>
        </w:rPr>
        <w:t>the present study</w:t>
      </w:r>
      <w:r w:rsidR="00741F53" w:rsidRPr="00F85073">
        <w:rPr>
          <w:sz w:val="22"/>
          <w:szCs w:val="22"/>
        </w:rPr>
        <w:t xml:space="preserve"> </w:t>
      </w:r>
      <w:r w:rsidR="00741F53" w:rsidRPr="00F85073">
        <w:rPr>
          <w:sz w:val="22"/>
          <w:szCs w:val="22"/>
        </w:rPr>
        <w:fldChar w:fldCharType="begin" w:fldLock="1"/>
      </w:r>
      <w:r w:rsidR="00741F53" w:rsidRPr="00F85073">
        <w:rPr>
          <w:sz w:val="22"/>
          <w:szCs w:val="22"/>
        </w:rPr>
        <w:instrText>ADDIN CSL_CITATION {"citationItems":[{"id":"ITEM-1","itemData":{"DOI":"10.1016/j.gerinurse.2017.12.003","ISSN":"1528-3984 (Electronic)","PMID":"29325717","abstract":"The aim of this study was to determine fear of falling in the first mobilization  and affecting factors in older patients. The study had a descriptive and cross-sectional design. Data were collected in Izmir, Turkey between February 2014 and March 2016. The sample included 204 older patients undergoing joint replacement surgery. Fifty-seven-point four percent and 42.6% of the patients had total hip and knee replacement respectively. 42.2% of the patients had a severe fear of falling when they were first mobilized. There was a statistically significant difference between fear of falling in the first mobilization and the mean pain severity. In addition, the difference between fear of falling and the mean anxiety level was statistically significant. Pain and anxiety are important factors contributing to fear of falling in mobilization. The results of the study can help develop multidimensional strategies for reducing fear of falling in older people after joint replacement.","author":[{"dropping-particle":"","family":"Turhan Damar","given":"Hale","non-dropping-particle":"","parse-names":false,"suffix":""},{"dropping-particle":"","family":"Bilik","given":"Ozlem","non-dropping-particle":"","parse-names":false,"suffix":""},{"dropping-particle":"","family":"Karayurt","given":"Ozgul","non-dropping-particle":"","parse-names":false,"suffix":""},{"dropping-particle":"","family":"Ursavas","given":"Figen Erol","non-dropping-particle":"","parse-names":false,"suffix":""}],"container-title":"Geriatric nursing (New York, N.Y.)","id":"ITEM-1","issue":"4","issued":{"date-parts":[["2018","7"]]},"language":"eng","page":"382-387","publisher-place":"United States","title":"Factors related to older patients' fear of falling during the first mobilization  after total knee replacement and total hip replacement.","type":"article-journal","volume":"39"},"uris":["http://www.mendeley.com/documents/?uuid=5753823d-58fc-46aa-b60d-41f1aa3ec5cc"]},{"id":"ITEM-2","itemData":{"DOI":"10.1016/j.jamda.2018.08.003","ISSN":"1538-9375 (Electronic)","PMID":"30270027","abstract":"OBJECTIVES: To establish the prevalence and course of geriatric syndromes from hospital admission up to 3 months postdischarge and to determine the probability to retain geriatric syndromes over the period from discharge until 3 months postdischarge, once they are present at admission. DESIGN: Prospective multicenter cohort study conducted between October 2015 and June 2017. SETTING AND PARTICIPANTS: Acutely hospitalized patients aged 70 years and older recruited from internal, cardiology, and geriatric wards of 6 Dutch hospitals. MEASURES: Cognitive impairment, depressive symptoms, apathy, pain, malnutrition, incontinence, dizziness, fatigue, mobility impairment, functional impairment, fall risk, and fear of falling were assessed at admission, discharge, and 1, 2, and 3 months postdischarge. Generalized estimating equations analysis were performed to analyze the course of syndromes and to determine the probability to retain syndromes. RESULTS: A total of 401 participants [mean age (standard deviation) 79.7 (6.7)] were included. At admission, a median of 5 geriatric syndromes were present. Most prevalent were fatigue (77.2%), functional impairment (62.3%), apathy (57.5%), mobility impairment (54.6%), and fear of falling (40.6%). At 3 months postdischarge, an average of 3 syndromes were present, of which mobility impairment (52.7%), fatigue (48.1%), and functional impairment (42.5%) were most prevalent. Tracking analysis showed that geriatric syndromes that were present at admission were likely to be retained. The following 6 geriatric syndromes were most likely to stay present postdischarge: mobility impairment, incontinence, cognitive impairment, depressive symptoms, functional impairment, and fear of falling. IMPLICATIONS: Acutely hospitalized older adults exhibit a broad spectrum of highly prevalent geriatric syndromes. Moreover, patients are likely to retain symptoms that are present at admission postdischarge. Our study underscores the need to address a wide range of syndromes at admission, the importance of communication on syndromes to the next care provider, and the need for adequate follow-up care and syndrome management postdischarge.","author":[{"dropping-particle":"","family":"Seben","given":"Rosanne","non-dropping-particle":"van","parse-names":false,"suffix":""},{"dropping-particle":"","family":"Reichardt","given":"Lucienne A","non-dropping-particle":"","parse-names":false,"suffix":""},{"dropping-particle":"","family":"Aarden","given":"Jesse J","non-dropping-particle":"","parse-names":false,"suffix":""},{"dropping-particle":"","family":"Schaaf","given":"Marike","non-dropping-particle":"van der","parse-names":false,"suffix":""},{"dropping-particle":"","family":"Esch","given":"Martin","non-dropping-particle":"van der","parse-names":false,"suffix":""},{"dropping-particle":"","family":"Engelbert","given":"Raoul H H","non-dropping-particle":"","parse-names":false,"suffix":""},{"dropping-particle":"","family":"Twisk","given":"Jos W R","non-dropping-particle":"","parse-names":false,"suffix":""},{"dropping-particle":"","family":"Bosch","given":"Jos A","non-dropping-particle":"","parse-names":false,"suffix":""},{"dropping-particle":"","family":"Buurman","given":"Bianca M","non-dropping-particle":"","parse-names":false,"suffix":""}],"container-title":"Journal of the American Medical Directors Association","id":"ITEM-2","issue":"2","issued":{"date-parts":[["2019","2"]]},"language":"eng","page":"152-158.e2","publisher-place":"United States","title":"The Course of Geriatric Syndromes in Acutely Hospitalized Older Adults: The Hospital-ADL Study.","type":"article-journal","volume":"20"},"uris":["http://www.mendeley.com/documents/?uuid=31e304cb-04bc-480f-85e0-f2344b009bf0"]}],"mendeley":{"formattedCitation":"(15,16)","plainTextFormattedCitation":"(15,16)","previouslyFormattedCitation":"(15,16)"},"properties":{"noteIndex":0},"schema":"https://github.com/citation-style-language/schema/raw/master/csl-citation.json"}</w:instrText>
      </w:r>
      <w:r w:rsidR="00741F53" w:rsidRPr="00F85073">
        <w:rPr>
          <w:sz w:val="22"/>
          <w:szCs w:val="22"/>
        </w:rPr>
        <w:fldChar w:fldCharType="separate"/>
      </w:r>
      <w:r w:rsidR="00741F53" w:rsidRPr="00F85073">
        <w:rPr>
          <w:noProof/>
          <w:sz w:val="22"/>
          <w:szCs w:val="22"/>
        </w:rPr>
        <w:t>(15,16)</w:t>
      </w:r>
      <w:r w:rsidR="00741F53" w:rsidRPr="00F85073">
        <w:rPr>
          <w:sz w:val="22"/>
          <w:szCs w:val="22"/>
        </w:rPr>
        <w:fldChar w:fldCharType="end"/>
      </w:r>
      <w:r w:rsidR="00741F53" w:rsidRPr="00F85073">
        <w:rPr>
          <w:sz w:val="22"/>
          <w:szCs w:val="22"/>
        </w:rPr>
        <w:t xml:space="preserve">. </w:t>
      </w:r>
      <w:r w:rsidRPr="00F85073">
        <w:rPr>
          <w:sz w:val="22"/>
          <w:szCs w:val="22"/>
        </w:rPr>
        <w:t>Th</w:t>
      </w:r>
      <w:r w:rsidR="00876D4B" w:rsidRPr="00F85073">
        <w:rPr>
          <w:sz w:val="22"/>
          <w:szCs w:val="22"/>
        </w:rPr>
        <w:t>ese</w:t>
      </w:r>
      <w:r w:rsidRPr="00F85073">
        <w:rPr>
          <w:sz w:val="22"/>
          <w:szCs w:val="22"/>
        </w:rPr>
        <w:t xml:space="preserve"> results </w:t>
      </w:r>
      <w:r w:rsidR="00876D4B" w:rsidRPr="00F85073">
        <w:rPr>
          <w:sz w:val="22"/>
          <w:szCs w:val="22"/>
        </w:rPr>
        <w:t>underscore</w:t>
      </w:r>
      <w:r w:rsidRPr="00F85073">
        <w:rPr>
          <w:sz w:val="22"/>
          <w:szCs w:val="22"/>
        </w:rPr>
        <w:t xml:space="preserve"> the importance of evaluating  FoF in older adults </w:t>
      </w:r>
      <w:r w:rsidRPr="00F85073">
        <w:rPr>
          <w:sz w:val="22"/>
          <w:szCs w:val="22"/>
        </w:rPr>
        <w:lastRenderedPageBreak/>
        <w:t>who</w:t>
      </w:r>
      <w:r w:rsidR="00876D4B" w:rsidRPr="00F85073">
        <w:rPr>
          <w:sz w:val="22"/>
          <w:szCs w:val="22"/>
        </w:rPr>
        <w:t xml:space="preserve"> are</w:t>
      </w:r>
      <w:r w:rsidRPr="00F85073">
        <w:rPr>
          <w:sz w:val="22"/>
          <w:szCs w:val="22"/>
        </w:rPr>
        <w:t xml:space="preserve"> admitted to the hospital with any health problems. The </w:t>
      </w:r>
      <w:r w:rsidR="00876D4B" w:rsidRPr="00F85073">
        <w:rPr>
          <w:sz w:val="22"/>
          <w:szCs w:val="22"/>
        </w:rPr>
        <w:t>finding</w:t>
      </w:r>
      <w:r w:rsidR="00BD6A22" w:rsidRPr="00F85073">
        <w:rPr>
          <w:sz w:val="22"/>
          <w:szCs w:val="22"/>
        </w:rPr>
        <w:t xml:space="preserve"> </w:t>
      </w:r>
      <w:r w:rsidRPr="00F85073">
        <w:rPr>
          <w:sz w:val="22"/>
          <w:szCs w:val="22"/>
        </w:rPr>
        <w:t xml:space="preserve">that FoF is seen more frequently in older women than men, is compatible with </w:t>
      </w:r>
      <w:r w:rsidR="00876D4B" w:rsidRPr="00F85073">
        <w:rPr>
          <w:sz w:val="22"/>
          <w:szCs w:val="22"/>
        </w:rPr>
        <w:t>sevral</w:t>
      </w:r>
      <w:r w:rsidRPr="00F85073">
        <w:rPr>
          <w:sz w:val="22"/>
          <w:szCs w:val="22"/>
        </w:rPr>
        <w:t xml:space="preserve"> previous studies. </w:t>
      </w:r>
      <w:r w:rsidR="00876D4B" w:rsidRPr="00F85073">
        <w:rPr>
          <w:sz w:val="22"/>
          <w:szCs w:val="22"/>
        </w:rPr>
        <w:t xml:space="preserve">Indeed, older women compared to older men are more likely to </w:t>
      </w:r>
      <w:r w:rsidRPr="00F85073">
        <w:rPr>
          <w:sz w:val="22"/>
          <w:szCs w:val="22"/>
        </w:rPr>
        <w:t>avoid activity due to pain</w:t>
      </w:r>
      <w:r w:rsidR="00876D4B" w:rsidRPr="00F85073">
        <w:rPr>
          <w:sz w:val="22"/>
          <w:szCs w:val="22"/>
        </w:rPr>
        <w:t>.</w:t>
      </w:r>
      <w:r w:rsidRPr="00F85073">
        <w:rPr>
          <w:sz w:val="22"/>
          <w:szCs w:val="22"/>
        </w:rPr>
        <w:t xml:space="preserve"> </w:t>
      </w:r>
      <w:r w:rsidR="00876D4B" w:rsidRPr="00F85073">
        <w:rPr>
          <w:sz w:val="22"/>
          <w:szCs w:val="22"/>
        </w:rPr>
        <w:t>Moreover,</w:t>
      </w:r>
      <w:r w:rsidRPr="00F85073">
        <w:rPr>
          <w:sz w:val="22"/>
          <w:szCs w:val="22"/>
        </w:rPr>
        <w:t xml:space="preserve"> decrease in muscle strength or musculoskeletal problems such as degenerative arthritis are more common in older women</w:t>
      </w:r>
      <w:r w:rsidR="00876D4B" w:rsidRPr="00F85073">
        <w:rPr>
          <w:sz w:val="22"/>
          <w:szCs w:val="22"/>
        </w:rPr>
        <w:t xml:space="preserve"> than older men</w:t>
      </w:r>
      <w:r w:rsidR="00741F53" w:rsidRPr="00F85073">
        <w:rPr>
          <w:sz w:val="22"/>
          <w:szCs w:val="22"/>
        </w:rPr>
        <w:t xml:space="preserve"> </w:t>
      </w:r>
      <w:r w:rsidR="00741F53" w:rsidRPr="00F85073">
        <w:rPr>
          <w:sz w:val="22"/>
          <w:szCs w:val="22"/>
        </w:rPr>
        <w:fldChar w:fldCharType="begin" w:fldLock="1"/>
      </w:r>
      <w:r w:rsidR="00741F53" w:rsidRPr="00F85073">
        <w:rPr>
          <w:sz w:val="22"/>
          <w:szCs w:val="22"/>
        </w:rPr>
        <w:instrText>ADDIN CSL_CITATION {"citationItems":[{"id":"ITEM-1","itemData":{"ISSN":"2251-6085 (Print)","PMID":"27398329","abstract":"BACKGROUND: Fear of falling is not only a risk factor for falls, but it is also an  important clinical predictor of functional decline in older adults. This study identified sex differences in fear of falling and related factors in older adults with low grip strength. METHODS: The data of 902 older adults from the 2012 Korean National Survey, conducted as a research project by the Korea Employment Information Service, were analyzed. Grip strength, activities of daily living, cognitive function, depressive symptoms, and fear of falling were assessed. Multiple regression analysis was performed by a simultaneous data entry method. RESULTS: Fear of falling was greater in older women with low grip strength than in their male equivalents (P&lt;0.001). Regression analysis showed that age, fall experience within the previous 2 yr, activities of daily living, and depressive symptoms collectively accounted for 15.3% (P&lt;0.001) of the variance among men. Meanwhile, age, fall experience within the previous 2 yr, grip strength, activities of daily living, and depressive symptoms collectively accounted for 13.4% (P&lt;0.001) of the variance among women. CONCLUSION: Thus, the predictors of fear of falling differ between older men and women with low grip strength. Therefore, sex differences must be considered when developing intervention strategies for reducing fear of falling in this demographic.","author":[{"dropping-particle":"","family":"Lim","given":"Eunju","non-dropping-particle":"","parse-names":false,"suffix":""}],"container-title":"Iranian journal of public health","id":"ITEM-1","issue":"5","issued":{"date-parts":[["2016","5"]]},"language":"eng","page":"569-577","title":"Sex Differences in Fear of Falling among Older Adults with Low Grip Strength.","type":"article-journal","volume":"45"},"uris":["http://www.mendeley.com/documents/?uuid=6a68efc0-5fce-45e2-9999-f78dc56f72c7"]},{"id":"ITEM-2","itemData":{"DOI":"10.1097/MD.0000000000009721","ISSN":"1536-5964 (Electronic)","PMID":"29369207","abstract":"To determine the prevalence of fear of falling and associated factors among Japanese community-dwelling older adults.Cross-sectional study between 2011 and 2013.Community in which residents voluntarily attended a health examination.We recruited 844 older adults (male, n = 350; female, n = 494) aged 60 to 92 years from among those who presented at the health examination.We assessed fear of falling, falls in the previous year, pain, comorbidity, and cataracts. Five times chair stand time was applied as an indicator of physical performance.The prevalence of fear of falling was 26.9% and 43.3% among the men and women, respectively. Men and women who feared falling were older (P &lt; .01), had longer 5 times chair stand time (P &lt; .01), and more falls in the previous year (P &lt; .05), pain (P &lt; .01), and comorbidity (P &lt; .05). Multivariate logistic regression analysis identified advanced age (odds ratios [OR], 1.57; 95% confidence interval [CI], 1.03-2.39), falls in the previous year (OR, 2.44; 95%CI, 1.29-4.64), and pain (OR, 1.82; 95%CI, 1.03-3.22) in men, and advanced age (OR, 1.59; 95%CI, 1.13-2.24), longer 5 times chair stand times (OR, 1.28; 95%CI, 1.04-1.59), falls in the previous year (OR, 2.59; 95%CI, 1.54-4.34), and pain (OR, 1.65; 95%CI, 1.06-2.55) in women as being independently associated with fear of falling.The prevalence of fear of falling was similar to previous reports. Advanced age, falls in previous year, and pain were associated with fear of falling in men. A longer 5 times chair stand time was also associated with fear of falling among older adult women. Maintenance of physical function and pain management might be important for older adults with fear of falling.","author":[{"dropping-particle":"","family":"Tomita","given":"Yoshihito","non-dropping-particle":"","parse-names":false,"suffix":""},{"dropping-particle":"","family":"Arima","given":"Kazuhiko","non-dropping-particle":"","parse-names":false,"suffix":""},{"dropping-particle":"","family":"Tsujimoto","given":"Ritsu","non-dropping-particle":"","parse-names":false,"suffix":""},{"dropping-particle":"","family":"Kawashiri","given":"Shin-Ya","non-dropping-particle":"","parse-names":false,"suffix":""},{"dropping-particle":"","family":"Nishimura","given":"Takayuki","non-dropping-particle":"","parse-names":false,"suffix":""},{"dropping-particle":"","family":"Mizukami","given":"Satoshi","non-dropping-particle":"","parse-names":false,"suffix":""},{"dropping-particle":"","family":"Okabe","given":"Takuhiro","non-dropping-particle":"","parse-names":false,"suffix":""},{"dropping-particle":"","family":"Tanaka","given":"Natsumi","non-dropping-particle":"","parse-names":false,"suffix":""},{"dropping-particle":"","family":"Honda","given":"Yuzo","non-dropping-particle":"","parse-names":false,"suffix":""},{"dropping-particle":"","family":"Izutsu","given":"Kazumi","non-dropping-particle":"","parse-names":false,"suffix":""},{"dropping-particle":"","family":"Yamamoto","given":"Naoko","non-dropping-particle":"","parse-names":false,"suffix":""},{"dropping-particle":"","family":"Ohmachi","given":"Izumi","non-dropping-particle":"","parse-names":false,"suffix":""},{"dropping-particle":"","family":"Kanagae","given":"Mitsuo","non-dropping-particle":"","parse-names":false,"suffix":""},{"dropping-particle":"","family":"Abe","given":"Yasuyo","non-dropping-particle":"","parse-names":false,"suffix":""},{"dropping-particle":"","family":"Aoyagi","given":"Kiyoshi","non-dropping-particle":"","parse-names":false,"suffix":""}],"container-title":"Medicine","id":"ITEM-2","issue":"4","issued":{"date-parts":[["2018","1"]]},"language":"eng","page":"e9721","publisher-place":"United States","title":"Prevalence of fear of falling and associated factors among Japanese community-dwelling older adults.","type":"article-journal","volume":"97"},"uris":["http://www.mendeley.com/documents/?uuid=75556c61-c084-4e52-ae95-c6fb993a2da1"]}],"mendeley":{"formattedCitation":"(13,17)","plainTextFormattedCitation":"(13,17)","previouslyFormattedCitation":"(13,17)"},"properties":{"noteIndex":0},"schema":"https://github.com/citation-style-language/schema/raw/master/csl-citation.json"}</w:instrText>
      </w:r>
      <w:r w:rsidR="00741F53" w:rsidRPr="00F85073">
        <w:rPr>
          <w:sz w:val="22"/>
          <w:szCs w:val="22"/>
        </w:rPr>
        <w:fldChar w:fldCharType="separate"/>
      </w:r>
      <w:r w:rsidR="00741F53" w:rsidRPr="00F85073">
        <w:rPr>
          <w:noProof/>
          <w:sz w:val="22"/>
          <w:szCs w:val="22"/>
        </w:rPr>
        <w:t>(13,17)</w:t>
      </w:r>
      <w:r w:rsidR="00741F53" w:rsidRPr="00F85073">
        <w:rPr>
          <w:sz w:val="22"/>
          <w:szCs w:val="22"/>
        </w:rPr>
        <w:fldChar w:fldCharType="end"/>
      </w:r>
      <w:r w:rsidR="00741F53" w:rsidRPr="00F85073">
        <w:rPr>
          <w:sz w:val="22"/>
          <w:szCs w:val="22"/>
        </w:rPr>
        <w:t>.</w:t>
      </w:r>
      <w:r w:rsidR="004F3AB2" w:rsidRPr="00F85073">
        <w:rPr>
          <w:sz w:val="22"/>
          <w:szCs w:val="22"/>
        </w:rPr>
        <w:t xml:space="preserve"> </w:t>
      </w:r>
      <w:r w:rsidRPr="00F85073">
        <w:rPr>
          <w:sz w:val="22"/>
          <w:szCs w:val="22"/>
        </w:rPr>
        <w:t>This may result in over-fear of falling among older women. In those who live alone, if they fall, maybe not being able to get</w:t>
      </w:r>
      <w:r w:rsidR="007D615A" w:rsidRPr="00F85073">
        <w:rPr>
          <w:sz w:val="22"/>
          <w:szCs w:val="22"/>
        </w:rPr>
        <w:t xml:space="preserve"> </w:t>
      </w:r>
      <w:r w:rsidR="00876D4B" w:rsidRPr="00F85073">
        <w:rPr>
          <w:sz w:val="22"/>
          <w:szCs w:val="22"/>
        </w:rPr>
        <w:t>up for an extended period of time</w:t>
      </w:r>
      <w:r w:rsidRPr="00F85073">
        <w:rPr>
          <w:sz w:val="22"/>
          <w:szCs w:val="22"/>
        </w:rPr>
        <w:t xml:space="preserve">, or the absence of anyone to lift them off the ground, may cause </w:t>
      </w:r>
      <w:r w:rsidR="00876D4B" w:rsidRPr="00F85073">
        <w:rPr>
          <w:sz w:val="22"/>
          <w:szCs w:val="22"/>
        </w:rPr>
        <w:t>a heightend</w:t>
      </w:r>
      <w:r w:rsidRPr="00F85073">
        <w:rPr>
          <w:sz w:val="22"/>
          <w:szCs w:val="22"/>
        </w:rPr>
        <w:t xml:space="preserve"> FoF. On the other hand, FoF may be high in people living with relatives or caregivers, as they may be affected by their functional capacity to live alone at home. The relationship between prolonged</w:t>
      </w:r>
      <w:r w:rsidR="00466E52" w:rsidRPr="00F85073">
        <w:rPr>
          <w:sz w:val="22"/>
          <w:szCs w:val="22"/>
        </w:rPr>
        <w:t xml:space="preserve"> TUG test</w:t>
      </w:r>
      <w:r w:rsidRPr="00F85073">
        <w:rPr>
          <w:sz w:val="22"/>
          <w:szCs w:val="22"/>
        </w:rPr>
        <w:t xml:space="preserve"> and increased FoF supports this hypothesis.</w:t>
      </w:r>
    </w:p>
    <w:p w14:paraId="34A85D43" w14:textId="77777777" w:rsidR="00F43EDA" w:rsidRPr="00F85073" w:rsidRDefault="00F43EDA" w:rsidP="00F43EDA">
      <w:pPr>
        <w:spacing w:line="360" w:lineRule="auto"/>
        <w:jc w:val="both"/>
        <w:rPr>
          <w:sz w:val="22"/>
          <w:szCs w:val="22"/>
        </w:rPr>
      </w:pPr>
    </w:p>
    <w:p w14:paraId="3A0E9DAB" w14:textId="50AC921C" w:rsidR="00F43EDA" w:rsidRPr="00F85073" w:rsidRDefault="00F43EDA" w:rsidP="00F43EDA">
      <w:pPr>
        <w:spacing w:line="360" w:lineRule="auto"/>
        <w:jc w:val="both"/>
        <w:rPr>
          <w:sz w:val="22"/>
          <w:szCs w:val="22"/>
          <w:lang w:val="en-US"/>
        </w:rPr>
      </w:pPr>
      <w:r w:rsidRPr="00F85073">
        <w:rPr>
          <w:sz w:val="22"/>
          <w:szCs w:val="22"/>
        </w:rPr>
        <w:t>Both OH and FoF have many common adverse outcomes such as cognitive impairment, functional impairments, depression, and poor quality of life in the older adults</w:t>
      </w:r>
      <w:r w:rsidR="00741F53" w:rsidRPr="00F85073">
        <w:rPr>
          <w:sz w:val="22"/>
          <w:szCs w:val="22"/>
        </w:rPr>
        <w:t xml:space="preserve"> </w:t>
      </w:r>
      <w:r w:rsidR="00741F53" w:rsidRPr="00F85073">
        <w:rPr>
          <w:sz w:val="22"/>
          <w:szCs w:val="22"/>
        </w:rPr>
        <w:fldChar w:fldCharType="begin" w:fldLock="1"/>
      </w:r>
      <w:r w:rsidR="00741F53" w:rsidRPr="00F85073">
        <w:rPr>
          <w:sz w:val="22"/>
          <w:szCs w:val="22"/>
        </w:rPr>
        <w:instrText>ADDIN CSL_CITATION {"citationItems":[{"id":"ITEM-1","itemData":{"DOI":"10.1016/j.jamda.2013.02.019","ISSN":"1538-9375 (Electronic)","PMID":"23602257","abstract":"Long term care elders with fear of falling may restrict their activity resulting  in declines in function and excess disability. To further explore this problem, a review of the literature was conducted. The search yielded 26 studies on the epidemiology of fear of falling in nursing homes and assisted living as well as intervention studies in these settings. Fear of falling is common, affecting more than 50% of long term care elders and is associated with negative outcomes, including falls, functional impairments, depression, and poor quality of life. Longitudinal studies are rare. There were few intervention studies, with most testing exercise programs, including balance training, such as t'ai chi, and little research testing other approaches. Few conclusions can be drawn about interventions, as most sample sizes were small and the interventions and measurement varied widely. Additional research is needed to identify long term care residents most in need of intervention, and the best ways to reduce fear of falling and its consequences.","author":[{"dropping-particle":"","family":"Lach","given":"Helen W","non-dropping-particle":"","parse-names":false,"suffix":""},{"dropping-particle":"","family":"Parsons","given":"Jill L","non-dropping-particle":"","parse-names":false,"suffix":""}],"container-title":"Journal of the American Medical Directors Association","id":"ITEM-1","issue":"8","issued":{"date-parts":[["2013","8"]]},"language":"eng","page":"573-577","publisher-place":"United States","title":"Impact of fear of falling in long term care: an integrative review.","type":"article-journal","volume":"14"},"uris":["http://www.mendeley.com/documents/?uuid=772eafd1-afe0-4513-a496-41bf88627ef3"]}],"mendeley":{"formattedCitation":"(18)","plainTextFormattedCitation":"(18)","previouslyFormattedCitation":"(18)"},"properties":{"noteIndex":0},"schema":"https://github.com/citation-style-language/schema/raw/master/csl-citation.json"}</w:instrText>
      </w:r>
      <w:r w:rsidR="00741F53" w:rsidRPr="00F85073">
        <w:rPr>
          <w:sz w:val="22"/>
          <w:szCs w:val="22"/>
        </w:rPr>
        <w:fldChar w:fldCharType="separate"/>
      </w:r>
      <w:r w:rsidR="00741F53" w:rsidRPr="00F85073">
        <w:rPr>
          <w:noProof/>
          <w:sz w:val="22"/>
          <w:szCs w:val="22"/>
        </w:rPr>
        <w:t>(18)</w:t>
      </w:r>
      <w:r w:rsidR="00741F53" w:rsidRPr="00F85073">
        <w:rPr>
          <w:sz w:val="22"/>
          <w:szCs w:val="22"/>
        </w:rPr>
        <w:fldChar w:fldCharType="end"/>
      </w:r>
      <w:r w:rsidR="00741F53" w:rsidRPr="00F85073">
        <w:rPr>
          <w:sz w:val="22"/>
          <w:szCs w:val="22"/>
        </w:rPr>
        <w:t xml:space="preserve">. </w:t>
      </w:r>
      <w:r w:rsidRPr="00F85073">
        <w:rPr>
          <w:sz w:val="22"/>
          <w:szCs w:val="22"/>
        </w:rPr>
        <w:t xml:space="preserve">However, the number of studies investigating the relationship between these two situations is very limited. In this study, it was found that there was a positive correlation between the presence of FoF and OH, and also, OH was more frequent, especially in those who described high </w:t>
      </w:r>
      <w:r w:rsidR="003E7DA6" w:rsidRPr="00F85073">
        <w:rPr>
          <w:sz w:val="22"/>
          <w:szCs w:val="22"/>
        </w:rPr>
        <w:t>FoF</w:t>
      </w:r>
      <w:r w:rsidRPr="00F85073">
        <w:rPr>
          <w:sz w:val="22"/>
          <w:szCs w:val="22"/>
        </w:rPr>
        <w:t xml:space="preserve">. Since </w:t>
      </w:r>
      <w:r w:rsidR="00876D4B" w:rsidRPr="00F85073">
        <w:rPr>
          <w:sz w:val="22"/>
          <w:szCs w:val="22"/>
        </w:rPr>
        <w:t>the pres</w:t>
      </w:r>
      <w:r w:rsidR="000B3254" w:rsidRPr="00F85073">
        <w:rPr>
          <w:sz w:val="22"/>
          <w:szCs w:val="22"/>
        </w:rPr>
        <w:t>e</w:t>
      </w:r>
      <w:r w:rsidR="00876D4B" w:rsidRPr="00F85073">
        <w:rPr>
          <w:sz w:val="22"/>
          <w:szCs w:val="22"/>
        </w:rPr>
        <w:t>nt</w:t>
      </w:r>
      <w:r w:rsidR="003E7DA6" w:rsidRPr="00F85073">
        <w:rPr>
          <w:sz w:val="22"/>
          <w:szCs w:val="22"/>
        </w:rPr>
        <w:t xml:space="preserve"> </w:t>
      </w:r>
      <w:r w:rsidRPr="00F85073">
        <w:rPr>
          <w:sz w:val="22"/>
          <w:szCs w:val="22"/>
        </w:rPr>
        <w:t>study is cross-sectional</w:t>
      </w:r>
      <w:r w:rsidR="00876D4B" w:rsidRPr="00F85073">
        <w:rPr>
          <w:sz w:val="22"/>
          <w:szCs w:val="22"/>
        </w:rPr>
        <w:t xml:space="preserve"> the direction of the </w:t>
      </w:r>
      <w:r w:rsidR="004E35BC" w:rsidRPr="00F85073">
        <w:rPr>
          <w:sz w:val="22"/>
          <w:szCs w:val="22"/>
        </w:rPr>
        <w:t>association</w:t>
      </w:r>
      <w:r w:rsidR="00876D4B" w:rsidRPr="00F85073">
        <w:rPr>
          <w:sz w:val="22"/>
          <w:szCs w:val="22"/>
        </w:rPr>
        <w:t xml:space="preserve"> is not known that is wh</w:t>
      </w:r>
      <w:r w:rsidR="00C45E75" w:rsidRPr="00F85073">
        <w:rPr>
          <w:sz w:val="22"/>
          <w:szCs w:val="22"/>
        </w:rPr>
        <w:t>e</w:t>
      </w:r>
      <w:r w:rsidR="00876D4B" w:rsidRPr="00F85073">
        <w:rPr>
          <w:sz w:val="22"/>
          <w:szCs w:val="22"/>
        </w:rPr>
        <w:t>ther FoF leads to OH or whether OH leads to FoF</w:t>
      </w:r>
      <w:r w:rsidRPr="00F85073">
        <w:rPr>
          <w:sz w:val="22"/>
          <w:szCs w:val="22"/>
        </w:rPr>
        <w:t xml:space="preserve">. Nevertheless, some possible mechanisms can explain this relationship. Depending on OH; recurrent falls and problems with gait and balance </w:t>
      </w:r>
      <w:r w:rsidR="000B3254" w:rsidRPr="00F85073">
        <w:rPr>
          <w:sz w:val="22"/>
          <w:szCs w:val="22"/>
        </w:rPr>
        <w:t>in</w:t>
      </w:r>
      <w:r w:rsidR="003E7DA6" w:rsidRPr="00F85073">
        <w:rPr>
          <w:sz w:val="22"/>
          <w:szCs w:val="22"/>
        </w:rPr>
        <w:t xml:space="preserve"> </w:t>
      </w:r>
      <w:r w:rsidRPr="00F85073">
        <w:rPr>
          <w:sz w:val="22"/>
          <w:szCs w:val="22"/>
        </w:rPr>
        <w:t>older adults can lead to decreased functionality, thus resulting in physical inactivity and consequently may contribute to the development of FoF. OH causes sudden reduction in brain perfusion and oxygenation within a few minutes of postural change; this may result in symptoms such as dizziness, postural lightheadedness, vertigo, and blurred vision in those with OH</w:t>
      </w:r>
      <w:r w:rsidR="00741F53" w:rsidRPr="00F85073">
        <w:rPr>
          <w:sz w:val="22"/>
          <w:szCs w:val="22"/>
        </w:rPr>
        <w:t xml:space="preserve"> </w:t>
      </w:r>
      <w:r w:rsidR="00741F53" w:rsidRPr="00F85073">
        <w:rPr>
          <w:sz w:val="22"/>
          <w:szCs w:val="22"/>
        </w:rPr>
        <w:fldChar w:fldCharType="begin" w:fldLock="1"/>
      </w:r>
      <w:r w:rsidR="00A31567" w:rsidRPr="00F85073">
        <w:rPr>
          <w:sz w:val="22"/>
          <w:szCs w:val="22"/>
        </w:rPr>
        <w:instrText>ADDIN CSL_CITATION {"citationItems":[{"id":"ITEM-1","itemData":{"DOI":"10.4065/70.7.617","ISSN":"0025-6196 (Print)","PMID":"7791382","abstract":"OBJECTIVE: To undertake a prospective study of the clinical characteristics of orthostatic intolerant patients referred to the Mayo Autonomic Reflex Laboratory with suspected orthostatic hypotension (OH). DESIGN: Autonomic function tests were performed to quantify the severity of sudomotor, adrenergic, and cardiovagal failure and generate a composite autonomic symptom score (CASS). CASS was related to a symptom score, which was derived from the frequency of orthostatic intolerance and syncope and the standing time until occurrence of symptoms. RESULTS: Three groups were defined by their response to a tilt study: group I, 90 patients with symptomatic OH, mean age, 63.6 years; group II, 60 patients who had symptoms without OH, mean age, 48.9 years; and group III, 5 patients with asymptomatic OH, mean age, 68.0 years. Group I had a significantly higher CASS (P &lt; 0.001) than did those without OH. Further analysis was done on the 90 patients in group I. The most common symptoms were lightheadedness, weakness, impaired cognition, visual blurring, tremulousness, and vertigo. The most common aggravating factors were prolonged standing, exercise, warming, and eating. Most patients (75%) could stand for less than 5 minutes before symptoms occurred. Symptoms regressed significantly with CASS but not with the tilt grade. CONCLUSION: Patients with generalized autonomic failure have a recognizable pattern of symptoms and aggravating factors that relate, albeit imperfectly, to the severity of autonomic failure.","author":[{"dropping-particle":"","family":"Low","given":"P A","non-dropping-particle":"","parse-names":false,"suffix":""},{"dropping-particle":"","family":"Opfer-Gehrking","given":"T L","non-dropping-particle":"","parse-names":false,"suffix":""},{"dropping-particle":"","family":"McPhee","given":"B R","non-dropping-particle":"","parse-names":false,"suffix":""},{"dropping-particle":"","family":"Fealey","given":"R D","non-dropping-particle":"","parse-names":false,"suffix":""},{"dropping-particle":"","family":"Benarroch","given":"E E","non-dropping-particle":"","parse-names":false,"suffix":""},{"dropping-particle":"","family":"Willner","given":"C L","non-dropping-particle":"","parse-names":false,"suffix":""},{"dropping-particle":"","family":"Suarez","given":"G A","non-dropping-particle":"","parse-names":false,"suffix":""},{"dropping-particle":"","family":"Proper","given":"C J","non-dropping-particle":"","parse-names":false,"suffix":""},{"dropping-particle":"","family":"Felten","given":"J A","non-dropping-particle":"","parse-names":false,"suffix":""},{"dropping-particle":"","family":"Huck","given":"C A","non-dropping-particle":"","parse-names":false,"suffix":""}],"container-title":"Mayo Clinic proceedings","id":"ITEM-1","issue":"7","issued":{"date-parts":[["1995","7"]]},"language":"eng","page":"617-622","publisher-place":"England","title":"Prospective evaluation of clinical characteristics of orthostatic hypotension.","type":"article-journal","volume":"70"},"uris":["http://www.mendeley.com/documents/?uuid=f0688e38-2f33-4b19-ab2a-37d43c3d258b"]}],"mendeley":{"formattedCitation":"(9)","plainTextFormattedCitation":"(9)","previouslyFormattedCitation":"(9)"},"properties":{"noteIndex":0},"schema":"https://github.com/citation-style-language/schema/raw/master/csl-citation.json"}</w:instrText>
      </w:r>
      <w:r w:rsidR="00741F53" w:rsidRPr="00F85073">
        <w:rPr>
          <w:sz w:val="22"/>
          <w:szCs w:val="22"/>
        </w:rPr>
        <w:fldChar w:fldCharType="separate"/>
      </w:r>
      <w:r w:rsidR="00741F53" w:rsidRPr="00F85073">
        <w:rPr>
          <w:noProof/>
          <w:sz w:val="22"/>
          <w:szCs w:val="22"/>
        </w:rPr>
        <w:t>(9)</w:t>
      </w:r>
      <w:r w:rsidR="00741F53" w:rsidRPr="00F85073">
        <w:rPr>
          <w:sz w:val="22"/>
          <w:szCs w:val="22"/>
        </w:rPr>
        <w:fldChar w:fldCharType="end"/>
      </w:r>
      <w:r w:rsidR="00741F53" w:rsidRPr="00F85073">
        <w:rPr>
          <w:sz w:val="22"/>
          <w:szCs w:val="22"/>
        </w:rPr>
        <w:t xml:space="preserve">. </w:t>
      </w:r>
      <w:r w:rsidRPr="00F85073">
        <w:rPr>
          <w:sz w:val="22"/>
          <w:szCs w:val="22"/>
        </w:rPr>
        <w:t>On the other hand, OH causes impaired muscle microcirculation and pain in the neck, hip and calf muscles</w:t>
      </w:r>
      <w:r w:rsidR="00A31567" w:rsidRPr="00F85073">
        <w:rPr>
          <w:sz w:val="22"/>
          <w:szCs w:val="22"/>
        </w:rPr>
        <w:t xml:space="preserve"> </w:t>
      </w:r>
      <w:r w:rsidR="00A31567" w:rsidRPr="00F85073">
        <w:rPr>
          <w:sz w:val="22"/>
          <w:szCs w:val="22"/>
        </w:rPr>
        <w:fldChar w:fldCharType="begin" w:fldLock="1"/>
      </w:r>
      <w:r w:rsidR="00FA21AE" w:rsidRPr="00F85073">
        <w:rPr>
          <w:sz w:val="22"/>
          <w:szCs w:val="22"/>
        </w:rPr>
        <w:instrText>ADDIN CSL_CITATION {"citationItems":[{"id":"ITEM-1","itemData":{"DOI":"10.1177/014107689809100704","ISSN":"0141-0768 (Print)","PMID":"9771493","abstract":"Neck pain in the suboccipital and paracervical region ('coathanger' configuration) is often reported by patients with autonomic failure and orthostatic hypotension. The frequency of this pain, along with pains in the buttock and calf regions, was determined by questionnaire in two major groups with primary chronic autonomic failure--pure autonomic failure (PAF) and multiple system atrophy (MSA). Comparisons were made with Parkinson's disease, cerebellar degeneration and other disorders in which neurological symptoms overlap but in which there was neither autonomic failure nor orthostatic hypotension. Neck pain was present in 93% of patients with PAF, 51% of patients with MSA and 38-47% of the non-autonomic groups. Buttock pain was present in smaller but similar proportions (8-19%) of each group, like calf pain (23-37%). Neck pain in PAF and MSA differed from that in the other groups in being relieved by sitting or lying flat and in being associated with factors that lower blood pressure in these patients. Buttock pain was posturally related in PAF and MSA; for calf pain there was no difference between groups. Neck pain was related to the degree of orthostatic hypotension; in PAF patients, whose postural blood-pressure fall was greater than that in MSA, there was a greater frequency of neck pain.","author":[{"dropping-particle":"","family":"Bleasdale-Barr","given":"K M","non-dropping-particle":"","parse-names":false,"suffix":""},{"dropping-particle":"","family":"Mathias","given":"C J","non-dropping-particle":"","parse-names":false,"suffix":""}],"container-title":"Journal of the Royal Society of Medicine","id":"ITEM-1","issue":"7","issued":{"date-parts":[["1998","7"]]},"language":"eng","page":"355-359","publisher-place":"England","title":"Neck and other muscle pains in autonomic failure: their association with orthostatic hypotension.","type":"article-journal","volume":"91"},"uris":["http://www.mendeley.com/documents/?uuid=03da5759-fa5b-45e2-9c37-7b4b871393e8"]}],"mendeley":{"formattedCitation":"(19)","plainTextFormattedCitation":"(19)","previouslyFormattedCitation":"(19)"},"properties":{"noteIndex":0},"schema":"https://github.com/citation-style-language/schema/raw/master/csl-citation.json"}</w:instrText>
      </w:r>
      <w:r w:rsidR="00A31567" w:rsidRPr="00F85073">
        <w:rPr>
          <w:sz w:val="22"/>
          <w:szCs w:val="22"/>
        </w:rPr>
        <w:fldChar w:fldCharType="separate"/>
      </w:r>
      <w:r w:rsidR="00A31567" w:rsidRPr="00F85073">
        <w:rPr>
          <w:noProof/>
          <w:sz w:val="22"/>
          <w:szCs w:val="22"/>
        </w:rPr>
        <w:t>(19)</w:t>
      </w:r>
      <w:r w:rsidR="00A31567" w:rsidRPr="00F85073">
        <w:rPr>
          <w:sz w:val="22"/>
          <w:szCs w:val="22"/>
        </w:rPr>
        <w:fldChar w:fldCharType="end"/>
      </w:r>
      <w:r w:rsidR="00A31567" w:rsidRPr="00F85073">
        <w:rPr>
          <w:sz w:val="22"/>
          <w:szCs w:val="22"/>
        </w:rPr>
        <w:t xml:space="preserve">. </w:t>
      </w:r>
      <w:r w:rsidRPr="00F85073">
        <w:rPr>
          <w:sz w:val="22"/>
          <w:szCs w:val="22"/>
        </w:rPr>
        <w:t>At the same time, chronic brain pathology, such as brain atrophy, microbleeds and white matter brain lesions are more common in those with OH; which might influence the perception of verticality, resulting in positive dizziness</w:t>
      </w:r>
      <w:r w:rsidR="0090722F" w:rsidRPr="00F85073">
        <w:rPr>
          <w:sz w:val="22"/>
          <w:szCs w:val="22"/>
          <w:lang w:val="en-US"/>
        </w:rPr>
        <w:t>.</w:t>
      </w:r>
      <w:r w:rsidR="00F15EF2" w:rsidRPr="00F85073">
        <w:rPr>
          <w:sz w:val="22"/>
          <w:szCs w:val="22"/>
          <w:lang w:val="en-US"/>
        </w:rPr>
        <w:t xml:space="preserve"> </w:t>
      </w:r>
      <w:r w:rsidRPr="00F85073">
        <w:rPr>
          <w:sz w:val="22"/>
          <w:szCs w:val="22"/>
          <w:lang w:val="en-US"/>
        </w:rPr>
        <w:t xml:space="preserve">All these reasons can explain how OH can cause </w:t>
      </w:r>
      <w:proofErr w:type="spellStart"/>
      <w:r w:rsidRPr="00F85073">
        <w:rPr>
          <w:sz w:val="22"/>
          <w:szCs w:val="22"/>
          <w:lang w:val="en-US"/>
        </w:rPr>
        <w:t>FoF</w:t>
      </w:r>
      <w:proofErr w:type="spellEnd"/>
      <w:r w:rsidRPr="00F85073">
        <w:rPr>
          <w:sz w:val="22"/>
          <w:szCs w:val="22"/>
          <w:lang w:val="en-US"/>
        </w:rPr>
        <w:t>.</w:t>
      </w:r>
    </w:p>
    <w:p w14:paraId="5DC38A27" w14:textId="77777777" w:rsidR="00F43EDA" w:rsidRPr="00F85073" w:rsidRDefault="00F43EDA" w:rsidP="00F43EDA">
      <w:pPr>
        <w:spacing w:line="360" w:lineRule="auto"/>
        <w:jc w:val="both"/>
        <w:rPr>
          <w:sz w:val="22"/>
          <w:szCs w:val="22"/>
          <w:lang w:val="en-US"/>
        </w:rPr>
      </w:pPr>
    </w:p>
    <w:p w14:paraId="3197DCA0" w14:textId="77777777" w:rsidR="00E94798" w:rsidRPr="00F85073" w:rsidRDefault="00A30163" w:rsidP="00F43EDA">
      <w:pPr>
        <w:spacing w:line="360" w:lineRule="auto"/>
        <w:jc w:val="both"/>
        <w:rPr>
          <w:sz w:val="22"/>
          <w:szCs w:val="22"/>
          <w:lang w:val="en-US"/>
        </w:rPr>
      </w:pPr>
      <w:r w:rsidRPr="00F85073">
        <w:rPr>
          <w:sz w:val="22"/>
          <w:szCs w:val="22"/>
          <w:lang w:val="en-US"/>
        </w:rPr>
        <w:t>FOF has been identified as an independent risk factor for reduced quality of life, activity restriction, loss of independence, and fall-risk; a leading cause of injury, morbidity, and mortality</w:t>
      </w:r>
      <w:r w:rsidR="00FA21AE" w:rsidRPr="00F85073">
        <w:rPr>
          <w:sz w:val="22"/>
          <w:szCs w:val="22"/>
        </w:rPr>
        <w:t xml:space="preserve"> </w:t>
      </w:r>
      <w:r w:rsidR="00FA21AE" w:rsidRPr="00F85073">
        <w:rPr>
          <w:sz w:val="22"/>
          <w:szCs w:val="22"/>
        </w:rPr>
        <w:fldChar w:fldCharType="begin" w:fldLock="1"/>
      </w:r>
      <w:r w:rsidR="003F5776" w:rsidRPr="00F85073">
        <w:rPr>
          <w:sz w:val="22"/>
          <w:szCs w:val="22"/>
        </w:rPr>
        <w:instrText>ADDIN CSL_CITATION {"citationItems":[{"id":"ITEM-1","itemData":{"DOI":"10.1016/j.gaitpost.2014.09.006","ISSN":"1879-2219 (Electronic)","PMID":"25278464","abstract":"It is widely reported that fear of falling (FOF) has a profound and largely detrimental effect on balance performance in older adults. However, the mechanisms by which FOF influence postural stability are poorly understood. In the current article, we use psychological theory to explain FOF-related changes to postural control. First, we review literature describing associations between FOF and the 'stiffening' strategies observed during control of posture, including observations of eye and head movements. Second, we present a framework illustrating the interactions between increased age, FOF, and altered attentional processes, which in turn influence balance performance and fall-risk. Psychological theory predicts that anxiety can cause attentional bias for threatening and task-irrelevant stimuli and compromise the efficiency of working memory resources. We argue that while the adoption of stiffening strategies is likely to be beneficial in avoiding a loss of balance during simple postural tasks, it will ultimately compromise performance in dynamic and highly demanding functional tasks. The adoption of stiffening strategies leads to inadequate acquisition of the sensory information necessary to plan and execute dynamic and interactive movements. We conclude with some suggestions for future research.","author":[{"dropping-particle":"","family":"Young","given":"William R","non-dropping-particle":"","parse-names":false,"suffix":""},{"dropping-particle":"","family":"Mark Williams","given":"A","non-dropping-particle":"","parse-names":false,"suffix":""}],"container-title":"Gait &amp; posture","id":"ITEM-1","issue":"1","issued":{"date-parts":[["2015","1"]]},"language":"eng","page":"7-12","publisher-place":"England","title":"How fear of falling can increase fall-risk in older adults: applying psychological theory to practical observations.","type":"article-journal","volume":"41"},"uris":["http://www.mendeley.com/documents/?uuid=4cca02bd-e40a-4ef1-a193-d81b56258cd8"]}],"mendeley":{"formattedCitation":"(20)","plainTextFormattedCitation":"(20)","previouslyFormattedCitation":"(20)"},"properties":{"noteIndex":0},"schema":"https://github.com/citation-style-language/schema/raw/master/csl-citation.json"}</w:instrText>
      </w:r>
      <w:r w:rsidR="00FA21AE" w:rsidRPr="00F85073">
        <w:rPr>
          <w:sz w:val="22"/>
          <w:szCs w:val="22"/>
        </w:rPr>
        <w:fldChar w:fldCharType="separate"/>
      </w:r>
      <w:r w:rsidR="00FA21AE" w:rsidRPr="00F85073">
        <w:rPr>
          <w:noProof/>
          <w:sz w:val="22"/>
          <w:szCs w:val="22"/>
        </w:rPr>
        <w:t>(20)</w:t>
      </w:r>
      <w:r w:rsidR="00FA21AE" w:rsidRPr="00F85073">
        <w:rPr>
          <w:sz w:val="22"/>
          <w:szCs w:val="22"/>
        </w:rPr>
        <w:fldChar w:fldCharType="end"/>
      </w:r>
      <w:r w:rsidR="00FA21AE" w:rsidRPr="00F85073">
        <w:rPr>
          <w:sz w:val="22"/>
          <w:szCs w:val="22"/>
        </w:rPr>
        <w:t xml:space="preserve">. </w:t>
      </w:r>
      <w:r w:rsidR="00E94798" w:rsidRPr="00F85073">
        <w:rPr>
          <w:sz w:val="22"/>
          <w:szCs w:val="22"/>
        </w:rPr>
        <w:t>As a result, those who have</w:t>
      </w:r>
      <w:r w:rsidR="00F43EDA" w:rsidRPr="00F85073">
        <w:rPr>
          <w:sz w:val="22"/>
          <w:szCs w:val="22"/>
        </w:rPr>
        <w:t xml:space="preserve"> FoF, begin to limit their daily activities in order not to fall again, and consequently, there may be a decrease in muscle strength and balance abilities.</w:t>
      </w:r>
      <w:r w:rsidR="00852979" w:rsidRPr="00F85073">
        <w:rPr>
          <w:sz w:val="22"/>
          <w:szCs w:val="22"/>
        </w:rPr>
        <w:t xml:space="preserve"> </w:t>
      </w:r>
      <w:r w:rsidR="00FA21AE" w:rsidRPr="00F85073">
        <w:rPr>
          <w:sz w:val="22"/>
          <w:szCs w:val="22"/>
        </w:rPr>
        <w:t xml:space="preserve">The </w:t>
      </w:r>
      <w:r w:rsidR="00FA21AE" w:rsidRPr="00F85073">
        <w:rPr>
          <w:sz w:val="22"/>
          <w:szCs w:val="22"/>
          <w:lang w:val="en-US"/>
        </w:rPr>
        <w:t>reduced muscle mass and muscle strength</w:t>
      </w:r>
      <w:r w:rsidR="00852979" w:rsidRPr="00F85073">
        <w:rPr>
          <w:sz w:val="22"/>
          <w:szCs w:val="22"/>
          <w:lang w:val="en-US"/>
        </w:rPr>
        <w:t xml:space="preserve"> can lead to a reduction in effective venous return, since venous pumps in the leg muscles pump blood from the lower extremity to the heart, which is</w:t>
      </w:r>
      <w:r w:rsidR="00FA21AE" w:rsidRPr="00F85073">
        <w:rPr>
          <w:sz w:val="22"/>
          <w:szCs w:val="22"/>
          <w:lang w:val="en-US"/>
        </w:rPr>
        <w:t xml:space="preserve"> </w:t>
      </w:r>
      <w:r w:rsidR="00852979" w:rsidRPr="00F85073">
        <w:rPr>
          <w:sz w:val="22"/>
          <w:szCs w:val="22"/>
          <w:lang w:val="en-US"/>
        </w:rPr>
        <w:t>important in maintaining cardiac filling pressure</w:t>
      </w:r>
      <w:r w:rsidR="003F5776" w:rsidRPr="00F85073">
        <w:rPr>
          <w:sz w:val="22"/>
          <w:szCs w:val="22"/>
          <w:lang w:val="en-US"/>
        </w:rPr>
        <w:t xml:space="preserve"> </w:t>
      </w:r>
      <w:r w:rsidR="003F5776" w:rsidRPr="00F85073">
        <w:rPr>
          <w:sz w:val="22"/>
          <w:szCs w:val="22"/>
          <w:lang w:val="en-US"/>
        </w:rPr>
        <w:fldChar w:fldCharType="begin" w:fldLock="1"/>
      </w:r>
      <w:r w:rsidR="003C2AB5" w:rsidRPr="00F85073">
        <w:rPr>
          <w:sz w:val="22"/>
          <w:szCs w:val="22"/>
          <w:lang w:val="en-US"/>
        </w:rPr>
        <w:instrText>ADDIN CSL_CITATION {"citationItems":[{"id":"ITEM-1","itemData":{"author":[{"dropping-particle":"","family":"Rowel LB","given":"","non-dropping-particle":"","parse-names":false,"suffix":""}],"edition":"1th","id":"ITEM-1","issued":{"date-parts":[["1993"]]},"publisher":"Oxford University Press","publisher-place":"UK","title":"Human Cardiovascular Control","type":"book"},"uris":["http://www.mendeley.com/documents/?uuid=ac726b00-b5b0-4df7-bd9b-262697a57225"]}],"mendeley":{"formattedCitation":"(21)","plainTextFormattedCitation":"(21)","previouslyFormattedCitation":"(21)"},"properties":{"noteIndex":0},"schema":"https://github.com/citation-style-language/schema/raw/master/csl-citation.json"}</w:instrText>
      </w:r>
      <w:r w:rsidR="003F5776" w:rsidRPr="00F85073">
        <w:rPr>
          <w:sz w:val="22"/>
          <w:szCs w:val="22"/>
          <w:lang w:val="en-US"/>
        </w:rPr>
        <w:fldChar w:fldCharType="separate"/>
      </w:r>
      <w:r w:rsidR="003F5776" w:rsidRPr="00F85073">
        <w:rPr>
          <w:noProof/>
          <w:sz w:val="22"/>
          <w:szCs w:val="22"/>
          <w:lang w:val="en-US"/>
        </w:rPr>
        <w:t>(21)</w:t>
      </w:r>
      <w:r w:rsidR="003F5776" w:rsidRPr="00F85073">
        <w:rPr>
          <w:sz w:val="22"/>
          <w:szCs w:val="22"/>
          <w:lang w:val="en-US"/>
        </w:rPr>
        <w:fldChar w:fldCharType="end"/>
      </w:r>
      <w:r w:rsidR="003F5776" w:rsidRPr="00F85073">
        <w:rPr>
          <w:sz w:val="22"/>
          <w:szCs w:val="22"/>
          <w:lang w:val="en-US"/>
        </w:rPr>
        <w:t xml:space="preserve">. </w:t>
      </w:r>
      <w:r w:rsidR="00FA21AE" w:rsidRPr="00F85073">
        <w:rPr>
          <w:sz w:val="22"/>
          <w:szCs w:val="22"/>
          <w:lang w:val="en-US"/>
        </w:rPr>
        <w:t xml:space="preserve">For example, Suzuki et al., in their study of young subjects, reported that there was a decrease in venous return and cardiac output following 20-day bed rest, due to the decrease in muscle mass and muscle strength, and that patients had </w:t>
      </w:r>
      <w:r w:rsidR="00FA21AE" w:rsidRPr="00F85073">
        <w:rPr>
          <w:sz w:val="22"/>
          <w:szCs w:val="22"/>
          <w:lang w:val="en-US"/>
        </w:rPr>
        <w:lastRenderedPageBreak/>
        <w:t xml:space="preserve">deterioration in orthostatic tolerance capacity </w:t>
      </w:r>
      <w:r w:rsidR="003F5776" w:rsidRPr="00F85073">
        <w:rPr>
          <w:sz w:val="22"/>
          <w:szCs w:val="22"/>
          <w:lang w:val="en-US"/>
        </w:rPr>
        <w:fldChar w:fldCharType="begin" w:fldLock="1"/>
      </w:r>
      <w:r w:rsidR="003C2AB5" w:rsidRPr="00F85073">
        <w:rPr>
          <w:sz w:val="22"/>
          <w:szCs w:val="22"/>
          <w:lang w:val="en-US"/>
        </w:rPr>
        <w:instrText>ADDIN CSL_CITATION {"citationItems":[{"id":"ITEM-1","itemData":{"ISSN":"1077-9248 (Print)","PMID":"11538763","abstract":"To this day, many studies have suggested that prolonged bed rest (BR) affects on  muscle mass and strength not only in gravity muscles but also in ungravity muscles. However, it is still unclear whether the decrease in regional muscle strength after BR is due to the alterations in the corresponding muscle mass, or not. On the other hand, if BR decreases the mass of antigravity muscles (UGM) as well as muscle strength and then increases tissue compliance of the antigravity muscles, orthostatic tolerance capacity will be decreased by the reduction in cardiac output (CO) in spite of the increase in myocardial contractility because the more decrease in venous return due to the more increase in blood pooling within the compliant tissues of the lower body. However, this is also unclear. To make these questions clear, the present study investigated the regional muscle mass and strength and orthostatic tolerance capacity before and after 20 days of bed rest in young subjects.","author":[{"dropping-particle":"","family":"Suzuki","given":"Y","non-dropping-particle":"","parse-names":false,"suffix":""},{"dropping-particle":"","family":"Murakami","given":"T","non-dropping-particle":"","parse-names":false,"suffix":""},{"dropping-particle":"","family":"Kawakubo","given":"K","non-dropping-particle":"","parse-names":false,"suffix":""},{"dropping-particle":"","family":"Haruna","given":"Y","non-dropping-particle":"","parse-names":false,"suffix":""},{"dropping-particle":"","family":"Takenaka","given":"K","non-dropping-particle":"","parse-names":false,"suffix":""},{"dropping-particle":"","family":"Goto","given":"S","non-dropping-particle":"","parse-names":false,"suffix":""},{"dropping-particle":"","family":"Makita","given":"Y","non-dropping-particle":"","parse-names":false,"suffix":""},{"dropping-particle":"","family":"Ikawa","given":"S","non-dropping-particle":"","parse-names":false,"suffix":""},{"dropping-particle":"","family":"Gunji","given":"A","non-dropping-particle":"","parse-names":false,"suffix":""}],"container-title":"Journal of gravitational physiology : a journal of the International Society for  Gravitational Physiology","id":"ITEM-1","issue":"1","issued":{"date-parts":[["1994","5"]]},"language":"eng","page":"P57-8","publisher-place":"United States","title":"Regional changes in muscle mass and strength following 20 days of bed rest, and the effects on orthostatic tolerance capacity in young subjects.","type":"article-journal","volume":"1"},"uris":["http://www.mendeley.com/documents/?uuid=c6e058b3-41f1-400c-bb1a-7121341855e0"]}],"mendeley":{"formattedCitation":"(22)","plainTextFormattedCitation":"(22)","previouslyFormattedCitation":"(22)"},"properties":{"noteIndex":0},"schema":"https://github.com/citation-style-language/schema/raw/master/csl-citation.json"}</w:instrText>
      </w:r>
      <w:r w:rsidR="003F5776" w:rsidRPr="00F85073">
        <w:rPr>
          <w:sz w:val="22"/>
          <w:szCs w:val="22"/>
          <w:lang w:val="en-US"/>
        </w:rPr>
        <w:fldChar w:fldCharType="separate"/>
      </w:r>
      <w:r w:rsidR="003F5776" w:rsidRPr="00F85073">
        <w:rPr>
          <w:noProof/>
          <w:sz w:val="22"/>
          <w:szCs w:val="22"/>
          <w:lang w:val="en-US"/>
        </w:rPr>
        <w:t>(22)</w:t>
      </w:r>
      <w:r w:rsidR="003F5776" w:rsidRPr="00F85073">
        <w:rPr>
          <w:sz w:val="22"/>
          <w:szCs w:val="22"/>
          <w:lang w:val="en-US"/>
        </w:rPr>
        <w:fldChar w:fldCharType="end"/>
      </w:r>
      <w:r w:rsidR="003F5776" w:rsidRPr="00F85073">
        <w:rPr>
          <w:sz w:val="22"/>
          <w:szCs w:val="22"/>
          <w:lang w:val="en-US"/>
        </w:rPr>
        <w:t xml:space="preserve">. Accordingly, </w:t>
      </w:r>
      <w:proofErr w:type="spellStart"/>
      <w:r w:rsidR="003F5776" w:rsidRPr="00F85073">
        <w:rPr>
          <w:sz w:val="22"/>
          <w:szCs w:val="22"/>
          <w:lang w:val="en-US"/>
        </w:rPr>
        <w:t>FoF</w:t>
      </w:r>
      <w:proofErr w:type="spellEnd"/>
      <w:r w:rsidR="003F5776" w:rsidRPr="00F85073">
        <w:rPr>
          <w:sz w:val="22"/>
          <w:szCs w:val="22"/>
          <w:lang w:val="en-US"/>
        </w:rPr>
        <w:t xml:space="preserve"> can be a risk factor for OH in older adults.</w:t>
      </w:r>
    </w:p>
    <w:p w14:paraId="29F7B387" w14:textId="77777777" w:rsidR="000B54FD" w:rsidRPr="00F85073" w:rsidRDefault="000B54FD" w:rsidP="00F43EDA">
      <w:pPr>
        <w:spacing w:line="360" w:lineRule="auto"/>
        <w:jc w:val="both"/>
        <w:rPr>
          <w:sz w:val="22"/>
          <w:szCs w:val="22"/>
        </w:rPr>
      </w:pPr>
    </w:p>
    <w:p w14:paraId="1EAF0DDF" w14:textId="7A2FDEF5" w:rsidR="00F43EDA" w:rsidRPr="00F85073" w:rsidRDefault="000B3254" w:rsidP="00F43EDA">
      <w:pPr>
        <w:spacing w:line="360" w:lineRule="auto"/>
        <w:jc w:val="both"/>
        <w:rPr>
          <w:sz w:val="22"/>
          <w:szCs w:val="22"/>
        </w:rPr>
      </w:pPr>
      <w:r w:rsidRPr="00F85073">
        <w:rPr>
          <w:sz w:val="22"/>
          <w:szCs w:val="22"/>
        </w:rPr>
        <w:t>The present study has several strengths</w:t>
      </w:r>
      <w:r w:rsidR="002829E7" w:rsidRPr="00F85073">
        <w:rPr>
          <w:sz w:val="22"/>
          <w:szCs w:val="22"/>
        </w:rPr>
        <w:t xml:space="preserve"> </w:t>
      </w:r>
      <w:r w:rsidR="003E7DA6" w:rsidRPr="00F85073">
        <w:rPr>
          <w:sz w:val="22"/>
          <w:szCs w:val="22"/>
        </w:rPr>
        <w:t>b</w:t>
      </w:r>
      <w:r w:rsidR="000B54FD" w:rsidRPr="00F85073">
        <w:rPr>
          <w:sz w:val="22"/>
          <w:szCs w:val="22"/>
        </w:rPr>
        <w:t xml:space="preserve">lood pressure measurements and the data of all other tests were collected by one physician. </w:t>
      </w:r>
      <w:r w:rsidRPr="00F85073">
        <w:rPr>
          <w:sz w:val="22"/>
          <w:szCs w:val="22"/>
        </w:rPr>
        <w:t>Moreover,</w:t>
      </w:r>
      <w:r w:rsidR="00CC5887" w:rsidRPr="00F85073">
        <w:rPr>
          <w:sz w:val="22"/>
          <w:szCs w:val="22"/>
        </w:rPr>
        <w:t xml:space="preserve"> </w:t>
      </w:r>
      <w:r w:rsidR="000B54FD" w:rsidRPr="00F85073">
        <w:rPr>
          <w:sz w:val="22"/>
          <w:szCs w:val="22"/>
        </w:rPr>
        <w:t xml:space="preserve">OH-related studies are generally performed </w:t>
      </w:r>
      <w:r w:rsidRPr="00F85073">
        <w:rPr>
          <w:sz w:val="22"/>
          <w:szCs w:val="22"/>
        </w:rPr>
        <w:t>using</w:t>
      </w:r>
      <w:r w:rsidR="000B54FD" w:rsidRPr="00F85073">
        <w:rPr>
          <w:sz w:val="22"/>
          <w:szCs w:val="22"/>
        </w:rPr>
        <w:t xml:space="preserve"> single measurement, blood pressure measurements for OH</w:t>
      </w:r>
      <w:r w:rsidRPr="00F85073">
        <w:rPr>
          <w:sz w:val="22"/>
          <w:szCs w:val="22"/>
        </w:rPr>
        <w:t xml:space="preserve"> in this study</w:t>
      </w:r>
      <w:r w:rsidR="000B54FD" w:rsidRPr="00F85073">
        <w:rPr>
          <w:sz w:val="22"/>
          <w:szCs w:val="22"/>
        </w:rPr>
        <w:t xml:space="preserve"> were</w:t>
      </w:r>
      <w:r w:rsidRPr="00F85073">
        <w:rPr>
          <w:sz w:val="22"/>
          <w:szCs w:val="22"/>
        </w:rPr>
        <w:t xml:space="preserve"> carried out over</w:t>
      </w:r>
      <w:r w:rsidR="000B54FD" w:rsidRPr="00F85073">
        <w:rPr>
          <w:sz w:val="22"/>
          <w:szCs w:val="22"/>
        </w:rPr>
        <w:t xml:space="preserve"> 1-3</w:t>
      </w:r>
      <w:r w:rsidR="003E7DA6" w:rsidRPr="00F85073">
        <w:rPr>
          <w:sz w:val="22"/>
          <w:szCs w:val="22"/>
        </w:rPr>
        <w:t xml:space="preserve"> minutes</w:t>
      </w:r>
      <w:r w:rsidR="000B54FD" w:rsidRPr="00F85073">
        <w:rPr>
          <w:sz w:val="22"/>
          <w:szCs w:val="22"/>
        </w:rPr>
        <w:t xml:space="preserve">. Measurements </w:t>
      </w:r>
      <w:r w:rsidRPr="00F85073">
        <w:rPr>
          <w:sz w:val="22"/>
          <w:szCs w:val="22"/>
        </w:rPr>
        <w:t xml:space="preserve">were performed using a </w:t>
      </w:r>
      <w:r w:rsidR="002C1D4B" w:rsidRPr="00F85073">
        <w:rPr>
          <w:sz w:val="22"/>
          <w:szCs w:val="22"/>
        </w:rPr>
        <w:t xml:space="preserve">device that </w:t>
      </w:r>
      <w:r w:rsidR="000B54FD" w:rsidRPr="00F85073">
        <w:rPr>
          <w:sz w:val="22"/>
          <w:szCs w:val="22"/>
        </w:rPr>
        <w:t>calibrate</w:t>
      </w:r>
      <w:r w:rsidRPr="00F85073">
        <w:rPr>
          <w:sz w:val="22"/>
          <w:szCs w:val="22"/>
        </w:rPr>
        <w:t>s</w:t>
      </w:r>
      <w:r w:rsidR="000B54FD" w:rsidRPr="00F85073">
        <w:rPr>
          <w:sz w:val="22"/>
          <w:szCs w:val="22"/>
        </w:rPr>
        <w:t xml:space="preserve"> automatically and by this way, </w:t>
      </w:r>
      <w:r w:rsidRPr="00F85073">
        <w:rPr>
          <w:sz w:val="22"/>
          <w:szCs w:val="22"/>
        </w:rPr>
        <w:t>physcian error</w:t>
      </w:r>
      <w:r w:rsidR="000B54FD" w:rsidRPr="00F85073">
        <w:rPr>
          <w:sz w:val="22"/>
          <w:szCs w:val="22"/>
        </w:rPr>
        <w:t xml:space="preserve"> has been minimized. </w:t>
      </w:r>
      <w:r w:rsidR="00F43EDA" w:rsidRPr="00F85073">
        <w:rPr>
          <w:sz w:val="22"/>
          <w:szCs w:val="22"/>
        </w:rPr>
        <w:t xml:space="preserve">The most important limitation of the study is its cross-sectional nature. </w:t>
      </w:r>
      <w:r w:rsidR="00AF65EA" w:rsidRPr="00F85073">
        <w:rPr>
          <w:sz w:val="22"/>
          <w:szCs w:val="22"/>
          <w:lang w:val="en-US"/>
        </w:rPr>
        <w:t>Thus, further longitudinal studies are now required for the determination of causality.</w:t>
      </w:r>
      <w:r w:rsidR="00E73F5B" w:rsidRPr="00F85073">
        <w:rPr>
          <w:sz w:val="22"/>
          <w:szCs w:val="22"/>
          <w:lang w:val="en-US"/>
        </w:rPr>
        <w:t xml:space="preserve"> Another limitation may be that OH was not </w:t>
      </w:r>
      <w:r w:rsidRPr="00F85073">
        <w:rPr>
          <w:sz w:val="22"/>
          <w:szCs w:val="22"/>
          <w:lang w:val="en-US"/>
        </w:rPr>
        <w:t xml:space="preserve">measured utilizing the </w:t>
      </w:r>
      <w:r w:rsidR="00E73F5B" w:rsidRPr="00F85073">
        <w:rPr>
          <w:sz w:val="22"/>
          <w:szCs w:val="22"/>
          <w:lang w:val="en-US"/>
        </w:rPr>
        <w:t>Head-up-Tilt table test.</w:t>
      </w:r>
    </w:p>
    <w:p w14:paraId="3CB3F6F5" w14:textId="77777777" w:rsidR="00AF65EA" w:rsidRPr="00F85073" w:rsidRDefault="00AF65EA" w:rsidP="00F43EDA">
      <w:pPr>
        <w:spacing w:line="360" w:lineRule="auto"/>
        <w:jc w:val="both"/>
        <w:rPr>
          <w:sz w:val="22"/>
          <w:szCs w:val="22"/>
        </w:rPr>
      </w:pPr>
    </w:p>
    <w:p w14:paraId="5F15F1C3" w14:textId="32E953AE" w:rsidR="00F43EDA" w:rsidRPr="00F85073" w:rsidRDefault="00F43EDA" w:rsidP="00C66D3F">
      <w:pPr>
        <w:pStyle w:val="Heading1"/>
      </w:pPr>
      <w:r w:rsidRPr="00F85073">
        <w:t>CONCLUSION</w:t>
      </w:r>
    </w:p>
    <w:p w14:paraId="67E8C118" w14:textId="77777777" w:rsidR="00F43EDA" w:rsidRPr="00F85073" w:rsidRDefault="00F43EDA" w:rsidP="00F43EDA">
      <w:pPr>
        <w:spacing w:line="360" w:lineRule="auto"/>
        <w:jc w:val="both"/>
        <w:rPr>
          <w:b/>
          <w:bCs/>
          <w:sz w:val="22"/>
          <w:szCs w:val="22"/>
        </w:rPr>
      </w:pPr>
    </w:p>
    <w:p w14:paraId="6744AE34" w14:textId="7827E73C" w:rsidR="00864224" w:rsidRPr="00F85073" w:rsidRDefault="00864224" w:rsidP="00864224">
      <w:pPr>
        <w:spacing w:line="360" w:lineRule="auto"/>
        <w:jc w:val="both"/>
        <w:rPr>
          <w:sz w:val="22"/>
          <w:szCs w:val="22"/>
          <w:lang w:val="en-US"/>
        </w:rPr>
      </w:pPr>
      <w:proofErr w:type="gramStart"/>
      <w:r w:rsidRPr="00F85073">
        <w:rPr>
          <w:sz w:val="22"/>
          <w:szCs w:val="22"/>
          <w:lang w:val="en-US"/>
        </w:rPr>
        <w:t>OH</w:t>
      </w:r>
      <w:proofErr w:type="gramEnd"/>
      <w:r w:rsidR="002829E7" w:rsidRPr="00F85073">
        <w:rPr>
          <w:sz w:val="22"/>
          <w:szCs w:val="22"/>
          <w:lang w:val="en-US"/>
        </w:rPr>
        <w:t xml:space="preserve"> </w:t>
      </w:r>
      <w:r w:rsidRPr="00F85073">
        <w:rPr>
          <w:sz w:val="22"/>
          <w:szCs w:val="22"/>
          <w:lang w:val="en-US"/>
        </w:rPr>
        <w:t xml:space="preserve">and </w:t>
      </w:r>
      <w:proofErr w:type="spellStart"/>
      <w:r w:rsidRPr="00F85073">
        <w:rPr>
          <w:sz w:val="22"/>
          <w:szCs w:val="22"/>
          <w:lang w:val="en-US"/>
        </w:rPr>
        <w:t>FoF</w:t>
      </w:r>
      <w:proofErr w:type="spellEnd"/>
      <w:r w:rsidRPr="00F85073">
        <w:rPr>
          <w:sz w:val="22"/>
          <w:szCs w:val="22"/>
          <w:lang w:val="en-US"/>
        </w:rPr>
        <w:t xml:space="preserve"> are two major geriatric syndromes that are closely related. Moreover, the higher the severity of </w:t>
      </w:r>
      <w:proofErr w:type="spellStart"/>
      <w:r w:rsidRPr="00F85073">
        <w:rPr>
          <w:sz w:val="22"/>
          <w:szCs w:val="22"/>
          <w:lang w:val="en-US"/>
        </w:rPr>
        <w:t>FoF</w:t>
      </w:r>
      <w:proofErr w:type="spellEnd"/>
      <w:r w:rsidRPr="00F85073">
        <w:rPr>
          <w:sz w:val="22"/>
          <w:szCs w:val="22"/>
          <w:lang w:val="en-US"/>
        </w:rPr>
        <w:t xml:space="preserve">, the </w:t>
      </w:r>
      <w:r w:rsidR="000B3254" w:rsidRPr="00F85073">
        <w:rPr>
          <w:sz w:val="22"/>
          <w:szCs w:val="22"/>
          <w:lang w:val="en-US"/>
        </w:rPr>
        <w:t>stronger</w:t>
      </w:r>
      <w:r w:rsidRPr="00F85073">
        <w:rPr>
          <w:sz w:val="22"/>
          <w:szCs w:val="22"/>
          <w:lang w:val="en-US"/>
        </w:rPr>
        <w:t xml:space="preserve"> the association between </w:t>
      </w:r>
      <w:proofErr w:type="spellStart"/>
      <w:r w:rsidRPr="00F85073">
        <w:rPr>
          <w:sz w:val="22"/>
          <w:szCs w:val="22"/>
          <w:lang w:val="en-US"/>
        </w:rPr>
        <w:t>FoF</w:t>
      </w:r>
      <w:proofErr w:type="spellEnd"/>
      <w:r w:rsidRPr="00F85073">
        <w:rPr>
          <w:sz w:val="22"/>
          <w:szCs w:val="22"/>
          <w:lang w:val="en-US"/>
        </w:rPr>
        <w:t xml:space="preserve"> and OH</w:t>
      </w:r>
      <w:r w:rsidR="000B3254" w:rsidRPr="00F85073">
        <w:rPr>
          <w:sz w:val="22"/>
          <w:szCs w:val="22"/>
          <w:lang w:val="en-US"/>
        </w:rPr>
        <w:t xml:space="preserve"> is</w:t>
      </w:r>
      <w:r w:rsidRPr="00F85073">
        <w:rPr>
          <w:sz w:val="22"/>
          <w:szCs w:val="22"/>
          <w:lang w:val="en-US"/>
        </w:rPr>
        <w:t xml:space="preserve">. Therefore, when evaluating an older adult with </w:t>
      </w:r>
      <w:proofErr w:type="spellStart"/>
      <w:r w:rsidR="00096E2E" w:rsidRPr="00F85073">
        <w:rPr>
          <w:sz w:val="22"/>
          <w:szCs w:val="22"/>
          <w:lang w:val="en-US"/>
        </w:rPr>
        <w:t>FoF</w:t>
      </w:r>
      <w:proofErr w:type="spellEnd"/>
      <w:r w:rsidRPr="00F85073">
        <w:rPr>
          <w:sz w:val="22"/>
          <w:szCs w:val="22"/>
          <w:lang w:val="en-US"/>
        </w:rPr>
        <w:t xml:space="preserve"> in geriatric practice, OH should also be evaluated and vice versa. Thus, more effective management of the two will be possible and common complications due to both may be reduced.</w:t>
      </w:r>
    </w:p>
    <w:p w14:paraId="388BB078" w14:textId="77777777" w:rsidR="00EB2DA4" w:rsidRPr="00F85073" w:rsidRDefault="00EB2DA4" w:rsidP="00864224">
      <w:pPr>
        <w:spacing w:line="360" w:lineRule="auto"/>
        <w:jc w:val="both"/>
        <w:rPr>
          <w:sz w:val="22"/>
          <w:szCs w:val="22"/>
          <w:lang w:val="en-US"/>
        </w:rPr>
      </w:pPr>
    </w:p>
    <w:p w14:paraId="07583F13" w14:textId="77777777" w:rsidR="00E07ADE" w:rsidRPr="00F85073" w:rsidRDefault="00E07ADE" w:rsidP="00E07ADE">
      <w:pPr>
        <w:spacing w:line="360" w:lineRule="auto"/>
        <w:jc w:val="both"/>
        <w:rPr>
          <w:sz w:val="22"/>
          <w:szCs w:val="22"/>
          <w:lang w:val="en-US"/>
        </w:rPr>
      </w:pPr>
      <w:r w:rsidRPr="00F85073">
        <w:rPr>
          <w:b/>
          <w:sz w:val="22"/>
          <w:szCs w:val="22"/>
          <w:lang w:val="en-US"/>
        </w:rPr>
        <w:t xml:space="preserve">Conflict of interest statement: </w:t>
      </w:r>
      <w:r w:rsidRPr="00F85073">
        <w:rPr>
          <w:sz w:val="22"/>
          <w:szCs w:val="22"/>
          <w:lang w:val="en-US"/>
        </w:rPr>
        <w:t>The authors report no conflict of interest.</w:t>
      </w:r>
    </w:p>
    <w:p w14:paraId="5F7877D8" w14:textId="77777777" w:rsidR="00E07ADE" w:rsidRPr="00F85073" w:rsidRDefault="00E07ADE" w:rsidP="00E07ADE">
      <w:pPr>
        <w:spacing w:line="360" w:lineRule="auto"/>
        <w:jc w:val="both"/>
        <w:rPr>
          <w:sz w:val="22"/>
          <w:szCs w:val="22"/>
          <w:lang w:val="en-US"/>
        </w:rPr>
      </w:pPr>
      <w:r w:rsidRPr="00F85073">
        <w:rPr>
          <w:b/>
          <w:sz w:val="22"/>
          <w:szCs w:val="22"/>
          <w:lang w:val="en-US"/>
        </w:rPr>
        <w:t xml:space="preserve">Funding sources: </w:t>
      </w:r>
      <w:r w:rsidRPr="00F85073">
        <w:rPr>
          <w:sz w:val="22"/>
          <w:szCs w:val="22"/>
          <w:lang w:val="en-US"/>
        </w:rPr>
        <w:t>The study has no funding.</w:t>
      </w:r>
    </w:p>
    <w:p w14:paraId="2B9A7F4C" w14:textId="77777777" w:rsidR="00E07ADE" w:rsidRPr="00F85073" w:rsidRDefault="00E07ADE" w:rsidP="00E07ADE">
      <w:pPr>
        <w:spacing w:line="360" w:lineRule="auto"/>
        <w:jc w:val="both"/>
        <w:rPr>
          <w:sz w:val="22"/>
          <w:szCs w:val="22"/>
          <w:lang w:val="en-US"/>
        </w:rPr>
      </w:pPr>
      <w:r w:rsidRPr="00F85073">
        <w:rPr>
          <w:b/>
          <w:sz w:val="22"/>
          <w:szCs w:val="22"/>
        </w:rPr>
        <w:t>Ethical Statement</w:t>
      </w:r>
      <w:r w:rsidRPr="00F85073">
        <w:rPr>
          <w:sz w:val="22"/>
          <w:szCs w:val="22"/>
        </w:rPr>
        <w:t xml:space="preserve">: The study design and all procedures performed in studies involving human participants were in accordance with the ethical standards of the institutional and/or national research committee (Ethics Committee of Erciyes University Health Application and Research Center Hospital - 2017/544) and with the 1964 Helsinki Declaration and its later amendments or comparable ethical standards. </w:t>
      </w:r>
      <w:r w:rsidRPr="00F85073">
        <w:rPr>
          <w:b/>
          <w:sz w:val="22"/>
          <w:szCs w:val="22"/>
        </w:rPr>
        <w:t>Human and animal rights disclosure</w:t>
      </w:r>
      <w:r w:rsidRPr="00F85073">
        <w:rPr>
          <w:sz w:val="22"/>
          <w:szCs w:val="22"/>
        </w:rPr>
        <w:t>: This article does not contain any studies with animals performed by any of the authors. Informed consent Informed consent was obtained from all individual participants included in the study</w:t>
      </w:r>
    </w:p>
    <w:p w14:paraId="5F1BEA0A" w14:textId="77777777" w:rsidR="00EB2DA4" w:rsidRPr="00F85073" w:rsidRDefault="00EB2DA4" w:rsidP="00864224">
      <w:pPr>
        <w:spacing w:line="360" w:lineRule="auto"/>
        <w:jc w:val="both"/>
        <w:rPr>
          <w:sz w:val="22"/>
          <w:szCs w:val="22"/>
          <w:lang w:val="en-US"/>
        </w:rPr>
      </w:pPr>
    </w:p>
    <w:p w14:paraId="1ED1901F" w14:textId="77777777" w:rsidR="00C66D3F" w:rsidRDefault="00C66D3F">
      <w:pPr>
        <w:spacing w:after="160" w:line="259" w:lineRule="auto"/>
        <w:rPr>
          <w:b/>
          <w:bCs/>
          <w:sz w:val="22"/>
          <w:szCs w:val="22"/>
          <w:lang w:val="en-US"/>
        </w:rPr>
      </w:pPr>
      <w:r>
        <w:rPr>
          <w:lang w:val="en-US"/>
        </w:rPr>
        <w:br w:type="page"/>
      </w:r>
    </w:p>
    <w:p w14:paraId="1DD6046F" w14:textId="4A725271" w:rsidR="003C2AB5" w:rsidRPr="00F85073" w:rsidRDefault="003C2AB5" w:rsidP="00C66D3F">
      <w:pPr>
        <w:pStyle w:val="Heading1"/>
        <w:numPr>
          <w:ilvl w:val="0"/>
          <w:numId w:val="0"/>
        </w:numPr>
        <w:rPr>
          <w:lang w:val="en-US"/>
        </w:rPr>
      </w:pPr>
      <w:r w:rsidRPr="00F85073">
        <w:rPr>
          <w:lang w:val="en-US"/>
        </w:rPr>
        <w:lastRenderedPageBreak/>
        <w:t>References</w:t>
      </w:r>
    </w:p>
    <w:p w14:paraId="3674E453" w14:textId="77777777" w:rsidR="0040406E" w:rsidRPr="00F85073" w:rsidRDefault="0040406E" w:rsidP="00F43EDA">
      <w:pPr>
        <w:spacing w:line="360" w:lineRule="auto"/>
        <w:jc w:val="both"/>
        <w:rPr>
          <w:sz w:val="22"/>
          <w:szCs w:val="22"/>
        </w:rPr>
      </w:pPr>
    </w:p>
    <w:p w14:paraId="3D68215D" w14:textId="77777777" w:rsidR="003C2AB5" w:rsidRPr="00F85073" w:rsidRDefault="003C2AB5" w:rsidP="003C2AB5">
      <w:pPr>
        <w:widowControl w:val="0"/>
        <w:autoSpaceDE w:val="0"/>
        <w:autoSpaceDN w:val="0"/>
        <w:adjustRightInd w:val="0"/>
        <w:spacing w:line="360" w:lineRule="auto"/>
        <w:ind w:left="640" w:hanging="640"/>
        <w:rPr>
          <w:noProof/>
          <w:sz w:val="22"/>
          <w:szCs w:val="22"/>
        </w:rPr>
      </w:pPr>
      <w:r w:rsidRPr="00F85073">
        <w:rPr>
          <w:sz w:val="22"/>
          <w:szCs w:val="22"/>
        </w:rPr>
        <w:fldChar w:fldCharType="begin" w:fldLock="1"/>
      </w:r>
      <w:r w:rsidRPr="00F85073">
        <w:rPr>
          <w:sz w:val="22"/>
          <w:szCs w:val="22"/>
        </w:rPr>
        <w:instrText xml:space="preserve">ADDIN Mendeley Bibliography CSL_BIBLIOGRAPHY </w:instrText>
      </w:r>
      <w:r w:rsidRPr="00F85073">
        <w:rPr>
          <w:sz w:val="22"/>
          <w:szCs w:val="22"/>
        </w:rPr>
        <w:fldChar w:fldCharType="separate"/>
      </w:r>
      <w:r w:rsidRPr="00F85073">
        <w:rPr>
          <w:noProof/>
          <w:sz w:val="22"/>
          <w:szCs w:val="22"/>
        </w:rPr>
        <w:t xml:space="preserve">1. </w:t>
      </w:r>
      <w:r w:rsidRPr="00F85073">
        <w:rPr>
          <w:noProof/>
          <w:sz w:val="22"/>
          <w:szCs w:val="22"/>
        </w:rPr>
        <w:tab/>
        <w:t xml:space="preserve">Aydin AE, Soysal P, Isik AT. Which is preferable for orthostatic hypotension diagnosis in older adults: Active standing test or head-up tilt table test? Clin Interv Aging. 2017;12. </w:t>
      </w:r>
    </w:p>
    <w:p w14:paraId="5ED4C520" w14:textId="77777777" w:rsidR="003C2AB5" w:rsidRPr="00F85073" w:rsidRDefault="003C2AB5" w:rsidP="003C2AB5">
      <w:pPr>
        <w:widowControl w:val="0"/>
        <w:autoSpaceDE w:val="0"/>
        <w:autoSpaceDN w:val="0"/>
        <w:adjustRightInd w:val="0"/>
        <w:spacing w:line="360" w:lineRule="auto"/>
        <w:ind w:left="640" w:hanging="640"/>
        <w:rPr>
          <w:noProof/>
          <w:sz w:val="22"/>
          <w:szCs w:val="22"/>
        </w:rPr>
      </w:pPr>
      <w:r w:rsidRPr="00F85073">
        <w:rPr>
          <w:noProof/>
          <w:sz w:val="22"/>
          <w:szCs w:val="22"/>
        </w:rPr>
        <w:t xml:space="preserve">2. </w:t>
      </w:r>
      <w:r w:rsidRPr="00F85073">
        <w:rPr>
          <w:noProof/>
          <w:sz w:val="22"/>
          <w:szCs w:val="22"/>
        </w:rPr>
        <w:tab/>
        <w:t xml:space="preserve">Robertson D. The pathophysiology and diagnosis of orthostatic hypotension. Clin Auton Res. 2008 Mar;18 Suppl 1:2–7. </w:t>
      </w:r>
    </w:p>
    <w:p w14:paraId="239B3C63" w14:textId="77777777" w:rsidR="003C2AB5" w:rsidRPr="00F85073" w:rsidRDefault="003C2AB5" w:rsidP="003C2AB5">
      <w:pPr>
        <w:widowControl w:val="0"/>
        <w:autoSpaceDE w:val="0"/>
        <w:autoSpaceDN w:val="0"/>
        <w:adjustRightInd w:val="0"/>
        <w:spacing w:line="360" w:lineRule="auto"/>
        <w:ind w:left="640" w:hanging="640"/>
        <w:rPr>
          <w:noProof/>
          <w:sz w:val="22"/>
          <w:szCs w:val="22"/>
        </w:rPr>
      </w:pPr>
      <w:r w:rsidRPr="00F85073">
        <w:rPr>
          <w:noProof/>
          <w:sz w:val="22"/>
          <w:szCs w:val="22"/>
        </w:rPr>
        <w:t xml:space="preserve">3. </w:t>
      </w:r>
      <w:r w:rsidRPr="00F85073">
        <w:rPr>
          <w:noProof/>
          <w:sz w:val="22"/>
          <w:szCs w:val="22"/>
        </w:rPr>
        <w:tab/>
        <w:t xml:space="preserve">Soysal P, Aydin AE, Koc Okudur S, Isik AT. When should orthostatic blood pressure changes be evaluated in elderly: 1st, 3rd or 5th minute? Arch Gerontol Geriatr. 2016;65. </w:t>
      </w:r>
    </w:p>
    <w:p w14:paraId="15685AB0" w14:textId="77777777" w:rsidR="003C2AB5" w:rsidRPr="00F85073" w:rsidRDefault="003C2AB5" w:rsidP="003C2AB5">
      <w:pPr>
        <w:widowControl w:val="0"/>
        <w:autoSpaceDE w:val="0"/>
        <w:autoSpaceDN w:val="0"/>
        <w:adjustRightInd w:val="0"/>
        <w:spacing w:line="360" w:lineRule="auto"/>
        <w:ind w:left="640" w:hanging="640"/>
        <w:rPr>
          <w:noProof/>
          <w:sz w:val="22"/>
          <w:szCs w:val="22"/>
        </w:rPr>
      </w:pPr>
      <w:r w:rsidRPr="00F85073">
        <w:rPr>
          <w:noProof/>
          <w:sz w:val="22"/>
          <w:szCs w:val="22"/>
        </w:rPr>
        <w:t xml:space="preserve">4. </w:t>
      </w:r>
      <w:r w:rsidRPr="00F85073">
        <w:rPr>
          <w:noProof/>
          <w:sz w:val="22"/>
          <w:szCs w:val="22"/>
        </w:rPr>
        <w:tab/>
        <w:t xml:space="preserve">Isik AT, Kocyigit SE, Smith L, Aydin AE, Soysal P. A comparison of the prevalence of orthostatic hypotension between older patients  with Alzheimer’s Disease, Lewy body dementia, and without dementia. Exp Gerontol. 2019 Sep;124:110628. </w:t>
      </w:r>
    </w:p>
    <w:p w14:paraId="5F6BD8AB" w14:textId="77777777" w:rsidR="003C2AB5" w:rsidRPr="00F85073" w:rsidRDefault="003C2AB5" w:rsidP="003C2AB5">
      <w:pPr>
        <w:widowControl w:val="0"/>
        <w:autoSpaceDE w:val="0"/>
        <w:autoSpaceDN w:val="0"/>
        <w:adjustRightInd w:val="0"/>
        <w:spacing w:line="360" w:lineRule="auto"/>
        <w:ind w:left="640" w:hanging="640"/>
        <w:rPr>
          <w:noProof/>
          <w:sz w:val="22"/>
          <w:szCs w:val="22"/>
        </w:rPr>
      </w:pPr>
      <w:r w:rsidRPr="00F85073">
        <w:rPr>
          <w:noProof/>
          <w:sz w:val="22"/>
          <w:szCs w:val="22"/>
        </w:rPr>
        <w:t xml:space="preserve">5. </w:t>
      </w:r>
      <w:r w:rsidRPr="00F85073">
        <w:rPr>
          <w:noProof/>
          <w:sz w:val="22"/>
          <w:szCs w:val="22"/>
        </w:rPr>
        <w:tab/>
        <w:t xml:space="preserve">Kocyigit SE, Soysal P, Bulut EA, Aydin AE, Dokuzlar O, Isik AT. What is the relationship between frailty and orthostatic hypotension in older adults? J Geriatr Cardiol. 2019 Mar;16(3):272–9. </w:t>
      </w:r>
    </w:p>
    <w:p w14:paraId="476403F1" w14:textId="77777777" w:rsidR="003C2AB5" w:rsidRPr="00F85073" w:rsidRDefault="003C2AB5" w:rsidP="003C2AB5">
      <w:pPr>
        <w:widowControl w:val="0"/>
        <w:autoSpaceDE w:val="0"/>
        <w:autoSpaceDN w:val="0"/>
        <w:adjustRightInd w:val="0"/>
        <w:spacing w:line="360" w:lineRule="auto"/>
        <w:ind w:left="640" w:hanging="640"/>
        <w:rPr>
          <w:noProof/>
          <w:sz w:val="22"/>
          <w:szCs w:val="22"/>
        </w:rPr>
      </w:pPr>
      <w:r w:rsidRPr="00F85073">
        <w:rPr>
          <w:noProof/>
          <w:sz w:val="22"/>
          <w:szCs w:val="22"/>
        </w:rPr>
        <w:t xml:space="preserve">6. </w:t>
      </w:r>
      <w:r w:rsidRPr="00F85073">
        <w:rPr>
          <w:noProof/>
          <w:sz w:val="22"/>
          <w:szCs w:val="22"/>
        </w:rPr>
        <w:tab/>
        <w:t xml:space="preserve">Kocyigit SE, Soysal P, Ates Bulut E, Isik AT. Malnutrition and Malnutrition Risk Can Be Associated with Systolic Orthostatic Hypotension in Older Adults. J Nutr Heal Aging. 2018; </w:t>
      </w:r>
    </w:p>
    <w:p w14:paraId="62F81D00" w14:textId="77777777" w:rsidR="003C2AB5" w:rsidRPr="00F85073" w:rsidRDefault="003C2AB5" w:rsidP="003C2AB5">
      <w:pPr>
        <w:widowControl w:val="0"/>
        <w:autoSpaceDE w:val="0"/>
        <w:autoSpaceDN w:val="0"/>
        <w:adjustRightInd w:val="0"/>
        <w:spacing w:line="360" w:lineRule="auto"/>
        <w:ind w:left="640" w:hanging="640"/>
        <w:rPr>
          <w:noProof/>
          <w:sz w:val="22"/>
          <w:szCs w:val="22"/>
        </w:rPr>
      </w:pPr>
      <w:r w:rsidRPr="00F85073">
        <w:rPr>
          <w:noProof/>
          <w:sz w:val="22"/>
          <w:szCs w:val="22"/>
        </w:rPr>
        <w:t xml:space="preserve">7. </w:t>
      </w:r>
      <w:r w:rsidRPr="00F85073">
        <w:rPr>
          <w:noProof/>
          <w:sz w:val="22"/>
          <w:szCs w:val="22"/>
        </w:rPr>
        <w:tab/>
        <w:t>P. S, N. V, L. S, G. T, S.E. J, L. Y, et al. Orthostatic hypotension and health outcomes: an umbrella review of observational studies. Eur Geriatr Med [Internet]. 2019;10(6):863–70. Available from: http://www.epistemonikos.org/documents/e4335d82b71d411c635fa6b4e744056a825f1a56</w:t>
      </w:r>
    </w:p>
    <w:p w14:paraId="637D6AC8" w14:textId="77777777" w:rsidR="003C2AB5" w:rsidRPr="00F85073" w:rsidRDefault="003C2AB5" w:rsidP="003C2AB5">
      <w:pPr>
        <w:widowControl w:val="0"/>
        <w:autoSpaceDE w:val="0"/>
        <w:autoSpaceDN w:val="0"/>
        <w:adjustRightInd w:val="0"/>
        <w:spacing w:line="360" w:lineRule="auto"/>
        <w:ind w:left="640" w:hanging="640"/>
        <w:rPr>
          <w:noProof/>
          <w:sz w:val="22"/>
          <w:szCs w:val="22"/>
        </w:rPr>
      </w:pPr>
      <w:r w:rsidRPr="00F85073">
        <w:rPr>
          <w:noProof/>
          <w:sz w:val="22"/>
          <w:szCs w:val="22"/>
        </w:rPr>
        <w:t xml:space="preserve">8. </w:t>
      </w:r>
      <w:r w:rsidRPr="00F85073">
        <w:rPr>
          <w:noProof/>
          <w:sz w:val="22"/>
          <w:szCs w:val="22"/>
        </w:rPr>
        <w:tab/>
        <w:t xml:space="preserve">Mol A, Reijnierse EM, Bui Hoang PTS, van Wezel RJA, Meskers CGM, Maier AB. Orthostatic hypotension and physical functioning in older adults: A systematic review and meta-analysis. Ageing Res Rev. 2018 Dec;48:122–44. </w:t>
      </w:r>
    </w:p>
    <w:p w14:paraId="5D765611" w14:textId="77777777" w:rsidR="003C2AB5" w:rsidRPr="00F85073" w:rsidRDefault="003C2AB5" w:rsidP="003C2AB5">
      <w:pPr>
        <w:widowControl w:val="0"/>
        <w:autoSpaceDE w:val="0"/>
        <w:autoSpaceDN w:val="0"/>
        <w:adjustRightInd w:val="0"/>
        <w:spacing w:line="360" w:lineRule="auto"/>
        <w:ind w:left="640" w:hanging="640"/>
        <w:rPr>
          <w:noProof/>
          <w:sz w:val="22"/>
          <w:szCs w:val="22"/>
        </w:rPr>
      </w:pPr>
      <w:r w:rsidRPr="00F85073">
        <w:rPr>
          <w:noProof/>
          <w:sz w:val="22"/>
          <w:szCs w:val="22"/>
        </w:rPr>
        <w:t xml:space="preserve">9. </w:t>
      </w:r>
      <w:r w:rsidRPr="00F85073">
        <w:rPr>
          <w:noProof/>
          <w:sz w:val="22"/>
          <w:szCs w:val="22"/>
        </w:rPr>
        <w:tab/>
        <w:t xml:space="preserve">Low PA, Opfer-Gehrking TL, McPhee BR, Fealey RD, Benarroch EE, Willner CL, et al. Prospective evaluation of clinical characteristics of orthostatic hypotension. Mayo Clin Proc. 1995 Jul;70(7):617–22. </w:t>
      </w:r>
    </w:p>
    <w:p w14:paraId="1FD0BB18" w14:textId="77777777" w:rsidR="003C2AB5" w:rsidRPr="00F85073" w:rsidRDefault="003C2AB5" w:rsidP="003C2AB5">
      <w:pPr>
        <w:widowControl w:val="0"/>
        <w:autoSpaceDE w:val="0"/>
        <w:autoSpaceDN w:val="0"/>
        <w:adjustRightInd w:val="0"/>
        <w:spacing w:line="360" w:lineRule="auto"/>
        <w:ind w:left="640" w:hanging="640"/>
        <w:rPr>
          <w:noProof/>
          <w:sz w:val="22"/>
          <w:szCs w:val="22"/>
        </w:rPr>
      </w:pPr>
      <w:r w:rsidRPr="00F85073">
        <w:rPr>
          <w:noProof/>
          <w:sz w:val="22"/>
          <w:szCs w:val="22"/>
        </w:rPr>
        <w:t xml:space="preserve">10. </w:t>
      </w:r>
      <w:r w:rsidRPr="00F85073">
        <w:rPr>
          <w:noProof/>
          <w:sz w:val="22"/>
          <w:szCs w:val="22"/>
        </w:rPr>
        <w:tab/>
        <w:t xml:space="preserve">Mol A, Bui Hoang PTS, Sharmin S, Reijnierse EM, van Wezel RJA, Meskers CGM, et al. Orthostatic Hypotension and Falls in Older Adults: A Systematic Review and Meta-analysis. J Am Med Dir Assoc. 2019 May;20(5):589-597.e5. </w:t>
      </w:r>
    </w:p>
    <w:p w14:paraId="25A6574B" w14:textId="77777777" w:rsidR="003C2AB5" w:rsidRPr="00F85073" w:rsidRDefault="003C2AB5" w:rsidP="003C2AB5">
      <w:pPr>
        <w:widowControl w:val="0"/>
        <w:autoSpaceDE w:val="0"/>
        <w:autoSpaceDN w:val="0"/>
        <w:adjustRightInd w:val="0"/>
        <w:spacing w:line="360" w:lineRule="auto"/>
        <w:ind w:left="640" w:hanging="640"/>
        <w:rPr>
          <w:noProof/>
          <w:sz w:val="22"/>
          <w:szCs w:val="22"/>
        </w:rPr>
      </w:pPr>
      <w:r w:rsidRPr="00F85073">
        <w:rPr>
          <w:noProof/>
          <w:sz w:val="22"/>
          <w:szCs w:val="22"/>
        </w:rPr>
        <w:t xml:space="preserve">11. </w:t>
      </w:r>
      <w:r w:rsidRPr="00F85073">
        <w:rPr>
          <w:noProof/>
          <w:sz w:val="22"/>
          <w:szCs w:val="22"/>
        </w:rPr>
        <w:tab/>
        <w:t xml:space="preserve">Delbaere K, Close JCT, Mikolaizak AS, Sachdev PS, Brodaty H, Lord SR. The Falls Efficacy Scale International (FES-I). A comprehensive longitudinal validation study. Age Ageing. 2010 Mar;39(2):210–6. </w:t>
      </w:r>
    </w:p>
    <w:p w14:paraId="796FAE56" w14:textId="77777777" w:rsidR="003C2AB5" w:rsidRPr="00F85073" w:rsidRDefault="003C2AB5" w:rsidP="003C2AB5">
      <w:pPr>
        <w:widowControl w:val="0"/>
        <w:autoSpaceDE w:val="0"/>
        <w:autoSpaceDN w:val="0"/>
        <w:adjustRightInd w:val="0"/>
        <w:spacing w:line="360" w:lineRule="auto"/>
        <w:ind w:left="640" w:hanging="640"/>
        <w:rPr>
          <w:noProof/>
          <w:sz w:val="22"/>
          <w:szCs w:val="22"/>
        </w:rPr>
      </w:pPr>
      <w:r w:rsidRPr="00F85073">
        <w:rPr>
          <w:noProof/>
          <w:sz w:val="22"/>
          <w:szCs w:val="22"/>
        </w:rPr>
        <w:t xml:space="preserve">12. </w:t>
      </w:r>
      <w:r w:rsidRPr="00F85073">
        <w:rPr>
          <w:noProof/>
          <w:sz w:val="22"/>
          <w:szCs w:val="22"/>
        </w:rPr>
        <w:tab/>
        <w:t xml:space="preserve">Whipple MO, Hamel A V, Talley KMC. Fear of falling among community-dwelling older adults: A scoping review to identify effective evidence-based interventions. Geriatr Nurs. 2018 Mar;39(2):170–7. </w:t>
      </w:r>
    </w:p>
    <w:p w14:paraId="4C800E21" w14:textId="77777777" w:rsidR="003C2AB5" w:rsidRPr="00F85073" w:rsidRDefault="003C2AB5" w:rsidP="003C2AB5">
      <w:pPr>
        <w:widowControl w:val="0"/>
        <w:autoSpaceDE w:val="0"/>
        <w:autoSpaceDN w:val="0"/>
        <w:adjustRightInd w:val="0"/>
        <w:spacing w:line="360" w:lineRule="auto"/>
        <w:ind w:left="640" w:hanging="640"/>
        <w:rPr>
          <w:noProof/>
          <w:sz w:val="22"/>
          <w:szCs w:val="22"/>
        </w:rPr>
      </w:pPr>
      <w:r w:rsidRPr="00F85073">
        <w:rPr>
          <w:noProof/>
          <w:sz w:val="22"/>
          <w:szCs w:val="22"/>
        </w:rPr>
        <w:lastRenderedPageBreak/>
        <w:t xml:space="preserve">13. </w:t>
      </w:r>
      <w:r w:rsidRPr="00F85073">
        <w:rPr>
          <w:noProof/>
          <w:sz w:val="22"/>
          <w:szCs w:val="22"/>
        </w:rPr>
        <w:tab/>
        <w:t xml:space="preserve">Tomita Y, Arima K, Tsujimoto R, Kawashiri S-Y, Nishimura T, Mizukami S, et al. Prevalence of fear of falling and associated factors among Japanese community-dwelling older adults. Medicine (Baltimore). 2018 Jan;97(4):e9721. </w:t>
      </w:r>
    </w:p>
    <w:p w14:paraId="67AAEF9D" w14:textId="77777777" w:rsidR="003C2AB5" w:rsidRPr="00F85073" w:rsidRDefault="003C2AB5" w:rsidP="003C2AB5">
      <w:pPr>
        <w:widowControl w:val="0"/>
        <w:autoSpaceDE w:val="0"/>
        <w:autoSpaceDN w:val="0"/>
        <w:adjustRightInd w:val="0"/>
        <w:spacing w:line="360" w:lineRule="auto"/>
        <w:ind w:left="640" w:hanging="640"/>
        <w:rPr>
          <w:noProof/>
          <w:sz w:val="22"/>
          <w:szCs w:val="22"/>
        </w:rPr>
      </w:pPr>
      <w:r w:rsidRPr="00F85073">
        <w:rPr>
          <w:noProof/>
          <w:sz w:val="22"/>
          <w:szCs w:val="22"/>
        </w:rPr>
        <w:t xml:space="preserve">14. </w:t>
      </w:r>
      <w:r w:rsidRPr="00F85073">
        <w:rPr>
          <w:noProof/>
          <w:sz w:val="22"/>
          <w:szCs w:val="22"/>
        </w:rPr>
        <w:tab/>
        <w:t xml:space="preserve">Rivasi G, Kenny RA, Ungar A, Romero-Ortuno R. Predictors of Incident Fear of Falling in Community-Dwelling Older Adults. J Am Med Dir Assoc. 2019 Oct; </w:t>
      </w:r>
    </w:p>
    <w:p w14:paraId="23B73BE5" w14:textId="77777777" w:rsidR="003C2AB5" w:rsidRPr="00F85073" w:rsidRDefault="003C2AB5" w:rsidP="003C2AB5">
      <w:pPr>
        <w:widowControl w:val="0"/>
        <w:autoSpaceDE w:val="0"/>
        <w:autoSpaceDN w:val="0"/>
        <w:adjustRightInd w:val="0"/>
        <w:spacing w:line="360" w:lineRule="auto"/>
        <w:ind w:left="640" w:hanging="640"/>
        <w:rPr>
          <w:noProof/>
          <w:sz w:val="22"/>
          <w:szCs w:val="22"/>
        </w:rPr>
      </w:pPr>
      <w:r w:rsidRPr="00F85073">
        <w:rPr>
          <w:noProof/>
          <w:sz w:val="22"/>
          <w:szCs w:val="22"/>
        </w:rPr>
        <w:t xml:space="preserve">15. </w:t>
      </w:r>
      <w:r w:rsidRPr="00F85073">
        <w:rPr>
          <w:noProof/>
          <w:sz w:val="22"/>
          <w:szCs w:val="22"/>
        </w:rPr>
        <w:tab/>
        <w:t xml:space="preserve">Turhan Damar H, Bilik O, Karayurt O, Ursavas FE. Factors related to older patients’ fear of falling during the first mobilization  after total knee replacement and total hip replacement. Geriatr Nurs. 2018 Jul;39(4):382–7. </w:t>
      </w:r>
    </w:p>
    <w:p w14:paraId="47817C35" w14:textId="77777777" w:rsidR="003C2AB5" w:rsidRPr="00F85073" w:rsidRDefault="003C2AB5" w:rsidP="003C2AB5">
      <w:pPr>
        <w:widowControl w:val="0"/>
        <w:autoSpaceDE w:val="0"/>
        <w:autoSpaceDN w:val="0"/>
        <w:adjustRightInd w:val="0"/>
        <w:spacing w:line="360" w:lineRule="auto"/>
        <w:ind w:left="640" w:hanging="640"/>
        <w:rPr>
          <w:noProof/>
          <w:sz w:val="22"/>
          <w:szCs w:val="22"/>
        </w:rPr>
      </w:pPr>
      <w:r w:rsidRPr="00F85073">
        <w:rPr>
          <w:noProof/>
          <w:sz w:val="22"/>
          <w:szCs w:val="22"/>
        </w:rPr>
        <w:t xml:space="preserve">16. </w:t>
      </w:r>
      <w:r w:rsidRPr="00F85073">
        <w:rPr>
          <w:noProof/>
          <w:sz w:val="22"/>
          <w:szCs w:val="22"/>
        </w:rPr>
        <w:tab/>
        <w:t xml:space="preserve">van Seben R, Reichardt LA, Aarden JJ, van der Schaaf M, van der Esch M, Engelbert RHH, et al. The Course of Geriatric Syndromes in Acutely Hospitalized Older Adults: The Hospital-ADL Study. J Am Med Dir Assoc. 2019 Feb;20(2):152-158.e2. </w:t>
      </w:r>
    </w:p>
    <w:p w14:paraId="4D86EA0D" w14:textId="77777777" w:rsidR="003C2AB5" w:rsidRPr="00F85073" w:rsidRDefault="003C2AB5" w:rsidP="003C2AB5">
      <w:pPr>
        <w:widowControl w:val="0"/>
        <w:autoSpaceDE w:val="0"/>
        <w:autoSpaceDN w:val="0"/>
        <w:adjustRightInd w:val="0"/>
        <w:spacing w:line="360" w:lineRule="auto"/>
        <w:ind w:left="640" w:hanging="640"/>
        <w:rPr>
          <w:noProof/>
          <w:sz w:val="22"/>
          <w:szCs w:val="22"/>
        </w:rPr>
      </w:pPr>
      <w:r w:rsidRPr="00F85073">
        <w:rPr>
          <w:noProof/>
          <w:sz w:val="22"/>
          <w:szCs w:val="22"/>
        </w:rPr>
        <w:t xml:space="preserve">17. </w:t>
      </w:r>
      <w:r w:rsidRPr="00F85073">
        <w:rPr>
          <w:noProof/>
          <w:sz w:val="22"/>
          <w:szCs w:val="22"/>
        </w:rPr>
        <w:tab/>
        <w:t xml:space="preserve">Lim E. Sex Differences in Fear of Falling among Older Adults with Low Grip Strength. Iran J Public Health. 2016 May;45(5):569–77. </w:t>
      </w:r>
    </w:p>
    <w:p w14:paraId="4BCDC4AC" w14:textId="77777777" w:rsidR="003C2AB5" w:rsidRPr="00F85073" w:rsidRDefault="003C2AB5" w:rsidP="003C2AB5">
      <w:pPr>
        <w:widowControl w:val="0"/>
        <w:autoSpaceDE w:val="0"/>
        <w:autoSpaceDN w:val="0"/>
        <w:adjustRightInd w:val="0"/>
        <w:spacing w:line="360" w:lineRule="auto"/>
        <w:ind w:left="640" w:hanging="640"/>
        <w:rPr>
          <w:noProof/>
          <w:sz w:val="22"/>
          <w:szCs w:val="22"/>
        </w:rPr>
      </w:pPr>
      <w:r w:rsidRPr="00F85073">
        <w:rPr>
          <w:noProof/>
          <w:sz w:val="22"/>
          <w:szCs w:val="22"/>
        </w:rPr>
        <w:t xml:space="preserve">18. </w:t>
      </w:r>
      <w:r w:rsidRPr="00F85073">
        <w:rPr>
          <w:noProof/>
          <w:sz w:val="22"/>
          <w:szCs w:val="22"/>
        </w:rPr>
        <w:tab/>
        <w:t xml:space="preserve">Lach HW, Parsons JL. Impact of fear of falling in long term care: an integrative review. J Am Med Dir Assoc. 2013 Aug;14(8):573–7. </w:t>
      </w:r>
    </w:p>
    <w:p w14:paraId="2FFECD0F" w14:textId="77777777" w:rsidR="003C2AB5" w:rsidRPr="00F85073" w:rsidRDefault="003C2AB5" w:rsidP="003C2AB5">
      <w:pPr>
        <w:widowControl w:val="0"/>
        <w:autoSpaceDE w:val="0"/>
        <w:autoSpaceDN w:val="0"/>
        <w:adjustRightInd w:val="0"/>
        <w:spacing w:line="360" w:lineRule="auto"/>
        <w:ind w:left="640" w:hanging="640"/>
        <w:rPr>
          <w:noProof/>
          <w:sz w:val="22"/>
          <w:szCs w:val="22"/>
        </w:rPr>
      </w:pPr>
      <w:r w:rsidRPr="00F85073">
        <w:rPr>
          <w:noProof/>
          <w:sz w:val="22"/>
          <w:szCs w:val="22"/>
        </w:rPr>
        <w:t xml:space="preserve">19. </w:t>
      </w:r>
      <w:r w:rsidRPr="00F85073">
        <w:rPr>
          <w:noProof/>
          <w:sz w:val="22"/>
          <w:szCs w:val="22"/>
        </w:rPr>
        <w:tab/>
        <w:t xml:space="preserve">Bleasdale-Barr KM, Mathias CJ. Neck and other muscle pains in autonomic failure: their association with orthostatic hypotension. J R Soc Med. 1998 Jul;91(7):355–9. </w:t>
      </w:r>
    </w:p>
    <w:p w14:paraId="5D0D725E" w14:textId="77777777" w:rsidR="003C2AB5" w:rsidRPr="00F85073" w:rsidRDefault="003C2AB5" w:rsidP="003C2AB5">
      <w:pPr>
        <w:widowControl w:val="0"/>
        <w:autoSpaceDE w:val="0"/>
        <w:autoSpaceDN w:val="0"/>
        <w:adjustRightInd w:val="0"/>
        <w:spacing w:line="360" w:lineRule="auto"/>
        <w:ind w:left="640" w:hanging="640"/>
        <w:rPr>
          <w:noProof/>
          <w:sz w:val="22"/>
          <w:szCs w:val="22"/>
        </w:rPr>
      </w:pPr>
      <w:r w:rsidRPr="00F85073">
        <w:rPr>
          <w:noProof/>
          <w:sz w:val="22"/>
          <w:szCs w:val="22"/>
        </w:rPr>
        <w:t xml:space="preserve">20. </w:t>
      </w:r>
      <w:r w:rsidRPr="00F85073">
        <w:rPr>
          <w:noProof/>
          <w:sz w:val="22"/>
          <w:szCs w:val="22"/>
        </w:rPr>
        <w:tab/>
        <w:t xml:space="preserve">Young WR, Mark Williams A. How fear of falling can increase fall-risk in older adults: applying psychological theory to practical observations. Gait Posture. 2015 Jan;41(1):7–12. </w:t>
      </w:r>
    </w:p>
    <w:p w14:paraId="67E969A5" w14:textId="77777777" w:rsidR="003C2AB5" w:rsidRPr="00F85073" w:rsidRDefault="003C2AB5" w:rsidP="003C2AB5">
      <w:pPr>
        <w:widowControl w:val="0"/>
        <w:autoSpaceDE w:val="0"/>
        <w:autoSpaceDN w:val="0"/>
        <w:adjustRightInd w:val="0"/>
        <w:spacing w:line="360" w:lineRule="auto"/>
        <w:ind w:left="640" w:hanging="640"/>
        <w:rPr>
          <w:noProof/>
          <w:sz w:val="22"/>
          <w:szCs w:val="22"/>
        </w:rPr>
      </w:pPr>
      <w:r w:rsidRPr="00F85073">
        <w:rPr>
          <w:noProof/>
          <w:sz w:val="22"/>
          <w:szCs w:val="22"/>
        </w:rPr>
        <w:t xml:space="preserve">21. </w:t>
      </w:r>
      <w:r w:rsidRPr="00F85073">
        <w:rPr>
          <w:noProof/>
          <w:sz w:val="22"/>
          <w:szCs w:val="22"/>
        </w:rPr>
        <w:tab/>
        <w:t xml:space="preserve">Rowel LB. Human Cardiovascular Control. 1th ed. UK: Oxford University Press; 1993. </w:t>
      </w:r>
    </w:p>
    <w:p w14:paraId="0086D58F" w14:textId="77777777" w:rsidR="003C2AB5" w:rsidRPr="00F85073" w:rsidRDefault="003C2AB5" w:rsidP="003C2AB5">
      <w:pPr>
        <w:widowControl w:val="0"/>
        <w:autoSpaceDE w:val="0"/>
        <w:autoSpaceDN w:val="0"/>
        <w:adjustRightInd w:val="0"/>
        <w:spacing w:line="360" w:lineRule="auto"/>
        <w:ind w:left="640" w:hanging="640"/>
        <w:rPr>
          <w:noProof/>
          <w:sz w:val="22"/>
          <w:szCs w:val="22"/>
        </w:rPr>
      </w:pPr>
      <w:r w:rsidRPr="00F85073">
        <w:rPr>
          <w:noProof/>
          <w:sz w:val="22"/>
          <w:szCs w:val="22"/>
        </w:rPr>
        <w:t xml:space="preserve">22. </w:t>
      </w:r>
      <w:r w:rsidRPr="00F85073">
        <w:rPr>
          <w:noProof/>
          <w:sz w:val="22"/>
          <w:szCs w:val="22"/>
        </w:rPr>
        <w:tab/>
        <w:t xml:space="preserve">Suzuki Y, Murakami T, Kawakubo K, Haruna Y, Takenaka K, Goto S, et al. Regional changes in muscle mass and strength following 20 days of bed rest, and the effects on orthostatic tolerance capacity in young subjects. J gravitational Physiol  a J Int Soc  Gravitational Physiol. 1994 May;1(1):P57-8. </w:t>
      </w:r>
    </w:p>
    <w:p w14:paraId="4FBB70AB" w14:textId="5BD6588F" w:rsidR="00357985" w:rsidRPr="00F85073" w:rsidRDefault="003C2AB5" w:rsidP="00F43EDA">
      <w:pPr>
        <w:spacing w:line="360" w:lineRule="auto"/>
        <w:rPr>
          <w:sz w:val="22"/>
          <w:szCs w:val="22"/>
        </w:rPr>
      </w:pPr>
      <w:r w:rsidRPr="00F85073">
        <w:rPr>
          <w:sz w:val="22"/>
          <w:szCs w:val="22"/>
        </w:rPr>
        <w:fldChar w:fldCharType="end"/>
      </w:r>
    </w:p>
    <w:p w14:paraId="49104FAC" w14:textId="11CD5EA4" w:rsidR="00F85073" w:rsidRPr="00F85073" w:rsidRDefault="00F85073" w:rsidP="00F43EDA">
      <w:pPr>
        <w:spacing w:line="360" w:lineRule="auto"/>
        <w:rPr>
          <w:sz w:val="22"/>
          <w:szCs w:val="22"/>
        </w:rPr>
      </w:pPr>
    </w:p>
    <w:p w14:paraId="0EB4754D" w14:textId="3C04B588" w:rsidR="00F85073" w:rsidRPr="00F85073" w:rsidRDefault="00F85073" w:rsidP="00F43EDA">
      <w:pPr>
        <w:spacing w:line="360" w:lineRule="auto"/>
        <w:rPr>
          <w:sz w:val="22"/>
          <w:szCs w:val="22"/>
        </w:rPr>
      </w:pPr>
    </w:p>
    <w:p w14:paraId="1BB502D7" w14:textId="0A3AC32E" w:rsidR="00F85073" w:rsidRPr="00F85073" w:rsidRDefault="00F85073" w:rsidP="00F43EDA">
      <w:pPr>
        <w:spacing w:line="360" w:lineRule="auto"/>
        <w:rPr>
          <w:sz w:val="22"/>
          <w:szCs w:val="22"/>
        </w:rPr>
      </w:pPr>
    </w:p>
    <w:p w14:paraId="0B5E83B8" w14:textId="43EFF2AD" w:rsidR="00F85073" w:rsidRPr="00F85073" w:rsidRDefault="00F85073" w:rsidP="00F43EDA">
      <w:pPr>
        <w:spacing w:line="360" w:lineRule="auto"/>
        <w:rPr>
          <w:sz w:val="22"/>
          <w:szCs w:val="22"/>
        </w:rPr>
      </w:pPr>
    </w:p>
    <w:p w14:paraId="673D9F9A" w14:textId="4220BF19" w:rsidR="00F85073" w:rsidRPr="00F85073" w:rsidRDefault="00F85073" w:rsidP="00F43EDA">
      <w:pPr>
        <w:spacing w:line="360" w:lineRule="auto"/>
        <w:rPr>
          <w:sz w:val="22"/>
          <w:szCs w:val="22"/>
        </w:rPr>
      </w:pPr>
    </w:p>
    <w:p w14:paraId="7D4FE7FD" w14:textId="7D83C0CE" w:rsidR="00F85073" w:rsidRPr="00F85073" w:rsidRDefault="00F85073" w:rsidP="00F43EDA">
      <w:pPr>
        <w:spacing w:line="360" w:lineRule="auto"/>
        <w:rPr>
          <w:sz w:val="22"/>
          <w:szCs w:val="22"/>
        </w:rPr>
      </w:pPr>
    </w:p>
    <w:p w14:paraId="42888E41" w14:textId="0BC6315A" w:rsidR="00F85073" w:rsidRPr="00F85073" w:rsidRDefault="00F85073" w:rsidP="00F43EDA">
      <w:pPr>
        <w:spacing w:line="360" w:lineRule="auto"/>
        <w:rPr>
          <w:sz w:val="22"/>
          <w:szCs w:val="22"/>
        </w:rPr>
      </w:pPr>
    </w:p>
    <w:p w14:paraId="4D600616" w14:textId="77D66343" w:rsidR="00F85073" w:rsidRPr="00F85073" w:rsidRDefault="00F85073" w:rsidP="00F43EDA">
      <w:pPr>
        <w:spacing w:line="360" w:lineRule="auto"/>
        <w:rPr>
          <w:sz w:val="22"/>
          <w:szCs w:val="22"/>
        </w:rPr>
      </w:pPr>
    </w:p>
    <w:p w14:paraId="4CF63823" w14:textId="5E34A9AD" w:rsidR="00F85073" w:rsidRPr="00F85073" w:rsidRDefault="00C66D3F" w:rsidP="00C66D3F">
      <w:pPr>
        <w:pStyle w:val="Heading1"/>
        <w:numPr>
          <w:ilvl w:val="0"/>
          <w:numId w:val="0"/>
        </w:numPr>
      </w:pPr>
      <w:r>
        <w:t>Supplementary Table 1</w:t>
      </w:r>
    </w:p>
    <w:tbl>
      <w:tblPr>
        <w:tblStyle w:val="TableGrid"/>
        <w:tblpPr w:leftFromText="180" w:rightFromText="180" w:vertAnchor="page" w:horzAnchor="margin" w:tblpY="1666"/>
        <w:tblW w:w="9198" w:type="dxa"/>
        <w:tblLook w:val="04A0" w:firstRow="1" w:lastRow="0" w:firstColumn="1" w:lastColumn="0" w:noHBand="0" w:noVBand="1"/>
      </w:tblPr>
      <w:tblGrid>
        <w:gridCol w:w="420"/>
        <w:gridCol w:w="2269"/>
        <w:gridCol w:w="609"/>
        <w:gridCol w:w="667"/>
        <w:gridCol w:w="1058"/>
        <w:gridCol w:w="1210"/>
        <w:gridCol w:w="1072"/>
        <w:gridCol w:w="1038"/>
        <w:gridCol w:w="855"/>
      </w:tblGrid>
      <w:tr w:rsidR="00F85073" w:rsidRPr="00F85073" w14:paraId="26DF02D8" w14:textId="77777777" w:rsidTr="00F85073">
        <w:tc>
          <w:tcPr>
            <w:tcW w:w="9198" w:type="dxa"/>
            <w:gridSpan w:val="9"/>
            <w:tcBorders>
              <w:top w:val="single" w:sz="4" w:space="0" w:color="auto"/>
            </w:tcBorders>
          </w:tcPr>
          <w:p w14:paraId="1CA9CF43" w14:textId="77777777" w:rsidR="00F85073" w:rsidRPr="00F85073" w:rsidRDefault="00F85073" w:rsidP="00F85073">
            <w:pPr>
              <w:rPr>
                <w:lang w:val="en-US"/>
              </w:rPr>
            </w:pPr>
            <w:r w:rsidRPr="00F85073">
              <w:rPr>
                <w:b/>
                <w:bCs/>
                <w:lang w:val="en-US"/>
              </w:rPr>
              <w:lastRenderedPageBreak/>
              <w:t>Supplementary table</w:t>
            </w:r>
            <w:r w:rsidRPr="00F85073">
              <w:rPr>
                <w:b/>
                <w:bCs/>
              </w:rPr>
              <w:t xml:space="preserve"> 1. </w:t>
            </w:r>
            <w:r w:rsidRPr="00F85073">
              <w:rPr>
                <w:lang w:val="en-US"/>
              </w:rPr>
              <w:t xml:space="preserve">1st and 3rd minute OH findings according to  scores from each </w:t>
            </w:r>
          </w:p>
          <w:p w14:paraId="39810D10" w14:textId="77777777" w:rsidR="00F85073" w:rsidRPr="00F85073" w:rsidRDefault="00F85073" w:rsidP="00F85073">
            <w:r w:rsidRPr="00F85073">
              <w:rPr>
                <w:lang w:val="en-US"/>
              </w:rPr>
              <w:t>FES-1 questions</w:t>
            </w:r>
          </w:p>
        </w:tc>
      </w:tr>
      <w:tr w:rsidR="00F85073" w:rsidRPr="00F85073" w14:paraId="4BC9F9B9" w14:textId="77777777" w:rsidTr="00F85073">
        <w:tc>
          <w:tcPr>
            <w:tcW w:w="420" w:type="dxa"/>
          </w:tcPr>
          <w:p w14:paraId="547CDEC0" w14:textId="77777777" w:rsidR="00F85073" w:rsidRPr="00F85073" w:rsidRDefault="00F85073" w:rsidP="00F85073"/>
        </w:tc>
        <w:tc>
          <w:tcPr>
            <w:tcW w:w="2269" w:type="dxa"/>
          </w:tcPr>
          <w:p w14:paraId="557A5420" w14:textId="77777777" w:rsidR="00F85073" w:rsidRPr="00F85073" w:rsidRDefault="00F85073" w:rsidP="00F85073"/>
        </w:tc>
        <w:tc>
          <w:tcPr>
            <w:tcW w:w="609" w:type="dxa"/>
          </w:tcPr>
          <w:p w14:paraId="50FA2A70" w14:textId="77777777" w:rsidR="00F85073" w:rsidRPr="00F85073" w:rsidRDefault="00F85073" w:rsidP="00F85073"/>
        </w:tc>
        <w:tc>
          <w:tcPr>
            <w:tcW w:w="667" w:type="dxa"/>
          </w:tcPr>
          <w:p w14:paraId="283AEA39" w14:textId="77777777" w:rsidR="00F85073" w:rsidRPr="00F85073" w:rsidRDefault="00F85073" w:rsidP="00F85073"/>
        </w:tc>
        <w:tc>
          <w:tcPr>
            <w:tcW w:w="4378" w:type="dxa"/>
            <w:gridSpan w:val="4"/>
            <w:tcBorders>
              <w:top w:val="single" w:sz="4" w:space="0" w:color="000000" w:themeColor="text1"/>
            </w:tcBorders>
            <w:vAlign w:val="center"/>
          </w:tcPr>
          <w:p w14:paraId="773856E2" w14:textId="77777777" w:rsidR="00F85073" w:rsidRPr="00F85073" w:rsidRDefault="00F85073" w:rsidP="00F85073">
            <w:pPr>
              <w:jc w:val="center"/>
            </w:pPr>
            <w:r w:rsidRPr="00F85073">
              <w:t>Point</w:t>
            </w:r>
          </w:p>
        </w:tc>
        <w:tc>
          <w:tcPr>
            <w:tcW w:w="855" w:type="dxa"/>
            <w:tcBorders>
              <w:top w:val="single" w:sz="4" w:space="0" w:color="000000" w:themeColor="text1"/>
            </w:tcBorders>
            <w:vAlign w:val="center"/>
          </w:tcPr>
          <w:p w14:paraId="476A158F" w14:textId="77777777" w:rsidR="00F85073" w:rsidRPr="00F85073" w:rsidRDefault="00F85073" w:rsidP="00F85073">
            <w:pPr>
              <w:jc w:val="center"/>
            </w:pPr>
          </w:p>
        </w:tc>
      </w:tr>
      <w:tr w:rsidR="00F85073" w:rsidRPr="00F85073" w14:paraId="165F5266" w14:textId="77777777" w:rsidTr="00F85073">
        <w:trPr>
          <w:trHeight w:val="1238"/>
        </w:trPr>
        <w:tc>
          <w:tcPr>
            <w:tcW w:w="420" w:type="dxa"/>
          </w:tcPr>
          <w:p w14:paraId="1E7E01D4" w14:textId="77777777" w:rsidR="00F85073" w:rsidRPr="00F85073" w:rsidRDefault="00F85073" w:rsidP="00F85073"/>
        </w:tc>
        <w:tc>
          <w:tcPr>
            <w:tcW w:w="2269" w:type="dxa"/>
          </w:tcPr>
          <w:p w14:paraId="6318F0C3" w14:textId="77777777" w:rsidR="00F85073" w:rsidRPr="00F85073" w:rsidRDefault="00F85073" w:rsidP="00F85073"/>
        </w:tc>
        <w:tc>
          <w:tcPr>
            <w:tcW w:w="609" w:type="dxa"/>
          </w:tcPr>
          <w:p w14:paraId="4ED9655F" w14:textId="77777777" w:rsidR="00F85073" w:rsidRPr="00F85073" w:rsidRDefault="00F85073" w:rsidP="00F85073"/>
        </w:tc>
        <w:tc>
          <w:tcPr>
            <w:tcW w:w="667" w:type="dxa"/>
          </w:tcPr>
          <w:p w14:paraId="0512C302" w14:textId="77777777" w:rsidR="00F85073" w:rsidRPr="00F85073" w:rsidRDefault="00F85073" w:rsidP="00F85073"/>
        </w:tc>
        <w:tc>
          <w:tcPr>
            <w:tcW w:w="1058" w:type="dxa"/>
            <w:vAlign w:val="center"/>
          </w:tcPr>
          <w:p w14:paraId="3BCFE0DE" w14:textId="77777777" w:rsidR="00F85073" w:rsidRPr="00F85073" w:rsidRDefault="00F85073" w:rsidP="00F85073">
            <w:pPr>
              <w:pStyle w:val="NormalWeb"/>
              <w:jc w:val="center"/>
            </w:pPr>
            <w:r w:rsidRPr="00F85073">
              <w:t>1</w:t>
            </w:r>
          </w:p>
          <w:p w14:paraId="30F286E1" w14:textId="77777777" w:rsidR="00F85073" w:rsidRPr="00F85073" w:rsidRDefault="00F85073" w:rsidP="00F85073">
            <w:pPr>
              <w:pStyle w:val="NormalWeb"/>
              <w:rPr>
                <w:rFonts w:ascii="TimesNewRoman,Italic" w:hAnsi="TimesNewRoman,Italic"/>
                <w:sz w:val="28"/>
                <w:szCs w:val="28"/>
              </w:rPr>
            </w:pPr>
            <w:r w:rsidRPr="00F85073">
              <w:rPr>
                <w:rFonts w:ascii="TimesNewRoman,Italic" w:hAnsi="TimesNewRoman,Italic"/>
                <w:sz w:val="20"/>
                <w:szCs w:val="20"/>
              </w:rPr>
              <w:t>Not at all concerned</w:t>
            </w:r>
          </w:p>
        </w:tc>
        <w:tc>
          <w:tcPr>
            <w:tcW w:w="1210" w:type="dxa"/>
            <w:vAlign w:val="center"/>
          </w:tcPr>
          <w:p w14:paraId="632D4498" w14:textId="77777777" w:rsidR="00F85073" w:rsidRPr="00F85073" w:rsidRDefault="00F85073" w:rsidP="00F85073">
            <w:pPr>
              <w:jc w:val="center"/>
            </w:pPr>
            <w:r w:rsidRPr="00F85073">
              <w:t>2</w:t>
            </w:r>
          </w:p>
          <w:p w14:paraId="5AAD79C5" w14:textId="77777777" w:rsidR="00F85073" w:rsidRPr="00F85073" w:rsidRDefault="00F85073" w:rsidP="00F85073">
            <w:pPr>
              <w:pStyle w:val="NormalWeb"/>
              <w:jc w:val="center"/>
              <w:rPr>
                <w:sz w:val="20"/>
                <w:szCs w:val="20"/>
              </w:rPr>
            </w:pPr>
            <w:r w:rsidRPr="00F85073">
              <w:rPr>
                <w:rFonts w:ascii="TimesNewRoman,Italic" w:hAnsi="TimesNewRoman,Italic"/>
                <w:sz w:val="20"/>
                <w:szCs w:val="20"/>
              </w:rPr>
              <w:t>Somewhat concerned</w:t>
            </w:r>
          </w:p>
        </w:tc>
        <w:tc>
          <w:tcPr>
            <w:tcW w:w="1072" w:type="dxa"/>
            <w:vAlign w:val="center"/>
          </w:tcPr>
          <w:p w14:paraId="4C2572C0" w14:textId="77777777" w:rsidR="00F85073" w:rsidRPr="00F85073" w:rsidRDefault="00F85073" w:rsidP="00F85073">
            <w:pPr>
              <w:jc w:val="center"/>
            </w:pPr>
            <w:r w:rsidRPr="00F85073">
              <w:t>3</w:t>
            </w:r>
          </w:p>
          <w:p w14:paraId="53B01713" w14:textId="77777777" w:rsidR="00F85073" w:rsidRPr="00F85073" w:rsidRDefault="00F85073" w:rsidP="00F85073">
            <w:pPr>
              <w:pStyle w:val="NormalWeb"/>
              <w:jc w:val="center"/>
              <w:rPr>
                <w:sz w:val="20"/>
                <w:szCs w:val="20"/>
              </w:rPr>
            </w:pPr>
            <w:r w:rsidRPr="00F85073">
              <w:rPr>
                <w:rFonts w:ascii="TimesNewRoman,Italic" w:hAnsi="TimesNewRoman,Italic"/>
                <w:sz w:val="20"/>
                <w:szCs w:val="20"/>
              </w:rPr>
              <w:t>Fairly concerned</w:t>
            </w:r>
          </w:p>
        </w:tc>
        <w:tc>
          <w:tcPr>
            <w:tcW w:w="1038" w:type="dxa"/>
            <w:vAlign w:val="center"/>
          </w:tcPr>
          <w:p w14:paraId="25722040" w14:textId="77777777" w:rsidR="00F85073" w:rsidRPr="00F85073" w:rsidRDefault="00F85073" w:rsidP="00F85073">
            <w:pPr>
              <w:jc w:val="center"/>
            </w:pPr>
            <w:r w:rsidRPr="00F85073">
              <w:t>4</w:t>
            </w:r>
          </w:p>
          <w:p w14:paraId="264C03C1" w14:textId="77777777" w:rsidR="00F85073" w:rsidRPr="00F85073" w:rsidRDefault="00F85073" w:rsidP="00F85073">
            <w:pPr>
              <w:pStyle w:val="NormalWeb"/>
              <w:jc w:val="center"/>
              <w:rPr>
                <w:sz w:val="20"/>
                <w:szCs w:val="20"/>
              </w:rPr>
            </w:pPr>
            <w:r w:rsidRPr="00F85073">
              <w:rPr>
                <w:rFonts w:ascii="TimesNewRoman,Italic" w:hAnsi="TimesNewRoman,Italic"/>
                <w:sz w:val="20"/>
                <w:szCs w:val="20"/>
              </w:rPr>
              <w:t>Very concerned</w:t>
            </w:r>
          </w:p>
        </w:tc>
        <w:tc>
          <w:tcPr>
            <w:tcW w:w="855" w:type="dxa"/>
            <w:vAlign w:val="center"/>
          </w:tcPr>
          <w:p w14:paraId="4D38C80C" w14:textId="77777777" w:rsidR="00F85073" w:rsidRPr="00F85073" w:rsidRDefault="00F85073" w:rsidP="00F85073">
            <w:pPr>
              <w:jc w:val="center"/>
              <w:rPr>
                <w:i/>
                <w:iCs/>
                <w:sz w:val="20"/>
                <w:szCs w:val="20"/>
              </w:rPr>
            </w:pPr>
            <w:r w:rsidRPr="00F85073">
              <w:rPr>
                <w:i/>
                <w:iCs/>
                <w:sz w:val="20"/>
                <w:szCs w:val="20"/>
              </w:rPr>
              <w:t>P value</w:t>
            </w:r>
          </w:p>
        </w:tc>
      </w:tr>
      <w:tr w:rsidR="00F85073" w:rsidRPr="00F85073" w14:paraId="4DD3F243" w14:textId="77777777" w:rsidTr="00F85073">
        <w:tc>
          <w:tcPr>
            <w:tcW w:w="420" w:type="dxa"/>
            <w:vMerge w:val="restart"/>
            <w:vAlign w:val="center"/>
          </w:tcPr>
          <w:p w14:paraId="61E8C4F5" w14:textId="77777777" w:rsidR="00F85073" w:rsidRPr="00F85073" w:rsidRDefault="00F85073" w:rsidP="00F85073">
            <w:pPr>
              <w:pStyle w:val="NormalWeb"/>
              <w:jc w:val="center"/>
              <w:rPr>
                <w:rFonts w:eastAsia="TimesNewRomanPSMT"/>
                <w:sz w:val="20"/>
                <w:szCs w:val="20"/>
              </w:rPr>
            </w:pPr>
            <w:r w:rsidRPr="00F85073">
              <w:rPr>
                <w:rFonts w:eastAsia="TimesNewRomanPSMT"/>
                <w:sz w:val="20"/>
                <w:szCs w:val="20"/>
              </w:rPr>
              <w:t>1</w:t>
            </w:r>
          </w:p>
        </w:tc>
        <w:tc>
          <w:tcPr>
            <w:tcW w:w="2269" w:type="dxa"/>
            <w:vMerge w:val="restart"/>
            <w:vAlign w:val="center"/>
          </w:tcPr>
          <w:p w14:paraId="39D8C3CB" w14:textId="77777777" w:rsidR="00F85073" w:rsidRPr="00F85073" w:rsidRDefault="00F85073" w:rsidP="00F85073">
            <w:pPr>
              <w:pStyle w:val="NormalWeb"/>
              <w:jc w:val="center"/>
              <w:rPr>
                <w:sz w:val="20"/>
                <w:szCs w:val="20"/>
              </w:rPr>
            </w:pPr>
            <w:r w:rsidRPr="00F85073">
              <w:rPr>
                <w:rFonts w:eastAsia="TimesNewRomanPSMT"/>
                <w:sz w:val="20"/>
                <w:szCs w:val="20"/>
              </w:rPr>
              <w:t>Cleaning the house (e.g. sweep. vacuum or dust)</w:t>
            </w:r>
          </w:p>
        </w:tc>
        <w:tc>
          <w:tcPr>
            <w:tcW w:w="609" w:type="dxa"/>
            <w:vMerge w:val="restart"/>
            <w:vAlign w:val="center"/>
          </w:tcPr>
          <w:p w14:paraId="4BDC25F3" w14:textId="77777777" w:rsidR="00F85073" w:rsidRPr="00F85073" w:rsidRDefault="00F85073" w:rsidP="00F85073">
            <w:pPr>
              <w:jc w:val="center"/>
              <w:rPr>
                <w:sz w:val="20"/>
                <w:szCs w:val="20"/>
              </w:rPr>
            </w:pPr>
            <w:r w:rsidRPr="00F85073">
              <w:rPr>
                <w:sz w:val="20"/>
                <w:szCs w:val="20"/>
              </w:rPr>
              <w:t>OH1</w:t>
            </w:r>
          </w:p>
        </w:tc>
        <w:tc>
          <w:tcPr>
            <w:tcW w:w="667" w:type="dxa"/>
            <w:vAlign w:val="center"/>
          </w:tcPr>
          <w:p w14:paraId="57A8C7FF"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010D70FC" w14:textId="77777777" w:rsidR="00F85073" w:rsidRPr="00F85073" w:rsidRDefault="00F85073" w:rsidP="00F85073">
            <w:pPr>
              <w:jc w:val="center"/>
              <w:rPr>
                <w:sz w:val="20"/>
                <w:szCs w:val="20"/>
              </w:rPr>
            </w:pPr>
            <w:r w:rsidRPr="00F85073">
              <w:rPr>
                <w:sz w:val="20"/>
                <w:szCs w:val="20"/>
              </w:rPr>
              <w:t>31(48.4)</w:t>
            </w:r>
          </w:p>
        </w:tc>
        <w:tc>
          <w:tcPr>
            <w:tcW w:w="1210" w:type="dxa"/>
            <w:vAlign w:val="center"/>
          </w:tcPr>
          <w:p w14:paraId="7BB423DF" w14:textId="77777777" w:rsidR="00F85073" w:rsidRPr="00F85073" w:rsidRDefault="00F85073" w:rsidP="00F85073">
            <w:pPr>
              <w:jc w:val="center"/>
              <w:rPr>
                <w:sz w:val="20"/>
                <w:szCs w:val="20"/>
              </w:rPr>
            </w:pPr>
            <w:r w:rsidRPr="00F85073">
              <w:rPr>
                <w:sz w:val="20"/>
                <w:szCs w:val="20"/>
              </w:rPr>
              <w:t>19 (29.7)</w:t>
            </w:r>
          </w:p>
        </w:tc>
        <w:tc>
          <w:tcPr>
            <w:tcW w:w="1072" w:type="dxa"/>
            <w:vAlign w:val="center"/>
          </w:tcPr>
          <w:p w14:paraId="48D12849" w14:textId="77777777" w:rsidR="00F85073" w:rsidRPr="00F85073" w:rsidRDefault="00F85073" w:rsidP="00F85073">
            <w:pPr>
              <w:jc w:val="center"/>
              <w:rPr>
                <w:sz w:val="20"/>
                <w:szCs w:val="20"/>
              </w:rPr>
            </w:pPr>
            <w:r w:rsidRPr="00F85073">
              <w:rPr>
                <w:sz w:val="20"/>
                <w:szCs w:val="20"/>
              </w:rPr>
              <w:t>9 (14.1)</w:t>
            </w:r>
          </w:p>
        </w:tc>
        <w:tc>
          <w:tcPr>
            <w:tcW w:w="1038" w:type="dxa"/>
            <w:vAlign w:val="center"/>
          </w:tcPr>
          <w:p w14:paraId="1B034AB8" w14:textId="77777777" w:rsidR="00F85073" w:rsidRPr="00F85073" w:rsidRDefault="00F85073" w:rsidP="00F85073">
            <w:pPr>
              <w:jc w:val="center"/>
              <w:rPr>
                <w:sz w:val="20"/>
                <w:szCs w:val="20"/>
              </w:rPr>
            </w:pPr>
            <w:r w:rsidRPr="00F85073">
              <w:rPr>
                <w:sz w:val="20"/>
                <w:szCs w:val="20"/>
              </w:rPr>
              <w:t>5 (7.8)</w:t>
            </w:r>
          </w:p>
        </w:tc>
        <w:tc>
          <w:tcPr>
            <w:tcW w:w="855" w:type="dxa"/>
            <w:vMerge w:val="restart"/>
            <w:vAlign w:val="center"/>
          </w:tcPr>
          <w:p w14:paraId="68563248" w14:textId="77777777" w:rsidR="00F85073" w:rsidRPr="00F85073" w:rsidRDefault="00F85073" w:rsidP="00F85073">
            <w:pPr>
              <w:jc w:val="center"/>
              <w:rPr>
                <w:b/>
                <w:bCs/>
                <w:i/>
                <w:iCs/>
                <w:sz w:val="20"/>
                <w:szCs w:val="20"/>
              </w:rPr>
            </w:pPr>
            <w:r w:rsidRPr="00F85073">
              <w:rPr>
                <w:b/>
                <w:bCs/>
                <w:i/>
                <w:iCs/>
                <w:sz w:val="20"/>
                <w:szCs w:val="20"/>
              </w:rPr>
              <w:t>0.025</w:t>
            </w:r>
          </w:p>
        </w:tc>
      </w:tr>
      <w:tr w:rsidR="00F85073" w:rsidRPr="00F85073" w14:paraId="0A881C67" w14:textId="77777777" w:rsidTr="00F85073">
        <w:tc>
          <w:tcPr>
            <w:tcW w:w="420" w:type="dxa"/>
            <w:vMerge/>
            <w:vAlign w:val="center"/>
          </w:tcPr>
          <w:p w14:paraId="5701C2B7" w14:textId="77777777" w:rsidR="00F85073" w:rsidRPr="00F85073" w:rsidRDefault="00F85073" w:rsidP="00F85073">
            <w:pPr>
              <w:pStyle w:val="NormalWeb"/>
              <w:jc w:val="center"/>
              <w:rPr>
                <w:sz w:val="20"/>
                <w:szCs w:val="20"/>
              </w:rPr>
            </w:pPr>
          </w:p>
        </w:tc>
        <w:tc>
          <w:tcPr>
            <w:tcW w:w="2269" w:type="dxa"/>
            <w:vMerge/>
            <w:vAlign w:val="center"/>
          </w:tcPr>
          <w:p w14:paraId="7997C02B" w14:textId="77777777" w:rsidR="00F85073" w:rsidRPr="00F85073" w:rsidRDefault="00F85073" w:rsidP="00F85073">
            <w:pPr>
              <w:pStyle w:val="NormalWeb"/>
              <w:jc w:val="center"/>
              <w:rPr>
                <w:sz w:val="20"/>
                <w:szCs w:val="20"/>
              </w:rPr>
            </w:pPr>
          </w:p>
        </w:tc>
        <w:tc>
          <w:tcPr>
            <w:tcW w:w="609" w:type="dxa"/>
            <w:vMerge/>
            <w:vAlign w:val="center"/>
          </w:tcPr>
          <w:p w14:paraId="4DB41BB8" w14:textId="77777777" w:rsidR="00F85073" w:rsidRPr="00F85073" w:rsidRDefault="00F85073" w:rsidP="00F85073">
            <w:pPr>
              <w:jc w:val="center"/>
              <w:rPr>
                <w:sz w:val="20"/>
                <w:szCs w:val="20"/>
              </w:rPr>
            </w:pPr>
          </w:p>
        </w:tc>
        <w:tc>
          <w:tcPr>
            <w:tcW w:w="667" w:type="dxa"/>
            <w:vAlign w:val="center"/>
          </w:tcPr>
          <w:p w14:paraId="1198437A"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19616CCD" w14:textId="77777777" w:rsidR="00F85073" w:rsidRPr="00F85073" w:rsidRDefault="00F85073" w:rsidP="00F85073">
            <w:pPr>
              <w:jc w:val="center"/>
              <w:rPr>
                <w:sz w:val="20"/>
                <w:szCs w:val="20"/>
              </w:rPr>
            </w:pPr>
            <w:r w:rsidRPr="00F85073">
              <w:rPr>
                <w:sz w:val="20"/>
                <w:szCs w:val="20"/>
              </w:rPr>
              <w:t>164 (65.6)</w:t>
            </w:r>
          </w:p>
        </w:tc>
        <w:tc>
          <w:tcPr>
            <w:tcW w:w="1210" w:type="dxa"/>
            <w:vAlign w:val="center"/>
          </w:tcPr>
          <w:p w14:paraId="4997A0E8" w14:textId="77777777" w:rsidR="00F85073" w:rsidRPr="00F85073" w:rsidRDefault="00F85073" w:rsidP="00F85073">
            <w:pPr>
              <w:jc w:val="center"/>
              <w:rPr>
                <w:sz w:val="20"/>
                <w:szCs w:val="20"/>
              </w:rPr>
            </w:pPr>
            <w:r w:rsidRPr="00F85073">
              <w:rPr>
                <w:sz w:val="20"/>
                <w:szCs w:val="20"/>
              </w:rPr>
              <w:t>48 (19.2)</w:t>
            </w:r>
          </w:p>
        </w:tc>
        <w:tc>
          <w:tcPr>
            <w:tcW w:w="1072" w:type="dxa"/>
            <w:vAlign w:val="center"/>
          </w:tcPr>
          <w:p w14:paraId="5904B31B" w14:textId="77777777" w:rsidR="00F85073" w:rsidRPr="00F85073" w:rsidRDefault="00F85073" w:rsidP="00F85073">
            <w:pPr>
              <w:jc w:val="center"/>
              <w:rPr>
                <w:sz w:val="20"/>
                <w:szCs w:val="20"/>
              </w:rPr>
            </w:pPr>
            <w:r w:rsidRPr="00F85073">
              <w:rPr>
                <w:sz w:val="20"/>
                <w:szCs w:val="20"/>
              </w:rPr>
              <w:t>32 (12.8)</w:t>
            </w:r>
          </w:p>
        </w:tc>
        <w:tc>
          <w:tcPr>
            <w:tcW w:w="1038" w:type="dxa"/>
            <w:vAlign w:val="center"/>
          </w:tcPr>
          <w:p w14:paraId="2457EFF2" w14:textId="77777777" w:rsidR="00F85073" w:rsidRPr="00F85073" w:rsidRDefault="00F85073" w:rsidP="00F85073">
            <w:pPr>
              <w:jc w:val="center"/>
              <w:rPr>
                <w:sz w:val="20"/>
                <w:szCs w:val="20"/>
              </w:rPr>
            </w:pPr>
            <w:r w:rsidRPr="00F85073">
              <w:rPr>
                <w:sz w:val="20"/>
                <w:szCs w:val="20"/>
              </w:rPr>
              <w:t>6 (2.4)</w:t>
            </w:r>
          </w:p>
        </w:tc>
        <w:tc>
          <w:tcPr>
            <w:tcW w:w="855" w:type="dxa"/>
            <w:vMerge/>
            <w:vAlign w:val="center"/>
          </w:tcPr>
          <w:p w14:paraId="5C9CE849" w14:textId="77777777" w:rsidR="00F85073" w:rsidRPr="00F85073" w:rsidRDefault="00F85073" w:rsidP="00F85073">
            <w:pPr>
              <w:jc w:val="center"/>
              <w:rPr>
                <w:i/>
                <w:iCs/>
              </w:rPr>
            </w:pPr>
          </w:p>
        </w:tc>
      </w:tr>
      <w:tr w:rsidR="00F85073" w:rsidRPr="00F85073" w14:paraId="0760BD66" w14:textId="77777777" w:rsidTr="00F85073">
        <w:tc>
          <w:tcPr>
            <w:tcW w:w="420" w:type="dxa"/>
            <w:vMerge/>
            <w:vAlign w:val="center"/>
          </w:tcPr>
          <w:p w14:paraId="22B653C4" w14:textId="77777777" w:rsidR="00F85073" w:rsidRPr="00F85073" w:rsidRDefault="00F85073" w:rsidP="00F85073">
            <w:pPr>
              <w:jc w:val="center"/>
              <w:rPr>
                <w:sz w:val="20"/>
                <w:szCs w:val="20"/>
              </w:rPr>
            </w:pPr>
          </w:p>
        </w:tc>
        <w:tc>
          <w:tcPr>
            <w:tcW w:w="2269" w:type="dxa"/>
            <w:vMerge/>
            <w:vAlign w:val="center"/>
          </w:tcPr>
          <w:p w14:paraId="47B85075" w14:textId="77777777" w:rsidR="00F85073" w:rsidRPr="00F85073" w:rsidRDefault="00F85073" w:rsidP="00F85073">
            <w:pPr>
              <w:jc w:val="center"/>
              <w:rPr>
                <w:sz w:val="20"/>
                <w:szCs w:val="20"/>
              </w:rPr>
            </w:pPr>
          </w:p>
        </w:tc>
        <w:tc>
          <w:tcPr>
            <w:tcW w:w="609" w:type="dxa"/>
            <w:vMerge w:val="restart"/>
            <w:vAlign w:val="center"/>
          </w:tcPr>
          <w:p w14:paraId="04F37292" w14:textId="77777777" w:rsidR="00F85073" w:rsidRPr="00F85073" w:rsidRDefault="00F85073" w:rsidP="00F85073">
            <w:pPr>
              <w:jc w:val="center"/>
              <w:rPr>
                <w:sz w:val="20"/>
                <w:szCs w:val="20"/>
              </w:rPr>
            </w:pPr>
            <w:r w:rsidRPr="00F85073">
              <w:rPr>
                <w:sz w:val="20"/>
                <w:szCs w:val="20"/>
              </w:rPr>
              <w:t>OH3</w:t>
            </w:r>
          </w:p>
        </w:tc>
        <w:tc>
          <w:tcPr>
            <w:tcW w:w="667" w:type="dxa"/>
            <w:vAlign w:val="center"/>
          </w:tcPr>
          <w:p w14:paraId="0A7F0B42"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46DF89A4" w14:textId="77777777" w:rsidR="00F85073" w:rsidRPr="00F85073" w:rsidRDefault="00F85073" w:rsidP="00F85073">
            <w:pPr>
              <w:jc w:val="center"/>
              <w:rPr>
                <w:sz w:val="20"/>
                <w:szCs w:val="20"/>
              </w:rPr>
            </w:pPr>
            <w:r w:rsidRPr="00F85073">
              <w:rPr>
                <w:sz w:val="20"/>
                <w:szCs w:val="20"/>
              </w:rPr>
              <w:t>27 (40.9)</w:t>
            </w:r>
          </w:p>
        </w:tc>
        <w:tc>
          <w:tcPr>
            <w:tcW w:w="1210" w:type="dxa"/>
            <w:vAlign w:val="center"/>
          </w:tcPr>
          <w:p w14:paraId="08B027EE" w14:textId="77777777" w:rsidR="00F85073" w:rsidRPr="00F85073" w:rsidRDefault="00F85073" w:rsidP="00F85073">
            <w:pPr>
              <w:jc w:val="center"/>
              <w:rPr>
                <w:sz w:val="20"/>
                <w:szCs w:val="20"/>
              </w:rPr>
            </w:pPr>
            <w:r w:rsidRPr="00F85073">
              <w:rPr>
                <w:sz w:val="20"/>
                <w:szCs w:val="20"/>
              </w:rPr>
              <w:t>21(31.8)</w:t>
            </w:r>
          </w:p>
        </w:tc>
        <w:tc>
          <w:tcPr>
            <w:tcW w:w="1072" w:type="dxa"/>
            <w:vAlign w:val="center"/>
          </w:tcPr>
          <w:p w14:paraId="68F896A5" w14:textId="77777777" w:rsidR="00F85073" w:rsidRPr="00F85073" w:rsidRDefault="00F85073" w:rsidP="00F85073">
            <w:pPr>
              <w:jc w:val="center"/>
              <w:rPr>
                <w:sz w:val="20"/>
                <w:szCs w:val="20"/>
              </w:rPr>
            </w:pPr>
            <w:r w:rsidRPr="00F85073">
              <w:rPr>
                <w:sz w:val="20"/>
                <w:szCs w:val="20"/>
              </w:rPr>
              <w:t>13 (19.7)</w:t>
            </w:r>
          </w:p>
        </w:tc>
        <w:tc>
          <w:tcPr>
            <w:tcW w:w="1038" w:type="dxa"/>
            <w:vAlign w:val="center"/>
          </w:tcPr>
          <w:p w14:paraId="23B83932" w14:textId="77777777" w:rsidR="00F85073" w:rsidRPr="00F85073" w:rsidRDefault="00F85073" w:rsidP="00F85073">
            <w:pPr>
              <w:jc w:val="center"/>
              <w:rPr>
                <w:sz w:val="20"/>
                <w:szCs w:val="20"/>
              </w:rPr>
            </w:pPr>
            <w:r w:rsidRPr="00F85073">
              <w:rPr>
                <w:sz w:val="20"/>
                <w:szCs w:val="20"/>
              </w:rPr>
              <w:t>5 (7.6)</w:t>
            </w:r>
          </w:p>
        </w:tc>
        <w:tc>
          <w:tcPr>
            <w:tcW w:w="855" w:type="dxa"/>
            <w:vMerge w:val="restart"/>
            <w:vAlign w:val="center"/>
          </w:tcPr>
          <w:p w14:paraId="6D76F34D" w14:textId="77777777" w:rsidR="00F85073" w:rsidRPr="00F85073" w:rsidRDefault="00F85073" w:rsidP="00F85073">
            <w:pPr>
              <w:jc w:val="center"/>
              <w:rPr>
                <w:b/>
                <w:bCs/>
                <w:i/>
                <w:iCs/>
                <w:sz w:val="20"/>
                <w:szCs w:val="20"/>
              </w:rPr>
            </w:pPr>
            <w:r w:rsidRPr="00F85073">
              <w:rPr>
                <w:b/>
                <w:bCs/>
                <w:i/>
                <w:iCs/>
                <w:sz w:val="20"/>
                <w:szCs w:val="20"/>
              </w:rPr>
              <w:t>0.001</w:t>
            </w:r>
          </w:p>
        </w:tc>
      </w:tr>
      <w:tr w:rsidR="00F85073" w:rsidRPr="00F85073" w14:paraId="4CCD3A0A" w14:textId="77777777" w:rsidTr="00F85073">
        <w:tc>
          <w:tcPr>
            <w:tcW w:w="420" w:type="dxa"/>
            <w:vMerge/>
            <w:vAlign w:val="center"/>
          </w:tcPr>
          <w:p w14:paraId="254E9F3D" w14:textId="77777777" w:rsidR="00F85073" w:rsidRPr="00F85073" w:rsidRDefault="00F85073" w:rsidP="00F85073">
            <w:pPr>
              <w:jc w:val="center"/>
              <w:rPr>
                <w:sz w:val="20"/>
                <w:szCs w:val="20"/>
              </w:rPr>
            </w:pPr>
          </w:p>
        </w:tc>
        <w:tc>
          <w:tcPr>
            <w:tcW w:w="2269" w:type="dxa"/>
            <w:vMerge/>
            <w:vAlign w:val="center"/>
          </w:tcPr>
          <w:p w14:paraId="543FAEF1" w14:textId="77777777" w:rsidR="00F85073" w:rsidRPr="00F85073" w:rsidRDefault="00F85073" w:rsidP="00F85073">
            <w:pPr>
              <w:jc w:val="center"/>
              <w:rPr>
                <w:sz w:val="20"/>
                <w:szCs w:val="20"/>
              </w:rPr>
            </w:pPr>
          </w:p>
        </w:tc>
        <w:tc>
          <w:tcPr>
            <w:tcW w:w="609" w:type="dxa"/>
            <w:vMerge/>
            <w:vAlign w:val="center"/>
          </w:tcPr>
          <w:p w14:paraId="2A272DD7" w14:textId="77777777" w:rsidR="00F85073" w:rsidRPr="00F85073" w:rsidRDefault="00F85073" w:rsidP="00F85073">
            <w:pPr>
              <w:jc w:val="center"/>
              <w:rPr>
                <w:sz w:val="20"/>
                <w:szCs w:val="20"/>
              </w:rPr>
            </w:pPr>
          </w:p>
        </w:tc>
        <w:tc>
          <w:tcPr>
            <w:tcW w:w="667" w:type="dxa"/>
            <w:vAlign w:val="center"/>
          </w:tcPr>
          <w:p w14:paraId="3C166639"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425C7FBC" w14:textId="77777777" w:rsidR="00F85073" w:rsidRPr="00F85073" w:rsidRDefault="00F85073" w:rsidP="00F85073">
            <w:pPr>
              <w:jc w:val="center"/>
              <w:rPr>
                <w:sz w:val="20"/>
                <w:szCs w:val="20"/>
              </w:rPr>
            </w:pPr>
            <w:r w:rsidRPr="00F85073">
              <w:rPr>
                <w:sz w:val="20"/>
                <w:szCs w:val="20"/>
              </w:rPr>
              <w:t>168 (67.7)</w:t>
            </w:r>
          </w:p>
        </w:tc>
        <w:tc>
          <w:tcPr>
            <w:tcW w:w="1210" w:type="dxa"/>
            <w:vAlign w:val="center"/>
          </w:tcPr>
          <w:p w14:paraId="719D1FC4" w14:textId="77777777" w:rsidR="00F85073" w:rsidRPr="00F85073" w:rsidRDefault="00F85073" w:rsidP="00F85073">
            <w:pPr>
              <w:jc w:val="center"/>
              <w:rPr>
                <w:sz w:val="20"/>
                <w:szCs w:val="20"/>
              </w:rPr>
            </w:pPr>
            <w:r w:rsidRPr="00F85073">
              <w:rPr>
                <w:sz w:val="20"/>
                <w:szCs w:val="20"/>
              </w:rPr>
              <w:t>46 (18.5)</w:t>
            </w:r>
          </w:p>
        </w:tc>
        <w:tc>
          <w:tcPr>
            <w:tcW w:w="1072" w:type="dxa"/>
            <w:vAlign w:val="center"/>
          </w:tcPr>
          <w:p w14:paraId="33D8A58E" w14:textId="77777777" w:rsidR="00F85073" w:rsidRPr="00F85073" w:rsidRDefault="00F85073" w:rsidP="00F85073">
            <w:pPr>
              <w:jc w:val="center"/>
              <w:rPr>
                <w:sz w:val="20"/>
                <w:szCs w:val="20"/>
              </w:rPr>
            </w:pPr>
            <w:r w:rsidRPr="00F85073">
              <w:rPr>
                <w:sz w:val="20"/>
                <w:szCs w:val="20"/>
              </w:rPr>
              <w:t>28 (11.3)</w:t>
            </w:r>
          </w:p>
        </w:tc>
        <w:tc>
          <w:tcPr>
            <w:tcW w:w="1038" w:type="dxa"/>
            <w:vAlign w:val="center"/>
          </w:tcPr>
          <w:p w14:paraId="1953FC19" w14:textId="77777777" w:rsidR="00F85073" w:rsidRPr="00F85073" w:rsidRDefault="00F85073" w:rsidP="00F85073">
            <w:pPr>
              <w:jc w:val="center"/>
              <w:rPr>
                <w:sz w:val="20"/>
                <w:szCs w:val="20"/>
              </w:rPr>
            </w:pPr>
            <w:r w:rsidRPr="00F85073">
              <w:rPr>
                <w:sz w:val="20"/>
                <w:szCs w:val="20"/>
              </w:rPr>
              <w:t>6 (2.4)</w:t>
            </w:r>
          </w:p>
        </w:tc>
        <w:tc>
          <w:tcPr>
            <w:tcW w:w="855" w:type="dxa"/>
            <w:vMerge/>
            <w:vAlign w:val="center"/>
          </w:tcPr>
          <w:p w14:paraId="45FB17CF" w14:textId="77777777" w:rsidR="00F85073" w:rsidRPr="00F85073" w:rsidRDefault="00F85073" w:rsidP="00F85073">
            <w:pPr>
              <w:jc w:val="center"/>
              <w:rPr>
                <w:i/>
                <w:iCs/>
              </w:rPr>
            </w:pPr>
          </w:p>
        </w:tc>
      </w:tr>
      <w:tr w:rsidR="00F85073" w:rsidRPr="00F85073" w14:paraId="11E743DD" w14:textId="77777777" w:rsidTr="00F85073">
        <w:tc>
          <w:tcPr>
            <w:tcW w:w="420" w:type="dxa"/>
            <w:vMerge w:val="restart"/>
            <w:vAlign w:val="center"/>
          </w:tcPr>
          <w:p w14:paraId="7838634D" w14:textId="77777777" w:rsidR="00F85073" w:rsidRPr="00F85073" w:rsidRDefault="00F85073" w:rsidP="00F85073">
            <w:pPr>
              <w:pStyle w:val="NormalWeb"/>
              <w:jc w:val="center"/>
              <w:rPr>
                <w:rFonts w:eastAsia="TimesNewRomanPSMT"/>
                <w:sz w:val="20"/>
                <w:szCs w:val="20"/>
              </w:rPr>
            </w:pPr>
            <w:r w:rsidRPr="00F85073">
              <w:rPr>
                <w:rFonts w:eastAsia="TimesNewRomanPSMT"/>
                <w:sz w:val="20"/>
                <w:szCs w:val="20"/>
              </w:rPr>
              <w:t>2</w:t>
            </w:r>
          </w:p>
        </w:tc>
        <w:tc>
          <w:tcPr>
            <w:tcW w:w="2269" w:type="dxa"/>
            <w:vMerge w:val="restart"/>
            <w:vAlign w:val="center"/>
          </w:tcPr>
          <w:p w14:paraId="264680BA" w14:textId="77777777" w:rsidR="00F85073" w:rsidRPr="00F85073" w:rsidRDefault="00F85073" w:rsidP="00F85073">
            <w:pPr>
              <w:pStyle w:val="NormalWeb"/>
              <w:jc w:val="center"/>
              <w:rPr>
                <w:sz w:val="20"/>
                <w:szCs w:val="20"/>
              </w:rPr>
            </w:pPr>
            <w:r w:rsidRPr="00F85073">
              <w:rPr>
                <w:rFonts w:eastAsia="TimesNewRomanPSMT"/>
                <w:sz w:val="20"/>
                <w:szCs w:val="20"/>
              </w:rPr>
              <w:t>Getting dressed or undressed</w:t>
            </w:r>
          </w:p>
        </w:tc>
        <w:tc>
          <w:tcPr>
            <w:tcW w:w="609" w:type="dxa"/>
            <w:vMerge w:val="restart"/>
            <w:vAlign w:val="center"/>
          </w:tcPr>
          <w:p w14:paraId="79C52DDE" w14:textId="77777777" w:rsidR="00F85073" w:rsidRPr="00F85073" w:rsidRDefault="00F85073" w:rsidP="00F85073">
            <w:pPr>
              <w:jc w:val="center"/>
              <w:rPr>
                <w:sz w:val="20"/>
                <w:szCs w:val="20"/>
              </w:rPr>
            </w:pPr>
            <w:r w:rsidRPr="00F85073">
              <w:rPr>
                <w:sz w:val="20"/>
                <w:szCs w:val="20"/>
              </w:rPr>
              <w:t>OH1</w:t>
            </w:r>
          </w:p>
        </w:tc>
        <w:tc>
          <w:tcPr>
            <w:tcW w:w="667" w:type="dxa"/>
            <w:vAlign w:val="center"/>
          </w:tcPr>
          <w:p w14:paraId="1C7D96BC"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190C7228" w14:textId="77777777" w:rsidR="00F85073" w:rsidRPr="00F85073" w:rsidRDefault="00F85073" w:rsidP="00F85073">
            <w:pPr>
              <w:jc w:val="center"/>
              <w:rPr>
                <w:sz w:val="20"/>
                <w:szCs w:val="20"/>
              </w:rPr>
            </w:pPr>
            <w:r w:rsidRPr="00F85073">
              <w:rPr>
                <w:sz w:val="20"/>
                <w:szCs w:val="20"/>
              </w:rPr>
              <w:t>42 (65.6)</w:t>
            </w:r>
          </w:p>
        </w:tc>
        <w:tc>
          <w:tcPr>
            <w:tcW w:w="1210" w:type="dxa"/>
            <w:vAlign w:val="center"/>
          </w:tcPr>
          <w:p w14:paraId="0D84236E" w14:textId="77777777" w:rsidR="00F85073" w:rsidRPr="00F85073" w:rsidRDefault="00F85073" w:rsidP="00F85073">
            <w:pPr>
              <w:jc w:val="center"/>
              <w:rPr>
                <w:sz w:val="20"/>
                <w:szCs w:val="20"/>
              </w:rPr>
            </w:pPr>
            <w:r w:rsidRPr="00F85073">
              <w:rPr>
                <w:sz w:val="20"/>
                <w:szCs w:val="20"/>
              </w:rPr>
              <w:t>14 (21.9)</w:t>
            </w:r>
          </w:p>
        </w:tc>
        <w:tc>
          <w:tcPr>
            <w:tcW w:w="1072" w:type="dxa"/>
            <w:vAlign w:val="center"/>
          </w:tcPr>
          <w:p w14:paraId="214FDD99" w14:textId="77777777" w:rsidR="00F85073" w:rsidRPr="00F85073" w:rsidRDefault="00F85073" w:rsidP="00F85073">
            <w:pPr>
              <w:jc w:val="center"/>
              <w:rPr>
                <w:sz w:val="20"/>
                <w:szCs w:val="20"/>
              </w:rPr>
            </w:pPr>
            <w:r w:rsidRPr="00F85073">
              <w:rPr>
                <w:sz w:val="20"/>
                <w:szCs w:val="20"/>
              </w:rPr>
              <w:t>7 (10.9)</w:t>
            </w:r>
          </w:p>
        </w:tc>
        <w:tc>
          <w:tcPr>
            <w:tcW w:w="1038" w:type="dxa"/>
            <w:vAlign w:val="center"/>
          </w:tcPr>
          <w:p w14:paraId="0FF4F7A0" w14:textId="77777777" w:rsidR="00F85073" w:rsidRPr="00F85073" w:rsidRDefault="00F85073" w:rsidP="00F85073">
            <w:pPr>
              <w:jc w:val="center"/>
              <w:rPr>
                <w:sz w:val="20"/>
                <w:szCs w:val="20"/>
              </w:rPr>
            </w:pPr>
            <w:r w:rsidRPr="00F85073">
              <w:rPr>
                <w:sz w:val="20"/>
                <w:szCs w:val="20"/>
              </w:rPr>
              <w:t>1 (1.6)</w:t>
            </w:r>
          </w:p>
        </w:tc>
        <w:tc>
          <w:tcPr>
            <w:tcW w:w="855" w:type="dxa"/>
            <w:vMerge w:val="restart"/>
            <w:vAlign w:val="center"/>
          </w:tcPr>
          <w:p w14:paraId="43CC5BB7" w14:textId="77777777" w:rsidR="00F85073" w:rsidRPr="00F85073" w:rsidRDefault="00F85073" w:rsidP="00F85073">
            <w:pPr>
              <w:jc w:val="center"/>
              <w:rPr>
                <w:i/>
                <w:iCs/>
                <w:sz w:val="20"/>
                <w:szCs w:val="20"/>
              </w:rPr>
            </w:pPr>
            <w:r w:rsidRPr="00F85073">
              <w:rPr>
                <w:i/>
                <w:iCs/>
                <w:sz w:val="20"/>
                <w:szCs w:val="20"/>
              </w:rPr>
              <w:t>0.865</w:t>
            </w:r>
          </w:p>
        </w:tc>
      </w:tr>
      <w:tr w:rsidR="00F85073" w:rsidRPr="00F85073" w14:paraId="63761D09" w14:textId="77777777" w:rsidTr="00F85073">
        <w:tc>
          <w:tcPr>
            <w:tcW w:w="420" w:type="dxa"/>
            <w:vMerge/>
            <w:vAlign w:val="center"/>
          </w:tcPr>
          <w:p w14:paraId="70233A97" w14:textId="77777777" w:rsidR="00F85073" w:rsidRPr="00F85073" w:rsidRDefault="00F85073" w:rsidP="00F85073">
            <w:pPr>
              <w:jc w:val="center"/>
              <w:rPr>
                <w:sz w:val="20"/>
                <w:szCs w:val="20"/>
              </w:rPr>
            </w:pPr>
          </w:p>
        </w:tc>
        <w:tc>
          <w:tcPr>
            <w:tcW w:w="2269" w:type="dxa"/>
            <w:vMerge/>
            <w:vAlign w:val="center"/>
          </w:tcPr>
          <w:p w14:paraId="128BB3BC" w14:textId="77777777" w:rsidR="00F85073" w:rsidRPr="00F85073" w:rsidRDefault="00F85073" w:rsidP="00F85073">
            <w:pPr>
              <w:jc w:val="center"/>
              <w:rPr>
                <w:sz w:val="20"/>
                <w:szCs w:val="20"/>
              </w:rPr>
            </w:pPr>
          </w:p>
        </w:tc>
        <w:tc>
          <w:tcPr>
            <w:tcW w:w="609" w:type="dxa"/>
            <w:vMerge/>
            <w:vAlign w:val="center"/>
          </w:tcPr>
          <w:p w14:paraId="147AF6F6" w14:textId="77777777" w:rsidR="00F85073" w:rsidRPr="00F85073" w:rsidRDefault="00F85073" w:rsidP="00F85073">
            <w:pPr>
              <w:jc w:val="center"/>
              <w:rPr>
                <w:sz w:val="20"/>
                <w:szCs w:val="20"/>
              </w:rPr>
            </w:pPr>
          </w:p>
        </w:tc>
        <w:tc>
          <w:tcPr>
            <w:tcW w:w="667" w:type="dxa"/>
            <w:vAlign w:val="center"/>
          </w:tcPr>
          <w:p w14:paraId="4C60EFAB"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3DD744B8" w14:textId="77777777" w:rsidR="00F85073" w:rsidRPr="00F85073" w:rsidRDefault="00F85073" w:rsidP="00F85073">
            <w:pPr>
              <w:jc w:val="center"/>
              <w:rPr>
                <w:sz w:val="20"/>
                <w:szCs w:val="20"/>
              </w:rPr>
            </w:pPr>
            <w:r w:rsidRPr="00F85073">
              <w:rPr>
                <w:sz w:val="20"/>
                <w:szCs w:val="20"/>
              </w:rPr>
              <w:t>175 (70)</w:t>
            </w:r>
          </w:p>
        </w:tc>
        <w:tc>
          <w:tcPr>
            <w:tcW w:w="1210" w:type="dxa"/>
            <w:vAlign w:val="center"/>
          </w:tcPr>
          <w:p w14:paraId="06741945" w14:textId="77777777" w:rsidR="00F85073" w:rsidRPr="00F85073" w:rsidRDefault="00F85073" w:rsidP="00F85073">
            <w:pPr>
              <w:jc w:val="center"/>
              <w:rPr>
                <w:sz w:val="20"/>
                <w:szCs w:val="20"/>
              </w:rPr>
            </w:pPr>
            <w:r w:rsidRPr="00F85073">
              <w:rPr>
                <w:sz w:val="20"/>
                <w:szCs w:val="20"/>
              </w:rPr>
              <w:t>52 (20.8)</w:t>
            </w:r>
          </w:p>
        </w:tc>
        <w:tc>
          <w:tcPr>
            <w:tcW w:w="1072" w:type="dxa"/>
            <w:vAlign w:val="center"/>
          </w:tcPr>
          <w:p w14:paraId="2EFA180D" w14:textId="77777777" w:rsidR="00F85073" w:rsidRPr="00F85073" w:rsidRDefault="00F85073" w:rsidP="00F85073">
            <w:pPr>
              <w:jc w:val="center"/>
              <w:rPr>
                <w:sz w:val="20"/>
                <w:szCs w:val="20"/>
              </w:rPr>
            </w:pPr>
            <w:r w:rsidRPr="00F85073">
              <w:rPr>
                <w:sz w:val="20"/>
                <w:szCs w:val="20"/>
              </w:rPr>
              <w:t>20 (8)</w:t>
            </w:r>
          </w:p>
        </w:tc>
        <w:tc>
          <w:tcPr>
            <w:tcW w:w="1038" w:type="dxa"/>
            <w:vAlign w:val="center"/>
          </w:tcPr>
          <w:p w14:paraId="4B79761A" w14:textId="77777777" w:rsidR="00F85073" w:rsidRPr="00F85073" w:rsidRDefault="00F85073" w:rsidP="00F85073">
            <w:pPr>
              <w:jc w:val="center"/>
              <w:rPr>
                <w:sz w:val="20"/>
                <w:szCs w:val="20"/>
              </w:rPr>
            </w:pPr>
            <w:r w:rsidRPr="00F85073">
              <w:rPr>
                <w:sz w:val="20"/>
                <w:szCs w:val="20"/>
              </w:rPr>
              <w:t>3 (1.2)</w:t>
            </w:r>
          </w:p>
        </w:tc>
        <w:tc>
          <w:tcPr>
            <w:tcW w:w="855" w:type="dxa"/>
            <w:vMerge/>
            <w:vAlign w:val="center"/>
          </w:tcPr>
          <w:p w14:paraId="0DB492F3" w14:textId="77777777" w:rsidR="00F85073" w:rsidRPr="00F85073" w:rsidRDefault="00F85073" w:rsidP="00F85073">
            <w:pPr>
              <w:jc w:val="center"/>
              <w:rPr>
                <w:i/>
                <w:iCs/>
              </w:rPr>
            </w:pPr>
          </w:p>
        </w:tc>
      </w:tr>
      <w:tr w:rsidR="00F85073" w:rsidRPr="00F85073" w14:paraId="76D3D445" w14:textId="77777777" w:rsidTr="00F85073">
        <w:tc>
          <w:tcPr>
            <w:tcW w:w="420" w:type="dxa"/>
            <w:vMerge/>
            <w:vAlign w:val="center"/>
          </w:tcPr>
          <w:p w14:paraId="4544DB47" w14:textId="77777777" w:rsidR="00F85073" w:rsidRPr="00F85073" w:rsidRDefault="00F85073" w:rsidP="00F85073">
            <w:pPr>
              <w:jc w:val="center"/>
              <w:rPr>
                <w:sz w:val="20"/>
                <w:szCs w:val="20"/>
              </w:rPr>
            </w:pPr>
          </w:p>
        </w:tc>
        <w:tc>
          <w:tcPr>
            <w:tcW w:w="2269" w:type="dxa"/>
            <w:vMerge/>
            <w:vAlign w:val="center"/>
          </w:tcPr>
          <w:p w14:paraId="7D9D1A0A" w14:textId="77777777" w:rsidR="00F85073" w:rsidRPr="00F85073" w:rsidRDefault="00F85073" w:rsidP="00F85073">
            <w:pPr>
              <w:jc w:val="center"/>
              <w:rPr>
                <w:sz w:val="20"/>
                <w:szCs w:val="20"/>
              </w:rPr>
            </w:pPr>
          </w:p>
        </w:tc>
        <w:tc>
          <w:tcPr>
            <w:tcW w:w="609" w:type="dxa"/>
            <w:vMerge w:val="restart"/>
            <w:vAlign w:val="center"/>
          </w:tcPr>
          <w:p w14:paraId="0EFCFD61" w14:textId="77777777" w:rsidR="00F85073" w:rsidRPr="00F85073" w:rsidRDefault="00F85073" w:rsidP="00F85073">
            <w:pPr>
              <w:jc w:val="center"/>
              <w:rPr>
                <w:sz w:val="20"/>
                <w:szCs w:val="20"/>
              </w:rPr>
            </w:pPr>
            <w:r w:rsidRPr="00F85073">
              <w:rPr>
                <w:sz w:val="20"/>
                <w:szCs w:val="20"/>
              </w:rPr>
              <w:t>OH3</w:t>
            </w:r>
          </w:p>
        </w:tc>
        <w:tc>
          <w:tcPr>
            <w:tcW w:w="667" w:type="dxa"/>
            <w:vAlign w:val="center"/>
          </w:tcPr>
          <w:p w14:paraId="1A911C93"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4C01FEEE" w14:textId="77777777" w:rsidR="00F85073" w:rsidRPr="00F85073" w:rsidRDefault="00F85073" w:rsidP="00F85073">
            <w:pPr>
              <w:jc w:val="center"/>
              <w:rPr>
                <w:sz w:val="20"/>
                <w:szCs w:val="20"/>
              </w:rPr>
            </w:pPr>
            <w:r w:rsidRPr="00F85073">
              <w:rPr>
                <w:sz w:val="20"/>
                <w:szCs w:val="20"/>
              </w:rPr>
              <w:t>34 (51.5)</w:t>
            </w:r>
          </w:p>
        </w:tc>
        <w:tc>
          <w:tcPr>
            <w:tcW w:w="1210" w:type="dxa"/>
            <w:vAlign w:val="center"/>
          </w:tcPr>
          <w:p w14:paraId="039DCDE7" w14:textId="77777777" w:rsidR="00F85073" w:rsidRPr="00F85073" w:rsidRDefault="00F85073" w:rsidP="00F85073">
            <w:pPr>
              <w:jc w:val="center"/>
              <w:rPr>
                <w:sz w:val="20"/>
                <w:szCs w:val="20"/>
              </w:rPr>
            </w:pPr>
            <w:r w:rsidRPr="00F85073">
              <w:rPr>
                <w:sz w:val="20"/>
                <w:szCs w:val="20"/>
              </w:rPr>
              <w:t>18 (27.3)</w:t>
            </w:r>
          </w:p>
        </w:tc>
        <w:tc>
          <w:tcPr>
            <w:tcW w:w="1072" w:type="dxa"/>
            <w:vAlign w:val="center"/>
          </w:tcPr>
          <w:p w14:paraId="57F0B770" w14:textId="77777777" w:rsidR="00F85073" w:rsidRPr="00F85073" w:rsidRDefault="00F85073" w:rsidP="00F85073">
            <w:pPr>
              <w:jc w:val="center"/>
              <w:rPr>
                <w:sz w:val="20"/>
                <w:szCs w:val="20"/>
              </w:rPr>
            </w:pPr>
            <w:r w:rsidRPr="00F85073">
              <w:rPr>
                <w:sz w:val="20"/>
                <w:szCs w:val="20"/>
              </w:rPr>
              <w:t>12 (18.2)</w:t>
            </w:r>
          </w:p>
        </w:tc>
        <w:tc>
          <w:tcPr>
            <w:tcW w:w="1038" w:type="dxa"/>
            <w:vAlign w:val="center"/>
          </w:tcPr>
          <w:p w14:paraId="48BA1715" w14:textId="77777777" w:rsidR="00F85073" w:rsidRPr="00F85073" w:rsidRDefault="00F85073" w:rsidP="00F85073">
            <w:pPr>
              <w:jc w:val="center"/>
              <w:rPr>
                <w:sz w:val="20"/>
                <w:szCs w:val="20"/>
              </w:rPr>
            </w:pPr>
            <w:r w:rsidRPr="00F85073">
              <w:rPr>
                <w:sz w:val="20"/>
                <w:szCs w:val="20"/>
              </w:rPr>
              <w:t>2 (3)</w:t>
            </w:r>
          </w:p>
        </w:tc>
        <w:tc>
          <w:tcPr>
            <w:tcW w:w="855" w:type="dxa"/>
            <w:vMerge w:val="restart"/>
            <w:vAlign w:val="center"/>
          </w:tcPr>
          <w:p w14:paraId="261460D7" w14:textId="77777777" w:rsidR="00F85073" w:rsidRPr="00F85073" w:rsidRDefault="00F85073" w:rsidP="00F85073">
            <w:pPr>
              <w:jc w:val="center"/>
              <w:rPr>
                <w:b/>
                <w:bCs/>
                <w:i/>
                <w:iCs/>
                <w:sz w:val="20"/>
                <w:szCs w:val="20"/>
              </w:rPr>
            </w:pPr>
            <w:r w:rsidRPr="00F85073">
              <w:rPr>
                <w:b/>
                <w:bCs/>
                <w:i/>
                <w:iCs/>
                <w:sz w:val="20"/>
                <w:szCs w:val="20"/>
              </w:rPr>
              <w:t>0.001</w:t>
            </w:r>
          </w:p>
        </w:tc>
      </w:tr>
      <w:tr w:rsidR="00F85073" w:rsidRPr="00F85073" w14:paraId="7E82AA75" w14:textId="77777777" w:rsidTr="00F85073">
        <w:tc>
          <w:tcPr>
            <w:tcW w:w="420" w:type="dxa"/>
            <w:vMerge/>
            <w:vAlign w:val="center"/>
          </w:tcPr>
          <w:p w14:paraId="378355CD" w14:textId="77777777" w:rsidR="00F85073" w:rsidRPr="00F85073" w:rsidRDefault="00F85073" w:rsidP="00F85073">
            <w:pPr>
              <w:jc w:val="center"/>
              <w:rPr>
                <w:sz w:val="20"/>
                <w:szCs w:val="20"/>
              </w:rPr>
            </w:pPr>
          </w:p>
        </w:tc>
        <w:tc>
          <w:tcPr>
            <w:tcW w:w="2269" w:type="dxa"/>
            <w:vMerge/>
            <w:vAlign w:val="center"/>
          </w:tcPr>
          <w:p w14:paraId="447F6154" w14:textId="77777777" w:rsidR="00F85073" w:rsidRPr="00F85073" w:rsidRDefault="00F85073" w:rsidP="00F85073">
            <w:pPr>
              <w:jc w:val="center"/>
              <w:rPr>
                <w:sz w:val="20"/>
                <w:szCs w:val="20"/>
              </w:rPr>
            </w:pPr>
          </w:p>
        </w:tc>
        <w:tc>
          <w:tcPr>
            <w:tcW w:w="609" w:type="dxa"/>
            <w:vMerge/>
            <w:vAlign w:val="center"/>
          </w:tcPr>
          <w:p w14:paraId="65C5B4C5" w14:textId="77777777" w:rsidR="00F85073" w:rsidRPr="00F85073" w:rsidRDefault="00F85073" w:rsidP="00F85073">
            <w:pPr>
              <w:jc w:val="center"/>
              <w:rPr>
                <w:sz w:val="20"/>
                <w:szCs w:val="20"/>
              </w:rPr>
            </w:pPr>
          </w:p>
        </w:tc>
        <w:tc>
          <w:tcPr>
            <w:tcW w:w="667" w:type="dxa"/>
            <w:vAlign w:val="center"/>
          </w:tcPr>
          <w:p w14:paraId="6CB4E0ED"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7225CB7F" w14:textId="77777777" w:rsidR="00F85073" w:rsidRPr="00F85073" w:rsidRDefault="00F85073" w:rsidP="00F85073">
            <w:pPr>
              <w:jc w:val="center"/>
              <w:rPr>
                <w:sz w:val="20"/>
                <w:szCs w:val="20"/>
              </w:rPr>
            </w:pPr>
            <w:r w:rsidRPr="00F85073">
              <w:rPr>
                <w:sz w:val="20"/>
                <w:szCs w:val="20"/>
              </w:rPr>
              <w:t>183 (73.8)</w:t>
            </w:r>
          </w:p>
        </w:tc>
        <w:tc>
          <w:tcPr>
            <w:tcW w:w="1210" w:type="dxa"/>
            <w:vAlign w:val="center"/>
          </w:tcPr>
          <w:p w14:paraId="2EFCBA74" w14:textId="77777777" w:rsidR="00F85073" w:rsidRPr="00F85073" w:rsidRDefault="00F85073" w:rsidP="00F85073">
            <w:pPr>
              <w:jc w:val="center"/>
              <w:rPr>
                <w:sz w:val="20"/>
                <w:szCs w:val="20"/>
              </w:rPr>
            </w:pPr>
            <w:r w:rsidRPr="00F85073">
              <w:rPr>
                <w:sz w:val="20"/>
                <w:szCs w:val="20"/>
              </w:rPr>
              <w:t>48 (19.4)</w:t>
            </w:r>
          </w:p>
        </w:tc>
        <w:tc>
          <w:tcPr>
            <w:tcW w:w="1072" w:type="dxa"/>
            <w:vAlign w:val="center"/>
          </w:tcPr>
          <w:p w14:paraId="3089BC99" w14:textId="77777777" w:rsidR="00F85073" w:rsidRPr="00F85073" w:rsidRDefault="00F85073" w:rsidP="00F85073">
            <w:pPr>
              <w:jc w:val="center"/>
              <w:rPr>
                <w:sz w:val="20"/>
                <w:szCs w:val="20"/>
              </w:rPr>
            </w:pPr>
            <w:r w:rsidRPr="00F85073">
              <w:rPr>
                <w:sz w:val="20"/>
                <w:szCs w:val="20"/>
              </w:rPr>
              <w:t>15 (6)</w:t>
            </w:r>
          </w:p>
        </w:tc>
        <w:tc>
          <w:tcPr>
            <w:tcW w:w="1038" w:type="dxa"/>
            <w:vAlign w:val="center"/>
          </w:tcPr>
          <w:p w14:paraId="2F1505DC" w14:textId="77777777" w:rsidR="00F85073" w:rsidRPr="00F85073" w:rsidRDefault="00F85073" w:rsidP="00F85073">
            <w:pPr>
              <w:jc w:val="center"/>
              <w:rPr>
                <w:sz w:val="20"/>
                <w:szCs w:val="20"/>
              </w:rPr>
            </w:pPr>
            <w:r w:rsidRPr="00F85073">
              <w:rPr>
                <w:sz w:val="20"/>
                <w:szCs w:val="20"/>
              </w:rPr>
              <w:t>2 (0.8)</w:t>
            </w:r>
          </w:p>
        </w:tc>
        <w:tc>
          <w:tcPr>
            <w:tcW w:w="855" w:type="dxa"/>
            <w:vMerge/>
            <w:vAlign w:val="center"/>
          </w:tcPr>
          <w:p w14:paraId="548E9F50" w14:textId="77777777" w:rsidR="00F85073" w:rsidRPr="00F85073" w:rsidRDefault="00F85073" w:rsidP="00F85073">
            <w:pPr>
              <w:jc w:val="center"/>
              <w:rPr>
                <w:i/>
                <w:iCs/>
              </w:rPr>
            </w:pPr>
          </w:p>
        </w:tc>
      </w:tr>
      <w:tr w:rsidR="00F85073" w:rsidRPr="00F85073" w14:paraId="7BD3F007" w14:textId="77777777" w:rsidTr="00F85073">
        <w:tc>
          <w:tcPr>
            <w:tcW w:w="420" w:type="dxa"/>
            <w:vMerge w:val="restart"/>
            <w:vAlign w:val="center"/>
          </w:tcPr>
          <w:p w14:paraId="75D24801" w14:textId="77777777" w:rsidR="00F85073" w:rsidRPr="00F85073" w:rsidRDefault="00F85073" w:rsidP="00F85073">
            <w:pPr>
              <w:pStyle w:val="NormalWeb"/>
              <w:jc w:val="center"/>
              <w:rPr>
                <w:rFonts w:eastAsia="TimesNewRomanPSMT"/>
                <w:sz w:val="20"/>
                <w:szCs w:val="20"/>
              </w:rPr>
            </w:pPr>
            <w:r w:rsidRPr="00F85073">
              <w:rPr>
                <w:rFonts w:eastAsia="TimesNewRomanPSMT"/>
                <w:sz w:val="20"/>
                <w:szCs w:val="20"/>
              </w:rPr>
              <w:t>3</w:t>
            </w:r>
          </w:p>
        </w:tc>
        <w:tc>
          <w:tcPr>
            <w:tcW w:w="2269" w:type="dxa"/>
            <w:vMerge w:val="restart"/>
            <w:vAlign w:val="center"/>
          </w:tcPr>
          <w:p w14:paraId="1F215829" w14:textId="77777777" w:rsidR="00F85073" w:rsidRPr="00F85073" w:rsidRDefault="00F85073" w:rsidP="00F85073">
            <w:pPr>
              <w:pStyle w:val="NormalWeb"/>
              <w:jc w:val="center"/>
              <w:rPr>
                <w:sz w:val="20"/>
                <w:szCs w:val="20"/>
              </w:rPr>
            </w:pPr>
            <w:r w:rsidRPr="00F85073">
              <w:rPr>
                <w:rFonts w:eastAsia="TimesNewRomanPSMT"/>
                <w:sz w:val="20"/>
                <w:szCs w:val="20"/>
              </w:rPr>
              <w:t>Preparing simple meals</w:t>
            </w:r>
          </w:p>
        </w:tc>
        <w:tc>
          <w:tcPr>
            <w:tcW w:w="609" w:type="dxa"/>
            <w:vMerge w:val="restart"/>
            <w:vAlign w:val="center"/>
          </w:tcPr>
          <w:p w14:paraId="5D3FD1DE" w14:textId="77777777" w:rsidR="00F85073" w:rsidRPr="00F85073" w:rsidRDefault="00F85073" w:rsidP="00F85073">
            <w:pPr>
              <w:jc w:val="center"/>
              <w:rPr>
                <w:sz w:val="20"/>
                <w:szCs w:val="20"/>
              </w:rPr>
            </w:pPr>
            <w:r w:rsidRPr="00F85073">
              <w:rPr>
                <w:sz w:val="20"/>
                <w:szCs w:val="20"/>
              </w:rPr>
              <w:t>OH1</w:t>
            </w:r>
          </w:p>
        </w:tc>
        <w:tc>
          <w:tcPr>
            <w:tcW w:w="667" w:type="dxa"/>
            <w:vAlign w:val="center"/>
          </w:tcPr>
          <w:p w14:paraId="74631B98"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19269048" w14:textId="77777777" w:rsidR="00F85073" w:rsidRPr="00F85073" w:rsidRDefault="00F85073" w:rsidP="00F85073">
            <w:pPr>
              <w:jc w:val="center"/>
              <w:rPr>
                <w:sz w:val="20"/>
                <w:szCs w:val="20"/>
              </w:rPr>
            </w:pPr>
            <w:r w:rsidRPr="00F85073">
              <w:rPr>
                <w:sz w:val="20"/>
                <w:szCs w:val="20"/>
              </w:rPr>
              <w:t>35 (54.7)</w:t>
            </w:r>
          </w:p>
        </w:tc>
        <w:tc>
          <w:tcPr>
            <w:tcW w:w="1210" w:type="dxa"/>
            <w:vAlign w:val="center"/>
          </w:tcPr>
          <w:p w14:paraId="7779C995" w14:textId="77777777" w:rsidR="00F85073" w:rsidRPr="00F85073" w:rsidRDefault="00F85073" w:rsidP="00F85073">
            <w:pPr>
              <w:jc w:val="center"/>
              <w:rPr>
                <w:sz w:val="20"/>
                <w:szCs w:val="20"/>
              </w:rPr>
            </w:pPr>
            <w:r w:rsidRPr="00F85073">
              <w:rPr>
                <w:sz w:val="20"/>
                <w:szCs w:val="20"/>
              </w:rPr>
              <w:t>23 (35.9)</w:t>
            </w:r>
          </w:p>
        </w:tc>
        <w:tc>
          <w:tcPr>
            <w:tcW w:w="1072" w:type="dxa"/>
            <w:vAlign w:val="center"/>
          </w:tcPr>
          <w:p w14:paraId="16375883" w14:textId="77777777" w:rsidR="00F85073" w:rsidRPr="00F85073" w:rsidRDefault="00F85073" w:rsidP="00F85073">
            <w:pPr>
              <w:jc w:val="center"/>
              <w:rPr>
                <w:sz w:val="20"/>
                <w:szCs w:val="20"/>
              </w:rPr>
            </w:pPr>
            <w:r w:rsidRPr="00F85073">
              <w:rPr>
                <w:sz w:val="20"/>
                <w:szCs w:val="20"/>
              </w:rPr>
              <w:t>5 (7.8)</w:t>
            </w:r>
          </w:p>
        </w:tc>
        <w:tc>
          <w:tcPr>
            <w:tcW w:w="1038" w:type="dxa"/>
            <w:vAlign w:val="center"/>
          </w:tcPr>
          <w:p w14:paraId="644B44F9" w14:textId="77777777" w:rsidR="00F85073" w:rsidRPr="00F85073" w:rsidRDefault="00F85073" w:rsidP="00F85073">
            <w:pPr>
              <w:jc w:val="center"/>
              <w:rPr>
                <w:sz w:val="20"/>
                <w:szCs w:val="20"/>
              </w:rPr>
            </w:pPr>
            <w:r w:rsidRPr="00F85073">
              <w:rPr>
                <w:sz w:val="20"/>
                <w:szCs w:val="20"/>
              </w:rPr>
              <w:t>1 (1.6)</w:t>
            </w:r>
          </w:p>
        </w:tc>
        <w:tc>
          <w:tcPr>
            <w:tcW w:w="855" w:type="dxa"/>
            <w:vMerge w:val="restart"/>
            <w:vAlign w:val="center"/>
          </w:tcPr>
          <w:p w14:paraId="36A1E4D1" w14:textId="77777777" w:rsidR="00F85073" w:rsidRPr="00F85073" w:rsidRDefault="00F85073" w:rsidP="00F85073">
            <w:pPr>
              <w:jc w:val="center"/>
              <w:rPr>
                <w:i/>
                <w:iCs/>
                <w:sz w:val="20"/>
                <w:szCs w:val="20"/>
              </w:rPr>
            </w:pPr>
            <w:r w:rsidRPr="00F85073">
              <w:rPr>
                <w:i/>
                <w:iCs/>
                <w:sz w:val="20"/>
                <w:szCs w:val="20"/>
              </w:rPr>
              <w:t>0.86</w:t>
            </w:r>
          </w:p>
        </w:tc>
      </w:tr>
      <w:tr w:rsidR="00F85073" w:rsidRPr="00F85073" w14:paraId="329F3AF0" w14:textId="77777777" w:rsidTr="00F85073">
        <w:tc>
          <w:tcPr>
            <w:tcW w:w="420" w:type="dxa"/>
            <w:vMerge/>
            <w:vAlign w:val="center"/>
          </w:tcPr>
          <w:p w14:paraId="0CAC2F09" w14:textId="77777777" w:rsidR="00F85073" w:rsidRPr="00F85073" w:rsidRDefault="00F85073" w:rsidP="00F85073">
            <w:pPr>
              <w:jc w:val="center"/>
              <w:rPr>
                <w:sz w:val="20"/>
                <w:szCs w:val="20"/>
              </w:rPr>
            </w:pPr>
          </w:p>
        </w:tc>
        <w:tc>
          <w:tcPr>
            <w:tcW w:w="2269" w:type="dxa"/>
            <w:vMerge/>
            <w:vAlign w:val="center"/>
          </w:tcPr>
          <w:p w14:paraId="449534BA" w14:textId="77777777" w:rsidR="00F85073" w:rsidRPr="00F85073" w:rsidRDefault="00F85073" w:rsidP="00F85073">
            <w:pPr>
              <w:jc w:val="center"/>
              <w:rPr>
                <w:sz w:val="20"/>
                <w:szCs w:val="20"/>
              </w:rPr>
            </w:pPr>
          </w:p>
        </w:tc>
        <w:tc>
          <w:tcPr>
            <w:tcW w:w="609" w:type="dxa"/>
            <w:vMerge/>
            <w:vAlign w:val="center"/>
          </w:tcPr>
          <w:p w14:paraId="2B148FD9" w14:textId="77777777" w:rsidR="00F85073" w:rsidRPr="00F85073" w:rsidRDefault="00F85073" w:rsidP="00F85073">
            <w:pPr>
              <w:jc w:val="center"/>
              <w:rPr>
                <w:sz w:val="20"/>
                <w:szCs w:val="20"/>
              </w:rPr>
            </w:pPr>
          </w:p>
        </w:tc>
        <w:tc>
          <w:tcPr>
            <w:tcW w:w="667" w:type="dxa"/>
            <w:vAlign w:val="center"/>
          </w:tcPr>
          <w:p w14:paraId="4EDF4E39"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67C8CB1A" w14:textId="77777777" w:rsidR="00F85073" w:rsidRPr="00F85073" w:rsidRDefault="00F85073" w:rsidP="00F85073">
            <w:pPr>
              <w:jc w:val="center"/>
              <w:rPr>
                <w:sz w:val="20"/>
                <w:szCs w:val="20"/>
              </w:rPr>
            </w:pPr>
            <w:r w:rsidRPr="00F85073">
              <w:rPr>
                <w:sz w:val="20"/>
                <w:szCs w:val="20"/>
              </w:rPr>
              <w:t>170 (68)</w:t>
            </w:r>
          </w:p>
        </w:tc>
        <w:tc>
          <w:tcPr>
            <w:tcW w:w="1210" w:type="dxa"/>
            <w:vAlign w:val="center"/>
          </w:tcPr>
          <w:p w14:paraId="1D24A1F4" w14:textId="77777777" w:rsidR="00F85073" w:rsidRPr="00F85073" w:rsidRDefault="00F85073" w:rsidP="00F85073">
            <w:pPr>
              <w:jc w:val="center"/>
              <w:rPr>
                <w:sz w:val="20"/>
                <w:szCs w:val="20"/>
              </w:rPr>
            </w:pPr>
            <w:r w:rsidRPr="00F85073">
              <w:rPr>
                <w:sz w:val="20"/>
                <w:szCs w:val="20"/>
              </w:rPr>
              <w:t>52 (20.8)</w:t>
            </w:r>
          </w:p>
        </w:tc>
        <w:tc>
          <w:tcPr>
            <w:tcW w:w="1072" w:type="dxa"/>
            <w:vAlign w:val="center"/>
          </w:tcPr>
          <w:p w14:paraId="2165CAA2" w14:textId="77777777" w:rsidR="00F85073" w:rsidRPr="00F85073" w:rsidRDefault="00F85073" w:rsidP="00F85073">
            <w:pPr>
              <w:jc w:val="center"/>
              <w:rPr>
                <w:sz w:val="20"/>
                <w:szCs w:val="20"/>
              </w:rPr>
            </w:pPr>
            <w:r w:rsidRPr="00F85073">
              <w:rPr>
                <w:sz w:val="20"/>
                <w:szCs w:val="20"/>
              </w:rPr>
              <w:t>21 (8.4)</w:t>
            </w:r>
          </w:p>
        </w:tc>
        <w:tc>
          <w:tcPr>
            <w:tcW w:w="1038" w:type="dxa"/>
            <w:vAlign w:val="center"/>
          </w:tcPr>
          <w:p w14:paraId="591B7D25" w14:textId="77777777" w:rsidR="00F85073" w:rsidRPr="00F85073" w:rsidRDefault="00F85073" w:rsidP="00F85073">
            <w:pPr>
              <w:jc w:val="center"/>
              <w:rPr>
                <w:sz w:val="20"/>
                <w:szCs w:val="20"/>
              </w:rPr>
            </w:pPr>
            <w:r w:rsidRPr="00F85073">
              <w:rPr>
                <w:sz w:val="20"/>
                <w:szCs w:val="20"/>
              </w:rPr>
              <w:t>7 (2.8)</w:t>
            </w:r>
          </w:p>
        </w:tc>
        <w:tc>
          <w:tcPr>
            <w:tcW w:w="855" w:type="dxa"/>
            <w:vMerge/>
            <w:vAlign w:val="center"/>
          </w:tcPr>
          <w:p w14:paraId="0E9CDB8C" w14:textId="77777777" w:rsidR="00F85073" w:rsidRPr="00F85073" w:rsidRDefault="00F85073" w:rsidP="00F85073">
            <w:pPr>
              <w:jc w:val="center"/>
              <w:rPr>
                <w:i/>
                <w:iCs/>
              </w:rPr>
            </w:pPr>
          </w:p>
        </w:tc>
      </w:tr>
      <w:tr w:rsidR="00F85073" w:rsidRPr="00F85073" w14:paraId="49436D36" w14:textId="77777777" w:rsidTr="00F85073">
        <w:tc>
          <w:tcPr>
            <w:tcW w:w="420" w:type="dxa"/>
            <w:vMerge/>
            <w:vAlign w:val="center"/>
          </w:tcPr>
          <w:p w14:paraId="21A4E20E" w14:textId="77777777" w:rsidR="00F85073" w:rsidRPr="00F85073" w:rsidRDefault="00F85073" w:rsidP="00F85073">
            <w:pPr>
              <w:jc w:val="center"/>
              <w:rPr>
                <w:sz w:val="20"/>
                <w:szCs w:val="20"/>
              </w:rPr>
            </w:pPr>
          </w:p>
        </w:tc>
        <w:tc>
          <w:tcPr>
            <w:tcW w:w="2269" w:type="dxa"/>
            <w:vMerge/>
            <w:vAlign w:val="center"/>
          </w:tcPr>
          <w:p w14:paraId="4D80F6E5" w14:textId="77777777" w:rsidR="00F85073" w:rsidRPr="00F85073" w:rsidRDefault="00F85073" w:rsidP="00F85073">
            <w:pPr>
              <w:jc w:val="center"/>
              <w:rPr>
                <w:sz w:val="20"/>
                <w:szCs w:val="20"/>
              </w:rPr>
            </w:pPr>
          </w:p>
        </w:tc>
        <w:tc>
          <w:tcPr>
            <w:tcW w:w="609" w:type="dxa"/>
            <w:vMerge w:val="restart"/>
            <w:vAlign w:val="center"/>
          </w:tcPr>
          <w:p w14:paraId="678C97CA" w14:textId="77777777" w:rsidR="00F85073" w:rsidRPr="00F85073" w:rsidRDefault="00F85073" w:rsidP="00F85073">
            <w:pPr>
              <w:jc w:val="center"/>
              <w:rPr>
                <w:sz w:val="20"/>
                <w:szCs w:val="20"/>
              </w:rPr>
            </w:pPr>
            <w:r w:rsidRPr="00F85073">
              <w:rPr>
                <w:sz w:val="20"/>
                <w:szCs w:val="20"/>
              </w:rPr>
              <w:t>OH3</w:t>
            </w:r>
          </w:p>
        </w:tc>
        <w:tc>
          <w:tcPr>
            <w:tcW w:w="667" w:type="dxa"/>
            <w:vAlign w:val="center"/>
          </w:tcPr>
          <w:p w14:paraId="17A8101B"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257E889E" w14:textId="77777777" w:rsidR="00F85073" w:rsidRPr="00F85073" w:rsidRDefault="00F85073" w:rsidP="00F85073">
            <w:pPr>
              <w:jc w:val="center"/>
              <w:rPr>
                <w:sz w:val="20"/>
                <w:szCs w:val="20"/>
              </w:rPr>
            </w:pPr>
            <w:r w:rsidRPr="00F85073">
              <w:rPr>
                <w:sz w:val="20"/>
                <w:szCs w:val="20"/>
              </w:rPr>
              <w:t>30 (45.5)</w:t>
            </w:r>
          </w:p>
        </w:tc>
        <w:tc>
          <w:tcPr>
            <w:tcW w:w="1210" w:type="dxa"/>
            <w:vAlign w:val="center"/>
          </w:tcPr>
          <w:p w14:paraId="024BE0B5" w14:textId="77777777" w:rsidR="00F85073" w:rsidRPr="00F85073" w:rsidRDefault="00F85073" w:rsidP="00F85073">
            <w:pPr>
              <w:jc w:val="center"/>
              <w:rPr>
                <w:sz w:val="20"/>
                <w:szCs w:val="20"/>
              </w:rPr>
            </w:pPr>
            <w:r w:rsidRPr="00F85073">
              <w:rPr>
                <w:sz w:val="20"/>
                <w:szCs w:val="20"/>
              </w:rPr>
              <w:t>22 (33.3)</w:t>
            </w:r>
          </w:p>
        </w:tc>
        <w:tc>
          <w:tcPr>
            <w:tcW w:w="1072" w:type="dxa"/>
            <w:vAlign w:val="center"/>
          </w:tcPr>
          <w:p w14:paraId="33F821EC" w14:textId="77777777" w:rsidR="00F85073" w:rsidRPr="00F85073" w:rsidRDefault="00F85073" w:rsidP="00F85073">
            <w:pPr>
              <w:jc w:val="center"/>
              <w:rPr>
                <w:sz w:val="20"/>
                <w:szCs w:val="20"/>
              </w:rPr>
            </w:pPr>
            <w:r w:rsidRPr="00F85073">
              <w:rPr>
                <w:sz w:val="20"/>
                <w:szCs w:val="20"/>
              </w:rPr>
              <w:t>12 (18.2)</w:t>
            </w:r>
          </w:p>
        </w:tc>
        <w:tc>
          <w:tcPr>
            <w:tcW w:w="1038" w:type="dxa"/>
            <w:vAlign w:val="center"/>
          </w:tcPr>
          <w:p w14:paraId="513A2DFB" w14:textId="77777777" w:rsidR="00F85073" w:rsidRPr="00F85073" w:rsidRDefault="00F85073" w:rsidP="00F85073">
            <w:pPr>
              <w:jc w:val="center"/>
              <w:rPr>
                <w:sz w:val="20"/>
                <w:szCs w:val="20"/>
              </w:rPr>
            </w:pPr>
            <w:r w:rsidRPr="00F85073">
              <w:rPr>
                <w:sz w:val="20"/>
                <w:szCs w:val="20"/>
              </w:rPr>
              <w:t>2 (3)</w:t>
            </w:r>
          </w:p>
        </w:tc>
        <w:tc>
          <w:tcPr>
            <w:tcW w:w="855" w:type="dxa"/>
            <w:vMerge w:val="restart"/>
            <w:vAlign w:val="center"/>
          </w:tcPr>
          <w:p w14:paraId="4002DF75" w14:textId="77777777" w:rsidR="00F85073" w:rsidRPr="00F85073" w:rsidRDefault="00F85073" w:rsidP="00F85073">
            <w:pPr>
              <w:jc w:val="center"/>
              <w:rPr>
                <w:b/>
                <w:bCs/>
                <w:i/>
                <w:iCs/>
                <w:sz w:val="20"/>
                <w:szCs w:val="20"/>
              </w:rPr>
            </w:pPr>
            <w:r w:rsidRPr="00F85073">
              <w:rPr>
                <w:b/>
                <w:bCs/>
                <w:i/>
                <w:iCs/>
                <w:sz w:val="20"/>
                <w:szCs w:val="20"/>
              </w:rPr>
              <w:t>&lt;0.001</w:t>
            </w:r>
          </w:p>
        </w:tc>
      </w:tr>
      <w:tr w:rsidR="00F85073" w:rsidRPr="00F85073" w14:paraId="0AC9E594" w14:textId="77777777" w:rsidTr="00F85073">
        <w:tc>
          <w:tcPr>
            <w:tcW w:w="420" w:type="dxa"/>
            <w:vMerge/>
            <w:vAlign w:val="center"/>
          </w:tcPr>
          <w:p w14:paraId="3AC18510" w14:textId="77777777" w:rsidR="00F85073" w:rsidRPr="00F85073" w:rsidRDefault="00F85073" w:rsidP="00F85073">
            <w:pPr>
              <w:jc w:val="center"/>
              <w:rPr>
                <w:sz w:val="20"/>
                <w:szCs w:val="20"/>
              </w:rPr>
            </w:pPr>
          </w:p>
        </w:tc>
        <w:tc>
          <w:tcPr>
            <w:tcW w:w="2269" w:type="dxa"/>
            <w:vMerge/>
            <w:vAlign w:val="center"/>
          </w:tcPr>
          <w:p w14:paraId="2D1A857D" w14:textId="77777777" w:rsidR="00F85073" w:rsidRPr="00F85073" w:rsidRDefault="00F85073" w:rsidP="00F85073">
            <w:pPr>
              <w:jc w:val="center"/>
              <w:rPr>
                <w:sz w:val="20"/>
                <w:szCs w:val="20"/>
              </w:rPr>
            </w:pPr>
          </w:p>
        </w:tc>
        <w:tc>
          <w:tcPr>
            <w:tcW w:w="609" w:type="dxa"/>
            <w:vMerge/>
            <w:vAlign w:val="center"/>
          </w:tcPr>
          <w:p w14:paraId="6D7FDB9B" w14:textId="77777777" w:rsidR="00F85073" w:rsidRPr="00F85073" w:rsidRDefault="00F85073" w:rsidP="00F85073">
            <w:pPr>
              <w:jc w:val="center"/>
              <w:rPr>
                <w:sz w:val="20"/>
                <w:szCs w:val="20"/>
              </w:rPr>
            </w:pPr>
          </w:p>
        </w:tc>
        <w:tc>
          <w:tcPr>
            <w:tcW w:w="667" w:type="dxa"/>
            <w:vAlign w:val="center"/>
          </w:tcPr>
          <w:p w14:paraId="5D18C949"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1AEED8A7" w14:textId="77777777" w:rsidR="00F85073" w:rsidRPr="00F85073" w:rsidRDefault="00F85073" w:rsidP="00F85073">
            <w:pPr>
              <w:jc w:val="center"/>
              <w:rPr>
                <w:sz w:val="20"/>
                <w:szCs w:val="20"/>
              </w:rPr>
            </w:pPr>
            <w:r w:rsidRPr="00F85073">
              <w:rPr>
                <w:sz w:val="20"/>
                <w:szCs w:val="20"/>
              </w:rPr>
              <w:t>175 (70.6)</w:t>
            </w:r>
          </w:p>
        </w:tc>
        <w:tc>
          <w:tcPr>
            <w:tcW w:w="1210" w:type="dxa"/>
            <w:vAlign w:val="center"/>
          </w:tcPr>
          <w:p w14:paraId="57FA3E0E" w14:textId="77777777" w:rsidR="00F85073" w:rsidRPr="00F85073" w:rsidRDefault="00F85073" w:rsidP="00F85073">
            <w:pPr>
              <w:jc w:val="center"/>
              <w:rPr>
                <w:sz w:val="20"/>
                <w:szCs w:val="20"/>
              </w:rPr>
            </w:pPr>
            <w:r w:rsidRPr="00F85073">
              <w:rPr>
                <w:sz w:val="20"/>
                <w:szCs w:val="20"/>
              </w:rPr>
              <w:t>53 (21.4)</w:t>
            </w:r>
          </w:p>
        </w:tc>
        <w:tc>
          <w:tcPr>
            <w:tcW w:w="1072" w:type="dxa"/>
            <w:vAlign w:val="center"/>
          </w:tcPr>
          <w:p w14:paraId="362B928D" w14:textId="77777777" w:rsidR="00F85073" w:rsidRPr="00F85073" w:rsidRDefault="00F85073" w:rsidP="00F85073">
            <w:pPr>
              <w:jc w:val="center"/>
              <w:rPr>
                <w:sz w:val="20"/>
                <w:szCs w:val="20"/>
              </w:rPr>
            </w:pPr>
            <w:r w:rsidRPr="00F85073">
              <w:rPr>
                <w:sz w:val="20"/>
                <w:szCs w:val="20"/>
              </w:rPr>
              <w:t>14 (5.6)</w:t>
            </w:r>
          </w:p>
        </w:tc>
        <w:tc>
          <w:tcPr>
            <w:tcW w:w="1038" w:type="dxa"/>
            <w:vAlign w:val="center"/>
          </w:tcPr>
          <w:p w14:paraId="40A2018A" w14:textId="77777777" w:rsidR="00F85073" w:rsidRPr="00F85073" w:rsidRDefault="00F85073" w:rsidP="00F85073">
            <w:pPr>
              <w:jc w:val="center"/>
              <w:rPr>
                <w:sz w:val="20"/>
                <w:szCs w:val="20"/>
              </w:rPr>
            </w:pPr>
            <w:r w:rsidRPr="00F85073">
              <w:rPr>
                <w:sz w:val="20"/>
                <w:szCs w:val="20"/>
              </w:rPr>
              <w:t>6 (2.4)</w:t>
            </w:r>
          </w:p>
        </w:tc>
        <w:tc>
          <w:tcPr>
            <w:tcW w:w="855" w:type="dxa"/>
            <w:vMerge/>
            <w:vAlign w:val="center"/>
          </w:tcPr>
          <w:p w14:paraId="2221EE91" w14:textId="77777777" w:rsidR="00F85073" w:rsidRPr="00F85073" w:rsidRDefault="00F85073" w:rsidP="00F85073">
            <w:pPr>
              <w:jc w:val="center"/>
              <w:rPr>
                <w:i/>
                <w:iCs/>
              </w:rPr>
            </w:pPr>
          </w:p>
        </w:tc>
      </w:tr>
      <w:tr w:rsidR="00F85073" w:rsidRPr="00F85073" w14:paraId="316FD71E" w14:textId="77777777" w:rsidTr="00F85073">
        <w:tc>
          <w:tcPr>
            <w:tcW w:w="420" w:type="dxa"/>
            <w:vMerge w:val="restart"/>
            <w:vAlign w:val="center"/>
          </w:tcPr>
          <w:p w14:paraId="7E791B61" w14:textId="77777777" w:rsidR="00F85073" w:rsidRPr="00F85073" w:rsidRDefault="00F85073" w:rsidP="00F85073">
            <w:pPr>
              <w:pStyle w:val="NormalWeb"/>
              <w:jc w:val="center"/>
              <w:rPr>
                <w:rFonts w:eastAsia="TimesNewRomanPSMT"/>
                <w:sz w:val="20"/>
                <w:szCs w:val="20"/>
              </w:rPr>
            </w:pPr>
            <w:r w:rsidRPr="00F85073">
              <w:rPr>
                <w:rFonts w:eastAsia="TimesNewRomanPSMT"/>
                <w:sz w:val="20"/>
                <w:szCs w:val="20"/>
              </w:rPr>
              <w:t>4</w:t>
            </w:r>
          </w:p>
        </w:tc>
        <w:tc>
          <w:tcPr>
            <w:tcW w:w="2269" w:type="dxa"/>
            <w:vMerge w:val="restart"/>
            <w:vAlign w:val="center"/>
          </w:tcPr>
          <w:p w14:paraId="071C566C" w14:textId="77777777" w:rsidR="00F85073" w:rsidRPr="00F85073" w:rsidRDefault="00F85073" w:rsidP="00F85073">
            <w:pPr>
              <w:pStyle w:val="NormalWeb"/>
              <w:jc w:val="center"/>
              <w:rPr>
                <w:sz w:val="20"/>
                <w:szCs w:val="20"/>
              </w:rPr>
            </w:pPr>
            <w:r w:rsidRPr="00F85073">
              <w:rPr>
                <w:rFonts w:eastAsia="TimesNewRomanPSMT"/>
                <w:sz w:val="20"/>
                <w:szCs w:val="20"/>
              </w:rPr>
              <w:t>Taking a bath or shower</w:t>
            </w:r>
          </w:p>
        </w:tc>
        <w:tc>
          <w:tcPr>
            <w:tcW w:w="609" w:type="dxa"/>
            <w:vMerge w:val="restart"/>
            <w:vAlign w:val="center"/>
          </w:tcPr>
          <w:p w14:paraId="652C1C36" w14:textId="77777777" w:rsidR="00F85073" w:rsidRPr="00F85073" w:rsidRDefault="00F85073" w:rsidP="00F85073">
            <w:pPr>
              <w:jc w:val="center"/>
              <w:rPr>
                <w:sz w:val="20"/>
                <w:szCs w:val="20"/>
              </w:rPr>
            </w:pPr>
            <w:r w:rsidRPr="00F85073">
              <w:rPr>
                <w:sz w:val="20"/>
                <w:szCs w:val="20"/>
              </w:rPr>
              <w:t>OH1</w:t>
            </w:r>
          </w:p>
        </w:tc>
        <w:tc>
          <w:tcPr>
            <w:tcW w:w="667" w:type="dxa"/>
            <w:vAlign w:val="center"/>
          </w:tcPr>
          <w:p w14:paraId="68433F8C"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76E9C854" w14:textId="77777777" w:rsidR="00F85073" w:rsidRPr="00F85073" w:rsidRDefault="00F85073" w:rsidP="00F85073">
            <w:pPr>
              <w:jc w:val="center"/>
              <w:rPr>
                <w:sz w:val="20"/>
                <w:szCs w:val="20"/>
              </w:rPr>
            </w:pPr>
            <w:r w:rsidRPr="00F85073">
              <w:rPr>
                <w:sz w:val="20"/>
                <w:szCs w:val="20"/>
              </w:rPr>
              <w:t>32 (50)</w:t>
            </w:r>
          </w:p>
        </w:tc>
        <w:tc>
          <w:tcPr>
            <w:tcW w:w="1210" w:type="dxa"/>
            <w:vAlign w:val="center"/>
          </w:tcPr>
          <w:p w14:paraId="01B742FE" w14:textId="77777777" w:rsidR="00F85073" w:rsidRPr="00F85073" w:rsidRDefault="00F85073" w:rsidP="00F85073">
            <w:pPr>
              <w:jc w:val="center"/>
              <w:rPr>
                <w:sz w:val="20"/>
                <w:szCs w:val="20"/>
              </w:rPr>
            </w:pPr>
            <w:r w:rsidRPr="00F85073">
              <w:rPr>
                <w:sz w:val="20"/>
                <w:szCs w:val="20"/>
              </w:rPr>
              <w:t>15 (23.4)</w:t>
            </w:r>
          </w:p>
        </w:tc>
        <w:tc>
          <w:tcPr>
            <w:tcW w:w="1072" w:type="dxa"/>
            <w:vAlign w:val="center"/>
          </w:tcPr>
          <w:p w14:paraId="6E91C324" w14:textId="77777777" w:rsidR="00F85073" w:rsidRPr="00F85073" w:rsidRDefault="00F85073" w:rsidP="00F85073">
            <w:pPr>
              <w:jc w:val="center"/>
              <w:rPr>
                <w:sz w:val="20"/>
                <w:szCs w:val="20"/>
              </w:rPr>
            </w:pPr>
            <w:r w:rsidRPr="00F85073">
              <w:rPr>
                <w:sz w:val="20"/>
                <w:szCs w:val="20"/>
              </w:rPr>
              <w:t>12 (18.8)</w:t>
            </w:r>
          </w:p>
        </w:tc>
        <w:tc>
          <w:tcPr>
            <w:tcW w:w="1038" w:type="dxa"/>
            <w:vAlign w:val="center"/>
          </w:tcPr>
          <w:p w14:paraId="68F8371C" w14:textId="77777777" w:rsidR="00F85073" w:rsidRPr="00F85073" w:rsidRDefault="00F85073" w:rsidP="00F85073">
            <w:pPr>
              <w:jc w:val="center"/>
              <w:rPr>
                <w:sz w:val="20"/>
                <w:szCs w:val="20"/>
              </w:rPr>
            </w:pPr>
            <w:r w:rsidRPr="00F85073">
              <w:rPr>
                <w:sz w:val="20"/>
                <w:szCs w:val="20"/>
              </w:rPr>
              <w:t>5 (7.8)</w:t>
            </w:r>
          </w:p>
        </w:tc>
        <w:tc>
          <w:tcPr>
            <w:tcW w:w="855" w:type="dxa"/>
            <w:vMerge w:val="restart"/>
            <w:vAlign w:val="center"/>
          </w:tcPr>
          <w:p w14:paraId="156727D5" w14:textId="77777777" w:rsidR="00F85073" w:rsidRPr="00F85073" w:rsidRDefault="00F85073" w:rsidP="00F85073">
            <w:pPr>
              <w:jc w:val="center"/>
              <w:rPr>
                <w:i/>
                <w:iCs/>
                <w:sz w:val="20"/>
                <w:szCs w:val="20"/>
              </w:rPr>
            </w:pPr>
            <w:r w:rsidRPr="00F85073">
              <w:rPr>
                <w:i/>
                <w:iCs/>
                <w:sz w:val="20"/>
                <w:szCs w:val="20"/>
              </w:rPr>
              <w:t>0.540</w:t>
            </w:r>
          </w:p>
        </w:tc>
      </w:tr>
      <w:tr w:rsidR="00F85073" w:rsidRPr="00F85073" w14:paraId="41A080C0" w14:textId="77777777" w:rsidTr="00F85073">
        <w:tc>
          <w:tcPr>
            <w:tcW w:w="420" w:type="dxa"/>
            <w:vMerge/>
            <w:vAlign w:val="center"/>
          </w:tcPr>
          <w:p w14:paraId="2A9C7157" w14:textId="77777777" w:rsidR="00F85073" w:rsidRPr="00F85073" w:rsidRDefault="00F85073" w:rsidP="00F85073">
            <w:pPr>
              <w:jc w:val="center"/>
              <w:rPr>
                <w:sz w:val="20"/>
                <w:szCs w:val="20"/>
              </w:rPr>
            </w:pPr>
          </w:p>
        </w:tc>
        <w:tc>
          <w:tcPr>
            <w:tcW w:w="2269" w:type="dxa"/>
            <w:vMerge/>
            <w:vAlign w:val="center"/>
          </w:tcPr>
          <w:p w14:paraId="4EB4EF78" w14:textId="77777777" w:rsidR="00F85073" w:rsidRPr="00F85073" w:rsidRDefault="00F85073" w:rsidP="00F85073">
            <w:pPr>
              <w:jc w:val="center"/>
              <w:rPr>
                <w:sz w:val="20"/>
                <w:szCs w:val="20"/>
              </w:rPr>
            </w:pPr>
          </w:p>
        </w:tc>
        <w:tc>
          <w:tcPr>
            <w:tcW w:w="609" w:type="dxa"/>
            <w:vMerge/>
            <w:vAlign w:val="center"/>
          </w:tcPr>
          <w:p w14:paraId="0E53B8C5" w14:textId="77777777" w:rsidR="00F85073" w:rsidRPr="00F85073" w:rsidRDefault="00F85073" w:rsidP="00F85073">
            <w:pPr>
              <w:jc w:val="center"/>
              <w:rPr>
                <w:sz w:val="20"/>
                <w:szCs w:val="20"/>
              </w:rPr>
            </w:pPr>
          </w:p>
        </w:tc>
        <w:tc>
          <w:tcPr>
            <w:tcW w:w="667" w:type="dxa"/>
            <w:vAlign w:val="center"/>
          </w:tcPr>
          <w:p w14:paraId="3CE41FCE"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16A4EB32" w14:textId="77777777" w:rsidR="00F85073" w:rsidRPr="00F85073" w:rsidRDefault="00F85073" w:rsidP="00F85073">
            <w:pPr>
              <w:jc w:val="center"/>
              <w:rPr>
                <w:sz w:val="20"/>
                <w:szCs w:val="20"/>
              </w:rPr>
            </w:pPr>
            <w:r w:rsidRPr="00F85073">
              <w:rPr>
                <w:sz w:val="20"/>
                <w:szCs w:val="20"/>
              </w:rPr>
              <w:t>136 (54.4)</w:t>
            </w:r>
          </w:p>
        </w:tc>
        <w:tc>
          <w:tcPr>
            <w:tcW w:w="1210" w:type="dxa"/>
            <w:vAlign w:val="center"/>
          </w:tcPr>
          <w:p w14:paraId="4FDF89F8" w14:textId="77777777" w:rsidR="00F85073" w:rsidRPr="00F85073" w:rsidRDefault="00F85073" w:rsidP="00F85073">
            <w:pPr>
              <w:jc w:val="center"/>
              <w:rPr>
                <w:sz w:val="20"/>
                <w:szCs w:val="20"/>
              </w:rPr>
            </w:pPr>
            <w:r w:rsidRPr="00F85073">
              <w:rPr>
                <w:sz w:val="20"/>
                <w:szCs w:val="20"/>
              </w:rPr>
              <w:t>68 (27.2)</w:t>
            </w:r>
          </w:p>
        </w:tc>
        <w:tc>
          <w:tcPr>
            <w:tcW w:w="1072" w:type="dxa"/>
            <w:vAlign w:val="center"/>
          </w:tcPr>
          <w:p w14:paraId="4DBCE0C2" w14:textId="77777777" w:rsidR="00F85073" w:rsidRPr="00F85073" w:rsidRDefault="00F85073" w:rsidP="00F85073">
            <w:pPr>
              <w:jc w:val="center"/>
              <w:rPr>
                <w:sz w:val="20"/>
                <w:szCs w:val="20"/>
              </w:rPr>
            </w:pPr>
            <w:r w:rsidRPr="00F85073">
              <w:rPr>
                <w:sz w:val="20"/>
                <w:szCs w:val="20"/>
              </w:rPr>
              <w:t>32 (12.8)</w:t>
            </w:r>
          </w:p>
        </w:tc>
        <w:tc>
          <w:tcPr>
            <w:tcW w:w="1038" w:type="dxa"/>
            <w:vAlign w:val="center"/>
          </w:tcPr>
          <w:p w14:paraId="6207615E" w14:textId="77777777" w:rsidR="00F85073" w:rsidRPr="00F85073" w:rsidRDefault="00F85073" w:rsidP="00F85073">
            <w:pPr>
              <w:jc w:val="center"/>
              <w:rPr>
                <w:sz w:val="20"/>
                <w:szCs w:val="20"/>
              </w:rPr>
            </w:pPr>
            <w:r w:rsidRPr="00F85073">
              <w:rPr>
                <w:sz w:val="20"/>
                <w:szCs w:val="20"/>
              </w:rPr>
              <w:t>14 (5.6)</w:t>
            </w:r>
          </w:p>
        </w:tc>
        <w:tc>
          <w:tcPr>
            <w:tcW w:w="855" w:type="dxa"/>
            <w:vMerge/>
            <w:vAlign w:val="center"/>
          </w:tcPr>
          <w:p w14:paraId="502F4CC2" w14:textId="77777777" w:rsidR="00F85073" w:rsidRPr="00F85073" w:rsidRDefault="00F85073" w:rsidP="00F85073">
            <w:pPr>
              <w:jc w:val="center"/>
              <w:rPr>
                <w:i/>
                <w:iCs/>
              </w:rPr>
            </w:pPr>
          </w:p>
        </w:tc>
      </w:tr>
      <w:tr w:rsidR="00F85073" w:rsidRPr="00F85073" w14:paraId="0F56D0D0" w14:textId="77777777" w:rsidTr="00F85073">
        <w:tc>
          <w:tcPr>
            <w:tcW w:w="420" w:type="dxa"/>
            <w:vMerge/>
            <w:vAlign w:val="center"/>
          </w:tcPr>
          <w:p w14:paraId="45780A29" w14:textId="77777777" w:rsidR="00F85073" w:rsidRPr="00F85073" w:rsidRDefault="00F85073" w:rsidP="00F85073">
            <w:pPr>
              <w:jc w:val="center"/>
              <w:rPr>
                <w:sz w:val="20"/>
                <w:szCs w:val="20"/>
              </w:rPr>
            </w:pPr>
          </w:p>
        </w:tc>
        <w:tc>
          <w:tcPr>
            <w:tcW w:w="2269" w:type="dxa"/>
            <w:vMerge/>
            <w:vAlign w:val="center"/>
          </w:tcPr>
          <w:p w14:paraId="292A9A84" w14:textId="77777777" w:rsidR="00F85073" w:rsidRPr="00F85073" w:rsidRDefault="00F85073" w:rsidP="00F85073">
            <w:pPr>
              <w:jc w:val="center"/>
              <w:rPr>
                <w:sz w:val="20"/>
                <w:szCs w:val="20"/>
              </w:rPr>
            </w:pPr>
          </w:p>
        </w:tc>
        <w:tc>
          <w:tcPr>
            <w:tcW w:w="609" w:type="dxa"/>
            <w:vMerge w:val="restart"/>
            <w:vAlign w:val="center"/>
          </w:tcPr>
          <w:p w14:paraId="627688B3" w14:textId="77777777" w:rsidR="00F85073" w:rsidRPr="00F85073" w:rsidRDefault="00F85073" w:rsidP="00F85073">
            <w:pPr>
              <w:jc w:val="center"/>
              <w:rPr>
                <w:sz w:val="20"/>
                <w:szCs w:val="20"/>
              </w:rPr>
            </w:pPr>
            <w:r w:rsidRPr="00F85073">
              <w:rPr>
                <w:sz w:val="20"/>
                <w:szCs w:val="20"/>
              </w:rPr>
              <w:t>OH3</w:t>
            </w:r>
          </w:p>
        </w:tc>
        <w:tc>
          <w:tcPr>
            <w:tcW w:w="667" w:type="dxa"/>
            <w:vAlign w:val="center"/>
          </w:tcPr>
          <w:p w14:paraId="7867378E"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2ACB3E72" w14:textId="77777777" w:rsidR="00F85073" w:rsidRPr="00F85073" w:rsidRDefault="00F85073" w:rsidP="00F85073">
            <w:pPr>
              <w:jc w:val="center"/>
              <w:rPr>
                <w:sz w:val="20"/>
                <w:szCs w:val="20"/>
              </w:rPr>
            </w:pPr>
            <w:r w:rsidRPr="00F85073">
              <w:rPr>
                <w:sz w:val="20"/>
                <w:szCs w:val="20"/>
              </w:rPr>
              <w:t>26 (39.4)</w:t>
            </w:r>
          </w:p>
        </w:tc>
        <w:tc>
          <w:tcPr>
            <w:tcW w:w="1210" w:type="dxa"/>
            <w:vAlign w:val="center"/>
          </w:tcPr>
          <w:p w14:paraId="522758A1" w14:textId="77777777" w:rsidR="00F85073" w:rsidRPr="00F85073" w:rsidRDefault="00F85073" w:rsidP="00F85073">
            <w:pPr>
              <w:jc w:val="center"/>
              <w:rPr>
                <w:sz w:val="20"/>
                <w:szCs w:val="20"/>
              </w:rPr>
            </w:pPr>
            <w:r w:rsidRPr="00F85073">
              <w:rPr>
                <w:sz w:val="20"/>
                <w:szCs w:val="20"/>
              </w:rPr>
              <w:t>19 (28.8)</w:t>
            </w:r>
          </w:p>
        </w:tc>
        <w:tc>
          <w:tcPr>
            <w:tcW w:w="1072" w:type="dxa"/>
            <w:vAlign w:val="center"/>
          </w:tcPr>
          <w:p w14:paraId="4A8001B0" w14:textId="77777777" w:rsidR="00F85073" w:rsidRPr="00F85073" w:rsidRDefault="00F85073" w:rsidP="00F85073">
            <w:pPr>
              <w:jc w:val="center"/>
              <w:rPr>
                <w:sz w:val="20"/>
                <w:szCs w:val="20"/>
              </w:rPr>
            </w:pPr>
            <w:r w:rsidRPr="00F85073">
              <w:rPr>
                <w:sz w:val="20"/>
                <w:szCs w:val="20"/>
              </w:rPr>
              <w:t>14 (21.2)</w:t>
            </w:r>
          </w:p>
        </w:tc>
        <w:tc>
          <w:tcPr>
            <w:tcW w:w="1038" w:type="dxa"/>
            <w:vAlign w:val="center"/>
          </w:tcPr>
          <w:p w14:paraId="2BCD97AD" w14:textId="77777777" w:rsidR="00F85073" w:rsidRPr="00F85073" w:rsidRDefault="00F85073" w:rsidP="00F85073">
            <w:pPr>
              <w:jc w:val="center"/>
              <w:rPr>
                <w:sz w:val="20"/>
                <w:szCs w:val="20"/>
              </w:rPr>
            </w:pPr>
            <w:r w:rsidRPr="00F85073">
              <w:rPr>
                <w:sz w:val="20"/>
                <w:szCs w:val="20"/>
              </w:rPr>
              <w:t>7 (10.6)</w:t>
            </w:r>
          </w:p>
        </w:tc>
        <w:tc>
          <w:tcPr>
            <w:tcW w:w="855" w:type="dxa"/>
            <w:vMerge w:val="restart"/>
            <w:vAlign w:val="center"/>
          </w:tcPr>
          <w:p w14:paraId="0940A06B" w14:textId="77777777" w:rsidR="00F85073" w:rsidRPr="00F85073" w:rsidRDefault="00F85073" w:rsidP="00F85073">
            <w:pPr>
              <w:jc w:val="center"/>
              <w:rPr>
                <w:b/>
                <w:bCs/>
                <w:i/>
                <w:iCs/>
                <w:sz w:val="20"/>
                <w:szCs w:val="20"/>
              </w:rPr>
            </w:pPr>
            <w:r w:rsidRPr="00F85073">
              <w:rPr>
                <w:b/>
                <w:bCs/>
                <w:i/>
                <w:iCs/>
                <w:sz w:val="20"/>
                <w:szCs w:val="20"/>
              </w:rPr>
              <w:t>0.026</w:t>
            </w:r>
          </w:p>
        </w:tc>
      </w:tr>
      <w:tr w:rsidR="00F85073" w:rsidRPr="00F85073" w14:paraId="79609B64" w14:textId="77777777" w:rsidTr="00F85073">
        <w:tc>
          <w:tcPr>
            <w:tcW w:w="420" w:type="dxa"/>
            <w:vMerge/>
            <w:vAlign w:val="center"/>
          </w:tcPr>
          <w:p w14:paraId="109567EC" w14:textId="77777777" w:rsidR="00F85073" w:rsidRPr="00F85073" w:rsidRDefault="00F85073" w:rsidP="00F85073">
            <w:pPr>
              <w:jc w:val="center"/>
              <w:rPr>
                <w:sz w:val="20"/>
                <w:szCs w:val="20"/>
              </w:rPr>
            </w:pPr>
          </w:p>
        </w:tc>
        <w:tc>
          <w:tcPr>
            <w:tcW w:w="2269" w:type="dxa"/>
            <w:vMerge/>
            <w:vAlign w:val="center"/>
          </w:tcPr>
          <w:p w14:paraId="4EC09097" w14:textId="77777777" w:rsidR="00F85073" w:rsidRPr="00F85073" w:rsidRDefault="00F85073" w:rsidP="00F85073">
            <w:pPr>
              <w:jc w:val="center"/>
              <w:rPr>
                <w:sz w:val="20"/>
                <w:szCs w:val="20"/>
              </w:rPr>
            </w:pPr>
          </w:p>
        </w:tc>
        <w:tc>
          <w:tcPr>
            <w:tcW w:w="609" w:type="dxa"/>
            <w:vMerge/>
            <w:vAlign w:val="center"/>
          </w:tcPr>
          <w:p w14:paraId="4C77D21D" w14:textId="77777777" w:rsidR="00F85073" w:rsidRPr="00F85073" w:rsidRDefault="00F85073" w:rsidP="00F85073">
            <w:pPr>
              <w:jc w:val="center"/>
              <w:rPr>
                <w:sz w:val="20"/>
                <w:szCs w:val="20"/>
              </w:rPr>
            </w:pPr>
          </w:p>
        </w:tc>
        <w:tc>
          <w:tcPr>
            <w:tcW w:w="667" w:type="dxa"/>
            <w:vAlign w:val="center"/>
          </w:tcPr>
          <w:p w14:paraId="2BC47389"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2A910FCF" w14:textId="77777777" w:rsidR="00F85073" w:rsidRPr="00F85073" w:rsidRDefault="00F85073" w:rsidP="00F85073">
            <w:pPr>
              <w:jc w:val="center"/>
              <w:rPr>
                <w:sz w:val="20"/>
                <w:szCs w:val="20"/>
              </w:rPr>
            </w:pPr>
            <w:r w:rsidRPr="00F85073">
              <w:rPr>
                <w:sz w:val="20"/>
                <w:szCs w:val="20"/>
              </w:rPr>
              <w:t>142</w:t>
            </w:r>
          </w:p>
        </w:tc>
        <w:tc>
          <w:tcPr>
            <w:tcW w:w="1210" w:type="dxa"/>
            <w:vAlign w:val="center"/>
          </w:tcPr>
          <w:p w14:paraId="1A184527" w14:textId="77777777" w:rsidR="00F85073" w:rsidRPr="00F85073" w:rsidRDefault="00F85073" w:rsidP="00F85073">
            <w:pPr>
              <w:jc w:val="center"/>
              <w:rPr>
                <w:sz w:val="20"/>
                <w:szCs w:val="20"/>
              </w:rPr>
            </w:pPr>
            <w:r w:rsidRPr="00F85073">
              <w:rPr>
                <w:sz w:val="20"/>
                <w:szCs w:val="20"/>
              </w:rPr>
              <w:t>57.3</w:t>
            </w:r>
          </w:p>
        </w:tc>
        <w:tc>
          <w:tcPr>
            <w:tcW w:w="1072" w:type="dxa"/>
            <w:vAlign w:val="center"/>
          </w:tcPr>
          <w:p w14:paraId="3021B18D" w14:textId="77777777" w:rsidR="00F85073" w:rsidRPr="00F85073" w:rsidRDefault="00F85073" w:rsidP="00F85073">
            <w:pPr>
              <w:jc w:val="center"/>
              <w:rPr>
                <w:sz w:val="20"/>
                <w:szCs w:val="20"/>
              </w:rPr>
            </w:pPr>
            <w:r w:rsidRPr="00F85073">
              <w:rPr>
                <w:sz w:val="20"/>
                <w:szCs w:val="20"/>
              </w:rPr>
              <w:t>64 (25.8)</w:t>
            </w:r>
          </w:p>
        </w:tc>
        <w:tc>
          <w:tcPr>
            <w:tcW w:w="1038" w:type="dxa"/>
            <w:vAlign w:val="center"/>
          </w:tcPr>
          <w:p w14:paraId="17A53389" w14:textId="77777777" w:rsidR="00F85073" w:rsidRPr="00F85073" w:rsidRDefault="00F85073" w:rsidP="00F85073">
            <w:pPr>
              <w:jc w:val="center"/>
              <w:rPr>
                <w:sz w:val="20"/>
                <w:szCs w:val="20"/>
              </w:rPr>
            </w:pPr>
            <w:r w:rsidRPr="00F85073">
              <w:rPr>
                <w:sz w:val="20"/>
                <w:szCs w:val="20"/>
              </w:rPr>
              <w:t>30 (12.1)</w:t>
            </w:r>
          </w:p>
        </w:tc>
        <w:tc>
          <w:tcPr>
            <w:tcW w:w="855" w:type="dxa"/>
            <w:vMerge/>
            <w:vAlign w:val="center"/>
          </w:tcPr>
          <w:p w14:paraId="37B6C2EC" w14:textId="77777777" w:rsidR="00F85073" w:rsidRPr="00F85073" w:rsidRDefault="00F85073" w:rsidP="00F85073">
            <w:pPr>
              <w:jc w:val="center"/>
              <w:rPr>
                <w:i/>
                <w:iCs/>
              </w:rPr>
            </w:pPr>
          </w:p>
        </w:tc>
      </w:tr>
      <w:tr w:rsidR="00F85073" w:rsidRPr="00F85073" w14:paraId="4F7D8AE8" w14:textId="77777777" w:rsidTr="00F85073">
        <w:tc>
          <w:tcPr>
            <w:tcW w:w="420" w:type="dxa"/>
            <w:vMerge w:val="restart"/>
            <w:vAlign w:val="center"/>
          </w:tcPr>
          <w:p w14:paraId="0A364C5C" w14:textId="77777777" w:rsidR="00F85073" w:rsidRPr="00F85073" w:rsidRDefault="00F85073" w:rsidP="00F85073">
            <w:pPr>
              <w:pStyle w:val="NormalWeb"/>
              <w:jc w:val="center"/>
              <w:rPr>
                <w:rFonts w:eastAsia="TimesNewRomanPSMT"/>
                <w:sz w:val="20"/>
                <w:szCs w:val="20"/>
              </w:rPr>
            </w:pPr>
            <w:r w:rsidRPr="00F85073">
              <w:rPr>
                <w:rFonts w:eastAsia="TimesNewRomanPSMT"/>
                <w:sz w:val="20"/>
                <w:szCs w:val="20"/>
              </w:rPr>
              <w:t>5</w:t>
            </w:r>
          </w:p>
        </w:tc>
        <w:tc>
          <w:tcPr>
            <w:tcW w:w="2269" w:type="dxa"/>
            <w:vMerge w:val="restart"/>
            <w:vAlign w:val="center"/>
          </w:tcPr>
          <w:p w14:paraId="601C10CE" w14:textId="77777777" w:rsidR="00F85073" w:rsidRPr="00F85073" w:rsidRDefault="00F85073" w:rsidP="00F85073">
            <w:pPr>
              <w:pStyle w:val="NormalWeb"/>
              <w:jc w:val="center"/>
              <w:rPr>
                <w:sz w:val="20"/>
                <w:szCs w:val="20"/>
              </w:rPr>
            </w:pPr>
            <w:r w:rsidRPr="00F85073">
              <w:rPr>
                <w:rFonts w:eastAsia="TimesNewRomanPSMT"/>
                <w:sz w:val="20"/>
                <w:szCs w:val="20"/>
              </w:rPr>
              <w:t>Going to the shop</w:t>
            </w:r>
          </w:p>
        </w:tc>
        <w:tc>
          <w:tcPr>
            <w:tcW w:w="609" w:type="dxa"/>
            <w:vMerge w:val="restart"/>
            <w:vAlign w:val="center"/>
          </w:tcPr>
          <w:p w14:paraId="2FBD8F32" w14:textId="77777777" w:rsidR="00F85073" w:rsidRPr="00F85073" w:rsidRDefault="00F85073" w:rsidP="00F85073">
            <w:pPr>
              <w:jc w:val="center"/>
              <w:rPr>
                <w:sz w:val="20"/>
                <w:szCs w:val="20"/>
              </w:rPr>
            </w:pPr>
            <w:r w:rsidRPr="00F85073">
              <w:rPr>
                <w:sz w:val="20"/>
                <w:szCs w:val="20"/>
              </w:rPr>
              <w:t>OH1</w:t>
            </w:r>
          </w:p>
        </w:tc>
        <w:tc>
          <w:tcPr>
            <w:tcW w:w="667" w:type="dxa"/>
            <w:vAlign w:val="center"/>
          </w:tcPr>
          <w:p w14:paraId="162B3B45"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138D9232" w14:textId="77777777" w:rsidR="00F85073" w:rsidRPr="00F85073" w:rsidRDefault="00F85073" w:rsidP="00F85073">
            <w:pPr>
              <w:jc w:val="center"/>
              <w:rPr>
                <w:sz w:val="20"/>
                <w:szCs w:val="20"/>
              </w:rPr>
            </w:pPr>
            <w:r w:rsidRPr="00F85073">
              <w:rPr>
                <w:sz w:val="20"/>
                <w:szCs w:val="20"/>
              </w:rPr>
              <w:t>31 (48.4)</w:t>
            </w:r>
          </w:p>
        </w:tc>
        <w:tc>
          <w:tcPr>
            <w:tcW w:w="1210" w:type="dxa"/>
            <w:vAlign w:val="center"/>
          </w:tcPr>
          <w:p w14:paraId="392E509F" w14:textId="77777777" w:rsidR="00F85073" w:rsidRPr="00F85073" w:rsidRDefault="00F85073" w:rsidP="00F85073">
            <w:pPr>
              <w:jc w:val="center"/>
              <w:rPr>
                <w:sz w:val="20"/>
                <w:szCs w:val="20"/>
              </w:rPr>
            </w:pPr>
            <w:r w:rsidRPr="00F85073">
              <w:rPr>
                <w:sz w:val="20"/>
                <w:szCs w:val="20"/>
              </w:rPr>
              <w:t>22 (34.4)</w:t>
            </w:r>
          </w:p>
        </w:tc>
        <w:tc>
          <w:tcPr>
            <w:tcW w:w="1072" w:type="dxa"/>
            <w:vAlign w:val="center"/>
          </w:tcPr>
          <w:p w14:paraId="40D7B00A" w14:textId="77777777" w:rsidR="00F85073" w:rsidRPr="00F85073" w:rsidRDefault="00F85073" w:rsidP="00F85073">
            <w:pPr>
              <w:jc w:val="center"/>
              <w:rPr>
                <w:sz w:val="20"/>
                <w:szCs w:val="20"/>
              </w:rPr>
            </w:pPr>
            <w:r w:rsidRPr="00F85073">
              <w:rPr>
                <w:sz w:val="20"/>
                <w:szCs w:val="20"/>
              </w:rPr>
              <w:t>8 (12.5)</w:t>
            </w:r>
          </w:p>
        </w:tc>
        <w:tc>
          <w:tcPr>
            <w:tcW w:w="1038" w:type="dxa"/>
            <w:vAlign w:val="center"/>
          </w:tcPr>
          <w:p w14:paraId="2D894607" w14:textId="77777777" w:rsidR="00F85073" w:rsidRPr="00F85073" w:rsidRDefault="00F85073" w:rsidP="00F85073">
            <w:pPr>
              <w:jc w:val="center"/>
              <w:rPr>
                <w:sz w:val="20"/>
                <w:szCs w:val="20"/>
              </w:rPr>
            </w:pPr>
            <w:r w:rsidRPr="00F85073">
              <w:rPr>
                <w:sz w:val="20"/>
                <w:szCs w:val="20"/>
              </w:rPr>
              <w:t>3 (4.7)</w:t>
            </w:r>
          </w:p>
        </w:tc>
        <w:tc>
          <w:tcPr>
            <w:tcW w:w="855" w:type="dxa"/>
            <w:vMerge w:val="restart"/>
            <w:vAlign w:val="center"/>
          </w:tcPr>
          <w:p w14:paraId="06503E95" w14:textId="77777777" w:rsidR="00F85073" w:rsidRPr="00F85073" w:rsidRDefault="00F85073" w:rsidP="00F85073">
            <w:pPr>
              <w:jc w:val="center"/>
              <w:rPr>
                <w:i/>
                <w:iCs/>
                <w:sz w:val="20"/>
                <w:szCs w:val="20"/>
              </w:rPr>
            </w:pPr>
            <w:r w:rsidRPr="00F85073">
              <w:rPr>
                <w:i/>
                <w:iCs/>
                <w:sz w:val="20"/>
                <w:szCs w:val="20"/>
              </w:rPr>
              <w:t>0.097</w:t>
            </w:r>
          </w:p>
        </w:tc>
      </w:tr>
      <w:tr w:rsidR="00F85073" w:rsidRPr="00F85073" w14:paraId="4AC23F2C" w14:textId="77777777" w:rsidTr="00F85073">
        <w:tc>
          <w:tcPr>
            <w:tcW w:w="420" w:type="dxa"/>
            <w:vMerge/>
            <w:vAlign w:val="center"/>
          </w:tcPr>
          <w:p w14:paraId="1E46C9A3" w14:textId="77777777" w:rsidR="00F85073" w:rsidRPr="00F85073" w:rsidRDefault="00F85073" w:rsidP="00F85073">
            <w:pPr>
              <w:jc w:val="center"/>
              <w:rPr>
                <w:sz w:val="20"/>
                <w:szCs w:val="20"/>
              </w:rPr>
            </w:pPr>
          </w:p>
        </w:tc>
        <w:tc>
          <w:tcPr>
            <w:tcW w:w="2269" w:type="dxa"/>
            <w:vMerge/>
            <w:vAlign w:val="center"/>
          </w:tcPr>
          <w:p w14:paraId="1CB24683" w14:textId="77777777" w:rsidR="00F85073" w:rsidRPr="00F85073" w:rsidRDefault="00F85073" w:rsidP="00F85073">
            <w:pPr>
              <w:jc w:val="center"/>
              <w:rPr>
                <w:sz w:val="20"/>
                <w:szCs w:val="20"/>
              </w:rPr>
            </w:pPr>
          </w:p>
        </w:tc>
        <w:tc>
          <w:tcPr>
            <w:tcW w:w="609" w:type="dxa"/>
            <w:vMerge/>
            <w:vAlign w:val="center"/>
          </w:tcPr>
          <w:p w14:paraId="7E47D053" w14:textId="77777777" w:rsidR="00F85073" w:rsidRPr="00F85073" w:rsidRDefault="00F85073" w:rsidP="00F85073">
            <w:pPr>
              <w:jc w:val="center"/>
              <w:rPr>
                <w:sz w:val="20"/>
                <w:szCs w:val="20"/>
              </w:rPr>
            </w:pPr>
          </w:p>
        </w:tc>
        <w:tc>
          <w:tcPr>
            <w:tcW w:w="667" w:type="dxa"/>
            <w:vAlign w:val="center"/>
          </w:tcPr>
          <w:p w14:paraId="240FFDF5"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148E78F2" w14:textId="77777777" w:rsidR="00F85073" w:rsidRPr="00F85073" w:rsidRDefault="00F85073" w:rsidP="00F85073">
            <w:pPr>
              <w:jc w:val="center"/>
              <w:rPr>
                <w:sz w:val="20"/>
                <w:szCs w:val="20"/>
              </w:rPr>
            </w:pPr>
            <w:r w:rsidRPr="00F85073">
              <w:rPr>
                <w:sz w:val="20"/>
                <w:szCs w:val="20"/>
              </w:rPr>
              <w:t>162 (64.8)</w:t>
            </w:r>
          </w:p>
        </w:tc>
        <w:tc>
          <w:tcPr>
            <w:tcW w:w="1210" w:type="dxa"/>
            <w:vAlign w:val="center"/>
          </w:tcPr>
          <w:p w14:paraId="38C2A6B1" w14:textId="77777777" w:rsidR="00F85073" w:rsidRPr="00F85073" w:rsidRDefault="00F85073" w:rsidP="00F85073">
            <w:pPr>
              <w:jc w:val="center"/>
              <w:rPr>
                <w:sz w:val="20"/>
                <w:szCs w:val="20"/>
              </w:rPr>
            </w:pPr>
            <w:r w:rsidRPr="00F85073">
              <w:rPr>
                <w:sz w:val="20"/>
                <w:szCs w:val="20"/>
              </w:rPr>
              <w:t>61 (24.4)</w:t>
            </w:r>
          </w:p>
        </w:tc>
        <w:tc>
          <w:tcPr>
            <w:tcW w:w="1072" w:type="dxa"/>
            <w:vAlign w:val="center"/>
          </w:tcPr>
          <w:p w14:paraId="1E81B8C8" w14:textId="77777777" w:rsidR="00F85073" w:rsidRPr="00F85073" w:rsidRDefault="00F85073" w:rsidP="00F85073">
            <w:pPr>
              <w:jc w:val="center"/>
              <w:rPr>
                <w:sz w:val="20"/>
                <w:szCs w:val="20"/>
              </w:rPr>
            </w:pPr>
            <w:r w:rsidRPr="00F85073">
              <w:rPr>
                <w:sz w:val="20"/>
                <w:szCs w:val="20"/>
              </w:rPr>
              <w:t>22 (8.8)</w:t>
            </w:r>
          </w:p>
        </w:tc>
        <w:tc>
          <w:tcPr>
            <w:tcW w:w="1038" w:type="dxa"/>
            <w:vAlign w:val="center"/>
          </w:tcPr>
          <w:p w14:paraId="719A9A62" w14:textId="77777777" w:rsidR="00F85073" w:rsidRPr="00F85073" w:rsidRDefault="00F85073" w:rsidP="00F85073">
            <w:pPr>
              <w:jc w:val="center"/>
              <w:rPr>
                <w:sz w:val="20"/>
                <w:szCs w:val="20"/>
              </w:rPr>
            </w:pPr>
            <w:r w:rsidRPr="00F85073">
              <w:rPr>
                <w:sz w:val="20"/>
                <w:szCs w:val="20"/>
              </w:rPr>
              <w:t>5 (2)</w:t>
            </w:r>
          </w:p>
        </w:tc>
        <w:tc>
          <w:tcPr>
            <w:tcW w:w="855" w:type="dxa"/>
            <w:vMerge/>
            <w:vAlign w:val="center"/>
          </w:tcPr>
          <w:p w14:paraId="5321979D" w14:textId="77777777" w:rsidR="00F85073" w:rsidRPr="00F85073" w:rsidRDefault="00F85073" w:rsidP="00F85073">
            <w:pPr>
              <w:jc w:val="center"/>
              <w:rPr>
                <w:i/>
                <w:iCs/>
              </w:rPr>
            </w:pPr>
          </w:p>
        </w:tc>
      </w:tr>
      <w:tr w:rsidR="00F85073" w:rsidRPr="00F85073" w14:paraId="175D08F7" w14:textId="77777777" w:rsidTr="00F85073">
        <w:tc>
          <w:tcPr>
            <w:tcW w:w="420" w:type="dxa"/>
            <w:vMerge/>
            <w:vAlign w:val="center"/>
          </w:tcPr>
          <w:p w14:paraId="18FE4C5C" w14:textId="77777777" w:rsidR="00F85073" w:rsidRPr="00F85073" w:rsidRDefault="00F85073" w:rsidP="00F85073">
            <w:pPr>
              <w:jc w:val="center"/>
              <w:rPr>
                <w:sz w:val="20"/>
                <w:szCs w:val="20"/>
              </w:rPr>
            </w:pPr>
          </w:p>
        </w:tc>
        <w:tc>
          <w:tcPr>
            <w:tcW w:w="2269" w:type="dxa"/>
            <w:vMerge/>
            <w:vAlign w:val="center"/>
          </w:tcPr>
          <w:p w14:paraId="6EC422EF" w14:textId="77777777" w:rsidR="00F85073" w:rsidRPr="00F85073" w:rsidRDefault="00F85073" w:rsidP="00F85073">
            <w:pPr>
              <w:jc w:val="center"/>
              <w:rPr>
                <w:sz w:val="20"/>
                <w:szCs w:val="20"/>
              </w:rPr>
            </w:pPr>
          </w:p>
        </w:tc>
        <w:tc>
          <w:tcPr>
            <w:tcW w:w="609" w:type="dxa"/>
            <w:vMerge w:val="restart"/>
            <w:vAlign w:val="center"/>
          </w:tcPr>
          <w:p w14:paraId="757D2FE5" w14:textId="77777777" w:rsidR="00F85073" w:rsidRPr="00F85073" w:rsidRDefault="00F85073" w:rsidP="00F85073">
            <w:pPr>
              <w:jc w:val="center"/>
              <w:rPr>
                <w:sz w:val="20"/>
                <w:szCs w:val="20"/>
              </w:rPr>
            </w:pPr>
            <w:r w:rsidRPr="00F85073">
              <w:rPr>
                <w:sz w:val="20"/>
                <w:szCs w:val="20"/>
              </w:rPr>
              <w:t>OH3</w:t>
            </w:r>
          </w:p>
        </w:tc>
        <w:tc>
          <w:tcPr>
            <w:tcW w:w="667" w:type="dxa"/>
            <w:vAlign w:val="center"/>
          </w:tcPr>
          <w:p w14:paraId="5EA354CF"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3AF96357" w14:textId="77777777" w:rsidR="00F85073" w:rsidRPr="00F85073" w:rsidRDefault="00F85073" w:rsidP="00F85073">
            <w:pPr>
              <w:jc w:val="center"/>
              <w:rPr>
                <w:sz w:val="20"/>
                <w:szCs w:val="20"/>
              </w:rPr>
            </w:pPr>
            <w:r w:rsidRPr="00F85073">
              <w:rPr>
                <w:sz w:val="20"/>
                <w:szCs w:val="20"/>
              </w:rPr>
              <w:t>32 (48.5)</w:t>
            </w:r>
          </w:p>
        </w:tc>
        <w:tc>
          <w:tcPr>
            <w:tcW w:w="1210" w:type="dxa"/>
            <w:vAlign w:val="center"/>
          </w:tcPr>
          <w:p w14:paraId="0C64C7CA" w14:textId="77777777" w:rsidR="00F85073" w:rsidRPr="00F85073" w:rsidRDefault="00F85073" w:rsidP="00F85073">
            <w:pPr>
              <w:jc w:val="center"/>
              <w:rPr>
                <w:sz w:val="20"/>
                <w:szCs w:val="20"/>
              </w:rPr>
            </w:pPr>
            <w:r w:rsidRPr="00F85073">
              <w:rPr>
                <w:sz w:val="20"/>
                <w:szCs w:val="20"/>
              </w:rPr>
              <w:t>21 (31.8)</w:t>
            </w:r>
          </w:p>
        </w:tc>
        <w:tc>
          <w:tcPr>
            <w:tcW w:w="1072" w:type="dxa"/>
            <w:vAlign w:val="center"/>
          </w:tcPr>
          <w:p w14:paraId="1151594B" w14:textId="77777777" w:rsidR="00F85073" w:rsidRPr="00F85073" w:rsidRDefault="00F85073" w:rsidP="00F85073">
            <w:pPr>
              <w:jc w:val="center"/>
              <w:rPr>
                <w:sz w:val="20"/>
                <w:szCs w:val="20"/>
              </w:rPr>
            </w:pPr>
            <w:r w:rsidRPr="00F85073">
              <w:rPr>
                <w:sz w:val="20"/>
                <w:szCs w:val="20"/>
              </w:rPr>
              <w:t>9 (13.6)</w:t>
            </w:r>
          </w:p>
        </w:tc>
        <w:tc>
          <w:tcPr>
            <w:tcW w:w="1038" w:type="dxa"/>
            <w:vAlign w:val="center"/>
          </w:tcPr>
          <w:p w14:paraId="78DB3B9A" w14:textId="77777777" w:rsidR="00F85073" w:rsidRPr="00F85073" w:rsidRDefault="00F85073" w:rsidP="00F85073">
            <w:pPr>
              <w:jc w:val="center"/>
              <w:rPr>
                <w:sz w:val="20"/>
                <w:szCs w:val="20"/>
              </w:rPr>
            </w:pPr>
            <w:r w:rsidRPr="00F85073">
              <w:rPr>
                <w:sz w:val="20"/>
                <w:szCs w:val="20"/>
              </w:rPr>
              <w:t>4 (6.1)</w:t>
            </w:r>
          </w:p>
        </w:tc>
        <w:tc>
          <w:tcPr>
            <w:tcW w:w="855" w:type="dxa"/>
            <w:vMerge w:val="restart"/>
            <w:vAlign w:val="center"/>
          </w:tcPr>
          <w:p w14:paraId="0D8A8D57" w14:textId="77777777" w:rsidR="00F85073" w:rsidRPr="00F85073" w:rsidRDefault="00F85073" w:rsidP="00F85073">
            <w:pPr>
              <w:jc w:val="center"/>
              <w:rPr>
                <w:b/>
                <w:bCs/>
                <w:i/>
                <w:iCs/>
                <w:sz w:val="20"/>
                <w:szCs w:val="20"/>
              </w:rPr>
            </w:pPr>
            <w:r w:rsidRPr="00F85073">
              <w:rPr>
                <w:b/>
                <w:bCs/>
                <w:i/>
                <w:iCs/>
                <w:sz w:val="20"/>
                <w:szCs w:val="20"/>
              </w:rPr>
              <w:t>0.033</w:t>
            </w:r>
          </w:p>
        </w:tc>
      </w:tr>
      <w:tr w:rsidR="00F85073" w:rsidRPr="00F85073" w14:paraId="2DC408E8" w14:textId="77777777" w:rsidTr="00F85073">
        <w:tc>
          <w:tcPr>
            <w:tcW w:w="420" w:type="dxa"/>
            <w:vMerge/>
            <w:vAlign w:val="center"/>
          </w:tcPr>
          <w:p w14:paraId="672DB4B5" w14:textId="77777777" w:rsidR="00F85073" w:rsidRPr="00F85073" w:rsidRDefault="00F85073" w:rsidP="00F85073">
            <w:pPr>
              <w:jc w:val="center"/>
              <w:rPr>
                <w:sz w:val="20"/>
                <w:szCs w:val="20"/>
              </w:rPr>
            </w:pPr>
          </w:p>
        </w:tc>
        <w:tc>
          <w:tcPr>
            <w:tcW w:w="2269" w:type="dxa"/>
            <w:vMerge/>
            <w:vAlign w:val="center"/>
          </w:tcPr>
          <w:p w14:paraId="5F7A80CF" w14:textId="77777777" w:rsidR="00F85073" w:rsidRPr="00F85073" w:rsidRDefault="00F85073" w:rsidP="00F85073">
            <w:pPr>
              <w:jc w:val="center"/>
              <w:rPr>
                <w:sz w:val="20"/>
                <w:szCs w:val="20"/>
              </w:rPr>
            </w:pPr>
          </w:p>
        </w:tc>
        <w:tc>
          <w:tcPr>
            <w:tcW w:w="609" w:type="dxa"/>
            <w:vMerge/>
            <w:vAlign w:val="center"/>
          </w:tcPr>
          <w:p w14:paraId="79AC651B" w14:textId="77777777" w:rsidR="00F85073" w:rsidRPr="00F85073" w:rsidRDefault="00F85073" w:rsidP="00F85073">
            <w:pPr>
              <w:jc w:val="center"/>
              <w:rPr>
                <w:sz w:val="20"/>
                <w:szCs w:val="20"/>
              </w:rPr>
            </w:pPr>
          </w:p>
        </w:tc>
        <w:tc>
          <w:tcPr>
            <w:tcW w:w="667" w:type="dxa"/>
            <w:vAlign w:val="center"/>
          </w:tcPr>
          <w:p w14:paraId="65AFA9D4"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1F130EF2" w14:textId="77777777" w:rsidR="00F85073" w:rsidRPr="00F85073" w:rsidRDefault="00F85073" w:rsidP="00F85073">
            <w:pPr>
              <w:jc w:val="center"/>
              <w:rPr>
                <w:sz w:val="20"/>
                <w:szCs w:val="20"/>
              </w:rPr>
            </w:pPr>
            <w:r w:rsidRPr="00F85073">
              <w:rPr>
                <w:sz w:val="20"/>
                <w:szCs w:val="20"/>
              </w:rPr>
              <w:t>161 (64.9)</w:t>
            </w:r>
          </w:p>
        </w:tc>
        <w:tc>
          <w:tcPr>
            <w:tcW w:w="1210" w:type="dxa"/>
            <w:vAlign w:val="center"/>
          </w:tcPr>
          <w:p w14:paraId="39312717" w14:textId="77777777" w:rsidR="00F85073" w:rsidRPr="00F85073" w:rsidRDefault="00F85073" w:rsidP="00F85073">
            <w:pPr>
              <w:jc w:val="center"/>
              <w:rPr>
                <w:sz w:val="20"/>
                <w:szCs w:val="20"/>
              </w:rPr>
            </w:pPr>
            <w:r w:rsidRPr="00F85073">
              <w:rPr>
                <w:sz w:val="20"/>
                <w:szCs w:val="20"/>
              </w:rPr>
              <w:t>62 (25)</w:t>
            </w:r>
          </w:p>
        </w:tc>
        <w:tc>
          <w:tcPr>
            <w:tcW w:w="1072" w:type="dxa"/>
            <w:vAlign w:val="center"/>
          </w:tcPr>
          <w:p w14:paraId="2DB57AA5" w14:textId="77777777" w:rsidR="00F85073" w:rsidRPr="00F85073" w:rsidRDefault="00F85073" w:rsidP="00F85073">
            <w:pPr>
              <w:jc w:val="center"/>
              <w:rPr>
                <w:sz w:val="20"/>
                <w:szCs w:val="20"/>
              </w:rPr>
            </w:pPr>
            <w:r w:rsidRPr="00F85073">
              <w:rPr>
                <w:sz w:val="20"/>
                <w:szCs w:val="20"/>
              </w:rPr>
              <w:t>21 (8.5)</w:t>
            </w:r>
          </w:p>
        </w:tc>
        <w:tc>
          <w:tcPr>
            <w:tcW w:w="1038" w:type="dxa"/>
            <w:vAlign w:val="center"/>
          </w:tcPr>
          <w:p w14:paraId="262EC4E4" w14:textId="77777777" w:rsidR="00F85073" w:rsidRPr="00F85073" w:rsidRDefault="00F85073" w:rsidP="00F85073">
            <w:pPr>
              <w:jc w:val="center"/>
              <w:rPr>
                <w:sz w:val="20"/>
                <w:szCs w:val="20"/>
              </w:rPr>
            </w:pPr>
            <w:r w:rsidRPr="00F85073">
              <w:rPr>
                <w:sz w:val="20"/>
                <w:szCs w:val="20"/>
              </w:rPr>
              <w:t>4 (1.6)</w:t>
            </w:r>
          </w:p>
        </w:tc>
        <w:tc>
          <w:tcPr>
            <w:tcW w:w="855" w:type="dxa"/>
            <w:vMerge/>
            <w:vAlign w:val="center"/>
          </w:tcPr>
          <w:p w14:paraId="6B44141A" w14:textId="77777777" w:rsidR="00F85073" w:rsidRPr="00F85073" w:rsidRDefault="00F85073" w:rsidP="00F85073">
            <w:pPr>
              <w:jc w:val="center"/>
              <w:rPr>
                <w:i/>
                <w:iCs/>
              </w:rPr>
            </w:pPr>
          </w:p>
        </w:tc>
      </w:tr>
      <w:tr w:rsidR="00F85073" w:rsidRPr="00F85073" w14:paraId="17419B31" w14:textId="77777777" w:rsidTr="00F85073">
        <w:tc>
          <w:tcPr>
            <w:tcW w:w="420" w:type="dxa"/>
            <w:vMerge w:val="restart"/>
            <w:vAlign w:val="center"/>
          </w:tcPr>
          <w:p w14:paraId="54966FA4" w14:textId="77777777" w:rsidR="00F85073" w:rsidRPr="00F85073" w:rsidRDefault="00F85073" w:rsidP="00F85073">
            <w:pPr>
              <w:pStyle w:val="NormalWeb"/>
              <w:jc w:val="center"/>
              <w:rPr>
                <w:rFonts w:eastAsia="TimesNewRomanPSMT"/>
                <w:sz w:val="20"/>
                <w:szCs w:val="20"/>
              </w:rPr>
            </w:pPr>
            <w:r w:rsidRPr="00F85073">
              <w:rPr>
                <w:rFonts w:eastAsia="TimesNewRomanPSMT"/>
                <w:sz w:val="20"/>
                <w:szCs w:val="20"/>
              </w:rPr>
              <w:t>6</w:t>
            </w:r>
          </w:p>
        </w:tc>
        <w:tc>
          <w:tcPr>
            <w:tcW w:w="2269" w:type="dxa"/>
            <w:vMerge w:val="restart"/>
            <w:vAlign w:val="center"/>
          </w:tcPr>
          <w:p w14:paraId="2A45CBBC" w14:textId="77777777" w:rsidR="00F85073" w:rsidRPr="00F85073" w:rsidRDefault="00F85073" w:rsidP="00F85073">
            <w:pPr>
              <w:pStyle w:val="NormalWeb"/>
              <w:jc w:val="center"/>
              <w:rPr>
                <w:sz w:val="20"/>
                <w:szCs w:val="20"/>
              </w:rPr>
            </w:pPr>
            <w:r w:rsidRPr="00F85073">
              <w:rPr>
                <w:rFonts w:eastAsia="TimesNewRomanPSMT"/>
                <w:sz w:val="20"/>
                <w:szCs w:val="20"/>
              </w:rPr>
              <w:t>Getting in or out of a chair</w:t>
            </w:r>
          </w:p>
        </w:tc>
        <w:tc>
          <w:tcPr>
            <w:tcW w:w="609" w:type="dxa"/>
            <w:vMerge w:val="restart"/>
            <w:vAlign w:val="center"/>
          </w:tcPr>
          <w:p w14:paraId="52A5A704" w14:textId="77777777" w:rsidR="00F85073" w:rsidRPr="00F85073" w:rsidRDefault="00F85073" w:rsidP="00F85073">
            <w:pPr>
              <w:jc w:val="center"/>
              <w:rPr>
                <w:sz w:val="20"/>
                <w:szCs w:val="20"/>
              </w:rPr>
            </w:pPr>
            <w:r w:rsidRPr="00F85073">
              <w:rPr>
                <w:sz w:val="20"/>
                <w:szCs w:val="20"/>
              </w:rPr>
              <w:t>OH1</w:t>
            </w:r>
          </w:p>
        </w:tc>
        <w:tc>
          <w:tcPr>
            <w:tcW w:w="667" w:type="dxa"/>
            <w:vAlign w:val="center"/>
          </w:tcPr>
          <w:p w14:paraId="38051560"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3611E44F" w14:textId="77777777" w:rsidR="00F85073" w:rsidRPr="00F85073" w:rsidRDefault="00F85073" w:rsidP="00F85073">
            <w:pPr>
              <w:jc w:val="center"/>
              <w:rPr>
                <w:sz w:val="20"/>
                <w:szCs w:val="20"/>
              </w:rPr>
            </w:pPr>
            <w:r w:rsidRPr="00F85073">
              <w:rPr>
                <w:sz w:val="20"/>
                <w:szCs w:val="20"/>
              </w:rPr>
              <w:t>9 (32.1)</w:t>
            </w:r>
          </w:p>
        </w:tc>
        <w:tc>
          <w:tcPr>
            <w:tcW w:w="1210" w:type="dxa"/>
            <w:vAlign w:val="center"/>
          </w:tcPr>
          <w:p w14:paraId="67707BC5" w14:textId="77777777" w:rsidR="00F85073" w:rsidRPr="00F85073" w:rsidRDefault="00F85073" w:rsidP="00F85073">
            <w:pPr>
              <w:jc w:val="center"/>
              <w:rPr>
                <w:sz w:val="20"/>
                <w:szCs w:val="20"/>
              </w:rPr>
            </w:pPr>
            <w:r w:rsidRPr="00F85073">
              <w:rPr>
                <w:sz w:val="20"/>
                <w:szCs w:val="20"/>
              </w:rPr>
              <w:t>15 (53.6)</w:t>
            </w:r>
          </w:p>
        </w:tc>
        <w:tc>
          <w:tcPr>
            <w:tcW w:w="1072" w:type="dxa"/>
            <w:vAlign w:val="center"/>
          </w:tcPr>
          <w:p w14:paraId="614922EF" w14:textId="77777777" w:rsidR="00F85073" w:rsidRPr="00F85073" w:rsidRDefault="00F85073" w:rsidP="00F85073">
            <w:pPr>
              <w:jc w:val="center"/>
              <w:rPr>
                <w:sz w:val="20"/>
                <w:szCs w:val="20"/>
              </w:rPr>
            </w:pPr>
            <w:r w:rsidRPr="00F85073">
              <w:rPr>
                <w:sz w:val="20"/>
                <w:szCs w:val="20"/>
              </w:rPr>
              <w:t>4 (14.3)</w:t>
            </w:r>
          </w:p>
        </w:tc>
        <w:tc>
          <w:tcPr>
            <w:tcW w:w="1038" w:type="dxa"/>
            <w:vAlign w:val="center"/>
          </w:tcPr>
          <w:p w14:paraId="4DCE1A04" w14:textId="77777777" w:rsidR="00F85073" w:rsidRPr="00F85073" w:rsidRDefault="00F85073" w:rsidP="00F85073">
            <w:pPr>
              <w:jc w:val="center"/>
              <w:rPr>
                <w:sz w:val="20"/>
                <w:szCs w:val="20"/>
              </w:rPr>
            </w:pPr>
            <w:r w:rsidRPr="00F85073">
              <w:rPr>
                <w:sz w:val="20"/>
                <w:szCs w:val="20"/>
              </w:rPr>
              <w:t>-</w:t>
            </w:r>
          </w:p>
        </w:tc>
        <w:tc>
          <w:tcPr>
            <w:tcW w:w="855" w:type="dxa"/>
            <w:vMerge w:val="restart"/>
            <w:vAlign w:val="center"/>
          </w:tcPr>
          <w:p w14:paraId="76C8FA92" w14:textId="77777777" w:rsidR="00F85073" w:rsidRPr="00F85073" w:rsidRDefault="00F85073" w:rsidP="00F85073">
            <w:pPr>
              <w:jc w:val="center"/>
              <w:rPr>
                <w:i/>
                <w:iCs/>
                <w:sz w:val="20"/>
                <w:szCs w:val="20"/>
              </w:rPr>
            </w:pPr>
            <w:r w:rsidRPr="00F85073">
              <w:rPr>
                <w:i/>
                <w:iCs/>
                <w:sz w:val="20"/>
                <w:szCs w:val="20"/>
              </w:rPr>
              <w:t>0.545</w:t>
            </w:r>
          </w:p>
        </w:tc>
      </w:tr>
      <w:tr w:rsidR="00F85073" w:rsidRPr="00F85073" w14:paraId="297D0765" w14:textId="77777777" w:rsidTr="00F85073">
        <w:tc>
          <w:tcPr>
            <w:tcW w:w="420" w:type="dxa"/>
            <w:vMerge/>
            <w:vAlign w:val="center"/>
          </w:tcPr>
          <w:p w14:paraId="4AEB6CDC" w14:textId="77777777" w:rsidR="00F85073" w:rsidRPr="00F85073" w:rsidRDefault="00F85073" w:rsidP="00F85073">
            <w:pPr>
              <w:jc w:val="center"/>
              <w:rPr>
                <w:sz w:val="20"/>
                <w:szCs w:val="20"/>
              </w:rPr>
            </w:pPr>
          </w:p>
        </w:tc>
        <w:tc>
          <w:tcPr>
            <w:tcW w:w="2269" w:type="dxa"/>
            <w:vMerge/>
            <w:vAlign w:val="center"/>
          </w:tcPr>
          <w:p w14:paraId="44BC0764" w14:textId="77777777" w:rsidR="00F85073" w:rsidRPr="00F85073" w:rsidRDefault="00F85073" w:rsidP="00F85073">
            <w:pPr>
              <w:jc w:val="center"/>
              <w:rPr>
                <w:sz w:val="20"/>
                <w:szCs w:val="20"/>
              </w:rPr>
            </w:pPr>
          </w:p>
        </w:tc>
        <w:tc>
          <w:tcPr>
            <w:tcW w:w="609" w:type="dxa"/>
            <w:vMerge/>
            <w:vAlign w:val="center"/>
          </w:tcPr>
          <w:p w14:paraId="7C746E80" w14:textId="77777777" w:rsidR="00F85073" w:rsidRPr="00F85073" w:rsidRDefault="00F85073" w:rsidP="00F85073">
            <w:pPr>
              <w:jc w:val="center"/>
              <w:rPr>
                <w:sz w:val="20"/>
                <w:szCs w:val="20"/>
              </w:rPr>
            </w:pPr>
          </w:p>
        </w:tc>
        <w:tc>
          <w:tcPr>
            <w:tcW w:w="667" w:type="dxa"/>
            <w:vAlign w:val="center"/>
          </w:tcPr>
          <w:p w14:paraId="19C02947"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7BFC372C" w14:textId="77777777" w:rsidR="00F85073" w:rsidRPr="00F85073" w:rsidRDefault="00F85073" w:rsidP="00F85073">
            <w:pPr>
              <w:jc w:val="center"/>
              <w:rPr>
                <w:sz w:val="20"/>
                <w:szCs w:val="20"/>
              </w:rPr>
            </w:pPr>
            <w:r w:rsidRPr="00F85073">
              <w:rPr>
                <w:sz w:val="20"/>
                <w:szCs w:val="20"/>
              </w:rPr>
              <w:t>150 (52.4)</w:t>
            </w:r>
          </w:p>
        </w:tc>
        <w:tc>
          <w:tcPr>
            <w:tcW w:w="1210" w:type="dxa"/>
            <w:vAlign w:val="center"/>
          </w:tcPr>
          <w:p w14:paraId="15DD7D89" w14:textId="77777777" w:rsidR="00F85073" w:rsidRPr="00F85073" w:rsidRDefault="00F85073" w:rsidP="00F85073">
            <w:pPr>
              <w:jc w:val="center"/>
              <w:rPr>
                <w:sz w:val="20"/>
                <w:szCs w:val="20"/>
              </w:rPr>
            </w:pPr>
            <w:r w:rsidRPr="00F85073">
              <w:rPr>
                <w:sz w:val="20"/>
                <w:szCs w:val="20"/>
              </w:rPr>
              <w:t>103 (36)</w:t>
            </w:r>
          </w:p>
        </w:tc>
        <w:tc>
          <w:tcPr>
            <w:tcW w:w="1072" w:type="dxa"/>
            <w:vAlign w:val="center"/>
          </w:tcPr>
          <w:p w14:paraId="6D25AFA2" w14:textId="77777777" w:rsidR="00F85073" w:rsidRPr="00F85073" w:rsidRDefault="00F85073" w:rsidP="00F85073">
            <w:pPr>
              <w:jc w:val="center"/>
              <w:rPr>
                <w:sz w:val="20"/>
                <w:szCs w:val="20"/>
              </w:rPr>
            </w:pPr>
            <w:r w:rsidRPr="00F85073">
              <w:rPr>
                <w:sz w:val="20"/>
                <w:szCs w:val="20"/>
              </w:rPr>
              <w:t>28 (9.8)</w:t>
            </w:r>
          </w:p>
        </w:tc>
        <w:tc>
          <w:tcPr>
            <w:tcW w:w="1038" w:type="dxa"/>
            <w:vAlign w:val="center"/>
          </w:tcPr>
          <w:p w14:paraId="59CFC2E6" w14:textId="77777777" w:rsidR="00F85073" w:rsidRPr="00F85073" w:rsidRDefault="00F85073" w:rsidP="00F85073">
            <w:pPr>
              <w:jc w:val="center"/>
              <w:rPr>
                <w:sz w:val="20"/>
                <w:szCs w:val="20"/>
              </w:rPr>
            </w:pPr>
            <w:r w:rsidRPr="00F85073">
              <w:rPr>
                <w:sz w:val="20"/>
                <w:szCs w:val="20"/>
              </w:rPr>
              <w:t>5 (1.7)</w:t>
            </w:r>
          </w:p>
        </w:tc>
        <w:tc>
          <w:tcPr>
            <w:tcW w:w="855" w:type="dxa"/>
            <w:vMerge/>
            <w:vAlign w:val="center"/>
          </w:tcPr>
          <w:p w14:paraId="1274E4DF" w14:textId="77777777" w:rsidR="00F85073" w:rsidRPr="00F85073" w:rsidRDefault="00F85073" w:rsidP="00F85073">
            <w:pPr>
              <w:jc w:val="center"/>
              <w:rPr>
                <w:i/>
                <w:iCs/>
              </w:rPr>
            </w:pPr>
          </w:p>
        </w:tc>
      </w:tr>
      <w:tr w:rsidR="00F85073" w:rsidRPr="00F85073" w14:paraId="7783D1DB" w14:textId="77777777" w:rsidTr="00F85073">
        <w:tc>
          <w:tcPr>
            <w:tcW w:w="420" w:type="dxa"/>
            <w:vMerge/>
            <w:vAlign w:val="center"/>
          </w:tcPr>
          <w:p w14:paraId="3C917300" w14:textId="77777777" w:rsidR="00F85073" w:rsidRPr="00F85073" w:rsidRDefault="00F85073" w:rsidP="00F85073">
            <w:pPr>
              <w:jc w:val="center"/>
              <w:rPr>
                <w:sz w:val="20"/>
                <w:szCs w:val="20"/>
              </w:rPr>
            </w:pPr>
          </w:p>
        </w:tc>
        <w:tc>
          <w:tcPr>
            <w:tcW w:w="2269" w:type="dxa"/>
            <w:vMerge/>
            <w:vAlign w:val="center"/>
          </w:tcPr>
          <w:p w14:paraId="32F5A184" w14:textId="77777777" w:rsidR="00F85073" w:rsidRPr="00F85073" w:rsidRDefault="00F85073" w:rsidP="00F85073">
            <w:pPr>
              <w:jc w:val="center"/>
              <w:rPr>
                <w:sz w:val="20"/>
                <w:szCs w:val="20"/>
              </w:rPr>
            </w:pPr>
          </w:p>
        </w:tc>
        <w:tc>
          <w:tcPr>
            <w:tcW w:w="609" w:type="dxa"/>
            <w:vMerge w:val="restart"/>
            <w:vAlign w:val="center"/>
          </w:tcPr>
          <w:p w14:paraId="1442089E" w14:textId="77777777" w:rsidR="00F85073" w:rsidRPr="00F85073" w:rsidRDefault="00F85073" w:rsidP="00F85073">
            <w:pPr>
              <w:jc w:val="center"/>
              <w:rPr>
                <w:sz w:val="20"/>
                <w:szCs w:val="20"/>
              </w:rPr>
            </w:pPr>
            <w:r w:rsidRPr="00F85073">
              <w:rPr>
                <w:sz w:val="20"/>
                <w:szCs w:val="20"/>
              </w:rPr>
              <w:t>OH3</w:t>
            </w:r>
          </w:p>
        </w:tc>
        <w:tc>
          <w:tcPr>
            <w:tcW w:w="667" w:type="dxa"/>
            <w:vAlign w:val="center"/>
          </w:tcPr>
          <w:p w14:paraId="445149B3"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7D85299F" w14:textId="77777777" w:rsidR="00F85073" w:rsidRPr="00F85073" w:rsidRDefault="00F85073" w:rsidP="00F85073">
            <w:pPr>
              <w:jc w:val="center"/>
              <w:rPr>
                <w:sz w:val="20"/>
                <w:szCs w:val="20"/>
              </w:rPr>
            </w:pPr>
            <w:r w:rsidRPr="00F85073">
              <w:rPr>
                <w:sz w:val="20"/>
                <w:szCs w:val="20"/>
              </w:rPr>
              <w:t>25 (37.9)</w:t>
            </w:r>
          </w:p>
        </w:tc>
        <w:tc>
          <w:tcPr>
            <w:tcW w:w="1210" w:type="dxa"/>
            <w:vAlign w:val="center"/>
          </w:tcPr>
          <w:p w14:paraId="789AB18B" w14:textId="77777777" w:rsidR="00F85073" w:rsidRPr="00F85073" w:rsidRDefault="00F85073" w:rsidP="00F85073">
            <w:pPr>
              <w:jc w:val="center"/>
              <w:rPr>
                <w:sz w:val="20"/>
                <w:szCs w:val="20"/>
              </w:rPr>
            </w:pPr>
            <w:r w:rsidRPr="00F85073">
              <w:rPr>
                <w:sz w:val="20"/>
                <w:szCs w:val="20"/>
              </w:rPr>
              <w:t>30 (45.5)</w:t>
            </w:r>
          </w:p>
        </w:tc>
        <w:tc>
          <w:tcPr>
            <w:tcW w:w="1072" w:type="dxa"/>
            <w:vAlign w:val="center"/>
          </w:tcPr>
          <w:p w14:paraId="619A1A34" w14:textId="77777777" w:rsidR="00F85073" w:rsidRPr="00F85073" w:rsidRDefault="00F85073" w:rsidP="00F85073">
            <w:pPr>
              <w:jc w:val="center"/>
              <w:rPr>
                <w:sz w:val="20"/>
                <w:szCs w:val="20"/>
              </w:rPr>
            </w:pPr>
            <w:r w:rsidRPr="00F85073">
              <w:rPr>
                <w:sz w:val="20"/>
                <w:szCs w:val="20"/>
              </w:rPr>
              <w:t>10 (15.2)</w:t>
            </w:r>
          </w:p>
        </w:tc>
        <w:tc>
          <w:tcPr>
            <w:tcW w:w="1038" w:type="dxa"/>
            <w:vAlign w:val="center"/>
          </w:tcPr>
          <w:p w14:paraId="6FEC2EB4" w14:textId="77777777" w:rsidR="00F85073" w:rsidRPr="00F85073" w:rsidRDefault="00F85073" w:rsidP="00F85073">
            <w:pPr>
              <w:jc w:val="center"/>
              <w:rPr>
                <w:sz w:val="20"/>
                <w:szCs w:val="20"/>
              </w:rPr>
            </w:pPr>
            <w:r w:rsidRPr="00F85073">
              <w:rPr>
                <w:sz w:val="20"/>
                <w:szCs w:val="20"/>
              </w:rPr>
              <w:t>1 (1.5)</w:t>
            </w:r>
          </w:p>
        </w:tc>
        <w:tc>
          <w:tcPr>
            <w:tcW w:w="855" w:type="dxa"/>
            <w:vMerge w:val="restart"/>
            <w:vAlign w:val="center"/>
          </w:tcPr>
          <w:p w14:paraId="52C8AC38" w14:textId="77777777" w:rsidR="00F85073" w:rsidRPr="00F85073" w:rsidRDefault="00F85073" w:rsidP="00F85073">
            <w:pPr>
              <w:jc w:val="center"/>
              <w:rPr>
                <w:i/>
                <w:iCs/>
                <w:sz w:val="20"/>
                <w:szCs w:val="20"/>
              </w:rPr>
            </w:pPr>
            <w:r w:rsidRPr="00F85073">
              <w:rPr>
                <w:i/>
                <w:iCs/>
                <w:sz w:val="20"/>
                <w:szCs w:val="20"/>
              </w:rPr>
              <w:t>0.108</w:t>
            </w:r>
          </w:p>
        </w:tc>
      </w:tr>
      <w:tr w:rsidR="00F85073" w:rsidRPr="00F85073" w14:paraId="18ED1CE7" w14:textId="77777777" w:rsidTr="00F85073">
        <w:tc>
          <w:tcPr>
            <w:tcW w:w="420" w:type="dxa"/>
            <w:vMerge/>
            <w:vAlign w:val="center"/>
          </w:tcPr>
          <w:p w14:paraId="1716C5E2" w14:textId="77777777" w:rsidR="00F85073" w:rsidRPr="00F85073" w:rsidRDefault="00F85073" w:rsidP="00F85073">
            <w:pPr>
              <w:jc w:val="center"/>
              <w:rPr>
                <w:sz w:val="20"/>
                <w:szCs w:val="20"/>
              </w:rPr>
            </w:pPr>
          </w:p>
        </w:tc>
        <w:tc>
          <w:tcPr>
            <w:tcW w:w="2269" w:type="dxa"/>
            <w:vMerge/>
            <w:vAlign w:val="center"/>
          </w:tcPr>
          <w:p w14:paraId="5FB22460" w14:textId="77777777" w:rsidR="00F85073" w:rsidRPr="00F85073" w:rsidRDefault="00F85073" w:rsidP="00F85073">
            <w:pPr>
              <w:jc w:val="center"/>
              <w:rPr>
                <w:sz w:val="20"/>
                <w:szCs w:val="20"/>
              </w:rPr>
            </w:pPr>
          </w:p>
        </w:tc>
        <w:tc>
          <w:tcPr>
            <w:tcW w:w="609" w:type="dxa"/>
            <w:vMerge/>
            <w:vAlign w:val="center"/>
          </w:tcPr>
          <w:p w14:paraId="502A5655" w14:textId="77777777" w:rsidR="00F85073" w:rsidRPr="00F85073" w:rsidRDefault="00F85073" w:rsidP="00F85073">
            <w:pPr>
              <w:jc w:val="center"/>
              <w:rPr>
                <w:sz w:val="20"/>
                <w:szCs w:val="20"/>
              </w:rPr>
            </w:pPr>
          </w:p>
        </w:tc>
        <w:tc>
          <w:tcPr>
            <w:tcW w:w="667" w:type="dxa"/>
            <w:vAlign w:val="center"/>
          </w:tcPr>
          <w:p w14:paraId="033EE475"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1ECF0D5C" w14:textId="77777777" w:rsidR="00F85073" w:rsidRPr="00F85073" w:rsidRDefault="00F85073" w:rsidP="00F85073">
            <w:pPr>
              <w:jc w:val="center"/>
              <w:rPr>
                <w:sz w:val="20"/>
                <w:szCs w:val="20"/>
              </w:rPr>
            </w:pPr>
            <w:r w:rsidRPr="00F85073">
              <w:rPr>
                <w:sz w:val="20"/>
                <w:szCs w:val="20"/>
              </w:rPr>
              <w:t>134 (54)</w:t>
            </w:r>
          </w:p>
        </w:tc>
        <w:tc>
          <w:tcPr>
            <w:tcW w:w="1210" w:type="dxa"/>
            <w:vAlign w:val="center"/>
          </w:tcPr>
          <w:p w14:paraId="08404663" w14:textId="77777777" w:rsidR="00F85073" w:rsidRPr="00F85073" w:rsidRDefault="00F85073" w:rsidP="00F85073">
            <w:pPr>
              <w:jc w:val="center"/>
              <w:rPr>
                <w:sz w:val="20"/>
                <w:szCs w:val="20"/>
              </w:rPr>
            </w:pPr>
            <w:r w:rsidRPr="00F85073">
              <w:rPr>
                <w:sz w:val="20"/>
                <w:szCs w:val="20"/>
              </w:rPr>
              <w:t>88 (35.5)</w:t>
            </w:r>
          </w:p>
        </w:tc>
        <w:tc>
          <w:tcPr>
            <w:tcW w:w="1072" w:type="dxa"/>
            <w:vAlign w:val="center"/>
          </w:tcPr>
          <w:p w14:paraId="24D904C8" w14:textId="77777777" w:rsidR="00F85073" w:rsidRPr="00F85073" w:rsidRDefault="00F85073" w:rsidP="00F85073">
            <w:pPr>
              <w:jc w:val="center"/>
              <w:rPr>
                <w:sz w:val="20"/>
                <w:szCs w:val="20"/>
              </w:rPr>
            </w:pPr>
            <w:r w:rsidRPr="00F85073">
              <w:rPr>
                <w:sz w:val="20"/>
                <w:szCs w:val="20"/>
              </w:rPr>
              <w:t>22 (8.9)</w:t>
            </w:r>
          </w:p>
        </w:tc>
        <w:tc>
          <w:tcPr>
            <w:tcW w:w="1038" w:type="dxa"/>
            <w:vAlign w:val="center"/>
          </w:tcPr>
          <w:p w14:paraId="349924B4" w14:textId="77777777" w:rsidR="00F85073" w:rsidRPr="00F85073" w:rsidRDefault="00F85073" w:rsidP="00F85073">
            <w:pPr>
              <w:jc w:val="center"/>
              <w:rPr>
                <w:sz w:val="20"/>
                <w:szCs w:val="20"/>
              </w:rPr>
            </w:pPr>
            <w:r w:rsidRPr="00F85073">
              <w:rPr>
                <w:sz w:val="20"/>
                <w:szCs w:val="20"/>
              </w:rPr>
              <w:t>4 (1.6)</w:t>
            </w:r>
          </w:p>
        </w:tc>
        <w:tc>
          <w:tcPr>
            <w:tcW w:w="855" w:type="dxa"/>
            <w:vMerge/>
            <w:vAlign w:val="center"/>
          </w:tcPr>
          <w:p w14:paraId="7221E222" w14:textId="77777777" w:rsidR="00F85073" w:rsidRPr="00F85073" w:rsidRDefault="00F85073" w:rsidP="00F85073">
            <w:pPr>
              <w:jc w:val="center"/>
              <w:rPr>
                <w:i/>
                <w:iCs/>
              </w:rPr>
            </w:pPr>
          </w:p>
        </w:tc>
      </w:tr>
      <w:tr w:rsidR="00F85073" w:rsidRPr="00F85073" w14:paraId="49F9EF41" w14:textId="77777777" w:rsidTr="00F85073">
        <w:tc>
          <w:tcPr>
            <w:tcW w:w="420" w:type="dxa"/>
            <w:vMerge w:val="restart"/>
            <w:vAlign w:val="center"/>
          </w:tcPr>
          <w:p w14:paraId="5B7A88C8" w14:textId="77777777" w:rsidR="00F85073" w:rsidRPr="00F85073" w:rsidRDefault="00F85073" w:rsidP="00F85073">
            <w:pPr>
              <w:pStyle w:val="NormalWeb"/>
              <w:jc w:val="center"/>
              <w:rPr>
                <w:rFonts w:eastAsia="TimesNewRomanPSMT"/>
                <w:sz w:val="20"/>
                <w:szCs w:val="20"/>
              </w:rPr>
            </w:pPr>
            <w:r w:rsidRPr="00F85073">
              <w:rPr>
                <w:rFonts w:eastAsia="TimesNewRomanPSMT"/>
                <w:sz w:val="20"/>
                <w:szCs w:val="20"/>
              </w:rPr>
              <w:t>7</w:t>
            </w:r>
          </w:p>
        </w:tc>
        <w:tc>
          <w:tcPr>
            <w:tcW w:w="2269" w:type="dxa"/>
            <w:vMerge w:val="restart"/>
            <w:vAlign w:val="center"/>
          </w:tcPr>
          <w:p w14:paraId="06DE49B6" w14:textId="77777777" w:rsidR="00F85073" w:rsidRPr="00F85073" w:rsidRDefault="00F85073" w:rsidP="00F85073">
            <w:pPr>
              <w:pStyle w:val="NormalWeb"/>
              <w:jc w:val="center"/>
              <w:rPr>
                <w:sz w:val="20"/>
                <w:szCs w:val="20"/>
              </w:rPr>
            </w:pPr>
            <w:r w:rsidRPr="00F85073">
              <w:rPr>
                <w:rFonts w:eastAsia="TimesNewRomanPSMT"/>
                <w:sz w:val="20"/>
                <w:szCs w:val="20"/>
              </w:rPr>
              <w:t>Going up or down stairs</w:t>
            </w:r>
          </w:p>
        </w:tc>
        <w:tc>
          <w:tcPr>
            <w:tcW w:w="609" w:type="dxa"/>
            <w:vMerge w:val="restart"/>
            <w:vAlign w:val="center"/>
          </w:tcPr>
          <w:p w14:paraId="18BE718F" w14:textId="77777777" w:rsidR="00F85073" w:rsidRPr="00F85073" w:rsidRDefault="00F85073" w:rsidP="00F85073">
            <w:pPr>
              <w:jc w:val="center"/>
              <w:rPr>
                <w:sz w:val="20"/>
                <w:szCs w:val="20"/>
              </w:rPr>
            </w:pPr>
            <w:r w:rsidRPr="00F85073">
              <w:rPr>
                <w:sz w:val="20"/>
                <w:szCs w:val="20"/>
              </w:rPr>
              <w:t>OH1</w:t>
            </w:r>
          </w:p>
        </w:tc>
        <w:tc>
          <w:tcPr>
            <w:tcW w:w="667" w:type="dxa"/>
            <w:vAlign w:val="center"/>
          </w:tcPr>
          <w:p w14:paraId="5D173564"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5E68313E" w14:textId="77777777" w:rsidR="00F85073" w:rsidRPr="00F85073" w:rsidRDefault="00F85073" w:rsidP="00F85073">
            <w:pPr>
              <w:jc w:val="center"/>
              <w:rPr>
                <w:sz w:val="20"/>
                <w:szCs w:val="20"/>
              </w:rPr>
            </w:pPr>
            <w:r w:rsidRPr="00F85073">
              <w:rPr>
                <w:sz w:val="20"/>
                <w:szCs w:val="20"/>
              </w:rPr>
              <w:t>21 (32.8)</w:t>
            </w:r>
          </w:p>
        </w:tc>
        <w:tc>
          <w:tcPr>
            <w:tcW w:w="1210" w:type="dxa"/>
            <w:vAlign w:val="center"/>
          </w:tcPr>
          <w:p w14:paraId="5E35F149" w14:textId="77777777" w:rsidR="00F85073" w:rsidRPr="00F85073" w:rsidRDefault="00F85073" w:rsidP="00F85073">
            <w:pPr>
              <w:jc w:val="center"/>
              <w:rPr>
                <w:sz w:val="20"/>
                <w:szCs w:val="20"/>
              </w:rPr>
            </w:pPr>
            <w:r w:rsidRPr="00F85073">
              <w:rPr>
                <w:sz w:val="20"/>
                <w:szCs w:val="20"/>
              </w:rPr>
              <w:t>23 (35.9)</w:t>
            </w:r>
          </w:p>
        </w:tc>
        <w:tc>
          <w:tcPr>
            <w:tcW w:w="1072" w:type="dxa"/>
            <w:vAlign w:val="center"/>
          </w:tcPr>
          <w:p w14:paraId="56766E96" w14:textId="77777777" w:rsidR="00F85073" w:rsidRPr="00F85073" w:rsidRDefault="00F85073" w:rsidP="00F85073">
            <w:pPr>
              <w:jc w:val="center"/>
              <w:rPr>
                <w:sz w:val="20"/>
                <w:szCs w:val="20"/>
              </w:rPr>
            </w:pPr>
            <w:r w:rsidRPr="00F85073">
              <w:rPr>
                <w:sz w:val="20"/>
                <w:szCs w:val="20"/>
              </w:rPr>
              <w:t>16 (25)</w:t>
            </w:r>
          </w:p>
        </w:tc>
        <w:tc>
          <w:tcPr>
            <w:tcW w:w="1038" w:type="dxa"/>
            <w:vAlign w:val="center"/>
          </w:tcPr>
          <w:p w14:paraId="187D4E01" w14:textId="77777777" w:rsidR="00F85073" w:rsidRPr="00F85073" w:rsidRDefault="00F85073" w:rsidP="00F85073">
            <w:pPr>
              <w:jc w:val="center"/>
              <w:rPr>
                <w:sz w:val="20"/>
                <w:szCs w:val="20"/>
              </w:rPr>
            </w:pPr>
            <w:r w:rsidRPr="00F85073">
              <w:rPr>
                <w:sz w:val="20"/>
                <w:szCs w:val="20"/>
              </w:rPr>
              <w:t>4 (6.3)</w:t>
            </w:r>
          </w:p>
        </w:tc>
        <w:tc>
          <w:tcPr>
            <w:tcW w:w="855" w:type="dxa"/>
            <w:vMerge w:val="restart"/>
            <w:vAlign w:val="center"/>
          </w:tcPr>
          <w:p w14:paraId="1A264A37" w14:textId="77777777" w:rsidR="00F85073" w:rsidRPr="00F85073" w:rsidRDefault="00F85073" w:rsidP="00F85073">
            <w:pPr>
              <w:jc w:val="center"/>
              <w:rPr>
                <w:i/>
                <w:iCs/>
                <w:sz w:val="20"/>
                <w:szCs w:val="20"/>
              </w:rPr>
            </w:pPr>
            <w:r w:rsidRPr="00F85073">
              <w:rPr>
                <w:i/>
                <w:iCs/>
                <w:sz w:val="20"/>
                <w:szCs w:val="20"/>
              </w:rPr>
              <w:t>0.919</w:t>
            </w:r>
          </w:p>
        </w:tc>
      </w:tr>
      <w:tr w:rsidR="00F85073" w:rsidRPr="00F85073" w14:paraId="4A975862" w14:textId="77777777" w:rsidTr="00F85073">
        <w:tc>
          <w:tcPr>
            <w:tcW w:w="420" w:type="dxa"/>
            <w:vMerge/>
            <w:vAlign w:val="center"/>
          </w:tcPr>
          <w:p w14:paraId="145C7133" w14:textId="77777777" w:rsidR="00F85073" w:rsidRPr="00F85073" w:rsidRDefault="00F85073" w:rsidP="00F85073">
            <w:pPr>
              <w:jc w:val="center"/>
              <w:rPr>
                <w:sz w:val="20"/>
                <w:szCs w:val="20"/>
              </w:rPr>
            </w:pPr>
          </w:p>
        </w:tc>
        <w:tc>
          <w:tcPr>
            <w:tcW w:w="2269" w:type="dxa"/>
            <w:vMerge/>
            <w:vAlign w:val="center"/>
          </w:tcPr>
          <w:p w14:paraId="396F6A2D" w14:textId="77777777" w:rsidR="00F85073" w:rsidRPr="00F85073" w:rsidRDefault="00F85073" w:rsidP="00F85073">
            <w:pPr>
              <w:jc w:val="center"/>
              <w:rPr>
                <w:sz w:val="20"/>
                <w:szCs w:val="20"/>
              </w:rPr>
            </w:pPr>
          </w:p>
        </w:tc>
        <w:tc>
          <w:tcPr>
            <w:tcW w:w="609" w:type="dxa"/>
            <w:vMerge/>
            <w:vAlign w:val="center"/>
          </w:tcPr>
          <w:p w14:paraId="0249001E" w14:textId="77777777" w:rsidR="00F85073" w:rsidRPr="00F85073" w:rsidRDefault="00F85073" w:rsidP="00F85073">
            <w:pPr>
              <w:jc w:val="center"/>
              <w:rPr>
                <w:sz w:val="20"/>
                <w:szCs w:val="20"/>
              </w:rPr>
            </w:pPr>
          </w:p>
        </w:tc>
        <w:tc>
          <w:tcPr>
            <w:tcW w:w="667" w:type="dxa"/>
            <w:vAlign w:val="center"/>
          </w:tcPr>
          <w:p w14:paraId="4596221D"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2BA79A9D" w14:textId="77777777" w:rsidR="00F85073" w:rsidRPr="00F85073" w:rsidRDefault="00F85073" w:rsidP="00F85073">
            <w:pPr>
              <w:jc w:val="center"/>
              <w:rPr>
                <w:sz w:val="20"/>
                <w:szCs w:val="20"/>
              </w:rPr>
            </w:pPr>
            <w:r w:rsidRPr="00F85073">
              <w:rPr>
                <w:sz w:val="20"/>
                <w:szCs w:val="20"/>
              </w:rPr>
              <w:t>79 (31.6)</w:t>
            </w:r>
          </w:p>
        </w:tc>
        <w:tc>
          <w:tcPr>
            <w:tcW w:w="1210" w:type="dxa"/>
            <w:vAlign w:val="center"/>
          </w:tcPr>
          <w:p w14:paraId="57E34EFA" w14:textId="77777777" w:rsidR="00F85073" w:rsidRPr="00F85073" w:rsidRDefault="00F85073" w:rsidP="00F85073">
            <w:pPr>
              <w:jc w:val="center"/>
              <w:rPr>
                <w:sz w:val="20"/>
                <w:szCs w:val="20"/>
              </w:rPr>
            </w:pPr>
            <w:r w:rsidRPr="00F85073">
              <w:rPr>
                <w:sz w:val="20"/>
                <w:szCs w:val="20"/>
              </w:rPr>
              <w:t>97 (38.8)</w:t>
            </w:r>
          </w:p>
        </w:tc>
        <w:tc>
          <w:tcPr>
            <w:tcW w:w="1072" w:type="dxa"/>
            <w:vAlign w:val="center"/>
          </w:tcPr>
          <w:p w14:paraId="4659B3C6" w14:textId="77777777" w:rsidR="00F85073" w:rsidRPr="00F85073" w:rsidRDefault="00F85073" w:rsidP="00F85073">
            <w:pPr>
              <w:jc w:val="center"/>
              <w:rPr>
                <w:sz w:val="20"/>
                <w:szCs w:val="20"/>
              </w:rPr>
            </w:pPr>
            <w:r w:rsidRPr="00F85073">
              <w:rPr>
                <w:sz w:val="20"/>
                <w:szCs w:val="20"/>
              </w:rPr>
              <w:t>63 (25.2)</w:t>
            </w:r>
          </w:p>
        </w:tc>
        <w:tc>
          <w:tcPr>
            <w:tcW w:w="1038" w:type="dxa"/>
            <w:vAlign w:val="center"/>
          </w:tcPr>
          <w:p w14:paraId="7A527C6E" w14:textId="77777777" w:rsidR="00F85073" w:rsidRPr="00F85073" w:rsidRDefault="00F85073" w:rsidP="00F85073">
            <w:pPr>
              <w:jc w:val="center"/>
              <w:rPr>
                <w:sz w:val="20"/>
                <w:szCs w:val="20"/>
              </w:rPr>
            </w:pPr>
            <w:r w:rsidRPr="00F85073">
              <w:rPr>
                <w:sz w:val="20"/>
                <w:szCs w:val="20"/>
              </w:rPr>
              <w:t>11 (4.4)</w:t>
            </w:r>
          </w:p>
        </w:tc>
        <w:tc>
          <w:tcPr>
            <w:tcW w:w="855" w:type="dxa"/>
            <w:vMerge/>
            <w:vAlign w:val="center"/>
          </w:tcPr>
          <w:p w14:paraId="497C8F6E" w14:textId="77777777" w:rsidR="00F85073" w:rsidRPr="00F85073" w:rsidRDefault="00F85073" w:rsidP="00F85073">
            <w:pPr>
              <w:jc w:val="center"/>
              <w:rPr>
                <w:i/>
                <w:iCs/>
              </w:rPr>
            </w:pPr>
          </w:p>
        </w:tc>
      </w:tr>
      <w:tr w:rsidR="00F85073" w:rsidRPr="00F85073" w14:paraId="067E22D9" w14:textId="77777777" w:rsidTr="00F85073">
        <w:tc>
          <w:tcPr>
            <w:tcW w:w="420" w:type="dxa"/>
            <w:vMerge/>
            <w:vAlign w:val="center"/>
          </w:tcPr>
          <w:p w14:paraId="2B26973F" w14:textId="77777777" w:rsidR="00F85073" w:rsidRPr="00F85073" w:rsidRDefault="00F85073" w:rsidP="00F85073">
            <w:pPr>
              <w:jc w:val="center"/>
              <w:rPr>
                <w:sz w:val="20"/>
                <w:szCs w:val="20"/>
              </w:rPr>
            </w:pPr>
          </w:p>
        </w:tc>
        <w:tc>
          <w:tcPr>
            <w:tcW w:w="2269" w:type="dxa"/>
            <w:vMerge/>
            <w:vAlign w:val="center"/>
          </w:tcPr>
          <w:p w14:paraId="02851818" w14:textId="77777777" w:rsidR="00F85073" w:rsidRPr="00F85073" w:rsidRDefault="00F85073" w:rsidP="00F85073">
            <w:pPr>
              <w:jc w:val="center"/>
              <w:rPr>
                <w:sz w:val="20"/>
                <w:szCs w:val="20"/>
              </w:rPr>
            </w:pPr>
          </w:p>
        </w:tc>
        <w:tc>
          <w:tcPr>
            <w:tcW w:w="609" w:type="dxa"/>
            <w:vMerge w:val="restart"/>
            <w:vAlign w:val="center"/>
          </w:tcPr>
          <w:p w14:paraId="46F9F9C8" w14:textId="77777777" w:rsidR="00F85073" w:rsidRPr="00F85073" w:rsidRDefault="00F85073" w:rsidP="00F85073">
            <w:pPr>
              <w:jc w:val="center"/>
              <w:rPr>
                <w:sz w:val="20"/>
                <w:szCs w:val="20"/>
              </w:rPr>
            </w:pPr>
            <w:r w:rsidRPr="00F85073">
              <w:rPr>
                <w:sz w:val="20"/>
                <w:szCs w:val="20"/>
              </w:rPr>
              <w:t>OH3</w:t>
            </w:r>
          </w:p>
        </w:tc>
        <w:tc>
          <w:tcPr>
            <w:tcW w:w="667" w:type="dxa"/>
            <w:vAlign w:val="center"/>
          </w:tcPr>
          <w:p w14:paraId="7EF035D0"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604D5A55" w14:textId="77777777" w:rsidR="00F85073" w:rsidRPr="00F85073" w:rsidRDefault="00F85073" w:rsidP="00F85073">
            <w:pPr>
              <w:jc w:val="center"/>
              <w:rPr>
                <w:sz w:val="20"/>
                <w:szCs w:val="20"/>
              </w:rPr>
            </w:pPr>
            <w:r w:rsidRPr="00F85073">
              <w:rPr>
                <w:sz w:val="20"/>
                <w:szCs w:val="20"/>
              </w:rPr>
              <w:t>19 (28.8)</w:t>
            </w:r>
          </w:p>
        </w:tc>
        <w:tc>
          <w:tcPr>
            <w:tcW w:w="1210" w:type="dxa"/>
            <w:vAlign w:val="center"/>
          </w:tcPr>
          <w:p w14:paraId="128F4CC4" w14:textId="77777777" w:rsidR="00F85073" w:rsidRPr="00F85073" w:rsidRDefault="00F85073" w:rsidP="00F85073">
            <w:pPr>
              <w:jc w:val="center"/>
              <w:rPr>
                <w:sz w:val="20"/>
                <w:szCs w:val="20"/>
              </w:rPr>
            </w:pPr>
            <w:r w:rsidRPr="00F85073">
              <w:rPr>
                <w:sz w:val="20"/>
                <w:szCs w:val="20"/>
              </w:rPr>
              <w:t>20 (30.3)</w:t>
            </w:r>
          </w:p>
        </w:tc>
        <w:tc>
          <w:tcPr>
            <w:tcW w:w="1072" w:type="dxa"/>
            <w:vAlign w:val="center"/>
          </w:tcPr>
          <w:p w14:paraId="1E80C589" w14:textId="77777777" w:rsidR="00F85073" w:rsidRPr="00F85073" w:rsidRDefault="00F85073" w:rsidP="00F85073">
            <w:pPr>
              <w:jc w:val="center"/>
              <w:rPr>
                <w:sz w:val="20"/>
                <w:szCs w:val="20"/>
              </w:rPr>
            </w:pPr>
            <w:r w:rsidRPr="00F85073">
              <w:rPr>
                <w:sz w:val="20"/>
                <w:szCs w:val="20"/>
              </w:rPr>
              <w:t>22 (33.3)</w:t>
            </w:r>
          </w:p>
        </w:tc>
        <w:tc>
          <w:tcPr>
            <w:tcW w:w="1038" w:type="dxa"/>
            <w:vAlign w:val="center"/>
          </w:tcPr>
          <w:p w14:paraId="4D26D370" w14:textId="77777777" w:rsidR="00F85073" w:rsidRPr="00F85073" w:rsidRDefault="00F85073" w:rsidP="00F85073">
            <w:pPr>
              <w:jc w:val="center"/>
              <w:rPr>
                <w:sz w:val="20"/>
                <w:szCs w:val="20"/>
              </w:rPr>
            </w:pPr>
            <w:r w:rsidRPr="00F85073">
              <w:rPr>
                <w:sz w:val="20"/>
                <w:szCs w:val="20"/>
              </w:rPr>
              <w:t>5 (7.6)</w:t>
            </w:r>
          </w:p>
        </w:tc>
        <w:tc>
          <w:tcPr>
            <w:tcW w:w="855" w:type="dxa"/>
            <w:vMerge w:val="restart"/>
            <w:vAlign w:val="center"/>
          </w:tcPr>
          <w:p w14:paraId="658A5224" w14:textId="77777777" w:rsidR="00F85073" w:rsidRPr="00F85073" w:rsidRDefault="00F85073" w:rsidP="00F85073">
            <w:pPr>
              <w:jc w:val="center"/>
              <w:rPr>
                <w:i/>
                <w:iCs/>
                <w:sz w:val="20"/>
                <w:szCs w:val="20"/>
              </w:rPr>
            </w:pPr>
            <w:r w:rsidRPr="00F85073">
              <w:rPr>
                <w:i/>
                <w:iCs/>
                <w:sz w:val="20"/>
                <w:szCs w:val="20"/>
              </w:rPr>
              <w:t>0.157</w:t>
            </w:r>
          </w:p>
        </w:tc>
      </w:tr>
      <w:tr w:rsidR="00F85073" w:rsidRPr="00F85073" w14:paraId="49472421" w14:textId="77777777" w:rsidTr="00F85073">
        <w:tc>
          <w:tcPr>
            <w:tcW w:w="420" w:type="dxa"/>
            <w:vMerge/>
            <w:vAlign w:val="center"/>
          </w:tcPr>
          <w:p w14:paraId="300B844C" w14:textId="77777777" w:rsidR="00F85073" w:rsidRPr="00F85073" w:rsidRDefault="00F85073" w:rsidP="00F85073">
            <w:pPr>
              <w:jc w:val="center"/>
              <w:rPr>
                <w:sz w:val="20"/>
                <w:szCs w:val="20"/>
              </w:rPr>
            </w:pPr>
          </w:p>
        </w:tc>
        <w:tc>
          <w:tcPr>
            <w:tcW w:w="2269" w:type="dxa"/>
            <w:vMerge/>
            <w:vAlign w:val="center"/>
          </w:tcPr>
          <w:p w14:paraId="44DF2A8E" w14:textId="77777777" w:rsidR="00F85073" w:rsidRPr="00F85073" w:rsidRDefault="00F85073" w:rsidP="00F85073">
            <w:pPr>
              <w:jc w:val="center"/>
              <w:rPr>
                <w:sz w:val="20"/>
                <w:szCs w:val="20"/>
              </w:rPr>
            </w:pPr>
          </w:p>
        </w:tc>
        <w:tc>
          <w:tcPr>
            <w:tcW w:w="609" w:type="dxa"/>
            <w:vMerge/>
            <w:vAlign w:val="center"/>
          </w:tcPr>
          <w:p w14:paraId="40706659" w14:textId="77777777" w:rsidR="00F85073" w:rsidRPr="00F85073" w:rsidRDefault="00F85073" w:rsidP="00F85073">
            <w:pPr>
              <w:jc w:val="center"/>
              <w:rPr>
                <w:sz w:val="20"/>
                <w:szCs w:val="20"/>
              </w:rPr>
            </w:pPr>
          </w:p>
        </w:tc>
        <w:tc>
          <w:tcPr>
            <w:tcW w:w="667" w:type="dxa"/>
            <w:vAlign w:val="center"/>
          </w:tcPr>
          <w:p w14:paraId="3313393A"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03873832" w14:textId="77777777" w:rsidR="00F85073" w:rsidRPr="00F85073" w:rsidRDefault="00F85073" w:rsidP="00F85073">
            <w:pPr>
              <w:jc w:val="center"/>
              <w:rPr>
                <w:sz w:val="20"/>
                <w:szCs w:val="20"/>
              </w:rPr>
            </w:pPr>
            <w:r w:rsidRPr="00F85073">
              <w:rPr>
                <w:sz w:val="20"/>
                <w:szCs w:val="20"/>
              </w:rPr>
              <w:t>81 (32.7)</w:t>
            </w:r>
          </w:p>
        </w:tc>
        <w:tc>
          <w:tcPr>
            <w:tcW w:w="1210" w:type="dxa"/>
            <w:vAlign w:val="center"/>
          </w:tcPr>
          <w:p w14:paraId="75838CA2" w14:textId="77777777" w:rsidR="00F85073" w:rsidRPr="00F85073" w:rsidRDefault="00F85073" w:rsidP="00F85073">
            <w:pPr>
              <w:jc w:val="center"/>
              <w:rPr>
                <w:sz w:val="20"/>
                <w:szCs w:val="20"/>
              </w:rPr>
            </w:pPr>
            <w:r w:rsidRPr="00F85073">
              <w:rPr>
                <w:sz w:val="20"/>
                <w:szCs w:val="20"/>
              </w:rPr>
              <w:t>100 (40.3)</w:t>
            </w:r>
          </w:p>
        </w:tc>
        <w:tc>
          <w:tcPr>
            <w:tcW w:w="1072" w:type="dxa"/>
            <w:vAlign w:val="center"/>
          </w:tcPr>
          <w:p w14:paraId="52B72513" w14:textId="77777777" w:rsidR="00F85073" w:rsidRPr="00F85073" w:rsidRDefault="00F85073" w:rsidP="00F85073">
            <w:pPr>
              <w:jc w:val="center"/>
              <w:rPr>
                <w:sz w:val="20"/>
                <w:szCs w:val="20"/>
              </w:rPr>
            </w:pPr>
            <w:r w:rsidRPr="00F85073">
              <w:rPr>
                <w:sz w:val="20"/>
                <w:szCs w:val="20"/>
              </w:rPr>
              <w:t>57 (23)</w:t>
            </w:r>
          </w:p>
        </w:tc>
        <w:tc>
          <w:tcPr>
            <w:tcW w:w="1038" w:type="dxa"/>
            <w:vAlign w:val="center"/>
          </w:tcPr>
          <w:p w14:paraId="57163E6A" w14:textId="77777777" w:rsidR="00F85073" w:rsidRPr="00F85073" w:rsidRDefault="00F85073" w:rsidP="00F85073">
            <w:pPr>
              <w:jc w:val="center"/>
              <w:rPr>
                <w:sz w:val="20"/>
                <w:szCs w:val="20"/>
              </w:rPr>
            </w:pPr>
            <w:r w:rsidRPr="00F85073">
              <w:rPr>
                <w:sz w:val="20"/>
                <w:szCs w:val="20"/>
              </w:rPr>
              <w:t>10 (4)</w:t>
            </w:r>
          </w:p>
        </w:tc>
        <w:tc>
          <w:tcPr>
            <w:tcW w:w="855" w:type="dxa"/>
            <w:vMerge/>
            <w:vAlign w:val="center"/>
          </w:tcPr>
          <w:p w14:paraId="0B6553A9" w14:textId="77777777" w:rsidR="00F85073" w:rsidRPr="00F85073" w:rsidRDefault="00F85073" w:rsidP="00F85073">
            <w:pPr>
              <w:jc w:val="center"/>
              <w:rPr>
                <w:i/>
                <w:iCs/>
              </w:rPr>
            </w:pPr>
          </w:p>
        </w:tc>
      </w:tr>
      <w:tr w:rsidR="00F85073" w:rsidRPr="00F85073" w14:paraId="0C40E2C1" w14:textId="77777777" w:rsidTr="00F85073">
        <w:tc>
          <w:tcPr>
            <w:tcW w:w="420" w:type="dxa"/>
            <w:vMerge w:val="restart"/>
            <w:vAlign w:val="center"/>
          </w:tcPr>
          <w:p w14:paraId="4941E67F" w14:textId="77777777" w:rsidR="00F85073" w:rsidRPr="00F85073" w:rsidRDefault="00F85073" w:rsidP="00F85073">
            <w:pPr>
              <w:pStyle w:val="NormalWeb"/>
              <w:jc w:val="center"/>
              <w:rPr>
                <w:rFonts w:eastAsia="TimesNewRomanPSMT"/>
                <w:sz w:val="20"/>
                <w:szCs w:val="20"/>
              </w:rPr>
            </w:pPr>
            <w:r w:rsidRPr="00F85073">
              <w:rPr>
                <w:rFonts w:eastAsia="TimesNewRomanPSMT"/>
                <w:sz w:val="20"/>
                <w:szCs w:val="20"/>
              </w:rPr>
              <w:t>8</w:t>
            </w:r>
          </w:p>
        </w:tc>
        <w:tc>
          <w:tcPr>
            <w:tcW w:w="2269" w:type="dxa"/>
            <w:vMerge w:val="restart"/>
            <w:vAlign w:val="center"/>
          </w:tcPr>
          <w:p w14:paraId="00346E2F" w14:textId="77777777" w:rsidR="00F85073" w:rsidRPr="00F85073" w:rsidRDefault="00F85073" w:rsidP="00F85073">
            <w:pPr>
              <w:pStyle w:val="NormalWeb"/>
              <w:jc w:val="center"/>
              <w:rPr>
                <w:sz w:val="20"/>
                <w:szCs w:val="20"/>
              </w:rPr>
            </w:pPr>
            <w:r w:rsidRPr="00F85073">
              <w:rPr>
                <w:rFonts w:eastAsia="TimesNewRomanPSMT"/>
                <w:sz w:val="20"/>
                <w:szCs w:val="20"/>
              </w:rPr>
              <w:t>Walking around in the neighbourhood</w:t>
            </w:r>
          </w:p>
        </w:tc>
        <w:tc>
          <w:tcPr>
            <w:tcW w:w="609" w:type="dxa"/>
            <w:vMerge w:val="restart"/>
            <w:vAlign w:val="center"/>
          </w:tcPr>
          <w:p w14:paraId="76739E98" w14:textId="77777777" w:rsidR="00F85073" w:rsidRPr="00F85073" w:rsidRDefault="00F85073" w:rsidP="00F85073">
            <w:pPr>
              <w:jc w:val="center"/>
              <w:rPr>
                <w:sz w:val="20"/>
                <w:szCs w:val="20"/>
              </w:rPr>
            </w:pPr>
            <w:r w:rsidRPr="00F85073">
              <w:rPr>
                <w:sz w:val="20"/>
                <w:szCs w:val="20"/>
              </w:rPr>
              <w:t>OH1</w:t>
            </w:r>
          </w:p>
        </w:tc>
        <w:tc>
          <w:tcPr>
            <w:tcW w:w="667" w:type="dxa"/>
            <w:vAlign w:val="center"/>
          </w:tcPr>
          <w:p w14:paraId="4C981CCA"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02954515" w14:textId="77777777" w:rsidR="00F85073" w:rsidRPr="00F85073" w:rsidRDefault="00F85073" w:rsidP="00F85073">
            <w:pPr>
              <w:jc w:val="center"/>
              <w:rPr>
                <w:sz w:val="20"/>
                <w:szCs w:val="20"/>
              </w:rPr>
            </w:pPr>
            <w:r w:rsidRPr="00F85073">
              <w:rPr>
                <w:sz w:val="20"/>
                <w:szCs w:val="20"/>
              </w:rPr>
              <w:t>28 (43.8)</w:t>
            </w:r>
          </w:p>
        </w:tc>
        <w:tc>
          <w:tcPr>
            <w:tcW w:w="1210" w:type="dxa"/>
            <w:vAlign w:val="center"/>
          </w:tcPr>
          <w:p w14:paraId="3387E5FC" w14:textId="77777777" w:rsidR="00F85073" w:rsidRPr="00F85073" w:rsidRDefault="00F85073" w:rsidP="00F85073">
            <w:pPr>
              <w:jc w:val="center"/>
              <w:rPr>
                <w:sz w:val="20"/>
                <w:szCs w:val="20"/>
              </w:rPr>
            </w:pPr>
            <w:r w:rsidRPr="00F85073">
              <w:rPr>
                <w:sz w:val="20"/>
                <w:szCs w:val="20"/>
              </w:rPr>
              <w:t>28 (43.8)</w:t>
            </w:r>
          </w:p>
        </w:tc>
        <w:tc>
          <w:tcPr>
            <w:tcW w:w="1072" w:type="dxa"/>
            <w:vAlign w:val="center"/>
          </w:tcPr>
          <w:p w14:paraId="7F8EC698" w14:textId="77777777" w:rsidR="00F85073" w:rsidRPr="00F85073" w:rsidRDefault="00F85073" w:rsidP="00F85073">
            <w:pPr>
              <w:jc w:val="center"/>
              <w:rPr>
                <w:sz w:val="20"/>
                <w:szCs w:val="20"/>
              </w:rPr>
            </w:pPr>
            <w:r w:rsidRPr="00F85073">
              <w:rPr>
                <w:sz w:val="20"/>
                <w:szCs w:val="20"/>
              </w:rPr>
              <w:t>5 (7.8)</w:t>
            </w:r>
          </w:p>
        </w:tc>
        <w:tc>
          <w:tcPr>
            <w:tcW w:w="1038" w:type="dxa"/>
            <w:vAlign w:val="center"/>
          </w:tcPr>
          <w:p w14:paraId="2365A217" w14:textId="77777777" w:rsidR="00F85073" w:rsidRPr="00F85073" w:rsidRDefault="00F85073" w:rsidP="00F85073">
            <w:pPr>
              <w:jc w:val="center"/>
              <w:rPr>
                <w:sz w:val="20"/>
                <w:szCs w:val="20"/>
              </w:rPr>
            </w:pPr>
            <w:r w:rsidRPr="00F85073">
              <w:rPr>
                <w:sz w:val="20"/>
                <w:szCs w:val="20"/>
              </w:rPr>
              <w:t>3 (4.7)</w:t>
            </w:r>
          </w:p>
        </w:tc>
        <w:tc>
          <w:tcPr>
            <w:tcW w:w="855" w:type="dxa"/>
            <w:vMerge w:val="restart"/>
            <w:vAlign w:val="center"/>
          </w:tcPr>
          <w:p w14:paraId="0D08235A" w14:textId="77777777" w:rsidR="00F85073" w:rsidRPr="00F85073" w:rsidRDefault="00F85073" w:rsidP="00F85073">
            <w:pPr>
              <w:jc w:val="center"/>
              <w:rPr>
                <w:b/>
                <w:bCs/>
                <w:i/>
                <w:iCs/>
                <w:sz w:val="20"/>
                <w:szCs w:val="20"/>
              </w:rPr>
            </w:pPr>
            <w:r w:rsidRPr="00F85073">
              <w:rPr>
                <w:b/>
                <w:bCs/>
                <w:i/>
                <w:iCs/>
                <w:sz w:val="20"/>
                <w:szCs w:val="20"/>
              </w:rPr>
              <w:t>0.008</w:t>
            </w:r>
          </w:p>
        </w:tc>
      </w:tr>
      <w:tr w:rsidR="00F85073" w:rsidRPr="00F85073" w14:paraId="3293FD01" w14:textId="77777777" w:rsidTr="00F85073">
        <w:tc>
          <w:tcPr>
            <w:tcW w:w="420" w:type="dxa"/>
            <w:vMerge/>
            <w:vAlign w:val="center"/>
          </w:tcPr>
          <w:p w14:paraId="3047BC4A" w14:textId="77777777" w:rsidR="00F85073" w:rsidRPr="00F85073" w:rsidRDefault="00F85073" w:rsidP="00F85073">
            <w:pPr>
              <w:jc w:val="center"/>
              <w:rPr>
                <w:sz w:val="20"/>
                <w:szCs w:val="20"/>
              </w:rPr>
            </w:pPr>
          </w:p>
        </w:tc>
        <w:tc>
          <w:tcPr>
            <w:tcW w:w="2269" w:type="dxa"/>
            <w:vMerge/>
            <w:vAlign w:val="center"/>
          </w:tcPr>
          <w:p w14:paraId="4B0F22DF" w14:textId="77777777" w:rsidR="00F85073" w:rsidRPr="00F85073" w:rsidRDefault="00F85073" w:rsidP="00F85073">
            <w:pPr>
              <w:jc w:val="center"/>
              <w:rPr>
                <w:sz w:val="20"/>
                <w:szCs w:val="20"/>
              </w:rPr>
            </w:pPr>
          </w:p>
        </w:tc>
        <w:tc>
          <w:tcPr>
            <w:tcW w:w="609" w:type="dxa"/>
            <w:vMerge/>
            <w:vAlign w:val="center"/>
          </w:tcPr>
          <w:p w14:paraId="1EB9A380" w14:textId="77777777" w:rsidR="00F85073" w:rsidRPr="00F85073" w:rsidRDefault="00F85073" w:rsidP="00F85073">
            <w:pPr>
              <w:jc w:val="center"/>
              <w:rPr>
                <w:sz w:val="20"/>
                <w:szCs w:val="20"/>
              </w:rPr>
            </w:pPr>
          </w:p>
        </w:tc>
        <w:tc>
          <w:tcPr>
            <w:tcW w:w="667" w:type="dxa"/>
            <w:vAlign w:val="center"/>
          </w:tcPr>
          <w:p w14:paraId="52C21AD9"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7B8CDD41" w14:textId="77777777" w:rsidR="00F85073" w:rsidRPr="00F85073" w:rsidRDefault="00F85073" w:rsidP="00F85073">
            <w:pPr>
              <w:jc w:val="center"/>
              <w:rPr>
                <w:sz w:val="20"/>
                <w:szCs w:val="20"/>
              </w:rPr>
            </w:pPr>
            <w:r w:rsidRPr="00F85073">
              <w:rPr>
                <w:sz w:val="20"/>
                <w:szCs w:val="20"/>
              </w:rPr>
              <w:t>147 (58.8)</w:t>
            </w:r>
          </w:p>
        </w:tc>
        <w:tc>
          <w:tcPr>
            <w:tcW w:w="1210" w:type="dxa"/>
            <w:vAlign w:val="center"/>
          </w:tcPr>
          <w:p w14:paraId="6611126D" w14:textId="77777777" w:rsidR="00F85073" w:rsidRPr="00F85073" w:rsidRDefault="00F85073" w:rsidP="00F85073">
            <w:pPr>
              <w:jc w:val="center"/>
              <w:rPr>
                <w:sz w:val="20"/>
                <w:szCs w:val="20"/>
              </w:rPr>
            </w:pPr>
            <w:r w:rsidRPr="00F85073">
              <w:rPr>
                <w:sz w:val="20"/>
                <w:szCs w:val="20"/>
              </w:rPr>
              <w:t>70 (28)</w:t>
            </w:r>
          </w:p>
        </w:tc>
        <w:tc>
          <w:tcPr>
            <w:tcW w:w="1072" w:type="dxa"/>
            <w:vAlign w:val="center"/>
          </w:tcPr>
          <w:p w14:paraId="37FCDDB4" w14:textId="77777777" w:rsidR="00F85073" w:rsidRPr="00F85073" w:rsidRDefault="00F85073" w:rsidP="00F85073">
            <w:pPr>
              <w:jc w:val="center"/>
              <w:rPr>
                <w:sz w:val="20"/>
                <w:szCs w:val="20"/>
              </w:rPr>
            </w:pPr>
            <w:r w:rsidRPr="00F85073">
              <w:rPr>
                <w:sz w:val="20"/>
                <w:szCs w:val="20"/>
              </w:rPr>
              <w:t>31 (12.4)</w:t>
            </w:r>
          </w:p>
        </w:tc>
        <w:tc>
          <w:tcPr>
            <w:tcW w:w="1038" w:type="dxa"/>
            <w:vAlign w:val="center"/>
          </w:tcPr>
          <w:p w14:paraId="7AD210C3" w14:textId="77777777" w:rsidR="00F85073" w:rsidRPr="00F85073" w:rsidRDefault="00F85073" w:rsidP="00F85073">
            <w:pPr>
              <w:jc w:val="center"/>
              <w:rPr>
                <w:sz w:val="20"/>
                <w:szCs w:val="20"/>
              </w:rPr>
            </w:pPr>
            <w:r w:rsidRPr="00F85073">
              <w:rPr>
                <w:sz w:val="20"/>
                <w:szCs w:val="20"/>
              </w:rPr>
              <w:t>2 (0.8)</w:t>
            </w:r>
          </w:p>
        </w:tc>
        <w:tc>
          <w:tcPr>
            <w:tcW w:w="855" w:type="dxa"/>
            <w:vMerge/>
            <w:vAlign w:val="center"/>
          </w:tcPr>
          <w:p w14:paraId="67DA08E4" w14:textId="77777777" w:rsidR="00F85073" w:rsidRPr="00F85073" w:rsidRDefault="00F85073" w:rsidP="00F85073">
            <w:pPr>
              <w:jc w:val="center"/>
              <w:rPr>
                <w:i/>
                <w:iCs/>
              </w:rPr>
            </w:pPr>
          </w:p>
        </w:tc>
      </w:tr>
      <w:tr w:rsidR="00F85073" w:rsidRPr="00F85073" w14:paraId="7447263B" w14:textId="77777777" w:rsidTr="00F85073">
        <w:tc>
          <w:tcPr>
            <w:tcW w:w="420" w:type="dxa"/>
            <w:vMerge/>
            <w:vAlign w:val="center"/>
          </w:tcPr>
          <w:p w14:paraId="725DD199" w14:textId="77777777" w:rsidR="00F85073" w:rsidRPr="00F85073" w:rsidRDefault="00F85073" w:rsidP="00F85073">
            <w:pPr>
              <w:jc w:val="center"/>
              <w:rPr>
                <w:sz w:val="20"/>
                <w:szCs w:val="20"/>
              </w:rPr>
            </w:pPr>
          </w:p>
        </w:tc>
        <w:tc>
          <w:tcPr>
            <w:tcW w:w="2269" w:type="dxa"/>
            <w:vMerge/>
            <w:vAlign w:val="center"/>
          </w:tcPr>
          <w:p w14:paraId="143ECA4E" w14:textId="77777777" w:rsidR="00F85073" w:rsidRPr="00F85073" w:rsidRDefault="00F85073" w:rsidP="00F85073">
            <w:pPr>
              <w:jc w:val="center"/>
              <w:rPr>
                <w:sz w:val="20"/>
                <w:szCs w:val="20"/>
              </w:rPr>
            </w:pPr>
          </w:p>
        </w:tc>
        <w:tc>
          <w:tcPr>
            <w:tcW w:w="609" w:type="dxa"/>
            <w:vMerge w:val="restart"/>
            <w:vAlign w:val="center"/>
          </w:tcPr>
          <w:p w14:paraId="47E3BF38" w14:textId="77777777" w:rsidR="00F85073" w:rsidRPr="00F85073" w:rsidRDefault="00F85073" w:rsidP="00F85073">
            <w:pPr>
              <w:jc w:val="center"/>
              <w:rPr>
                <w:sz w:val="20"/>
                <w:szCs w:val="20"/>
              </w:rPr>
            </w:pPr>
            <w:r w:rsidRPr="00F85073">
              <w:rPr>
                <w:sz w:val="20"/>
                <w:szCs w:val="20"/>
              </w:rPr>
              <w:t>OH3</w:t>
            </w:r>
          </w:p>
        </w:tc>
        <w:tc>
          <w:tcPr>
            <w:tcW w:w="667" w:type="dxa"/>
            <w:vAlign w:val="center"/>
          </w:tcPr>
          <w:p w14:paraId="072B999E"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2EB106CF" w14:textId="77777777" w:rsidR="00F85073" w:rsidRPr="00F85073" w:rsidRDefault="00F85073" w:rsidP="00F85073">
            <w:pPr>
              <w:jc w:val="center"/>
              <w:rPr>
                <w:sz w:val="20"/>
                <w:szCs w:val="20"/>
              </w:rPr>
            </w:pPr>
            <w:r w:rsidRPr="00F85073">
              <w:rPr>
                <w:sz w:val="20"/>
                <w:szCs w:val="20"/>
              </w:rPr>
              <w:t>26 (39.4)</w:t>
            </w:r>
          </w:p>
        </w:tc>
        <w:tc>
          <w:tcPr>
            <w:tcW w:w="1210" w:type="dxa"/>
            <w:vAlign w:val="center"/>
          </w:tcPr>
          <w:p w14:paraId="585F06D1" w14:textId="77777777" w:rsidR="00F85073" w:rsidRPr="00F85073" w:rsidRDefault="00F85073" w:rsidP="00F85073">
            <w:pPr>
              <w:jc w:val="center"/>
              <w:rPr>
                <w:sz w:val="20"/>
                <w:szCs w:val="20"/>
              </w:rPr>
            </w:pPr>
            <w:r w:rsidRPr="00F85073">
              <w:rPr>
                <w:sz w:val="20"/>
                <w:szCs w:val="20"/>
              </w:rPr>
              <w:t>24 (36.4)</w:t>
            </w:r>
          </w:p>
        </w:tc>
        <w:tc>
          <w:tcPr>
            <w:tcW w:w="1072" w:type="dxa"/>
            <w:vAlign w:val="center"/>
          </w:tcPr>
          <w:p w14:paraId="5095750A" w14:textId="77777777" w:rsidR="00F85073" w:rsidRPr="00F85073" w:rsidRDefault="00F85073" w:rsidP="00F85073">
            <w:pPr>
              <w:jc w:val="center"/>
              <w:rPr>
                <w:sz w:val="20"/>
                <w:szCs w:val="20"/>
              </w:rPr>
            </w:pPr>
            <w:r w:rsidRPr="00F85073">
              <w:rPr>
                <w:sz w:val="20"/>
                <w:szCs w:val="20"/>
              </w:rPr>
              <w:t>14 (21.2)</w:t>
            </w:r>
          </w:p>
        </w:tc>
        <w:tc>
          <w:tcPr>
            <w:tcW w:w="1038" w:type="dxa"/>
            <w:vAlign w:val="center"/>
          </w:tcPr>
          <w:p w14:paraId="10B7D6CE" w14:textId="77777777" w:rsidR="00F85073" w:rsidRPr="00F85073" w:rsidRDefault="00F85073" w:rsidP="00F85073">
            <w:pPr>
              <w:jc w:val="center"/>
              <w:rPr>
                <w:sz w:val="20"/>
                <w:szCs w:val="20"/>
              </w:rPr>
            </w:pPr>
            <w:r w:rsidRPr="00F85073">
              <w:rPr>
                <w:sz w:val="20"/>
                <w:szCs w:val="20"/>
              </w:rPr>
              <w:t>2 (3)</w:t>
            </w:r>
          </w:p>
        </w:tc>
        <w:tc>
          <w:tcPr>
            <w:tcW w:w="855" w:type="dxa"/>
            <w:vMerge w:val="restart"/>
            <w:vAlign w:val="center"/>
          </w:tcPr>
          <w:p w14:paraId="77B84BF6" w14:textId="77777777" w:rsidR="00F85073" w:rsidRPr="00F85073" w:rsidRDefault="00F85073" w:rsidP="00F85073">
            <w:pPr>
              <w:jc w:val="center"/>
              <w:rPr>
                <w:b/>
                <w:bCs/>
                <w:i/>
                <w:iCs/>
                <w:sz w:val="20"/>
                <w:szCs w:val="20"/>
              </w:rPr>
            </w:pPr>
            <w:r w:rsidRPr="00F85073">
              <w:rPr>
                <w:b/>
                <w:bCs/>
                <w:i/>
                <w:iCs/>
                <w:sz w:val="20"/>
                <w:szCs w:val="20"/>
              </w:rPr>
              <w:t>0.005</w:t>
            </w:r>
          </w:p>
        </w:tc>
      </w:tr>
      <w:tr w:rsidR="00F85073" w:rsidRPr="00F85073" w14:paraId="3BD9584F" w14:textId="77777777" w:rsidTr="00F85073">
        <w:tc>
          <w:tcPr>
            <w:tcW w:w="420" w:type="dxa"/>
            <w:vMerge/>
            <w:vAlign w:val="center"/>
          </w:tcPr>
          <w:p w14:paraId="6892AE07" w14:textId="77777777" w:rsidR="00F85073" w:rsidRPr="00F85073" w:rsidRDefault="00F85073" w:rsidP="00F85073">
            <w:pPr>
              <w:jc w:val="center"/>
              <w:rPr>
                <w:sz w:val="20"/>
                <w:szCs w:val="20"/>
              </w:rPr>
            </w:pPr>
          </w:p>
        </w:tc>
        <w:tc>
          <w:tcPr>
            <w:tcW w:w="2269" w:type="dxa"/>
            <w:vMerge/>
            <w:vAlign w:val="center"/>
          </w:tcPr>
          <w:p w14:paraId="5E2B217A" w14:textId="77777777" w:rsidR="00F85073" w:rsidRPr="00F85073" w:rsidRDefault="00F85073" w:rsidP="00F85073">
            <w:pPr>
              <w:jc w:val="center"/>
              <w:rPr>
                <w:sz w:val="20"/>
                <w:szCs w:val="20"/>
              </w:rPr>
            </w:pPr>
          </w:p>
        </w:tc>
        <w:tc>
          <w:tcPr>
            <w:tcW w:w="609" w:type="dxa"/>
            <w:vMerge/>
            <w:vAlign w:val="center"/>
          </w:tcPr>
          <w:p w14:paraId="37B0247B" w14:textId="77777777" w:rsidR="00F85073" w:rsidRPr="00F85073" w:rsidRDefault="00F85073" w:rsidP="00F85073">
            <w:pPr>
              <w:jc w:val="center"/>
              <w:rPr>
                <w:sz w:val="20"/>
                <w:szCs w:val="20"/>
              </w:rPr>
            </w:pPr>
          </w:p>
        </w:tc>
        <w:tc>
          <w:tcPr>
            <w:tcW w:w="667" w:type="dxa"/>
            <w:vAlign w:val="center"/>
          </w:tcPr>
          <w:p w14:paraId="7B745062"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383CA74E" w14:textId="77777777" w:rsidR="00F85073" w:rsidRPr="00F85073" w:rsidRDefault="00F85073" w:rsidP="00F85073">
            <w:pPr>
              <w:jc w:val="center"/>
              <w:rPr>
                <w:sz w:val="20"/>
                <w:szCs w:val="20"/>
              </w:rPr>
            </w:pPr>
            <w:r w:rsidRPr="00F85073">
              <w:rPr>
                <w:sz w:val="20"/>
                <w:szCs w:val="20"/>
              </w:rPr>
              <w:t>149 (60.1)</w:t>
            </w:r>
          </w:p>
        </w:tc>
        <w:tc>
          <w:tcPr>
            <w:tcW w:w="1210" w:type="dxa"/>
            <w:vAlign w:val="center"/>
          </w:tcPr>
          <w:p w14:paraId="09EB1DCD" w14:textId="77777777" w:rsidR="00F85073" w:rsidRPr="00F85073" w:rsidRDefault="00F85073" w:rsidP="00F85073">
            <w:pPr>
              <w:jc w:val="center"/>
              <w:rPr>
                <w:sz w:val="20"/>
                <w:szCs w:val="20"/>
              </w:rPr>
            </w:pPr>
            <w:r w:rsidRPr="00F85073">
              <w:rPr>
                <w:sz w:val="20"/>
                <w:szCs w:val="20"/>
              </w:rPr>
              <w:t>74 (29.8)</w:t>
            </w:r>
          </w:p>
        </w:tc>
        <w:tc>
          <w:tcPr>
            <w:tcW w:w="1072" w:type="dxa"/>
            <w:vAlign w:val="center"/>
          </w:tcPr>
          <w:p w14:paraId="1BE2F95F" w14:textId="77777777" w:rsidR="00F85073" w:rsidRPr="00F85073" w:rsidRDefault="00F85073" w:rsidP="00F85073">
            <w:pPr>
              <w:jc w:val="center"/>
              <w:rPr>
                <w:sz w:val="20"/>
                <w:szCs w:val="20"/>
              </w:rPr>
            </w:pPr>
            <w:r w:rsidRPr="00F85073">
              <w:rPr>
                <w:sz w:val="20"/>
                <w:szCs w:val="20"/>
              </w:rPr>
              <w:t>22 (8.9)</w:t>
            </w:r>
          </w:p>
        </w:tc>
        <w:tc>
          <w:tcPr>
            <w:tcW w:w="1038" w:type="dxa"/>
            <w:vAlign w:val="center"/>
          </w:tcPr>
          <w:p w14:paraId="6D857851" w14:textId="77777777" w:rsidR="00F85073" w:rsidRPr="00F85073" w:rsidRDefault="00F85073" w:rsidP="00F85073">
            <w:pPr>
              <w:jc w:val="center"/>
              <w:rPr>
                <w:sz w:val="20"/>
                <w:szCs w:val="20"/>
              </w:rPr>
            </w:pPr>
            <w:r w:rsidRPr="00F85073">
              <w:rPr>
                <w:sz w:val="20"/>
                <w:szCs w:val="20"/>
              </w:rPr>
              <w:t>3 (1.2)</w:t>
            </w:r>
          </w:p>
        </w:tc>
        <w:tc>
          <w:tcPr>
            <w:tcW w:w="855" w:type="dxa"/>
            <w:vMerge/>
            <w:vAlign w:val="center"/>
          </w:tcPr>
          <w:p w14:paraId="3465AE38" w14:textId="77777777" w:rsidR="00F85073" w:rsidRPr="00F85073" w:rsidRDefault="00F85073" w:rsidP="00F85073">
            <w:pPr>
              <w:jc w:val="center"/>
              <w:rPr>
                <w:i/>
                <w:iCs/>
              </w:rPr>
            </w:pPr>
          </w:p>
        </w:tc>
      </w:tr>
      <w:tr w:rsidR="00F85073" w:rsidRPr="00F85073" w14:paraId="706738D4" w14:textId="77777777" w:rsidTr="00F85073">
        <w:tc>
          <w:tcPr>
            <w:tcW w:w="420" w:type="dxa"/>
            <w:vMerge w:val="restart"/>
            <w:vAlign w:val="center"/>
          </w:tcPr>
          <w:p w14:paraId="1C1DB0DC" w14:textId="77777777" w:rsidR="00F85073" w:rsidRPr="00F85073" w:rsidRDefault="00F85073" w:rsidP="00F85073">
            <w:pPr>
              <w:pStyle w:val="NormalWeb"/>
              <w:jc w:val="center"/>
              <w:rPr>
                <w:rFonts w:eastAsia="TimesNewRomanPSMT"/>
                <w:sz w:val="20"/>
                <w:szCs w:val="20"/>
              </w:rPr>
            </w:pPr>
            <w:r w:rsidRPr="00F85073">
              <w:rPr>
                <w:rFonts w:eastAsia="TimesNewRomanPSMT"/>
                <w:sz w:val="20"/>
                <w:szCs w:val="20"/>
              </w:rPr>
              <w:t>9</w:t>
            </w:r>
          </w:p>
        </w:tc>
        <w:tc>
          <w:tcPr>
            <w:tcW w:w="2269" w:type="dxa"/>
            <w:vMerge w:val="restart"/>
            <w:vAlign w:val="center"/>
          </w:tcPr>
          <w:p w14:paraId="3A169973" w14:textId="77777777" w:rsidR="00F85073" w:rsidRPr="00F85073" w:rsidRDefault="00F85073" w:rsidP="00F85073">
            <w:pPr>
              <w:pStyle w:val="NormalWeb"/>
              <w:jc w:val="center"/>
              <w:rPr>
                <w:sz w:val="20"/>
                <w:szCs w:val="20"/>
              </w:rPr>
            </w:pPr>
            <w:r w:rsidRPr="00F85073">
              <w:rPr>
                <w:rFonts w:eastAsia="TimesNewRomanPSMT"/>
                <w:sz w:val="20"/>
                <w:szCs w:val="20"/>
              </w:rPr>
              <w:t>Reaching for something above your head or on the ground</w:t>
            </w:r>
          </w:p>
        </w:tc>
        <w:tc>
          <w:tcPr>
            <w:tcW w:w="609" w:type="dxa"/>
            <w:vMerge w:val="restart"/>
            <w:vAlign w:val="center"/>
          </w:tcPr>
          <w:p w14:paraId="1009AD18" w14:textId="77777777" w:rsidR="00F85073" w:rsidRPr="00F85073" w:rsidRDefault="00F85073" w:rsidP="00F85073">
            <w:pPr>
              <w:jc w:val="center"/>
              <w:rPr>
                <w:sz w:val="20"/>
                <w:szCs w:val="20"/>
              </w:rPr>
            </w:pPr>
            <w:r w:rsidRPr="00F85073">
              <w:rPr>
                <w:sz w:val="20"/>
                <w:szCs w:val="20"/>
              </w:rPr>
              <w:t>OH1</w:t>
            </w:r>
          </w:p>
        </w:tc>
        <w:tc>
          <w:tcPr>
            <w:tcW w:w="667" w:type="dxa"/>
            <w:vAlign w:val="center"/>
          </w:tcPr>
          <w:p w14:paraId="5E421CCD"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2957CF52" w14:textId="77777777" w:rsidR="00F85073" w:rsidRPr="00F85073" w:rsidRDefault="00F85073" w:rsidP="00F85073">
            <w:pPr>
              <w:jc w:val="center"/>
              <w:rPr>
                <w:sz w:val="20"/>
                <w:szCs w:val="20"/>
              </w:rPr>
            </w:pPr>
            <w:r w:rsidRPr="00F85073">
              <w:rPr>
                <w:sz w:val="20"/>
                <w:szCs w:val="20"/>
              </w:rPr>
              <w:t>26 (40.6)</w:t>
            </w:r>
          </w:p>
        </w:tc>
        <w:tc>
          <w:tcPr>
            <w:tcW w:w="1210" w:type="dxa"/>
            <w:vAlign w:val="center"/>
          </w:tcPr>
          <w:p w14:paraId="28B95761" w14:textId="77777777" w:rsidR="00F85073" w:rsidRPr="00F85073" w:rsidRDefault="00F85073" w:rsidP="00F85073">
            <w:pPr>
              <w:jc w:val="center"/>
              <w:rPr>
                <w:sz w:val="20"/>
                <w:szCs w:val="20"/>
              </w:rPr>
            </w:pPr>
            <w:r w:rsidRPr="00F85073">
              <w:rPr>
                <w:sz w:val="20"/>
                <w:szCs w:val="20"/>
              </w:rPr>
              <w:t>17 (26.6)</w:t>
            </w:r>
          </w:p>
        </w:tc>
        <w:tc>
          <w:tcPr>
            <w:tcW w:w="1072" w:type="dxa"/>
            <w:vAlign w:val="center"/>
          </w:tcPr>
          <w:p w14:paraId="6959EEDD" w14:textId="77777777" w:rsidR="00F85073" w:rsidRPr="00F85073" w:rsidRDefault="00F85073" w:rsidP="00F85073">
            <w:pPr>
              <w:jc w:val="center"/>
              <w:rPr>
                <w:sz w:val="20"/>
                <w:szCs w:val="20"/>
              </w:rPr>
            </w:pPr>
            <w:r w:rsidRPr="00F85073">
              <w:rPr>
                <w:sz w:val="20"/>
                <w:szCs w:val="20"/>
              </w:rPr>
              <w:t>17 (26.6)</w:t>
            </w:r>
          </w:p>
        </w:tc>
        <w:tc>
          <w:tcPr>
            <w:tcW w:w="1038" w:type="dxa"/>
            <w:vAlign w:val="center"/>
          </w:tcPr>
          <w:p w14:paraId="3A2D9131" w14:textId="77777777" w:rsidR="00F85073" w:rsidRPr="00F85073" w:rsidRDefault="00F85073" w:rsidP="00F85073">
            <w:pPr>
              <w:jc w:val="center"/>
              <w:rPr>
                <w:sz w:val="20"/>
                <w:szCs w:val="20"/>
              </w:rPr>
            </w:pPr>
            <w:r w:rsidRPr="00F85073">
              <w:rPr>
                <w:sz w:val="20"/>
                <w:szCs w:val="20"/>
              </w:rPr>
              <w:t>4 (6.3)</w:t>
            </w:r>
          </w:p>
        </w:tc>
        <w:tc>
          <w:tcPr>
            <w:tcW w:w="855" w:type="dxa"/>
            <w:vMerge w:val="restart"/>
            <w:vAlign w:val="center"/>
          </w:tcPr>
          <w:p w14:paraId="0127D6C7" w14:textId="77777777" w:rsidR="00F85073" w:rsidRPr="00F85073" w:rsidRDefault="00F85073" w:rsidP="00F85073">
            <w:pPr>
              <w:jc w:val="center"/>
              <w:rPr>
                <w:b/>
                <w:bCs/>
                <w:i/>
                <w:iCs/>
                <w:sz w:val="20"/>
                <w:szCs w:val="20"/>
              </w:rPr>
            </w:pPr>
            <w:r w:rsidRPr="00F85073">
              <w:rPr>
                <w:b/>
                <w:bCs/>
                <w:i/>
                <w:iCs/>
                <w:sz w:val="20"/>
                <w:szCs w:val="20"/>
              </w:rPr>
              <w:t>0.009</w:t>
            </w:r>
          </w:p>
        </w:tc>
      </w:tr>
      <w:tr w:rsidR="00F85073" w:rsidRPr="00F85073" w14:paraId="2149D284" w14:textId="77777777" w:rsidTr="00F85073">
        <w:tc>
          <w:tcPr>
            <w:tcW w:w="420" w:type="dxa"/>
            <w:vMerge/>
            <w:vAlign w:val="center"/>
          </w:tcPr>
          <w:p w14:paraId="42FC011F" w14:textId="77777777" w:rsidR="00F85073" w:rsidRPr="00F85073" w:rsidRDefault="00F85073" w:rsidP="00F85073">
            <w:pPr>
              <w:jc w:val="center"/>
              <w:rPr>
                <w:sz w:val="20"/>
                <w:szCs w:val="20"/>
              </w:rPr>
            </w:pPr>
          </w:p>
        </w:tc>
        <w:tc>
          <w:tcPr>
            <w:tcW w:w="2269" w:type="dxa"/>
            <w:vMerge/>
            <w:vAlign w:val="center"/>
          </w:tcPr>
          <w:p w14:paraId="58C3DB0D" w14:textId="77777777" w:rsidR="00F85073" w:rsidRPr="00F85073" w:rsidRDefault="00F85073" w:rsidP="00F85073">
            <w:pPr>
              <w:jc w:val="center"/>
              <w:rPr>
                <w:sz w:val="20"/>
                <w:szCs w:val="20"/>
              </w:rPr>
            </w:pPr>
          </w:p>
        </w:tc>
        <w:tc>
          <w:tcPr>
            <w:tcW w:w="609" w:type="dxa"/>
            <w:vMerge/>
            <w:vAlign w:val="center"/>
          </w:tcPr>
          <w:p w14:paraId="6CB764ED" w14:textId="77777777" w:rsidR="00F85073" w:rsidRPr="00F85073" w:rsidRDefault="00F85073" w:rsidP="00F85073">
            <w:pPr>
              <w:jc w:val="center"/>
              <w:rPr>
                <w:sz w:val="20"/>
                <w:szCs w:val="20"/>
              </w:rPr>
            </w:pPr>
          </w:p>
        </w:tc>
        <w:tc>
          <w:tcPr>
            <w:tcW w:w="667" w:type="dxa"/>
            <w:vAlign w:val="center"/>
          </w:tcPr>
          <w:p w14:paraId="52A7C4D1"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09367559" w14:textId="77777777" w:rsidR="00F85073" w:rsidRPr="00F85073" w:rsidRDefault="00F85073" w:rsidP="00F85073">
            <w:pPr>
              <w:jc w:val="center"/>
              <w:rPr>
                <w:sz w:val="20"/>
                <w:szCs w:val="20"/>
              </w:rPr>
            </w:pPr>
            <w:r w:rsidRPr="00F85073">
              <w:rPr>
                <w:sz w:val="20"/>
                <w:szCs w:val="20"/>
              </w:rPr>
              <w:t>159 (63.6)</w:t>
            </w:r>
          </w:p>
        </w:tc>
        <w:tc>
          <w:tcPr>
            <w:tcW w:w="1210" w:type="dxa"/>
            <w:vAlign w:val="center"/>
          </w:tcPr>
          <w:p w14:paraId="09408EA2" w14:textId="77777777" w:rsidR="00F85073" w:rsidRPr="00F85073" w:rsidRDefault="00F85073" w:rsidP="00F85073">
            <w:pPr>
              <w:jc w:val="center"/>
              <w:rPr>
                <w:sz w:val="20"/>
                <w:szCs w:val="20"/>
              </w:rPr>
            </w:pPr>
            <w:r w:rsidRPr="00F85073">
              <w:rPr>
                <w:sz w:val="20"/>
                <w:szCs w:val="20"/>
              </w:rPr>
              <w:t>45 (18)</w:t>
            </w:r>
          </w:p>
        </w:tc>
        <w:tc>
          <w:tcPr>
            <w:tcW w:w="1072" w:type="dxa"/>
            <w:vAlign w:val="center"/>
          </w:tcPr>
          <w:p w14:paraId="0CAC9247" w14:textId="77777777" w:rsidR="00F85073" w:rsidRPr="00F85073" w:rsidRDefault="00F85073" w:rsidP="00F85073">
            <w:pPr>
              <w:jc w:val="center"/>
              <w:rPr>
                <w:sz w:val="20"/>
                <w:szCs w:val="20"/>
              </w:rPr>
            </w:pPr>
            <w:r w:rsidRPr="00F85073">
              <w:rPr>
                <w:sz w:val="20"/>
                <w:szCs w:val="20"/>
              </w:rPr>
              <w:t>36 (14.4)</w:t>
            </w:r>
          </w:p>
        </w:tc>
        <w:tc>
          <w:tcPr>
            <w:tcW w:w="1038" w:type="dxa"/>
            <w:vAlign w:val="center"/>
          </w:tcPr>
          <w:p w14:paraId="537474D3" w14:textId="77777777" w:rsidR="00F85073" w:rsidRPr="00F85073" w:rsidRDefault="00F85073" w:rsidP="00F85073">
            <w:pPr>
              <w:jc w:val="center"/>
              <w:rPr>
                <w:sz w:val="20"/>
                <w:szCs w:val="20"/>
              </w:rPr>
            </w:pPr>
            <w:r w:rsidRPr="00F85073">
              <w:rPr>
                <w:sz w:val="20"/>
                <w:szCs w:val="20"/>
              </w:rPr>
              <w:t>10 (4)</w:t>
            </w:r>
          </w:p>
        </w:tc>
        <w:tc>
          <w:tcPr>
            <w:tcW w:w="855" w:type="dxa"/>
            <w:vMerge/>
            <w:vAlign w:val="center"/>
          </w:tcPr>
          <w:p w14:paraId="35B2A3FC" w14:textId="77777777" w:rsidR="00F85073" w:rsidRPr="00F85073" w:rsidRDefault="00F85073" w:rsidP="00F85073">
            <w:pPr>
              <w:jc w:val="center"/>
              <w:rPr>
                <w:i/>
                <w:iCs/>
              </w:rPr>
            </w:pPr>
          </w:p>
        </w:tc>
      </w:tr>
      <w:tr w:rsidR="00F85073" w:rsidRPr="00F85073" w14:paraId="2449AF4A" w14:textId="77777777" w:rsidTr="00F85073">
        <w:tc>
          <w:tcPr>
            <w:tcW w:w="420" w:type="dxa"/>
            <w:vMerge/>
            <w:vAlign w:val="center"/>
          </w:tcPr>
          <w:p w14:paraId="281DCEDF" w14:textId="77777777" w:rsidR="00F85073" w:rsidRPr="00F85073" w:rsidRDefault="00F85073" w:rsidP="00F85073">
            <w:pPr>
              <w:jc w:val="center"/>
              <w:rPr>
                <w:sz w:val="20"/>
                <w:szCs w:val="20"/>
              </w:rPr>
            </w:pPr>
          </w:p>
        </w:tc>
        <w:tc>
          <w:tcPr>
            <w:tcW w:w="2269" w:type="dxa"/>
            <w:vMerge/>
            <w:vAlign w:val="center"/>
          </w:tcPr>
          <w:p w14:paraId="1A960E57" w14:textId="77777777" w:rsidR="00F85073" w:rsidRPr="00F85073" w:rsidRDefault="00F85073" w:rsidP="00F85073">
            <w:pPr>
              <w:jc w:val="center"/>
              <w:rPr>
                <w:sz w:val="20"/>
                <w:szCs w:val="20"/>
              </w:rPr>
            </w:pPr>
          </w:p>
        </w:tc>
        <w:tc>
          <w:tcPr>
            <w:tcW w:w="609" w:type="dxa"/>
            <w:vMerge w:val="restart"/>
            <w:vAlign w:val="center"/>
          </w:tcPr>
          <w:p w14:paraId="09B0E478" w14:textId="77777777" w:rsidR="00F85073" w:rsidRPr="00F85073" w:rsidRDefault="00F85073" w:rsidP="00F85073">
            <w:pPr>
              <w:jc w:val="center"/>
              <w:rPr>
                <w:sz w:val="20"/>
                <w:szCs w:val="20"/>
              </w:rPr>
            </w:pPr>
            <w:r w:rsidRPr="00F85073">
              <w:rPr>
                <w:sz w:val="20"/>
                <w:szCs w:val="20"/>
              </w:rPr>
              <w:t>OH3</w:t>
            </w:r>
          </w:p>
        </w:tc>
        <w:tc>
          <w:tcPr>
            <w:tcW w:w="667" w:type="dxa"/>
            <w:vAlign w:val="center"/>
          </w:tcPr>
          <w:p w14:paraId="6239804C"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52FBBFFF" w14:textId="77777777" w:rsidR="00F85073" w:rsidRPr="00F85073" w:rsidRDefault="00F85073" w:rsidP="00F85073">
            <w:pPr>
              <w:jc w:val="center"/>
              <w:rPr>
                <w:sz w:val="20"/>
                <w:szCs w:val="20"/>
              </w:rPr>
            </w:pPr>
            <w:r w:rsidRPr="00F85073">
              <w:rPr>
                <w:sz w:val="20"/>
                <w:szCs w:val="20"/>
              </w:rPr>
              <w:t>25 (37.9)</w:t>
            </w:r>
          </w:p>
        </w:tc>
        <w:tc>
          <w:tcPr>
            <w:tcW w:w="1210" w:type="dxa"/>
            <w:vAlign w:val="center"/>
          </w:tcPr>
          <w:p w14:paraId="1F01720E" w14:textId="77777777" w:rsidR="00F85073" w:rsidRPr="00F85073" w:rsidRDefault="00F85073" w:rsidP="00F85073">
            <w:pPr>
              <w:jc w:val="center"/>
              <w:rPr>
                <w:sz w:val="20"/>
                <w:szCs w:val="20"/>
              </w:rPr>
            </w:pPr>
            <w:r w:rsidRPr="00F85073">
              <w:rPr>
                <w:sz w:val="20"/>
                <w:szCs w:val="20"/>
              </w:rPr>
              <w:t>21 (31.8)</w:t>
            </w:r>
          </w:p>
        </w:tc>
        <w:tc>
          <w:tcPr>
            <w:tcW w:w="1072" w:type="dxa"/>
            <w:vAlign w:val="center"/>
          </w:tcPr>
          <w:p w14:paraId="15814374" w14:textId="77777777" w:rsidR="00F85073" w:rsidRPr="00F85073" w:rsidRDefault="00F85073" w:rsidP="00F85073">
            <w:pPr>
              <w:jc w:val="center"/>
              <w:rPr>
                <w:sz w:val="20"/>
                <w:szCs w:val="20"/>
              </w:rPr>
            </w:pPr>
            <w:r w:rsidRPr="00F85073">
              <w:rPr>
                <w:sz w:val="20"/>
                <w:szCs w:val="20"/>
              </w:rPr>
              <w:t>15 (22.7)</w:t>
            </w:r>
          </w:p>
        </w:tc>
        <w:tc>
          <w:tcPr>
            <w:tcW w:w="1038" w:type="dxa"/>
            <w:vAlign w:val="center"/>
          </w:tcPr>
          <w:p w14:paraId="1B056DBE" w14:textId="77777777" w:rsidR="00F85073" w:rsidRPr="00F85073" w:rsidRDefault="00F85073" w:rsidP="00F85073">
            <w:pPr>
              <w:jc w:val="center"/>
              <w:rPr>
                <w:sz w:val="20"/>
                <w:szCs w:val="20"/>
              </w:rPr>
            </w:pPr>
            <w:r w:rsidRPr="00F85073">
              <w:rPr>
                <w:sz w:val="20"/>
                <w:szCs w:val="20"/>
              </w:rPr>
              <w:t>5 (7.6)</w:t>
            </w:r>
          </w:p>
        </w:tc>
        <w:tc>
          <w:tcPr>
            <w:tcW w:w="855" w:type="dxa"/>
            <w:vMerge w:val="restart"/>
            <w:vAlign w:val="center"/>
          </w:tcPr>
          <w:p w14:paraId="3A4FD922" w14:textId="77777777" w:rsidR="00F85073" w:rsidRPr="00F85073" w:rsidRDefault="00F85073" w:rsidP="00F85073">
            <w:pPr>
              <w:jc w:val="center"/>
              <w:rPr>
                <w:b/>
                <w:bCs/>
                <w:i/>
                <w:iCs/>
                <w:sz w:val="20"/>
                <w:szCs w:val="20"/>
              </w:rPr>
            </w:pPr>
            <w:r w:rsidRPr="00F85073">
              <w:rPr>
                <w:b/>
                <w:bCs/>
                <w:i/>
                <w:iCs/>
                <w:sz w:val="20"/>
                <w:szCs w:val="20"/>
              </w:rPr>
              <w:t>0.001</w:t>
            </w:r>
          </w:p>
        </w:tc>
      </w:tr>
      <w:tr w:rsidR="00F85073" w:rsidRPr="00F85073" w14:paraId="352A5821" w14:textId="77777777" w:rsidTr="00F85073">
        <w:tc>
          <w:tcPr>
            <w:tcW w:w="420" w:type="dxa"/>
            <w:vMerge/>
            <w:vAlign w:val="center"/>
          </w:tcPr>
          <w:p w14:paraId="39D67DBA" w14:textId="77777777" w:rsidR="00F85073" w:rsidRPr="00F85073" w:rsidRDefault="00F85073" w:rsidP="00F85073">
            <w:pPr>
              <w:jc w:val="center"/>
              <w:rPr>
                <w:sz w:val="20"/>
                <w:szCs w:val="20"/>
              </w:rPr>
            </w:pPr>
          </w:p>
        </w:tc>
        <w:tc>
          <w:tcPr>
            <w:tcW w:w="2269" w:type="dxa"/>
            <w:vMerge/>
            <w:vAlign w:val="center"/>
          </w:tcPr>
          <w:p w14:paraId="74A22C39" w14:textId="77777777" w:rsidR="00F85073" w:rsidRPr="00F85073" w:rsidRDefault="00F85073" w:rsidP="00F85073">
            <w:pPr>
              <w:jc w:val="center"/>
              <w:rPr>
                <w:sz w:val="20"/>
                <w:szCs w:val="20"/>
              </w:rPr>
            </w:pPr>
          </w:p>
        </w:tc>
        <w:tc>
          <w:tcPr>
            <w:tcW w:w="609" w:type="dxa"/>
            <w:vMerge/>
            <w:vAlign w:val="center"/>
          </w:tcPr>
          <w:p w14:paraId="0C8776E1" w14:textId="77777777" w:rsidR="00F85073" w:rsidRPr="00F85073" w:rsidRDefault="00F85073" w:rsidP="00F85073">
            <w:pPr>
              <w:jc w:val="center"/>
              <w:rPr>
                <w:sz w:val="20"/>
                <w:szCs w:val="20"/>
              </w:rPr>
            </w:pPr>
          </w:p>
        </w:tc>
        <w:tc>
          <w:tcPr>
            <w:tcW w:w="667" w:type="dxa"/>
            <w:vAlign w:val="center"/>
          </w:tcPr>
          <w:p w14:paraId="43E84611"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40D4DA16" w14:textId="77777777" w:rsidR="00F85073" w:rsidRPr="00F85073" w:rsidRDefault="00F85073" w:rsidP="00F85073">
            <w:pPr>
              <w:jc w:val="center"/>
              <w:rPr>
                <w:sz w:val="20"/>
                <w:szCs w:val="20"/>
              </w:rPr>
            </w:pPr>
            <w:r w:rsidRPr="00F85073">
              <w:rPr>
                <w:sz w:val="20"/>
                <w:szCs w:val="20"/>
              </w:rPr>
              <w:t>160 (64.5)</w:t>
            </w:r>
          </w:p>
        </w:tc>
        <w:tc>
          <w:tcPr>
            <w:tcW w:w="1210" w:type="dxa"/>
            <w:vAlign w:val="center"/>
          </w:tcPr>
          <w:p w14:paraId="40BF44A6" w14:textId="77777777" w:rsidR="00F85073" w:rsidRPr="00F85073" w:rsidRDefault="00F85073" w:rsidP="00F85073">
            <w:pPr>
              <w:jc w:val="center"/>
              <w:rPr>
                <w:sz w:val="20"/>
                <w:szCs w:val="20"/>
              </w:rPr>
            </w:pPr>
            <w:r w:rsidRPr="00F85073">
              <w:rPr>
                <w:sz w:val="20"/>
                <w:szCs w:val="20"/>
              </w:rPr>
              <w:t>41 (16.5)</w:t>
            </w:r>
          </w:p>
        </w:tc>
        <w:tc>
          <w:tcPr>
            <w:tcW w:w="1072" w:type="dxa"/>
            <w:vAlign w:val="center"/>
          </w:tcPr>
          <w:p w14:paraId="04B9792A" w14:textId="77777777" w:rsidR="00F85073" w:rsidRPr="00F85073" w:rsidRDefault="00F85073" w:rsidP="00F85073">
            <w:pPr>
              <w:jc w:val="center"/>
              <w:rPr>
                <w:sz w:val="20"/>
                <w:szCs w:val="20"/>
              </w:rPr>
            </w:pPr>
            <w:r w:rsidRPr="00F85073">
              <w:rPr>
                <w:sz w:val="20"/>
                <w:szCs w:val="20"/>
              </w:rPr>
              <w:t>38 (15.3)</w:t>
            </w:r>
          </w:p>
        </w:tc>
        <w:tc>
          <w:tcPr>
            <w:tcW w:w="1038" w:type="dxa"/>
            <w:vAlign w:val="center"/>
          </w:tcPr>
          <w:p w14:paraId="5A69E01A" w14:textId="77777777" w:rsidR="00F85073" w:rsidRPr="00F85073" w:rsidRDefault="00F85073" w:rsidP="00F85073">
            <w:pPr>
              <w:jc w:val="center"/>
              <w:rPr>
                <w:sz w:val="20"/>
                <w:szCs w:val="20"/>
              </w:rPr>
            </w:pPr>
            <w:r w:rsidRPr="00F85073">
              <w:rPr>
                <w:sz w:val="20"/>
                <w:szCs w:val="20"/>
              </w:rPr>
              <w:t>9 (3.6)</w:t>
            </w:r>
          </w:p>
        </w:tc>
        <w:tc>
          <w:tcPr>
            <w:tcW w:w="855" w:type="dxa"/>
            <w:vMerge/>
            <w:vAlign w:val="center"/>
          </w:tcPr>
          <w:p w14:paraId="2AC726DB" w14:textId="77777777" w:rsidR="00F85073" w:rsidRPr="00F85073" w:rsidRDefault="00F85073" w:rsidP="00F85073">
            <w:pPr>
              <w:jc w:val="center"/>
              <w:rPr>
                <w:i/>
                <w:iCs/>
              </w:rPr>
            </w:pPr>
          </w:p>
        </w:tc>
      </w:tr>
      <w:tr w:rsidR="00F85073" w:rsidRPr="00F85073" w14:paraId="7DCC88F1" w14:textId="77777777" w:rsidTr="00F85073">
        <w:tc>
          <w:tcPr>
            <w:tcW w:w="420" w:type="dxa"/>
            <w:vMerge w:val="restart"/>
            <w:vAlign w:val="center"/>
          </w:tcPr>
          <w:p w14:paraId="3483C926" w14:textId="77777777" w:rsidR="00F85073" w:rsidRPr="00F85073" w:rsidRDefault="00F85073" w:rsidP="00F85073">
            <w:pPr>
              <w:pStyle w:val="NormalWeb"/>
              <w:jc w:val="center"/>
              <w:rPr>
                <w:rFonts w:eastAsia="TimesNewRomanPSMT"/>
                <w:sz w:val="20"/>
                <w:szCs w:val="20"/>
              </w:rPr>
            </w:pPr>
            <w:r w:rsidRPr="00F85073">
              <w:rPr>
                <w:rFonts w:eastAsia="TimesNewRomanPSMT"/>
                <w:sz w:val="20"/>
                <w:szCs w:val="20"/>
              </w:rPr>
              <w:t>10</w:t>
            </w:r>
          </w:p>
        </w:tc>
        <w:tc>
          <w:tcPr>
            <w:tcW w:w="2269" w:type="dxa"/>
            <w:vMerge w:val="restart"/>
            <w:vAlign w:val="center"/>
          </w:tcPr>
          <w:p w14:paraId="3EC88481" w14:textId="77777777" w:rsidR="00F85073" w:rsidRPr="00F85073" w:rsidRDefault="00F85073" w:rsidP="00F85073">
            <w:pPr>
              <w:pStyle w:val="NormalWeb"/>
              <w:jc w:val="center"/>
              <w:rPr>
                <w:sz w:val="20"/>
                <w:szCs w:val="20"/>
              </w:rPr>
            </w:pPr>
            <w:r w:rsidRPr="00F85073">
              <w:rPr>
                <w:rFonts w:eastAsia="TimesNewRomanPSMT"/>
                <w:sz w:val="20"/>
                <w:szCs w:val="20"/>
              </w:rPr>
              <w:t>Going to answer the telephone before it stops ringing</w:t>
            </w:r>
          </w:p>
        </w:tc>
        <w:tc>
          <w:tcPr>
            <w:tcW w:w="609" w:type="dxa"/>
            <w:vMerge w:val="restart"/>
            <w:vAlign w:val="center"/>
          </w:tcPr>
          <w:p w14:paraId="2D903091" w14:textId="77777777" w:rsidR="00F85073" w:rsidRPr="00F85073" w:rsidRDefault="00F85073" w:rsidP="00F85073">
            <w:pPr>
              <w:jc w:val="center"/>
              <w:rPr>
                <w:sz w:val="20"/>
                <w:szCs w:val="20"/>
              </w:rPr>
            </w:pPr>
            <w:r w:rsidRPr="00F85073">
              <w:rPr>
                <w:sz w:val="20"/>
                <w:szCs w:val="20"/>
              </w:rPr>
              <w:t>OH1</w:t>
            </w:r>
          </w:p>
        </w:tc>
        <w:tc>
          <w:tcPr>
            <w:tcW w:w="667" w:type="dxa"/>
            <w:vAlign w:val="center"/>
          </w:tcPr>
          <w:p w14:paraId="0FA3ED24"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1ECD35FA" w14:textId="77777777" w:rsidR="00F85073" w:rsidRPr="00F85073" w:rsidRDefault="00F85073" w:rsidP="00F85073">
            <w:pPr>
              <w:jc w:val="center"/>
              <w:rPr>
                <w:sz w:val="20"/>
                <w:szCs w:val="20"/>
              </w:rPr>
            </w:pPr>
            <w:r w:rsidRPr="00F85073">
              <w:rPr>
                <w:sz w:val="20"/>
                <w:szCs w:val="20"/>
              </w:rPr>
              <w:t>25 (39.1)</w:t>
            </w:r>
          </w:p>
        </w:tc>
        <w:tc>
          <w:tcPr>
            <w:tcW w:w="1210" w:type="dxa"/>
            <w:vAlign w:val="center"/>
          </w:tcPr>
          <w:p w14:paraId="419C7EA1" w14:textId="77777777" w:rsidR="00F85073" w:rsidRPr="00F85073" w:rsidRDefault="00F85073" w:rsidP="00F85073">
            <w:pPr>
              <w:jc w:val="center"/>
              <w:rPr>
                <w:sz w:val="20"/>
                <w:szCs w:val="20"/>
              </w:rPr>
            </w:pPr>
            <w:r w:rsidRPr="00F85073">
              <w:rPr>
                <w:sz w:val="20"/>
                <w:szCs w:val="20"/>
              </w:rPr>
              <w:t>29 (45.3)</w:t>
            </w:r>
          </w:p>
        </w:tc>
        <w:tc>
          <w:tcPr>
            <w:tcW w:w="1072" w:type="dxa"/>
            <w:vAlign w:val="center"/>
          </w:tcPr>
          <w:p w14:paraId="2BB2B2EB" w14:textId="77777777" w:rsidR="00F85073" w:rsidRPr="00F85073" w:rsidRDefault="00F85073" w:rsidP="00F85073">
            <w:pPr>
              <w:jc w:val="center"/>
              <w:rPr>
                <w:sz w:val="20"/>
                <w:szCs w:val="20"/>
              </w:rPr>
            </w:pPr>
            <w:r w:rsidRPr="00F85073">
              <w:rPr>
                <w:sz w:val="20"/>
                <w:szCs w:val="20"/>
              </w:rPr>
              <w:t>9 (14.1)</w:t>
            </w:r>
          </w:p>
        </w:tc>
        <w:tc>
          <w:tcPr>
            <w:tcW w:w="1038" w:type="dxa"/>
            <w:vAlign w:val="center"/>
          </w:tcPr>
          <w:p w14:paraId="01869F57" w14:textId="77777777" w:rsidR="00F85073" w:rsidRPr="00F85073" w:rsidRDefault="00F85073" w:rsidP="00F85073">
            <w:pPr>
              <w:jc w:val="center"/>
              <w:rPr>
                <w:sz w:val="20"/>
                <w:szCs w:val="20"/>
              </w:rPr>
            </w:pPr>
            <w:r w:rsidRPr="00F85073">
              <w:rPr>
                <w:sz w:val="20"/>
                <w:szCs w:val="20"/>
              </w:rPr>
              <w:t>1 (1.6)</w:t>
            </w:r>
          </w:p>
        </w:tc>
        <w:tc>
          <w:tcPr>
            <w:tcW w:w="855" w:type="dxa"/>
            <w:vMerge w:val="restart"/>
            <w:vAlign w:val="center"/>
          </w:tcPr>
          <w:p w14:paraId="249B8866" w14:textId="77777777" w:rsidR="00F85073" w:rsidRPr="00F85073" w:rsidRDefault="00F85073" w:rsidP="00F85073">
            <w:pPr>
              <w:jc w:val="center"/>
              <w:rPr>
                <w:i/>
                <w:iCs/>
                <w:sz w:val="20"/>
                <w:szCs w:val="20"/>
              </w:rPr>
            </w:pPr>
            <w:r w:rsidRPr="00F85073">
              <w:rPr>
                <w:i/>
                <w:iCs/>
                <w:sz w:val="20"/>
                <w:szCs w:val="20"/>
              </w:rPr>
              <w:t>0.265</w:t>
            </w:r>
          </w:p>
        </w:tc>
      </w:tr>
      <w:tr w:rsidR="00F85073" w:rsidRPr="00F85073" w14:paraId="1CE675AF" w14:textId="77777777" w:rsidTr="00F85073">
        <w:tc>
          <w:tcPr>
            <w:tcW w:w="420" w:type="dxa"/>
            <w:vMerge/>
            <w:vAlign w:val="center"/>
          </w:tcPr>
          <w:p w14:paraId="2AAE93BB" w14:textId="77777777" w:rsidR="00F85073" w:rsidRPr="00F85073" w:rsidRDefault="00F85073" w:rsidP="00F85073">
            <w:pPr>
              <w:jc w:val="center"/>
              <w:rPr>
                <w:sz w:val="20"/>
                <w:szCs w:val="20"/>
              </w:rPr>
            </w:pPr>
          </w:p>
        </w:tc>
        <w:tc>
          <w:tcPr>
            <w:tcW w:w="2269" w:type="dxa"/>
            <w:vMerge/>
            <w:vAlign w:val="center"/>
          </w:tcPr>
          <w:p w14:paraId="066626B5" w14:textId="77777777" w:rsidR="00F85073" w:rsidRPr="00F85073" w:rsidRDefault="00F85073" w:rsidP="00F85073">
            <w:pPr>
              <w:jc w:val="center"/>
              <w:rPr>
                <w:sz w:val="20"/>
                <w:szCs w:val="20"/>
              </w:rPr>
            </w:pPr>
          </w:p>
        </w:tc>
        <w:tc>
          <w:tcPr>
            <w:tcW w:w="609" w:type="dxa"/>
            <w:vMerge/>
            <w:vAlign w:val="center"/>
          </w:tcPr>
          <w:p w14:paraId="17E7A2F5" w14:textId="77777777" w:rsidR="00F85073" w:rsidRPr="00F85073" w:rsidRDefault="00F85073" w:rsidP="00F85073">
            <w:pPr>
              <w:jc w:val="center"/>
              <w:rPr>
                <w:sz w:val="20"/>
                <w:szCs w:val="20"/>
              </w:rPr>
            </w:pPr>
          </w:p>
        </w:tc>
        <w:tc>
          <w:tcPr>
            <w:tcW w:w="667" w:type="dxa"/>
            <w:vAlign w:val="center"/>
          </w:tcPr>
          <w:p w14:paraId="2C634322"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771336AE" w14:textId="77777777" w:rsidR="00F85073" w:rsidRPr="00F85073" w:rsidRDefault="00F85073" w:rsidP="00F85073">
            <w:pPr>
              <w:jc w:val="center"/>
              <w:rPr>
                <w:sz w:val="20"/>
                <w:szCs w:val="20"/>
              </w:rPr>
            </w:pPr>
            <w:r w:rsidRPr="00F85073">
              <w:rPr>
                <w:sz w:val="20"/>
                <w:szCs w:val="20"/>
              </w:rPr>
              <w:t>128 (51.2)</w:t>
            </w:r>
          </w:p>
        </w:tc>
        <w:tc>
          <w:tcPr>
            <w:tcW w:w="1210" w:type="dxa"/>
            <w:vAlign w:val="center"/>
          </w:tcPr>
          <w:p w14:paraId="3725AE6B" w14:textId="77777777" w:rsidR="00F85073" w:rsidRPr="00F85073" w:rsidRDefault="00F85073" w:rsidP="00F85073">
            <w:pPr>
              <w:jc w:val="center"/>
              <w:rPr>
                <w:sz w:val="20"/>
                <w:szCs w:val="20"/>
              </w:rPr>
            </w:pPr>
            <w:r w:rsidRPr="00F85073">
              <w:rPr>
                <w:sz w:val="20"/>
                <w:szCs w:val="20"/>
              </w:rPr>
              <w:t>82 (32.8)</w:t>
            </w:r>
          </w:p>
        </w:tc>
        <w:tc>
          <w:tcPr>
            <w:tcW w:w="1072" w:type="dxa"/>
            <w:vAlign w:val="center"/>
          </w:tcPr>
          <w:p w14:paraId="3BA1066E" w14:textId="77777777" w:rsidR="00F85073" w:rsidRPr="00F85073" w:rsidRDefault="00F85073" w:rsidP="00F85073">
            <w:pPr>
              <w:jc w:val="center"/>
              <w:rPr>
                <w:sz w:val="20"/>
                <w:szCs w:val="20"/>
              </w:rPr>
            </w:pPr>
            <w:r w:rsidRPr="00F85073">
              <w:rPr>
                <w:sz w:val="20"/>
                <w:szCs w:val="20"/>
              </w:rPr>
              <w:t>34 (13.6)</w:t>
            </w:r>
          </w:p>
        </w:tc>
        <w:tc>
          <w:tcPr>
            <w:tcW w:w="1038" w:type="dxa"/>
            <w:vAlign w:val="center"/>
          </w:tcPr>
          <w:p w14:paraId="2B806F59" w14:textId="77777777" w:rsidR="00F85073" w:rsidRPr="00F85073" w:rsidRDefault="00F85073" w:rsidP="00F85073">
            <w:pPr>
              <w:jc w:val="center"/>
              <w:rPr>
                <w:sz w:val="20"/>
                <w:szCs w:val="20"/>
              </w:rPr>
            </w:pPr>
            <w:r w:rsidRPr="00F85073">
              <w:rPr>
                <w:sz w:val="20"/>
                <w:szCs w:val="20"/>
              </w:rPr>
              <w:t>6 (2.4)</w:t>
            </w:r>
          </w:p>
        </w:tc>
        <w:tc>
          <w:tcPr>
            <w:tcW w:w="855" w:type="dxa"/>
            <w:vMerge/>
            <w:vAlign w:val="center"/>
          </w:tcPr>
          <w:p w14:paraId="793C6473" w14:textId="77777777" w:rsidR="00F85073" w:rsidRPr="00F85073" w:rsidRDefault="00F85073" w:rsidP="00F85073">
            <w:pPr>
              <w:jc w:val="center"/>
              <w:rPr>
                <w:i/>
                <w:iCs/>
              </w:rPr>
            </w:pPr>
          </w:p>
        </w:tc>
      </w:tr>
      <w:tr w:rsidR="00F85073" w:rsidRPr="00F85073" w14:paraId="43216800" w14:textId="77777777" w:rsidTr="00F85073">
        <w:tc>
          <w:tcPr>
            <w:tcW w:w="420" w:type="dxa"/>
            <w:vMerge/>
            <w:vAlign w:val="center"/>
          </w:tcPr>
          <w:p w14:paraId="503D6F40" w14:textId="77777777" w:rsidR="00F85073" w:rsidRPr="00F85073" w:rsidRDefault="00F85073" w:rsidP="00F85073">
            <w:pPr>
              <w:jc w:val="center"/>
              <w:rPr>
                <w:sz w:val="20"/>
                <w:szCs w:val="20"/>
              </w:rPr>
            </w:pPr>
          </w:p>
        </w:tc>
        <w:tc>
          <w:tcPr>
            <w:tcW w:w="2269" w:type="dxa"/>
            <w:vMerge/>
            <w:vAlign w:val="center"/>
          </w:tcPr>
          <w:p w14:paraId="5FE1B853" w14:textId="77777777" w:rsidR="00F85073" w:rsidRPr="00F85073" w:rsidRDefault="00F85073" w:rsidP="00F85073">
            <w:pPr>
              <w:jc w:val="center"/>
              <w:rPr>
                <w:sz w:val="20"/>
                <w:szCs w:val="20"/>
              </w:rPr>
            </w:pPr>
          </w:p>
        </w:tc>
        <w:tc>
          <w:tcPr>
            <w:tcW w:w="609" w:type="dxa"/>
            <w:vMerge w:val="restart"/>
            <w:vAlign w:val="center"/>
          </w:tcPr>
          <w:p w14:paraId="71692C54" w14:textId="77777777" w:rsidR="00F85073" w:rsidRPr="00F85073" w:rsidRDefault="00F85073" w:rsidP="00F85073">
            <w:pPr>
              <w:jc w:val="center"/>
              <w:rPr>
                <w:sz w:val="20"/>
                <w:szCs w:val="20"/>
              </w:rPr>
            </w:pPr>
            <w:r w:rsidRPr="00F85073">
              <w:rPr>
                <w:sz w:val="20"/>
                <w:szCs w:val="20"/>
              </w:rPr>
              <w:t>OH3</w:t>
            </w:r>
          </w:p>
        </w:tc>
        <w:tc>
          <w:tcPr>
            <w:tcW w:w="667" w:type="dxa"/>
            <w:vAlign w:val="center"/>
          </w:tcPr>
          <w:p w14:paraId="6AD68D19"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43EFD837" w14:textId="77777777" w:rsidR="00F85073" w:rsidRPr="00F85073" w:rsidRDefault="00F85073" w:rsidP="00F85073">
            <w:pPr>
              <w:jc w:val="center"/>
              <w:rPr>
                <w:sz w:val="20"/>
                <w:szCs w:val="20"/>
              </w:rPr>
            </w:pPr>
            <w:r w:rsidRPr="00F85073">
              <w:rPr>
                <w:sz w:val="20"/>
                <w:szCs w:val="20"/>
              </w:rPr>
              <w:t>21 (31.8)</w:t>
            </w:r>
          </w:p>
        </w:tc>
        <w:tc>
          <w:tcPr>
            <w:tcW w:w="1210" w:type="dxa"/>
            <w:vAlign w:val="center"/>
          </w:tcPr>
          <w:p w14:paraId="6346919E" w14:textId="77777777" w:rsidR="00F85073" w:rsidRPr="00F85073" w:rsidRDefault="00F85073" w:rsidP="00F85073">
            <w:pPr>
              <w:jc w:val="center"/>
              <w:rPr>
                <w:sz w:val="20"/>
                <w:szCs w:val="20"/>
              </w:rPr>
            </w:pPr>
            <w:r w:rsidRPr="00F85073">
              <w:rPr>
                <w:sz w:val="20"/>
                <w:szCs w:val="20"/>
              </w:rPr>
              <w:t>28 (42.4)</w:t>
            </w:r>
          </w:p>
        </w:tc>
        <w:tc>
          <w:tcPr>
            <w:tcW w:w="1072" w:type="dxa"/>
            <w:vAlign w:val="center"/>
          </w:tcPr>
          <w:p w14:paraId="254D39DC" w14:textId="77777777" w:rsidR="00F85073" w:rsidRPr="00F85073" w:rsidRDefault="00F85073" w:rsidP="00F85073">
            <w:pPr>
              <w:jc w:val="center"/>
              <w:rPr>
                <w:sz w:val="20"/>
                <w:szCs w:val="20"/>
              </w:rPr>
            </w:pPr>
            <w:r w:rsidRPr="00F85073">
              <w:rPr>
                <w:sz w:val="20"/>
                <w:szCs w:val="20"/>
              </w:rPr>
              <w:t>16 (24.2)</w:t>
            </w:r>
          </w:p>
        </w:tc>
        <w:tc>
          <w:tcPr>
            <w:tcW w:w="1038" w:type="dxa"/>
            <w:vAlign w:val="center"/>
          </w:tcPr>
          <w:p w14:paraId="1EB17023" w14:textId="77777777" w:rsidR="00F85073" w:rsidRPr="00F85073" w:rsidRDefault="00F85073" w:rsidP="00F85073">
            <w:pPr>
              <w:jc w:val="center"/>
              <w:rPr>
                <w:sz w:val="20"/>
                <w:szCs w:val="20"/>
              </w:rPr>
            </w:pPr>
            <w:r w:rsidRPr="00F85073">
              <w:rPr>
                <w:sz w:val="20"/>
                <w:szCs w:val="20"/>
              </w:rPr>
              <w:t>1 (1.5)</w:t>
            </w:r>
          </w:p>
        </w:tc>
        <w:tc>
          <w:tcPr>
            <w:tcW w:w="855" w:type="dxa"/>
            <w:vMerge w:val="restart"/>
            <w:vAlign w:val="center"/>
          </w:tcPr>
          <w:p w14:paraId="18279F92" w14:textId="77777777" w:rsidR="00F85073" w:rsidRPr="00F85073" w:rsidRDefault="00F85073" w:rsidP="00F85073">
            <w:pPr>
              <w:jc w:val="center"/>
              <w:rPr>
                <w:b/>
                <w:bCs/>
                <w:i/>
                <w:iCs/>
                <w:sz w:val="20"/>
                <w:szCs w:val="20"/>
              </w:rPr>
            </w:pPr>
            <w:r w:rsidRPr="00F85073">
              <w:rPr>
                <w:b/>
                <w:bCs/>
                <w:i/>
                <w:iCs/>
                <w:sz w:val="20"/>
                <w:szCs w:val="20"/>
              </w:rPr>
              <w:t>0.004</w:t>
            </w:r>
          </w:p>
        </w:tc>
      </w:tr>
      <w:tr w:rsidR="00F85073" w:rsidRPr="00F85073" w14:paraId="58F2A640" w14:textId="77777777" w:rsidTr="00F85073">
        <w:tc>
          <w:tcPr>
            <w:tcW w:w="420" w:type="dxa"/>
            <w:vMerge/>
            <w:vAlign w:val="center"/>
          </w:tcPr>
          <w:p w14:paraId="739F982C" w14:textId="77777777" w:rsidR="00F85073" w:rsidRPr="00F85073" w:rsidRDefault="00F85073" w:rsidP="00F85073">
            <w:pPr>
              <w:jc w:val="center"/>
              <w:rPr>
                <w:sz w:val="20"/>
                <w:szCs w:val="20"/>
              </w:rPr>
            </w:pPr>
          </w:p>
        </w:tc>
        <w:tc>
          <w:tcPr>
            <w:tcW w:w="2269" w:type="dxa"/>
            <w:vMerge/>
            <w:vAlign w:val="center"/>
          </w:tcPr>
          <w:p w14:paraId="4C9DB776" w14:textId="77777777" w:rsidR="00F85073" w:rsidRPr="00F85073" w:rsidRDefault="00F85073" w:rsidP="00F85073">
            <w:pPr>
              <w:jc w:val="center"/>
              <w:rPr>
                <w:sz w:val="20"/>
                <w:szCs w:val="20"/>
              </w:rPr>
            </w:pPr>
          </w:p>
        </w:tc>
        <w:tc>
          <w:tcPr>
            <w:tcW w:w="609" w:type="dxa"/>
            <w:vMerge/>
            <w:vAlign w:val="center"/>
          </w:tcPr>
          <w:p w14:paraId="5993FDDC" w14:textId="77777777" w:rsidR="00F85073" w:rsidRPr="00F85073" w:rsidRDefault="00F85073" w:rsidP="00F85073">
            <w:pPr>
              <w:jc w:val="center"/>
              <w:rPr>
                <w:sz w:val="20"/>
                <w:szCs w:val="20"/>
              </w:rPr>
            </w:pPr>
          </w:p>
        </w:tc>
        <w:tc>
          <w:tcPr>
            <w:tcW w:w="667" w:type="dxa"/>
            <w:vAlign w:val="center"/>
          </w:tcPr>
          <w:p w14:paraId="1D7ED284"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255ED384" w14:textId="77777777" w:rsidR="00F85073" w:rsidRPr="00F85073" w:rsidRDefault="00F85073" w:rsidP="00F85073">
            <w:pPr>
              <w:jc w:val="center"/>
              <w:rPr>
                <w:sz w:val="20"/>
                <w:szCs w:val="20"/>
              </w:rPr>
            </w:pPr>
            <w:r w:rsidRPr="00F85073">
              <w:rPr>
                <w:sz w:val="20"/>
                <w:szCs w:val="20"/>
              </w:rPr>
              <w:t>132 (53.2)</w:t>
            </w:r>
          </w:p>
        </w:tc>
        <w:tc>
          <w:tcPr>
            <w:tcW w:w="1210" w:type="dxa"/>
            <w:vAlign w:val="center"/>
          </w:tcPr>
          <w:p w14:paraId="41E54652" w14:textId="77777777" w:rsidR="00F85073" w:rsidRPr="00F85073" w:rsidRDefault="00F85073" w:rsidP="00F85073">
            <w:pPr>
              <w:jc w:val="center"/>
              <w:rPr>
                <w:sz w:val="20"/>
                <w:szCs w:val="20"/>
              </w:rPr>
            </w:pPr>
            <w:r w:rsidRPr="00F85073">
              <w:rPr>
                <w:sz w:val="20"/>
                <w:szCs w:val="20"/>
              </w:rPr>
              <w:t>83 (33.5)</w:t>
            </w:r>
          </w:p>
        </w:tc>
        <w:tc>
          <w:tcPr>
            <w:tcW w:w="1072" w:type="dxa"/>
            <w:vAlign w:val="center"/>
          </w:tcPr>
          <w:p w14:paraId="13C789B0" w14:textId="77777777" w:rsidR="00F85073" w:rsidRPr="00F85073" w:rsidRDefault="00F85073" w:rsidP="00F85073">
            <w:pPr>
              <w:jc w:val="center"/>
              <w:rPr>
                <w:sz w:val="20"/>
                <w:szCs w:val="20"/>
              </w:rPr>
            </w:pPr>
            <w:r w:rsidRPr="00F85073">
              <w:rPr>
                <w:sz w:val="20"/>
                <w:szCs w:val="20"/>
              </w:rPr>
              <w:t>27 (10.9)</w:t>
            </w:r>
          </w:p>
        </w:tc>
        <w:tc>
          <w:tcPr>
            <w:tcW w:w="1038" w:type="dxa"/>
            <w:vAlign w:val="center"/>
          </w:tcPr>
          <w:p w14:paraId="68F9ECDE" w14:textId="77777777" w:rsidR="00F85073" w:rsidRPr="00F85073" w:rsidRDefault="00F85073" w:rsidP="00F85073">
            <w:pPr>
              <w:jc w:val="center"/>
              <w:rPr>
                <w:sz w:val="20"/>
                <w:szCs w:val="20"/>
              </w:rPr>
            </w:pPr>
            <w:r w:rsidRPr="00F85073">
              <w:rPr>
                <w:sz w:val="20"/>
                <w:szCs w:val="20"/>
              </w:rPr>
              <w:t>6 (2.4)</w:t>
            </w:r>
          </w:p>
        </w:tc>
        <w:tc>
          <w:tcPr>
            <w:tcW w:w="855" w:type="dxa"/>
            <w:vMerge/>
            <w:vAlign w:val="center"/>
          </w:tcPr>
          <w:p w14:paraId="5700E8DF" w14:textId="77777777" w:rsidR="00F85073" w:rsidRPr="00F85073" w:rsidRDefault="00F85073" w:rsidP="00F85073">
            <w:pPr>
              <w:jc w:val="center"/>
              <w:rPr>
                <w:i/>
                <w:iCs/>
              </w:rPr>
            </w:pPr>
          </w:p>
        </w:tc>
      </w:tr>
      <w:tr w:rsidR="00F85073" w:rsidRPr="00F85073" w14:paraId="7440DB54" w14:textId="77777777" w:rsidTr="00F85073">
        <w:tc>
          <w:tcPr>
            <w:tcW w:w="420" w:type="dxa"/>
            <w:vMerge w:val="restart"/>
            <w:vAlign w:val="center"/>
          </w:tcPr>
          <w:p w14:paraId="6FE0CD06" w14:textId="77777777" w:rsidR="00F85073" w:rsidRPr="00F85073" w:rsidRDefault="00F85073" w:rsidP="00F85073">
            <w:pPr>
              <w:pStyle w:val="NormalWeb"/>
              <w:jc w:val="center"/>
              <w:rPr>
                <w:rFonts w:eastAsia="TimesNewRomanPSMT"/>
                <w:sz w:val="20"/>
                <w:szCs w:val="20"/>
              </w:rPr>
            </w:pPr>
            <w:r w:rsidRPr="00F85073">
              <w:rPr>
                <w:rFonts w:eastAsia="TimesNewRomanPSMT"/>
                <w:sz w:val="20"/>
                <w:szCs w:val="20"/>
              </w:rPr>
              <w:t>11</w:t>
            </w:r>
          </w:p>
        </w:tc>
        <w:tc>
          <w:tcPr>
            <w:tcW w:w="2269" w:type="dxa"/>
            <w:vMerge w:val="restart"/>
            <w:vAlign w:val="center"/>
          </w:tcPr>
          <w:p w14:paraId="1E264EFA" w14:textId="77777777" w:rsidR="00F85073" w:rsidRPr="00F85073" w:rsidRDefault="00F85073" w:rsidP="00F85073">
            <w:pPr>
              <w:pStyle w:val="NormalWeb"/>
              <w:jc w:val="center"/>
              <w:rPr>
                <w:sz w:val="20"/>
                <w:szCs w:val="20"/>
              </w:rPr>
            </w:pPr>
            <w:r w:rsidRPr="00F85073">
              <w:rPr>
                <w:rFonts w:eastAsia="TimesNewRomanPSMT"/>
                <w:sz w:val="20"/>
                <w:szCs w:val="20"/>
              </w:rPr>
              <w:t>Walking on a slippery surface (e.g. wet or icy)</w:t>
            </w:r>
          </w:p>
        </w:tc>
        <w:tc>
          <w:tcPr>
            <w:tcW w:w="609" w:type="dxa"/>
            <w:vMerge w:val="restart"/>
            <w:vAlign w:val="center"/>
          </w:tcPr>
          <w:p w14:paraId="3EB08099" w14:textId="77777777" w:rsidR="00F85073" w:rsidRPr="00F85073" w:rsidRDefault="00F85073" w:rsidP="00F85073">
            <w:pPr>
              <w:jc w:val="center"/>
              <w:rPr>
                <w:sz w:val="20"/>
                <w:szCs w:val="20"/>
              </w:rPr>
            </w:pPr>
            <w:r w:rsidRPr="00F85073">
              <w:rPr>
                <w:sz w:val="20"/>
                <w:szCs w:val="20"/>
              </w:rPr>
              <w:t>OH1</w:t>
            </w:r>
          </w:p>
        </w:tc>
        <w:tc>
          <w:tcPr>
            <w:tcW w:w="667" w:type="dxa"/>
            <w:vAlign w:val="center"/>
          </w:tcPr>
          <w:p w14:paraId="144234C4"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4AEF0C1C" w14:textId="77777777" w:rsidR="00F85073" w:rsidRPr="00F85073" w:rsidRDefault="00F85073" w:rsidP="00F85073">
            <w:pPr>
              <w:jc w:val="center"/>
              <w:rPr>
                <w:sz w:val="20"/>
                <w:szCs w:val="20"/>
              </w:rPr>
            </w:pPr>
            <w:r w:rsidRPr="00F85073">
              <w:rPr>
                <w:sz w:val="20"/>
                <w:szCs w:val="20"/>
              </w:rPr>
              <w:t xml:space="preserve">16 (25) </w:t>
            </w:r>
          </w:p>
        </w:tc>
        <w:tc>
          <w:tcPr>
            <w:tcW w:w="1210" w:type="dxa"/>
            <w:vAlign w:val="center"/>
          </w:tcPr>
          <w:p w14:paraId="4FB05DE5" w14:textId="77777777" w:rsidR="00F85073" w:rsidRPr="00F85073" w:rsidRDefault="00F85073" w:rsidP="00F85073">
            <w:pPr>
              <w:jc w:val="center"/>
              <w:rPr>
                <w:sz w:val="20"/>
                <w:szCs w:val="20"/>
              </w:rPr>
            </w:pPr>
            <w:r w:rsidRPr="00F85073">
              <w:rPr>
                <w:sz w:val="20"/>
                <w:szCs w:val="20"/>
              </w:rPr>
              <w:t xml:space="preserve">16 (25) </w:t>
            </w:r>
          </w:p>
        </w:tc>
        <w:tc>
          <w:tcPr>
            <w:tcW w:w="1072" w:type="dxa"/>
            <w:vAlign w:val="center"/>
          </w:tcPr>
          <w:p w14:paraId="3C0EFE39" w14:textId="77777777" w:rsidR="00F85073" w:rsidRPr="00F85073" w:rsidRDefault="00F85073" w:rsidP="00F85073">
            <w:pPr>
              <w:jc w:val="center"/>
              <w:rPr>
                <w:sz w:val="20"/>
                <w:szCs w:val="20"/>
              </w:rPr>
            </w:pPr>
            <w:r w:rsidRPr="00F85073">
              <w:rPr>
                <w:sz w:val="20"/>
                <w:szCs w:val="20"/>
              </w:rPr>
              <w:t>25 (39.1)</w:t>
            </w:r>
          </w:p>
        </w:tc>
        <w:tc>
          <w:tcPr>
            <w:tcW w:w="1038" w:type="dxa"/>
            <w:vAlign w:val="center"/>
          </w:tcPr>
          <w:p w14:paraId="263B96FE" w14:textId="77777777" w:rsidR="00F85073" w:rsidRPr="00F85073" w:rsidRDefault="00F85073" w:rsidP="00F85073">
            <w:pPr>
              <w:jc w:val="center"/>
              <w:rPr>
                <w:sz w:val="20"/>
                <w:szCs w:val="20"/>
              </w:rPr>
            </w:pPr>
            <w:r w:rsidRPr="00F85073">
              <w:rPr>
                <w:sz w:val="20"/>
                <w:szCs w:val="20"/>
              </w:rPr>
              <w:t>7 (10.9)</w:t>
            </w:r>
          </w:p>
        </w:tc>
        <w:tc>
          <w:tcPr>
            <w:tcW w:w="855" w:type="dxa"/>
            <w:vMerge w:val="restart"/>
            <w:vAlign w:val="center"/>
          </w:tcPr>
          <w:p w14:paraId="571C5049" w14:textId="77777777" w:rsidR="00F85073" w:rsidRPr="00F85073" w:rsidRDefault="00F85073" w:rsidP="00F85073">
            <w:pPr>
              <w:jc w:val="center"/>
              <w:rPr>
                <w:b/>
                <w:bCs/>
                <w:i/>
                <w:iCs/>
                <w:sz w:val="20"/>
                <w:szCs w:val="20"/>
              </w:rPr>
            </w:pPr>
            <w:r w:rsidRPr="00F85073">
              <w:rPr>
                <w:b/>
                <w:bCs/>
                <w:i/>
                <w:iCs/>
                <w:sz w:val="20"/>
                <w:szCs w:val="20"/>
              </w:rPr>
              <w:t>&lt;0.001</w:t>
            </w:r>
          </w:p>
        </w:tc>
      </w:tr>
      <w:tr w:rsidR="00F85073" w:rsidRPr="00F85073" w14:paraId="2B41D9EB" w14:textId="77777777" w:rsidTr="00F85073">
        <w:tc>
          <w:tcPr>
            <w:tcW w:w="420" w:type="dxa"/>
            <w:vMerge/>
            <w:vAlign w:val="center"/>
          </w:tcPr>
          <w:p w14:paraId="772B2B69" w14:textId="77777777" w:rsidR="00F85073" w:rsidRPr="00F85073" w:rsidRDefault="00F85073" w:rsidP="00F85073">
            <w:pPr>
              <w:jc w:val="center"/>
              <w:rPr>
                <w:sz w:val="20"/>
                <w:szCs w:val="20"/>
              </w:rPr>
            </w:pPr>
          </w:p>
        </w:tc>
        <w:tc>
          <w:tcPr>
            <w:tcW w:w="2269" w:type="dxa"/>
            <w:vMerge/>
            <w:vAlign w:val="center"/>
          </w:tcPr>
          <w:p w14:paraId="4E2D4BC3" w14:textId="77777777" w:rsidR="00F85073" w:rsidRPr="00F85073" w:rsidRDefault="00F85073" w:rsidP="00F85073">
            <w:pPr>
              <w:jc w:val="center"/>
              <w:rPr>
                <w:sz w:val="20"/>
                <w:szCs w:val="20"/>
              </w:rPr>
            </w:pPr>
          </w:p>
        </w:tc>
        <w:tc>
          <w:tcPr>
            <w:tcW w:w="609" w:type="dxa"/>
            <w:vMerge/>
            <w:vAlign w:val="center"/>
          </w:tcPr>
          <w:p w14:paraId="3AC051FB" w14:textId="77777777" w:rsidR="00F85073" w:rsidRPr="00F85073" w:rsidRDefault="00F85073" w:rsidP="00F85073">
            <w:pPr>
              <w:jc w:val="center"/>
              <w:rPr>
                <w:sz w:val="20"/>
                <w:szCs w:val="20"/>
              </w:rPr>
            </w:pPr>
          </w:p>
        </w:tc>
        <w:tc>
          <w:tcPr>
            <w:tcW w:w="667" w:type="dxa"/>
            <w:vAlign w:val="center"/>
          </w:tcPr>
          <w:p w14:paraId="7F15D15D"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030DCC0F" w14:textId="77777777" w:rsidR="00F85073" w:rsidRPr="00F85073" w:rsidRDefault="00F85073" w:rsidP="00F85073">
            <w:pPr>
              <w:jc w:val="center"/>
              <w:rPr>
                <w:sz w:val="20"/>
                <w:szCs w:val="20"/>
              </w:rPr>
            </w:pPr>
            <w:r w:rsidRPr="00F85073">
              <w:rPr>
                <w:sz w:val="20"/>
                <w:szCs w:val="20"/>
              </w:rPr>
              <w:t>152 (60.8)</w:t>
            </w:r>
          </w:p>
        </w:tc>
        <w:tc>
          <w:tcPr>
            <w:tcW w:w="1210" w:type="dxa"/>
            <w:vAlign w:val="center"/>
          </w:tcPr>
          <w:p w14:paraId="435A04E2" w14:textId="77777777" w:rsidR="00F85073" w:rsidRPr="00F85073" w:rsidRDefault="00F85073" w:rsidP="00F85073">
            <w:pPr>
              <w:jc w:val="center"/>
              <w:rPr>
                <w:sz w:val="20"/>
                <w:szCs w:val="20"/>
              </w:rPr>
            </w:pPr>
            <w:r w:rsidRPr="00F85073">
              <w:rPr>
                <w:sz w:val="20"/>
                <w:szCs w:val="20"/>
              </w:rPr>
              <w:t>23 (9.2)</w:t>
            </w:r>
          </w:p>
        </w:tc>
        <w:tc>
          <w:tcPr>
            <w:tcW w:w="1072" w:type="dxa"/>
            <w:vAlign w:val="center"/>
          </w:tcPr>
          <w:p w14:paraId="6F7A3D19" w14:textId="77777777" w:rsidR="00F85073" w:rsidRPr="00F85073" w:rsidRDefault="00F85073" w:rsidP="00F85073">
            <w:pPr>
              <w:jc w:val="center"/>
              <w:rPr>
                <w:sz w:val="20"/>
                <w:szCs w:val="20"/>
              </w:rPr>
            </w:pPr>
            <w:r w:rsidRPr="00F85073">
              <w:rPr>
                <w:sz w:val="20"/>
                <w:szCs w:val="20"/>
              </w:rPr>
              <w:t>55 (22)</w:t>
            </w:r>
          </w:p>
        </w:tc>
        <w:tc>
          <w:tcPr>
            <w:tcW w:w="1038" w:type="dxa"/>
            <w:vAlign w:val="center"/>
          </w:tcPr>
          <w:p w14:paraId="3F86E79C" w14:textId="77777777" w:rsidR="00F85073" w:rsidRPr="00F85073" w:rsidRDefault="00F85073" w:rsidP="00F85073">
            <w:pPr>
              <w:jc w:val="center"/>
              <w:rPr>
                <w:sz w:val="20"/>
                <w:szCs w:val="20"/>
              </w:rPr>
            </w:pPr>
            <w:r w:rsidRPr="00F85073">
              <w:rPr>
                <w:sz w:val="20"/>
                <w:szCs w:val="20"/>
              </w:rPr>
              <w:t>20 (8)</w:t>
            </w:r>
          </w:p>
        </w:tc>
        <w:tc>
          <w:tcPr>
            <w:tcW w:w="855" w:type="dxa"/>
            <w:vMerge/>
            <w:vAlign w:val="center"/>
          </w:tcPr>
          <w:p w14:paraId="35702B82" w14:textId="77777777" w:rsidR="00F85073" w:rsidRPr="00F85073" w:rsidRDefault="00F85073" w:rsidP="00F85073">
            <w:pPr>
              <w:jc w:val="center"/>
              <w:rPr>
                <w:i/>
                <w:iCs/>
              </w:rPr>
            </w:pPr>
          </w:p>
        </w:tc>
      </w:tr>
      <w:tr w:rsidR="00F85073" w:rsidRPr="00F85073" w14:paraId="557431BD" w14:textId="77777777" w:rsidTr="00F85073">
        <w:tc>
          <w:tcPr>
            <w:tcW w:w="420" w:type="dxa"/>
            <w:vMerge/>
            <w:vAlign w:val="center"/>
          </w:tcPr>
          <w:p w14:paraId="1851CEFC" w14:textId="77777777" w:rsidR="00F85073" w:rsidRPr="00F85073" w:rsidRDefault="00F85073" w:rsidP="00F85073">
            <w:pPr>
              <w:jc w:val="center"/>
              <w:rPr>
                <w:sz w:val="20"/>
                <w:szCs w:val="20"/>
              </w:rPr>
            </w:pPr>
          </w:p>
        </w:tc>
        <w:tc>
          <w:tcPr>
            <w:tcW w:w="2269" w:type="dxa"/>
            <w:vMerge/>
            <w:vAlign w:val="center"/>
          </w:tcPr>
          <w:p w14:paraId="157E5F62" w14:textId="77777777" w:rsidR="00F85073" w:rsidRPr="00F85073" w:rsidRDefault="00F85073" w:rsidP="00F85073">
            <w:pPr>
              <w:jc w:val="center"/>
              <w:rPr>
                <w:sz w:val="20"/>
                <w:szCs w:val="20"/>
              </w:rPr>
            </w:pPr>
          </w:p>
        </w:tc>
        <w:tc>
          <w:tcPr>
            <w:tcW w:w="609" w:type="dxa"/>
            <w:vMerge w:val="restart"/>
            <w:vAlign w:val="center"/>
          </w:tcPr>
          <w:p w14:paraId="2C1DF12B" w14:textId="77777777" w:rsidR="00F85073" w:rsidRPr="00F85073" w:rsidRDefault="00F85073" w:rsidP="00F85073">
            <w:pPr>
              <w:jc w:val="center"/>
              <w:rPr>
                <w:sz w:val="20"/>
                <w:szCs w:val="20"/>
              </w:rPr>
            </w:pPr>
            <w:r w:rsidRPr="00F85073">
              <w:rPr>
                <w:sz w:val="20"/>
                <w:szCs w:val="20"/>
              </w:rPr>
              <w:t>OH3</w:t>
            </w:r>
          </w:p>
        </w:tc>
        <w:tc>
          <w:tcPr>
            <w:tcW w:w="667" w:type="dxa"/>
            <w:vAlign w:val="center"/>
          </w:tcPr>
          <w:p w14:paraId="13B9CBCD"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59CC2E65" w14:textId="77777777" w:rsidR="00F85073" w:rsidRPr="00F85073" w:rsidRDefault="00F85073" w:rsidP="00F85073">
            <w:pPr>
              <w:jc w:val="center"/>
              <w:rPr>
                <w:sz w:val="20"/>
                <w:szCs w:val="20"/>
              </w:rPr>
            </w:pPr>
            <w:r w:rsidRPr="00F85073">
              <w:rPr>
                <w:sz w:val="20"/>
                <w:szCs w:val="20"/>
              </w:rPr>
              <w:t>16 (24.2)</w:t>
            </w:r>
          </w:p>
        </w:tc>
        <w:tc>
          <w:tcPr>
            <w:tcW w:w="1210" w:type="dxa"/>
            <w:vAlign w:val="center"/>
          </w:tcPr>
          <w:p w14:paraId="091CB801" w14:textId="77777777" w:rsidR="00F85073" w:rsidRPr="00F85073" w:rsidRDefault="00F85073" w:rsidP="00F85073">
            <w:pPr>
              <w:jc w:val="center"/>
              <w:rPr>
                <w:sz w:val="20"/>
                <w:szCs w:val="20"/>
              </w:rPr>
            </w:pPr>
            <w:r w:rsidRPr="00F85073">
              <w:rPr>
                <w:sz w:val="20"/>
                <w:szCs w:val="20"/>
              </w:rPr>
              <w:t>13 (19.7)</w:t>
            </w:r>
          </w:p>
        </w:tc>
        <w:tc>
          <w:tcPr>
            <w:tcW w:w="1072" w:type="dxa"/>
            <w:vAlign w:val="center"/>
          </w:tcPr>
          <w:p w14:paraId="2DCBB3A4" w14:textId="77777777" w:rsidR="00F85073" w:rsidRPr="00F85073" w:rsidRDefault="00F85073" w:rsidP="00F85073">
            <w:pPr>
              <w:jc w:val="center"/>
              <w:rPr>
                <w:sz w:val="20"/>
                <w:szCs w:val="20"/>
              </w:rPr>
            </w:pPr>
            <w:r w:rsidRPr="00F85073">
              <w:rPr>
                <w:sz w:val="20"/>
                <w:szCs w:val="20"/>
              </w:rPr>
              <w:t>24 (36.4)</w:t>
            </w:r>
          </w:p>
        </w:tc>
        <w:tc>
          <w:tcPr>
            <w:tcW w:w="1038" w:type="dxa"/>
            <w:vAlign w:val="center"/>
          </w:tcPr>
          <w:p w14:paraId="7AB753AC" w14:textId="77777777" w:rsidR="00F85073" w:rsidRPr="00F85073" w:rsidRDefault="00F85073" w:rsidP="00F85073">
            <w:pPr>
              <w:jc w:val="center"/>
              <w:rPr>
                <w:sz w:val="20"/>
                <w:szCs w:val="20"/>
              </w:rPr>
            </w:pPr>
            <w:r w:rsidRPr="00F85073">
              <w:rPr>
                <w:sz w:val="20"/>
                <w:szCs w:val="20"/>
              </w:rPr>
              <w:t>13 (19.7)</w:t>
            </w:r>
          </w:p>
        </w:tc>
        <w:tc>
          <w:tcPr>
            <w:tcW w:w="855" w:type="dxa"/>
            <w:vMerge w:val="restart"/>
            <w:vAlign w:val="center"/>
          </w:tcPr>
          <w:p w14:paraId="6611D70E" w14:textId="77777777" w:rsidR="00F85073" w:rsidRPr="00F85073" w:rsidRDefault="00F85073" w:rsidP="00F85073">
            <w:pPr>
              <w:jc w:val="center"/>
              <w:rPr>
                <w:b/>
                <w:bCs/>
                <w:i/>
                <w:iCs/>
                <w:sz w:val="20"/>
                <w:szCs w:val="20"/>
              </w:rPr>
            </w:pPr>
            <w:r w:rsidRPr="00F85073">
              <w:rPr>
                <w:b/>
                <w:bCs/>
                <w:i/>
                <w:iCs/>
                <w:sz w:val="20"/>
                <w:szCs w:val="20"/>
              </w:rPr>
              <w:t>&lt;0.001</w:t>
            </w:r>
          </w:p>
        </w:tc>
      </w:tr>
      <w:tr w:rsidR="00F85073" w:rsidRPr="00F85073" w14:paraId="3C736BE3" w14:textId="77777777" w:rsidTr="00F85073">
        <w:tc>
          <w:tcPr>
            <w:tcW w:w="420" w:type="dxa"/>
            <w:vMerge/>
            <w:vAlign w:val="center"/>
          </w:tcPr>
          <w:p w14:paraId="65A510F3" w14:textId="77777777" w:rsidR="00F85073" w:rsidRPr="00F85073" w:rsidRDefault="00F85073" w:rsidP="00F85073">
            <w:pPr>
              <w:jc w:val="center"/>
              <w:rPr>
                <w:sz w:val="20"/>
                <w:szCs w:val="20"/>
              </w:rPr>
            </w:pPr>
          </w:p>
        </w:tc>
        <w:tc>
          <w:tcPr>
            <w:tcW w:w="2269" w:type="dxa"/>
            <w:vMerge/>
            <w:vAlign w:val="center"/>
          </w:tcPr>
          <w:p w14:paraId="08882CB2" w14:textId="77777777" w:rsidR="00F85073" w:rsidRPr="00F85073" w:rsidRDefault="00F85073" w:rsidP="00F85073">
            <w:pPr>
              <w:jc w:val="center"/>
              <w:rPr>
                <w:sz w:val="20"/>
                <w:szCs w:val="20"/>
              </w:rPr>
            </w:pPr>
          </w:p>
        </w:tc>
        <w:tc>
          <w:tcPr>
            <w:tcW w:w="609" w:type="dxa"/>
            <w:vMerge/>
            <w:vAlign w:val="center"/>
          </w:tcPr>
          <w:p w14:paraId="6B276A26" w14:textId="77777777" w:rsidR="00F85073" w:rsidRPr="00F85073" w:rsidRDefault="00F85073" w:rsidP="00F85073">
            <w:pPr>
              <w:jc w:val="center"/>
              <w:rPr>
                <w:sz w:val="20"/>
                <w:szCs w:val="20"/>
              </w:rPr>
            </w:pPr>
          </w:p>
        </w:tc>
        <w:tc>
          <w:tcPr>
            <w:tcW w:w="667" w:type="dxa"/>
            <w:vAlign w:val="center"/>
          </w:tcPr>
          <w:p w14:paraId="62202A90"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070DD2C6" w14:textId="77777777" w:rsidR="00F85073" w:rsidRPr="00F85073" w:rsidRDefault="00F85073" w:rsidP="00F85073">
            <w:pPr>
              <w:jc w:val="center"/>
              <w:rPr>
                <w:sz w:val="20"/>
                <w:szCs w:val="20"/>
              </w:rPr>
            </w:pPr>
            <w:r w:rsidRPr="00F85073">
              <w:rPr>
                <w:sz w:val="20"/>
                <w:szCs w:val="20"/>
              </w:rPr>
              <w:t>152 (61.3)</w:t>
            </w:r>
          </w:p>
        </w:tc>
        <w:tc>
          <w:tcPr>
            <w:tcW w:w="1210" w:type="dxa"/>
            <w:vAlign w:val="center"/>
          </w:tcPr>
          <w:p w14:paraId="385B9E18" w14:textId="77777777" w:rsidR="00F85073" w:rsidRPr="00F85073" w:rsidRDefault="00F85073" w:rsidP="00F85073">
            <w:pPr>
              <w:jc w:val="center"/>
              <w:rPr>
                <w:sz w:val="20"/>
                <w:szCs w:val="20"/>
              </w:rPr>
            </w:pPr>
            <w:r w:rsidRPr="00F85073">
              <w:rPr>
                <w:sz w:val="20"/>
                <w:szCs w:val="20"/>
              </w:rPr>
              <w:t>26 (10.5)</w:t>
            </w:r>
          </w:p>
        </w:tc>
        <w:tc>
          <w:tcPr>
            <w:tcW w:w="1072" w:type="dxa"/>
            <w:vAlign w:val="center"/>
          </w:tcPr>
          <w:p w14:paraId="2DCCBFFC" w14:textId="77777777" w:rsidR="00F85073" w:rsidRPr="00F85073" w:rsidRDefault="00F85073" w:rsidP="00F85073">
            <w:pPr>
              <w:jc w:val="center"/>
              <w:rPr>
                <w:sz w:val="20"/>
                <w:szCs w:val="20"/>
              </w:rPr>
            </w:pPr>
            <w:r w:rsidRPr="00F85073">
              <w:rPr>
                <w:sz w:val="20"/>
                <w:szCs w:val="20"/>
              </w:rPr>
              <w:t>56 (22.6)</w:t>
            </w:r>
          </w:p>
        </w:tc>
        <w:tc>
          <w:tcPr>
            <w:tcW w:w="1038" w:type="dxa"/>
            <w:vAlign w:val="center"/>
          </w:tcPr>
          <w:p w14:paraId="22EDE20B" w14:textId="77777777" w:rsidR="00F85073" w:rsidRPr="00F85073" w:rsidRDefault="00F85073" w:rsidP="00F85073">
            <w:pPr>
              <w:jc w:val="center"/>
              <w:rPr>
                <w:sz w:val="20"/>
                <w:szCs w:val="20"/>
              </w:rPr>
            </w:pPr>
            <w:r w:rsidRPr="00F85073">
              <w:rPr>
                <w:sz w:val="20"/>
                <w:szCs w:val="20"/>
              </w:rPr>
              <w:t>14 (5.6)</w:t>
            </w:r>
          </w:p>
        </w:tc>
        <w:tc>
          <w:tcPr>
            <w:tcW w:w="855" w:type="dxa"/>
            <w:vMerge/>
            <w:vAlign w:val="center"/>
          </w:tcPr>
          <w:p w14:paraId="1B057C04" w14:textId="77777777" w:rsidR="00F85073" w:rsidRPr="00F85073" w:rsidRDefault="00F85073" w:rsidP="00F85073">
            <w:pPr>
              <w:jc w:val="center"/>
              <w:rPr>
                <w:i/>
                <w:iCs/>
              </w:rPr>
            </w:pPr>
          </w:p>
        </w:tc>
      </w:tr>
      <w:tr w:rsidR="00F85073" w:rsidRPr="00F85073" w14:paraId="50CCB55D" w14:textId="77777777" w:rsidTr="00F85073">
        <w:tc>
          <w:tcPr>
            <w:tcW w:w="420" w:type="dxa"/>
            <w:vMerge w:val="restart"/>
            <w:vAlign w:val="center"/>
          </w:tcPr>
          <w:p w14:paraId="32FEB36A" w14:textId="77777777" w:rsidR="00F85073" w:rsidRPr="00F85073" w:rsidRDefault="00F85073" w:rsidP="00F85073">
            <w:pPr>
              <w:pStyle w:val="NormalWeb"/>
              <w:jc w:val="center"/>
              <w:rPr>
                <w:rFonts w:eastAsia="TimesNewRomanPSMT"/>
                <w:sz w:val="20"/>
                <w:szCs w:val="20"/>
              </w:rPr>
            </w:pPr>
            <w:r w:rsidRPr="00F85073">
              <w:rPr>
                <w:rFonts w:eastAsia="TimesNewRomanPSMT"/>
                <w:sz w:val="20"/>
                <w:szCs w:val="20"/>
              </w:rPr>
              <w:lastRenderedPageBreak/>
              <w:t>12</w:t>
            </w:r>
          </w:p>
        </w:tc>
        <w:tc>
          <w:tcPr>
            <w:tcW w:w="2269" w:type="dxa"/>
            <w:vMerge w:val="restart"/>
            <w:vAlign w:val="center"/>
          </w:tcPr>
          <w:p w14:paraId="7035BC14" w14:textId="77777777" w:rsidR="00F85073" w:rsidRPr="00F85073" w:rsidRDefault="00F85073" w:rsidP="00F85073">
            <w:pPr>
              <w:pStyle w:val="NormalWeb"/>
              <w:jc w:val="center"/>
              <w:rPr>
                <w:sz w:val="20"/>
                <w:szCs w:val="20"/>
              </w:rPr>
            </w:pPr>
            <w:r w:rsidRPr="00F85073">
              <w:rPr>
                <w:rFonts w:eastAsia="TimesNewRomanPSMT"/>
                <w:sz w:val="20"/>
                <w:szCs w:val="20"/>
              </w:rPr>
              <w:t>Visiting a friend or relative</w:t>
            </w:r>
          </w:p>
        </w:tc>
        <w:tc>
          <w:tcPr>
            <w:tcW w:w="609" w:type="dxa"/>
            <w:vMerge w:val="restart"/>
            <w:vAlign w:val="center"/>
          </w:tcPr>
          <w:p w14:paraId="587D2B8C" w14:textId="77777777" w:rsidR="00F85073" w:rsidRPr="00F85073" w:rsidRDefault="00F85073" w:rsidP="00F85073">
            <w:pPr>
              <w:jc w:val="center"/>
              <w:rPr>
                <w:sz w:val="20"/>
                <w:szCs w:val="20"/>
              </w:rPr>
            </w:pPr>
            <w:r w:rsidRPr="00F85073">
              <w:rPr>
                <w:sz w:val="20"/>
                <w:szCs w:val="20"/>
              </w:rPr>
              <w:t>OH1</w:t>
            </w:r>
          </w:p>
        </w:tc>
        <w:tc>
          <w:tcPr>
            <w:tcW w:w="667" w:type="dxa"/>
            <w:vAlign w:val="center"/>
          </w:tcPr>
          <w:p w14:paraId="54FC836F"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764B108A" w14:textId="77777777" w:rsidR="00F85073" w:rsidRPr="00F85073" w:rsidRDefault="00F85073" w:rsidP="00F85073">
            <w:pPr>
              <w:jc w:val="center"/>
              <w:rPr>
                <w:sz w:val="20"/>
                <w:szCs w:val="20"/>
              </w:rPr>
            </w:pPr>
            <w:r w:rsidRPr="00F85073">
              <w:rPr>
                <w:sz w:val="20"/>
                <w:szCs w:val="20"/>
              </w:rPr>
              <w:t>27 (42.2)</w:t>
            </w:r>
          </w:p>
        </w:tc>
        <w:tc>
          <w:tcPr>
            <w:tcW w:w="1210" w:type="dxa"/>
            <w:vAlign w:val="center"/>
          </w:tcPr>
          <w:p w14:paraId="38C66875" w14:textId="77777777" w:rsidR="00F85073" w:rsidRPr="00F85073" w:rsidRDefault="00F85073" w:rsidP="00F85073">
            <w:pPr>
              <w:jc w:val="center"/>
              <w:rPr>
                <w:sz w:val="20"/>
                <w:szCs w:val="20"/>
              </w:rPr>
            </w:pPr>
            <w:r w:rsidRPr="00F85073">
              <w:rPr>
                <w:sz w:val="20"/>
                <w:szCs w:val="20"/>
              </w:rPr>
              <w:t>27 (42.2)</w:t>
            </w:r>
          </w:p>
        </w:tc>
        <w:tc>
          <w:tcPr>
            <w:tcW w:w="1072" w:type="dxa"/>
            <w:vAlign w:val="center"/>
          </w:tcPr>
          <w:p w14:paraId="2EA220C1" w14:textId="77777777" w:rsidR="00F85073" w:rsidRPr="00F85073" w:rsidRDefault="00F85073" w:rsidP="00F85073">
            <w:pPr>
              <w:jc w:val="center"/>
              <w:rPr>
                <w:sz w:val="20"/>
                <w:szCs w:val="20"/>
              </w:rPr>
            </w:pPr>
            <w:r w:rsidRPr="00F85073">
              <w:rPr>
                <w:sz w:val="20"/>
                <w:szCs w:val="20"/>
              </w:rPr>
              <w:t>9 (14.1)</w:t>
            </w:r>
          </w:p>
        </w:tc>
        <w:tc>
          <w:tcPr>
            <w:tcW w:w="1038" w:type="dxa"/>
            <w:vAlign w:val="center"/>
          </w:tcPr>
          <w:p w14:paraId="1CCF5432" w14:textId="77777777" w:rsidR="00F85073" w:rsidRPr="00F85073" w:rsidRDefault="00F85073" w:rsidP="00F85073">
            <w:pPr>
              <w:jc w:val="center"/>
              <w:rPr>
                <w:sz w:val="20"/>
                <w:szCs w:val="20"/>
              </w:rPr>
            </w:pPr>
            <w:r w:rsidRPr="00F85073">
              <w:rPr>
                <w:sz w:val="20"/>
                <w:szCs w:val="20"/>
              </w:rPr>
              <w:t>1 (1.6)</w:t>
            </w:r>
          </w:p>
        </w:tc>
        <w:tc>
          <w:tcPr>
            <w:tcW w:w="855" w:type="dxa"/>
            <w:vMerge w:val="restart"/>
            <w:vAlign w:val="center"/>
          </w:tcPr>
          <w:p w14:paraId="58DDD1F6" w14:textId="77777777" w:rsidR="00F85073" w:rsidRPr="00F85073" w:rsidRDefault="00F85073" w:rsidP="00F85073">
            <w:pPr>
              <w:jc w:val="center"/>
              <w:rPr>
                <w:b/>
                <w:bCs/>
                <w:i/>
                <w:iCs/>
                <w:sz w:val="20"/>
                <w:szCs w:val="20"/>
              </w:rPr>
            </w:pPr>
            <w:r w:rsidRPr="00F85073">
              <w:rPr>
                <w:b/>
                <w:bCs/>
                <w:i/>
                <w:iCs/>
                <w:sz w:val="20"/>
                <w:szCs w:val="20"/>
              </w:rPr>
              <w:t>0.048</w:t>
            </w:r>
          </w:p>
        </w:tc>
      </w:tr>
      <w:tr w:rsidR="00F85073" w:rsidRPr="00F85073" w14:paraId="17053D22" w14:textId="77777777" w:rsidTr="00F85073">
        <w:tc>
          <w:tcPr>
            <w:tcW w:w="420" w:type="dxa"/>
            <w:vMerge/>
            <w:vAlign w:val="center"/>
          </w:tcPr>
          <w:p w14:paraId="5856994F" w14:textId="77777777" w:rsidR="00F85073" w:rsidRPr="00F85073" w:rsidRDefault="00F85073" w:rsidP="00F85073">
            <w:pPr>
              <w:jc w:val="center"/>
              <w:rPr>
                <w:sz w:val="20"/>
                <w:szCs w:val="20"/>
              </w:rPr>
            </w:pPr>
          </w:p>
        </w:tc>
        <w:tc>
          <w:tcPr>
            <w:tcW w:w="2269" w:type="dxa"/>
            <w:vMerge/>
            <w:vAlign w:val="center"/>
          </w:tcPr>
          <w:p w14:paraId="0D445474" w14:textId="77777777" w:rsidR="00F85073" w:rsidRPr="00F85073" w:rsidRDefault="00F85073" w:rsidP="00F85073">
            <w:pPr>
              <w:jc w:val="center"/>
              <w:rPr>
                <w:sz w:val="20"/>
                <w:szCs w:val="20"/>
              </w:rPr>
            </w:pPr>
          </w:p>
        </w:tc>
        <w:tc>
          <w:tcPr>
            <w:tcW w:w="609" w:type="dxa"/>
            <w:vMerge/>
            <w:vAlign w:val="center"/>
          </w:tcPr>
          <w:p w14:paraId="11689712" w14:textId="77777777" w:rsidR="00F85073" w:rsidRPr="00F85073" w:rsidRDefault="00F85073" w:rsidP="00F85073">
            <w:pPr>
              <w:jc w:val="center"/>
              <w:rPr>
                <w:sz w:val="20"/>
                <w:szCs w:val="20"/>
              </w:rPr>
            </w:pPr>
          </w:p>
        </w:tc>
        <w:tc>
          <w:tcPr>
            <w:tcW w:w="667" w:type="dxa"/>
            <w:vAlign w:val="center"/>
          </w:tcPr>
          <w:p w14:paraId="74785877"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47E6BFA5" w14:textId="77777777" w:rsidR="00F85073" w:rsidRPr="00F85073" w:rsidRDefault="00F85073" w:rsidP="00F85073">
            <w:pPr>
              <w:jc w:val="center"/>
              <w:rPr>
                <w:sz w:val="20"/>
                <w:szCs w:val="20"/>
              </w:rPr>
            </w:pPr>
            <w:r w:rsidRPr="00F85073">
              <w:rPr>
                <w:sz w:val="20"/>
                <w:szCs w:val="20"/>
              </w:rPr>
              <w:t>153 (61.2)</w:t>
            </w:r>
          </w:p>
        </w:tc>
        <w:tc>
          <w:tcPr>
            <w:tcW w:w="1210" w:type="dxa"/>
            <w:vAlign w:val="center"/>
          </w:tcPr>
          <w:p w14:paraId="7A5304DD" w14:textId="77777777" w:rsidR="00F85073" w:rsidRPr="00F85073" w:rsidRDefault="00F85073" w:rsidP="00F85073">
            <w:pPr>
              <w:jc w:val="center"/>
              <w:rPr>
                <w:sz w:val="20"/>
                <w:szCs w:val="20"/>
              </w:rPr>
            </w:pPr>
            <w:r w:rsidRPr="00F85073">
              <w:rPr>
                <w:sz w:val="20"/>
                <w:szCs w:val="20"/>
              </w:rPr>
              <w:t>67 (26.8)</w:t>
            </w:r>
          </w:p>
        </w:tc>
        <w:tc>
          <w:tcPr>
            <w:tcW w:w="1072" w:type="dxa"/>
            <w:vAlign w:val="center"/>
          </w:tcPr>
          <w:p w14:paraId="5DEE9003" w14:textId="77777777" w:rsidR="00F85073" w:rsidRPr="00F85073" w:rsidRDefault="00F85073" w:rsidP="00F85073">
            <w:pPr>
              <w:jc w:val="center"/>
              <w:rPr>
                <w:sz w:val="20"/>
                <w:szCs w:val="20"/>
              </w:rPr>
            </w:pPr>
            <w:r w:rsidRPr="00F85073">
              <w:rPr>
                <w:sz w:val="20"/>
                <w:szCs w:val="20"/>
              </w:rPr>
              <w:t>28 (11.2)</w:t>
            </w:r>
          </w:p>
        </w:tc>
        <w:tc>
          <w:tcPr>
            <w:tcW w:w="1038" w:type="dxa"/>
            <w:vAlign w:val="center"/>
          </w:tcPr>
          <w:p w14:paraId="2417BB80" w14:textId="77777777" w:rsidR="00F85073" w:rsidRPr="00F85073" w:rsidRDefault="00F85073" w:rsidP="00F85073">
            <w:pPr>
              <w:jc w:val="center"/>
              <w:rPr>
                <w:sz w:val="20"/>
                <w:szCs w:val="20"/>
              </w:rPr>
            </w:pPr>
            <w:r w:rsidRPr="00F85073">
              <w:rPr>
                <w:sz w:val="20"/>
                <w:szCs w:val="20"/>
              </w:rPr>
              <w:t>2 (0.8)</w:t>
            </w:r>
          </w:p>
        </w:tc>
        <w:tc>
          <w:tcPr>
            <w:tcW w:w="855" w:type="dxa"/>
            <w:vMerge/>
            <w:vAlign w:val="center"/>
          </w:tcPr>
          <w:p w14:paraId="3D80F35E" w14:textId="77777777" w:rsidR="00F85073" w:rsidRPr="00F85073" w:rsidRDefault="00F85073" w:rsidP="00F85073">
            <w:pPr>
              <w:jc w:val="center"/>
              <w:rPr>
                <w:i/>
                <w:iCs/>
              </w:rPr>
            </w:pPr>
          </w:p>
        </w:tc>
      </w:tr>
      <w:tr w:rsidR="00F85073" w:rsidRPr="00F85073" w14:paraId="50A3821C" w14:textId="77777777" w:rsidTr="00F85073">
        <w:tc>
          <w:tcPr>
            <w:tcW w:w="420" w:type="dxa"/>
            <w:vMerge/>
            <w:vAlign w:val="center"/>
          </w:tcPr>
          <w:p w14:paraId="3F070EFA" w14:textId="77777777" w:rsidR="00F85073" w:rsidRPr="00F85073" w:rsidRDefault="00F85073" w:rsidP="00F85073">
            <w:pPr>
              <w:jc w:val="center"/>
              <w:rPr>
                <w:sz w:val="20"/>
                <w:szCs w:val="20"/>
              </w:rPr>
            </w:pPr>
          </w:p>
        </w:tc>
        <w:tc>
          <w:tcPr>
            <w:tcW w:w="2269" w:type="dxa"/>
            <w:vMerge/>
            <w:vAlign w:val="center"/>
          </w:tcPr>
          <w:p w14:paraId="0CD66D8E" w14:textId="77777777" w:rsidR="00F85073" w:rsidRPr="00F85073" w:rsidRDefault="00F85073" w:rsidP="00F85073">
            <w:pPr>
              <w:jc w:val="center"/>
              <w:rPr>
                <w:sz w:val="20"/>
                <w:szCs w:val="20"/>
              </w:rPr>
            </w:pPr>
          </w:p>
        </w:tc>
        <w:tc>
          <w:tcPr>
            <w:tcW w:w="609" w:type="dxa"/>
            <w:vMerge w:val="restart"/>
            <w:vAlign w:val="center"/>
          </w:tcPr>
          <w:p w14:paraId="1935A72C" w14:textId="77777777" w:rsidR="00F85073" w:rsidRPr="00F85073" w:rsidRDefault="00F85073" w:rsidP="00F85073">
            <w:pPr>
              <w:jc w:val="center"/>
              <w:rPr>
                <w:sz w:val="20"/>
                <w:szCs w:val="20"/>
              </w:rPr>
            </w:pPr>
            <w:r w:rsidRPr="00F85073">
              <w:rPr>
                <w:sz w:val="20"/>
                <w:szCs w:val="20"/>
              </w:rPr>
              <w:t>OH3</w:t>
            </w:r>
          </w:p>
        </w:tc>
        <w:tc>
          <w:tcPr>
            <w:tcW w:w="667" w:type="dxa"/>
            <w:vAlign w:val="center"/>
          </w:tcPr>
          <w:p w14:paraId="3A5AFA82"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4F49178E" w14:textId="77777777" w:rsidR="00F85073" w:rsidRPr="00F85073" w:rsidRDefault="00F85073" w:rsidP="00F85073">
            <w:pPr>
              <w:jc w:val="center"/>
              <w:rPr>
                <w:sz w:val="20"/>
                <w:szCs w:val="20"/>
              </w:rPr>
            </w:pPr>
            <w:r w:rsidRPr="00F85073">
              <w:rPr>
                <w:sz w:val="20"/>
                <w:szCs w:val="20"/>
              </w:rPr>
              <w:t>26 (39.4)</w:t>
            </w:r>
          </w:p>
        </w:tc>
        <w:tc>
          <w:tcPr>
            <w:tcW w:w="1210" w:type="dxa"/>
            <w:vAlign w:val="center"/>
          </w:tcPr>
          <w:p w14:paraId="4219839E" w14:textId="77777777" w:rsidR="00F85073" w:rsidRPr="00F85073" w:rsidRDefault="00F85073" w:rsidP="00F85073">
            <w:pPr>
              <w:jc w:val="center"/>
              <w:rPr>
                <w:sz w:val="20"/>
                <w:szCs w:val="20"/>
              </w:rPr>
            </w:pPr>
            <w:r w:rsidRPr="00F85073">
              <w:rPr>
                <w:sz w:val="20"/>
                <w:szCs w:val="20"/>
              </w:rPr>
              <w:t>22 (33.3)</w:t>
            </w:r>
          </w:p>
        </w:tc>
        <w:tc>
          <w:tcPr>
            <w:tcW w:w="1072" w:type="dxa"/>
            <w:vAlign w:val="center"/>
          </w:tcPr>
          <w:p w14:paraId="67DB26DA" w14:textId="77777777" w:rsidR="00F85073" w:rsidRPr="00F85073" w:rsidRDefault="00F85073" w:rsidP="00F85073">
            <w:pPr>
              <w:jc w:val="center"/>
              <w:rPr>
                <w:sz w:val="20"/>
                <w:szCs w:val="20"/>
              </w:rPr>
            </w:pPr>
            <w:r w:rsidRPr="00F85073">
              <w:rPr>
                <w:sz w:val="20"/>
                <w:szCs w:val="20"/>
              </w:rPr>
              <w:t>15 (22.7)</w:t>
            </w:r>
          </w:p>
        </w:tc>
        <w:tc>
          <w:tcPr>
            <w:tcW w:w="1038" w:type="dxa"/>
            <w:vAlign w:val="center"/>
          </w:tcPr>
          <w:p w14:paraId="5D6E6CF5" w14:textId="77777777" w:rsidR="00F85073" w:rsidRPr="00F85073" w:rsidRDefault="00F85073" w:rsidP="00F85073">
            <w:pPr>
              <w:jc w:val="center"/>
              <w:rPr>
                <w:sz w:val="20"/>
                <w:szCs w:val="20"/>
              </w:rPr>
            </w:pPr>
            <w:r w:rsidRPr="00F85073">
              <w:rPr>
                <w:sz w:val="20"/>
                <w:szCs w:val="20"/>
              </w:rPr>
              <w:t>3 (4.5)</w:t>
            </w:r>
          </w:p>
        </w:tc>
        <w:tc>
          <w:tcPr>
            <w:tcW w:w="855" w:type="dxa"/>
            <w:vMerge w:val="restart"/>
            <w:vAlign w:val="center"/>
          </w:tcPr>
          <w:p w14:paraId="7056E531" w14:textId="77777777" w:rsidR="00F85073" w:rsidRPr="00F85073" w:rsidRDefault="00F85073" w:rsidP="00F85073">
            <w:pPr>
              <w:jc w:val="center"/>
              <w:rPr>
                <w:b/>
                <w:bCs/>
                <w:i/>
                <w:iCs/>
                <w:sz w:val="20"/>
                <w:szCs w:val="20"/>
              </w:rPr>
            </w:pPr>
            <w:r w:rsidRPr="00F85073">
              <w:rPr>
                <w:b/>
                <w:bCs/>
                <w:i/>
                <w:iCs/>
                <w:sz w:val="20"/>
                <w:szCs w:val="20"/>
              </w:rPr>
              <w:t>&lt;0.001</w:t>
            </w:r>
          </w:p>
        </w:tc>
      </w:tr>
      <w:tr w:rsidR="00F85073" w:rsidRPr="00F85073" w14:paraId="46234F97" w14:textId="77777777" w:rsidTr="00F85073">
        <w:tc>
          <w:tcPr>
            <w:tcW w:w="420" w:type="dxa"/>
            <w:vMerge/>
            <w:vAlign w:val="center"/>
          </w:tcPr>
          <w:p w14:paraId="2BC34902" w14:textId="77777777" w:rsidR="00F85073" w:rsidRPr="00F85073" w:rsidRDefault="00F85073" w:rsidP="00F85073">
            <w:pPr>
              <w:jc w:val="center"/>
              <w:rPr>
                <w:sz w:val="20"/>
                <w:szCs w:val="20"/>
              </w:rPr>
            </w:pPr>
          </w:p>
        </w:tc>
        <w:tc>
          <w:tcPr>
            <w:tcW w:w="2269" w:type="dxa"/>
            <w:vMerge/>
            <w:vAlign w:val="center"/>
          </w:tcPr>
          <w:p w14:paraId="7DD4AD96" w14:textId="77777777" w:rsidR="00F85073" w:rsidRPr="00F85073" w:rsidRDefault="00F85073" w:rsidP="00F85073">
            <w:pPr>
              <w:jc w:val="center"/>
              <w:rPr>
                <w:sz w:val="20"/>
                <w:szCs w:val="20"/>
              </w:rPr>
            </w:pPr>
          </w:p>
        </w:tc>
        <w:tc>
          <w:tcPr>
            <w:tcW w:w="609" w:type="dxa"/>
            <w:vMerge/>
            <w:vAlign w:val="center"/>
          </w:tcPr>
          <w:p w14:paraId="631447DB" w14:textId="77777777" w:rsidR="00F85073" w:rsidRPr="00F85073" w:rsidRDefault="00F85073" w:rsidP="00F85073">
            <w:pPr>
              <w:jc w:val="center"/>
              <w:rPr>
                <w:sz w:val="20"/>
                <w:szCs w:val="20"/>
              </w:rPr>
            </w:pPr>
          </w:p>
        </w:tc>
        <w:tc>
          <w:tcPr>
            <w:tcW w:w="667" w:type="dxa"/>
            <w:vAlign w:val="center"/>
          </w:tcPr>
          <w:p w14:paraId="1C1579D9"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7EF032C6" w14:textId="77777777" w:rsidR="00F85073" w:rsidRPr="00F85073" w:rsidRDefault="00F85073" w:rsidP="00F85073">
            <w:pPr>
              <w:jc w:val="center"/>
              <w:rPr>
                <w:sz w:val="20"/>
                <w:szCs w:val="20"/>
              </w:rPr>
            </w:pPr>
            <w:r w:rsidRPr="00F85073">
              <w:rPr>
                <w:sz w:val="20"/>
                <w:szCs w:val="20"/>
              </w:rPr>
              <w:t>154 (62.1)</w:t>
            </w:r>
          </w:p>
        </w:tc>
        <w:tc>
          <w:tcPr>
            <w:tcW w:w="1210" w:type="dxa"/>
            <w:vAlign w:val="center"/>
          </w:tcPr>
          <w:p w14:paraId="5FD8D7EE" w14:textId="77777777" w:rsidR="00F85073" w:rsidRPr="00F85073" w:rsidRDefault="00F85073" w:rsidP="00F85073">
            <w:pPr>
              <w:jc w:val="center"/>
              <w:rPr>
                <w:sz w:val="20"/>
                <w:szCs w:val="20"/>
              </w:rPr>
            </w:pPr>
            <w:r w:rsidRPr="00F85073">
              <w:rPr>
                <w:sz w:val="20"/>
                <w:szCs w:val="20"/>
              </w:rPr>
              <w:t>72 (29)</w:t>
            </w:r>
          </w:p>
        </w:tc>
        <w:tc>
          <w:tcPr>
            <w:tcW w:w="1072" w:type="dxa"/>
            <w:vAlign w:val="center"/>
          </w:tcPr>
          <w:p w14:paraId="1CE0A4FF" w14:textId="77777777" w:rsidR="00F85073" w:rsidRPr="00F85073" w:rsidRDefault="00F85073" w:rsidP="00F85073">
            <w:pPr>
              <w:jc w:val="center"/>
              <w:rPr>
                <w:sz w:val="20"/>
                <w:szCs w:val="20"/>
              </w:rPr>
            </w:pPr>
            <w:r w:rsidRPr="00F85073">
              <w:rPr>
                <w:sz w:val="20"/>
                <w:szCs w:val="20"/>
              </w:rPr>
              <w:t>22 (8.9)</w:t>
            </w:r>
          </w:p>
        </w:tc>
        <w:tc>
          <w:tcPr>
            <w:tcW w:w="1038" w:type="dxa"/>
            <w:vAlign w:val="center"/>
          </w:tcPr>
          <w:p w14:paraId="712694D0" w14:textId="77777777" w:rsidR="00F85073" w:rsidRPr="00F85073" w:rsidRDefault="00F85073" w:rsidP="00F85073">
            <w:pPr>
              <w:jc w:val="center"/>
              <w:rPr>
                <w:sz w:val="20"/>
                <w:szCs w:val="20"/>
              </w:rPr>
            </w:pPr>
            <w:r w:rsidRPr="00F85073">
              <w:rPr>
                <w:sz w:val="20"/>
                <w:szCs w:val="20"/>
              </w:rPr>
              <w:t>-</w:t>
            </w:r>
          </w:p>
        </w:tc>
        <w:tc>
          <w:tcPr>
            <w:tcW w:w="855" w:type="dxa"/>
            <w:vMerge/>
            <w:vAlign w:val="center"/>
          </w:tcPr>
          <w:p w14:paraId="7027E905" w14:textId="77777777" w:rsidR="00F85073" w:rsidRPr="00F85073" w:rsidRDefault="00F85073" w:rsidP="00F85073">
            <w:pPr>
              <w:jc w:val="center"/>
              <w:rPr>
                <w:i/>
                <w:iCs/>
              </w:rPr>
            </w:pPr>
          </w:p>
        </w:tc>
      </w:tr>
      <w:tr w:rsidR="00F85073" w:rsidRPr="00F85073" w14:paraId="2087955A" w14:textId="77777777" w:rsidTr="00F85073">
        <w:tc>
          <w:tcPr>
            <w:tcW w:w="420" w:type="dxa"/>
            <w:vMerge w:val="restart"/>
            <w:vAlign w:val="center"/>
          </w:tcPr>
          <w:p w14:paraId="53B1278D" w14:textId="77777777" w:rsidR="00F85073" w:rsidRPr="00F85073" w:rsidRDefault="00F85073" w:rsidP="00F85073">
            <w:pPr>
              <w:pStyle w:val="NormalWeb"/>
              <w:jc w:val="center"/>
              <w:rPr>
                <w:rFonts w:eastAsia="TimesNewRomanPSMT"/>
                <w:sz w:val="20"/>
                <w:szCs w:val="20"/>
              </w:rPr>
            </w:pPr>
            <w:r w:rsidRPr="00F85073">
              <w:rPr>
                <w:rFonts w:eastAsia="TimesNewRomanPSMT"/>
                <w:sz w:val="20"/>
                <w:szCs w:val="20"/>
              </w:rPr>
              <w:t>13</w:t>
            </w:r>
          </w:p>
        </w:tc>
        <w:tc>
          <w:tcPr>
            <w:tcW w:w="2269" w:type="dxa"/>
            <w:vMerge w:val="restart"/>
            <w:vAlign w:val="center"/>
          </w:tcPr>
          <w:p w14:paraId="4E4721F1" w14:textId="77777777" w:rsidR="00F85073" w:rsidRPr="00F85073" w:rsidRDefault="00F85073" w:rsidP="00F85073">
            <w:pPr>
              <w:pStyle w:val="NormalWeb"/>
              <w:jc w:val="center"/>
              <w:rPr>
                <w:sz w:val="20"/>
                <w:szCs w:val="20"/>
              </w:rPr>
            </w:pPr>
            <w:r w:rsidRPr="00F85073">
              <w:rPr>
                <w:rFonts w:eastAsia="TimesNewRomanPSMT"/>
                <w:sz w:val="20"/>
                <w:szCs w:val="20"/>
              </w:rPr>
              <w:t>Walking in a place with crowds</w:t>
            </w:r>
          </w:p>
        </w:tc>
        <w:tc>
          <w:tcPr>
            <w:tcW w:w="609" w:type="dxa"/>
            <w:vMerge w:val="restart"/>
            <w:vAlign w:val="center"/>
          </w:tcPr>
          <w:p w14:paraId="19EDEC9A" w14:textId="77777777" w:rsidR="00F85073" w:rsidRPr="00F85073" w:rsidRDefault="00F85073" w:rsidP="00F85073">
            <w:pPr>
              <w:jc w:val="center"/>
              <w:rPr>
                <w:sz w:val="20"/>
                <w:szCs w:val="20"/>
              </w:rPr>
            </w:pPr>
            <w:r w:rsidRPr="00F85073">
              <w:rPr>
                <w:sz w:val="20"/>
                <w:szCs w:val="20"/>
              </w:rPr>
              <w:t>OH1</w:t>
            </w:r>
          </w:p>
        </w:tc>
        <w:tc>
          <w:tcPr>
            <w:tcW w:w="667" w:type="dxa"/>
            <w:vAlign w:val="center"/>
          </w:tcPr>
          <w:p w14:paraId="579A7F73"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5D183EC2" w14:textId="77777777" w:rsidR="00F85073" w:rsidRPr="00F85073" w:rsidRDefault="00F85073" w:rsidP="00F85073">
            <w:pPr>
              <w:jc w:val="center"/>
              <w:rPr>
                <w:sz w:val="20"/>
                <w:szCs w:val="20"/>
              </w:rPr>
            </w:pPr>
            <w:r w:rsidRPr="00F85073">
              <w:rPr>
                <w:sz w:val="20"/>
                <w:szCs w:val="20"/>
              </w:rPr>
              <w:t>18 (28.1)</w:t>
            </w:r>
          </w:p>
        </w:tc>
        <w:tc>
          <w:tcPr>
            <w:tcW w:w="1210" w:type="dxa"/>
            <w:vAlign w:val="center"/>
          </w:tcPr>
          <w:p w14:paraId="062C8C78" w14:textId="77777777" w:rsidR="00F85073" w:rsidRPr="00F85073" w:rsidRDefault="00F85073" w:rsidP="00F85073">
            <w:pPr>
              <w:jc w:val="center"/>
              <w:rPr>
                <w:sz w:val="20"/>
                <w:szCs w:val="20"/>
              </w:rPr>
            </w:pPr>
            <w:r w:rsidRPr="00F85073">
              <w:rPr>
                <w:sz w:val="20"/>
                <w:szCs w:val="20"/>
              </w:rPr>
              <w:t>28 (43.8)</w:t>
            </w:r>
          </w:p>
        </w:tc>
        <w:tc>
          <w:tcPr>
            <w:tcW w:w="1072" w:type="dxa"/>
            <w:vAlign w:val="center"/>
          </w:tcPr>
          <w:p w14:paraId="761591F6" w14:textId="77777777" w:rsidR="00F85073" w:rsidRPr="00F85073" w:rsidRDefault="00F85073" w:rsidP="00F85073">
            <w:pPr>
              <w:jc w:val="center"/>
              <w:rPr>
                <w:sz w:val="20"/>
                <w:szCs w:val="20"/>
              </w:rPr>
            </w:pPr>
            <w:r w:rsidRPr="00F85073">
              <w:rPr>
                <w:sz w:val="20"/>
                <w:szCs w:val="20"/>
              </w:rPr>
              <w:t>16 (25)</w:t>
            </w:r>
          </w:p>
        </w:tc>
        <w:tc>
          <w:tcPr>
            <w:tcW w:w="1038" w:type="dxa"/>
            <w:vAlign w:val="center"/>
          </w:tcPr>
          <w:p w14:paraId="348D7750" w14:textId="77777777" w:rsidR="00F85073" w:rsidRPr="00F85073" w:rsidRDefault="00F85073" w:rsidP="00F85073">
            <w:pPr>
              <w:jc w:val="center"/>
              <w:rPr>
                <w:sz w:val="20"/>
                <w:szCs w:val="20"/>
              </w:rPr>
            </w:pPr>
            <w:r w:rsidRPr="00F85073">
              <w:rPr>
                <w:sz w:val="20"/>
                <w:szCs w:val="20"/>
              </w:rPr>
              <w:t>2 (3.1)</w:t>
            </w:r>
          </w:p>
        </w:tc>
        <w:tc>
          <w:tcPr>
            <w:tcW w:w="855" w:type="dxa"/>
            <w:vMerge w:val="restart"/>
            <w:vAlign w:val="center"/>
          </w:tcPr>
          <w:p w14:paraId="32271619" w14:textId="77777777" w:rsidR="00F85073" w:rsidRPr="00F85073" w:rsidRDefault="00F85073" w:rsidP="00F85073">
            <w:pPr>
              <w:jc w:val="center"/>
              <w:rPr>
                <w:i/>
                <w:iCs/>
                <w:sz w:val="20"/>
                <w:szCs w:val="20"/>
              </w:rPr>
            </w:pPr>
            <w:r w:rsidRPr="00F85073">
              <w:rPr>
                <w:i/>
                <w:iCs/>
                <w:sz w:val="20"/>
                <w:szCs w:val="20"/>
              </w:rPr>
              <w:t>0.308</w:t>
            </w:r>
          </w:p>
        </w:tc>
      </w:tr>
      <w:tr w:rsidR="00F85073" w:rsidRPr="00F85073" w14:paraId="0171A840" w14:textId="77777777" w:rsidTr="00F85073">
        <w:tc>
          <w:tcPr>
            <w:tcW w:w="420" w:type="dxa"/>
            <w:vMerge/>
            <w:vAlign w:val="center"/>
          </w:tcPr>
          <w:p w14:paraId="0C795020" w14:textId="77777777" w:rsidR="00F85073" w:rsidRPr="00F85073" w:rsidRDefault="00F85073" w:rsidP="00F85073">
            <w:pPr>
              <w:jc w:val="center"/>
              <w:rPr>
                <w:sz w:val="20"/>
                <w:szCs w:val="20"/>
              </w:rPr>
            </w:pPr>
          </w:p>
        </w:tc>
        <w:tc>
          <w:tcPr>
            <w:tcW w:w="2269" w:type="dxa"/>
            <w:vMerge/>
            <w:vAlign w:val="center"/>
          </w:tcPr>
          <w:p w14:paraId="25039878" w14:textId="77777777" w:rsidR="00F85073" w:rsidRPr="00F85073" w:rsidRDefault="00F85073" w:rsidP="00F85073">
            <w:pPr>
              <w:jc w:val="center"/>
              <w:rPr>
                <w:sz w:val="20"/>
                <w:szCs w:val="20"/>
              </w:rPr>
            </w:pPr>
          </w:p>
        </w:tc>
        <w:tc>
          <w:tcPr>
            <w:tcW w:w="609" w:type="dxa"/>
            <w:vMerge/>
            <w:vAlign w:val="center"/>
          </w:tcPr>
          <w:p w14:paraId="15FCF9F4" w14:textId="77777777" w:rsidR="00F85073" w:rsidRPr="00F85073" w:rsidRDefault="00F85073" w:rsidP="00F85073">
            <w:pPr>
              <w:jc w:val="center"/>
              <w:rPr>
                <w:sz w:val="20"/>
                <w:szCs w:val="20"/>
              </w:rPr>
            </w:pPr>
          </w:p>
        </w:tc>
        <w:tc>
          <w:tcPr>
            <w:tcW w:w="667" w:type="dxa"/>
            <w:vAlign w:val="center"/>
          </w:tcPr>
          <w:p w14:paraId="250DCE9F"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1DBC8075" w14:textId="77777777" w:rsidR="00F85073" w:rsidRPr="00F85073" w:rsidRDefault="00F85073" w:rsidP="00F85073">
            <w:pPr>
              <w:jc w:val="center"/>
              <w:rPr>
                <w:sz w:val="20"/>
                <w:szCs w:val="20"/>
              </w:rPr>
            </w:pPr>
            <w:r w:rsidRPr="00F85073">
              <w:rPr>
                <w:sz w:val="20"/>
                <w:szCs w:val="20"/>
              </w:rPr>
              <w:t>99 (39.6)</w:t>
            </w:r>
          </w:p>
        </w:tc>
        <w:tc>
          <w:tcPr>
            <w:tcW w:w="1210" w:type="dxa"/>
            <w:vAlign w:val="center"/>
          </w:tcPr>
          <w:p w14:paraId="6398C20C" w14:textId="77777777" w:rsidR="00F85073" w:rsidRPr="00F85073" w:rsidRDefault="00F85073" w:rsidP="00F85073">
            <w:pPr>
              <w:jc w:val="center"/>
              <w:rPr>
                <w:sz w:val="20"/>
                <w:szCs w:val="20"/>
              </w:rPr>
            </w:pPr>
            <w:r w:rsidRPr="00F85073">
              <w:rPr>
                <w:sz w:val="20"/>
                <w:szCs w:val="20"/>
              </w:rPr>
              <w:t>82 (32.8)</w:t>
            </w:r>
          </w:p>
        </w:tc>
        <w:tc>
          <w:tcPr>
            <w:tcW w:w="1072" w:type="dxa"/>
            <w:vAlign w:val="center"/>
          </w:tcPr>
          <w:p w14:paraId="76593361" w14:textId="77777777" w:rsidR="00F85073" w:rsidRPr="00F85073" w:rsidRDefault="00F85073" w:rsidP="00F85073">
            <w:pPr>
              <w:jc w:val="center"/>
              <w:rPr>
                <w:sz w:val="20"/>
                <w:szCs w:val="20"/>
              </w:rPr>
            </w:pPr>
            <w:r w:rsidRPr="00F85073">
              <w:rPr>
                <w:sz w:val="20"/>
                <w:szCs w:val="20"/>
              </w:rPr>
              <w:t>60 (24)</w:t>
            </w:r>
          </w:p>
        </w:tc>
        <w:tc>
          <w:tcPr>
            <w:tcW w:w="1038" w:type="dxa"/>
            <w:vAlign w:val="center"/>
          </w:tcPr>
          <w:p w14:paraId="5714F517" w14:textId="77777777" w:rsidR="00F85073" w:rsidRPr="00F85073" w:rsidRDefault="00F85073" w:rsidP="00F85073">
            <w:pPr>
              <w:jc w:val="center"/>
              <w:rPr>
                <w:sz w:val="20"/>
                <w:szCs w:val="20"/>
              </w:rPr>
            </w:pPr>
            <w:r w:rsidRPr="00F85073">
              <w:rPr>
                <w:sz w:val="20"/>
                <w:szCs w:val="20"/>
              </w:rPr>
              <w:t>9 (3.6)</w:t>
            </w:r>
          </w:p>
        </w:tc>
        <w:tc>
          <w:tcPr>
            <w:tcW w:w="855" w:type="dxa"/>
            <w:vMerge/>
            <w:vAlign w:val="center"/>
          </w:tcPr>
          <w:p w14:paraId="5A0B6013" w14:textId="77777777" w:rsidR="00F85073" w:rsidRPr="00F85073" w:rsidRDefault="00F85073" w:rsidP="00F85073">
            <w:pPr>
              <w:jc w:val="center"/>
              <w:rPr>
                <w:i/>
                <w:iCs/>
              </w:rPr>
            </w:pPr>
          </w:p>
        </w:tc>
      </w:tr>
      <w:tr w:rsidR="00F85073" w:rsidRPr="00F85073" w14:paraId="528643C1" w14:textId="77777777" w:rsidTr="00F85073">
        <w:tc>
          <w:tcPr>
            <w:tcW w:w="420" w:type="dxa"/>
            <w:vMerge/>
            <w:vAlign w:val="center"/>
          </w:tcPr>
          <w:p w14:paraId="00504F95" w14:textId="77777777" w:rsidR="00F85073" w:rsidRPr="00F85073" w:rsidRDefault="00F85073" w:rsidP="00F85073">
            <w:pPr>
              <w:jc w:val="center"/>
              <w:rPr>
                <w:sz w:val="20"/>
                <w:szCs w:val="20"/>
              </w:rPr>
            </w:pPr>
          </w:p>
        </w:tc>
        <w:tc>
          <w:tcPr>
            <w:tcW w:w="2269" w:type="dxa"/>
            <w:vMerge/>
            <w:vAlign w:val="center"/>
          </w:tcPr>
          <w:p w14:paraId="2409C0AD" w14:textId="77777777" w:rsidR="00F85073" w:rsidRPr="00F85073" w:rsidRDefault="00F85073" w:rsidP="00F85073">
            <w:pPr>
              <w:jc w:val="center"/>
              <w:rPr>
                <w:sz w:val="20"/>
                <w:szCs w:val="20"/>
              </w:rPr>
            </w:pPr>
          </w:p>
        </w:tc>
        <w:tc>
          <w:tcPr>
            <w:tcW w:w="609" w:type="dxa"/>
            <w:vMerge w:val="restart"/>
            <w:vAlign w:val="center"/>
          </w:tcPr>
          <w:p w14:paraId="25317F02" w14:textId="77777777" w:rsidR="00F85073" w:rsidRPr="00F85073" w:rsidRDefault="00F85073" w:rsidP="00F85073">
            <w:pPr>
              <w:jc w:val="center"/>
              <w:rPr>
                <w:sz w:val="20"/>
                <w:szCs w:val="20"/>
              </w:rPr>
            </w:pPr>
            <w:r w:rsidRPr="00F85073">
              <w:rPr>
                <w:sz w:val="20"/>
                <w:szCs w:val="20"/>
              </w:rPr>
              <w:t>OH3</w:t>
            </w:r>
          </w:p>
        </w:tc>
        <w:tc>
          <w:tcPr>
            <w:tcW w:w="667" w:type="dxa"/>
            <w:vAlign w:val="center"/>
          </w:tcPr>
          <w:p w14:paraId="76E228BE"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5D4209FE" w14:textId="77777777" w:rsidR="00F85073" w:rsidRPr="00F85073" w:rsidRDefault="00F85073" w:rsidP="00F85073">
            <w:pPr>
              <w:jc w:val="center"/>
              <w:rPr>
                <w:sz w:val="20"/>
                <w:szCs w:val="20"/>
              </w:rPr>
            </w:pPr>
            <w:r w:rsidRPr="00F85073">
              <w:rPr>
                <w:sz w:val="20"/>
                <w:szCs w:val="20"/>
              </w:rPr>
              <w:t>16 (24.2)</w:t>
            </w:r>
          </w:p>
        </w:tc>
        <w:tc>
          <w:tcPr>
            <w:tcW w:w="1210" w:type="dxa"/>
            <w:vAlign w:val="center"/>
          </w:tcPr>
          <w:p w14:paraId="4986309C" w14:textId="77777777" w:rsidR="00F85073" w:rsidRPr="00F85073" w:rsidRDefault="00F85073" w:rsidP="00F85073">
            <w:pPr>
              <w:jc w:val="center"/>
              <w:rPr>
                <w:sz w:val="20"/>
                <w:szCs w:val="20"/>
              </w:rPr>
            </w:pPr>
            <w:r w:rsidRPr="00F85073">
              <w:rPr>
                <w:sz w:val="20"/>
                <w:szCs w:val="20"/>
              </w:rPr>
              <w:t>24 (36.4)</w:t>
            </w:r>
          </w:p>
        </w:tc>
        <w:tc>
          <w:tcPr>
            <w:tcW w:w="1072" w:type="dxa"/>
            <w:vAlign w:val="center"/>
          </w:tcPr>
          <w:p w14:paraId="3C03BA9F" w14:textId="77777777" w:rsidR="00F85073" w:rsidRPr="00F85073" w:rsidRDefault="00F85073" w:rsidP="00F85073">
            <w:pPr>
              <w:jc w:val="center"/>
              <w:rPr>
                <w:sz w:val="20"/>
                <w:szCs w:val="20"/>
              </w:rPr>
            </w:pPr>
            <w:r w:rsidRPr="00F85073">
              <w:rPr>
                <w:sz w:val="20"/>
                <w:szCs w:val="20"/>
              </w:rPr>
              <w:t>21 (31.8)</w:t>
            </w:r>
          </w:p>
        </w:tc>
        <w:tc>
          <w:tcPr>
            <w:tcW w:w="1038" w:type="dxa"/>
            <w:vAlign w:val="center"/>
          </w:tcPr>
          <w:p w14:paraId="761B3974" w14:textId="77777777" w:rsidR="00F85073" w:rsidRPr="00F85073" w:rsidRDefault="00F85073" w:rsidP="00F85073">
            <w:pPr>
              <w:jc w:val="center"/>
              <w:rPr>
                <w:sz w:val="20"/>
                <w:szCs w:val="20"/>
              </w:rPr>
            </w:pPr>
            <w:r w:rsidRPr="00F85073">
              <w:rPr>
                <w:sz w:val="20"/>
                <w:szCs w:val="20"/>
              </w:rPr>
              <w:t>5 (7.6)</w:t>
            </w:r>
          </w:p>
        </w:tc>
        <w:tc>
          <w:tcPr>
            <w:tcW w:w="855" w:type="dxa"/>
            <w:vMerge w:val="restart"/>
            <w:vAlign w:val="center"/>
          </w:tcPr>
          <w:p w14:paraId="0D78133A" w14:textId="77777777" w:rsidR="00F85073" w:rsidRPr="00F85073" w:rsidRDefault="00F85073" w:rsidP="00F85073">
            <w:pPr>
              <w:jc w:val="center"/>
              <w:rPr>
                <w:b/>
                <w:bCs/>
                <w:i/>
                <w:iCs/>
                <w:sz w:val="20"/>
                <w:szCs w:val="20"/>
              </w:rPr>
            </w:pPr>
            <w:r w:rsidRPr="00F85073">
              <w:rPr>
                <w:b/>
                <w:bCs/>
                <w:i/>
                <w:iCs/>
                <w:sz w:val="20"/>
                <w:szCs w:val="20"/>
              </w:rPr>
              <w:t>0.02</w:t>
            </w:r>
          </w:p>
        </w:tc>
      </w:tr>
      <w:tr w:rsidR="00F85073" w:rsidRPr="00F85073" w14:paraId="31B202C5" w14:textId="77777777" w:rsidTr="00F85073">
        <w:tc>
          <w:tcPr>
            <w:tcW w:w="420" w:type="dxa"/>
            <w:vMerge/>
            <w:vAlign w:val="center"/>
          </w:tcPr>
          <w:p w14:paraId="03E218FC" w14:textId="77777777" w:rsidR="00F85073" w:rsidRPr="00F85073" w:rsidRDefault="00F85073" w:rsidP="00F85073">
            <w:pPr>
              <w:jc w:val="center"/>
              <w:rPr>
                <w:sz w:val="20"/>
                <w:szCs w:val="20"/>
              </w:rPr>
            </w:pPr>
          </w:p>
        </w:tc>
        <w:tc>
          <w:tcPr>
            <w:tcW w:w="2269" w:type="dxa"/>
            <w:vMerge/>
            <w:vAlign w:val="center"/>
          </w:tcPr>
          <w:p w14:paraId="13E5352B" w14:textId="77777777" w:rsidR="00F85073" w:rsidRPr="00F85073" w:rsidRDefault="00F85073" w:rsidP="00F85073">
            <w:pPr>
              <w:jc w:val="center"/>
              <w:rPr>
                <w:sz w:val="20"/>
                <w:szCs w:val="20"/>
              </w:rPr>
            </w:pPr>
          </w:p>
        </w:tc>
        <w:tc>
          <w:tcPr>
            <w:tcW w:w="609" w:type="dxa"/>
            <w:vMerge/>
            <w:vAlign w:val="center"/>
          </w:tcPr>
          <w:p w14:paraId="5B35803F" w14:textId="77777777" w:rsidR="00F85073" w:rsidRPr="00F85073" w:rsidRDefault="00F85073" w:rsidP="00F85073">
            <w:pPr>
              <w:jc w:val="center"/>
              <w:rPr>
                <w:sz w:val="20"/>
                <w:szCs w:val="20"/>
              </w:rPr>
            </w:pPr>
          </w:p>
        </w:tc>
        <w:tc>
          <w:tcPr>
            <w:tcW w:w="667" w:type="dxa"/>
            <w:vAlign w:val="center"/>
          </w:tcPr>
          <w:p w14:paraId="2E85D19F"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5EC78758" w14:textId="77777777" w:rsidR="00F85073" w:rsidRPr="00F85073" w:rsidRDefault="00F85073" w:rsidP="00F85073">
            <w:pPr>
              <w:jc w:val="center"/>
              <w:rPr>
                <w:sz w:val="20"/>
                <w:szCs w:val="20"/>
              </w:rPr>
            </w:pPr>
            <w:r w:rsidRPr="00F85073">
              <w:rPr>
                <w:sz w:val="20"/>
                <w:szCs w:val="20"/>
              </w:rPr>
              <w:t>101 (40.7)</w:t>
            </w:r>
          </w:p>
        </w:tc>
        <w:tc>
          <w:tcPr>
            <w:tcW w:w="1210" w:type="dxa"/>
            <w:vAlign w:val="center"/>
          </w:tcPr>
          <w:p w14:paraId="27A018DB" w14:textId="77777777" w:rsidR="00F85073" w:rsidRPr="00F85073" w:rsidRDefault="00F85073" w:rsidP="00F85073">
            <w:pPr>
              <w:jc w:val="center"/>
              <w:rPr>
                <w:sz w:val="20"/>
                <w:szCs w:val="20"/>
              </w:rPr>
            </w:pPr>
            <w:r w:rsidRPr="00F85073">
              <w:rPr>
                <w:sz w:val="20"/>
                <w:szCs w:val="20"/>
              </w:rPr>
              <w:t>86 (34.7)</w:t>
            </w:r>
          </w:p>
        </w:tc>
        <w:tc>
          <w:tcPr>
            <w:tcW w:w="1072" w:type="dxa"/>
            <w:vAlign w:val="center"/>
          </w:tcPr>
          <w:p w14:paraId="43E653E3" w14:textId="77777777" w:rsidR="00F85073" w:rsidRPr="00F85073" w:rsidRDefault="00F85073" w:rsidP="00F85073">
            <w:pPr>
              <w:jc w:val="center"/>
              <w:rPr>
                <w:sz w:val="20"/>
                <w:szCs w:val="20"/>
              </w:rPr>
            </w:pPr>
            <w:r w:rsidRPr="00F85073">
              <w:rPr>
                <w:sz w:val="20"/>
                <w:szCs w:val="20"/>
              </w:rPr>
              <w:t>55 (22.2)</w:t>
            </w:r>
          </w:p>
        </w:tc>
        <w:tc>
          <w:tcPr>
            <w:tcW w:w="1038" w:type="dxa"/>
            <w:vAlign w:val="center"/>
          </w:tcPr>
          <w:p w14:paraId="762D0C7E" w14:textId="77777777" w:rsidR="00F85073" w:rsidRPr="00F85073" w:rsidRDefault="00F85073" w:rsidP="00F85073">
            <w:pPr>
              <w:jc w:val="center"/>
              <w:rPr>
                <w:sz w:val="20"/>
                <w:szCs w:val="20"/>
              </w:rPr>
            </w:pPr>
            <w:r w:rsidRPr="00F85073">
              <w:rPr>
                <w:sz w:val="20"/>
                <w:szCs w:val="20"/>
              </w:rPr>
              <w:t>6 (2.4)</w:t>
            </w:r>
          </w:p>
        </w:tc>
        <w:tc>
          <w:tcPr>
            <w:tcW w:w="855" w:type="dxa"/>
            <w:vMerge/>
            <w:vAlign w:val="center"/>
          </w:tcPr>
          <w:p w14:paraId="39454698" w14:textId="77777777" w:rsidR="00F85073" w:rsidRPr="00F85073" w:rsidRDefault="00F85073" w:rsidP="00F85073">
            <w:pPr>
              <w:jc w:val="center"/>
              <w:rPr>
                <w:i/>
                <w:iCs/>
              </w:rPr>
            </w:pPr>
          </w:p>
        </w:tc>
      </w:tr>
      <w:tr w:rsidR="00F85073" w:rsidRPr="00F85073" w14:paraId="185FF2E4" w14:textId="77777777" w:rsidTr="00F85073">
        <w:tc>
          <w:tcPr>
            <w:tcW w:w="420" w:type="dxa"/>
            <w:vMerge w:val="restart"/>
            <w:vAlign w:val="center"/>
          </w:tcPr>
          <w:p w14:paraId="15211955" w14:textId="77777777" w:rsidR="00F85073" w:rsidRPr="00F85073" w:rsidRDefault="00F85073" w:rsidP="00F85073">
            <w:pPr>
              <w:pStyle w:val="NormalWeb"/>
              <w:jc w:val="center"/>
              <w:rPr>
                <w:rFonts w:eastAsia="TimesNewRomanPSMT"/>
                <w:sz w:val="20"/>
                <w:szCs w:val="20"/>
              </w:rPr>
            </w:pPr>
            <w:r w:rsidRPr="00F85073">
              <w:rPr>
                <w:rFonts w:eastAsia="TimesNewRomanPSMT"/>
                <w:sz w:val="20"/>
                <w:szCs w:val="20"/>
              </w:rPr>
              <w:t>14</w:t>
            </w:r>
          </w:p>
        </w:tc>
        <w:tc>
          <w:tcPr>
            <w:tcW w:w="2269" w:type="dxa"/>
            <w:vMerge w:val="restart"/>
            <w:vAlign w:val="center"/>
          </w:tcPr>
          <w:p w14:paraId="31D59C95" w14:textId="77777777" w:rsidR="00F85073" w:rsidRPr="00F85073" w:rsidRDefault="00F85073" w:rsidP="00F85073">
            <w:pPr>
              <w:pStyle w:val="NormalWeb"/>
              <w:jc w:val="center"/>
              <w:rPr>
                <w:sz w:val="20"/>
                <w:szCs w:val="20"/>
              </w:rPr>
            </w:pPr>
            <w:r w:rsidRPr="00F85073">
              <w:rPr>
                <w:rFonts w:eastAsia="TimesNewRomanPSMT"/>
                <w:sz w:val="20"/>
                <w:szCs w:val="20"/>
              </w:rPr>
              <w:t>Walking on an uneven surface (e.g. rocky ground. poorly maintained pavement)</w:t>
            </w:r>
          </w:p>
        </w:tc>
        <w:tc>
          <w:tcPr>
            <w:tcW w:w="609" w:type="dxa"/>
            <w:vMerge w:val="restart"/>
            <w:vAlign w:val="center"/>
          </w:tcPr>
          <w:p w14:paraId="6AE4DDA3" w14:textId="77777777" w:rsidR="00F85073" w:rsidRPr="00F85073" w:rsidRDefault="00F85073" w:rsidP="00F85073">
            <w:pPr>
              <w:jc w:val="center"/>
              <w:rPr>
                <w:sz w:val="20"/>
                <w:szCs w:val="20"/>
              </w:rPr>
            </w:pPr>
            <w:r w:rsidRPr="00F85073">
              <w:rPr>
                <w:sz w:val="20"/>
                <w:szCs w:val="20"/>
              </w:rPr>
              <w:t>OH1</w:t>
            </w:r>
          </w:p>
        </w:tc>
        <w:tc>
          <w:tcPr>
            <w:tcW w:w="667" w:type="dxa"/>
            <w:vAlign w:val="center"/>
          </w:tcPr>
          <w:p w14:paraId="6917AA6D"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4BF20D4F" w14:textId="77777777" w:rsidR="00F85073" w:rsidRPr="00F85073" w:rsidRDefault="00F85073" w:rsidP="00F85073">
            <w:pPr>
              <w:jc w:val="center"/>
              <w:rPr>
                <w:sz w:val="20"/>
                <w:szCs w:val="20"/>
              </w:rPr>
            </w:pPr>
            <w:r w:rsidRPr="00F85073">
              <w:rPr>
                <w:sz w:val="20"/>
                <w:szCs w:val="20"/>
              </w:rPr>
              <w:t>16 (25)</w:t>
            </w:r>
          </w:p>
        </w:tc>
        <w:tc>
          <w:tcPr>
            <w:tcW w:w="1210" w:type="dxa"/>
            <w:vAlign w:val="center"/>
          </w:tcPr>
          <w:p w14:paraId="1FF57741" w14:textId="77777777" w:rsidR="00F85073" w:rsidRPr="00F85073" w:rsidRDefault="00F85073" w:rsidP="00F85073">
            <w:pPr>
              <w:jc w:val="center"/>
              <w:rPr>
                <w:sz w:val="20"/>
                <w:szCs w:val="20"/>
              </w:rPr>
            </w:pPr>
            <w:r w:rsidRPr="00F85073">
              <w:rPr>
                <w:sz w:val="20"/>
                <w:szCs w:val="20"/>
              </w:rPr>
              <w:t>19 (29.7)</w:t>
            </w:r>
          </w:p>
        </w:tc>
        <w:tc>
          <w:tcPr>
            <w:tcW w:w="1072" w:type="dxa"/>
            <w:vAlign w:val="center"/>
          </w:tcPr>
          <w:p w14:paraId="26ECAD24" w14:textId="77777777" w:rsidR="00F85073" w:rsidRPr="00F85073" w:rsidRDefault="00F85073" w:rsidP="00F85073">
            <w:pPr>
              <w:jc w:val="center"/>
              <w:rPr>
                <w:sz w:val="20"/>
                <w:szCs w:val="20"/>
              </w:rPr>
            </w:pPr>
            <w:r w:rsidRPr="00F85073">
              <w:rPr>
                <w:sz w:val="20"/>
                <w:szCs w:val="20"/>
              </w:rPr>
              <w:t>25 (39.1)</w:t>
            </w:r>
          </w:p>
        </w:tc>
        <w:tc>
          <w:tcPr>
            <w:tcW w:w="1038" w:type="dxa"/>
            <w:vAlign w:val="center"/>
          </w:tcPr>
          <w:p w14:paraId="60BAFE37" w14:textId="77777777" w:rsidR="00F85073" w:rsidRPr="00F85073" w:rsidRDefault="00F85073" w:rsidP="00F85073">
            <w:pPr>
              <w:jc w:val="center"/>
              <w:rPr>
                <w:sz w:val="20"/>
                <w:szCs w:val="20"/>
              </w:rPr>
            </w:pPr>
            <w:r w:rsidRPr="00F85073">
              <w:rPr>
                <w:sz w:val="20"/>
                <w:szCs w:val="20"/>
              </w:rPr>
              <w:t>4 (6.3)</w:t>
            </w:r>
          </w:p>
        </w:tc>
        <w:tc>
          <w:tcPr>
            <w:tcW w:w="855" w:type="dxa"/>
            <w:vMerge w:val="restart"/>
            <w:vAlign w:val="center"/>
          </w:tcPr>
          <w:p w14:paraId="00B77068" w14:textId="77777777" w:rsidR="00F85073" w:rsidRPr="00F85073" w:rsidRDefault="00F85073" w:rsidP="00F85073">
            <w:pPr>
              <w:jc w:val="center"/>
              <w:rPr>
                <w:b/>
                <w:bCs/>
                <w:i/>
                <w:iCs/>
                <w:sz w:val="20"/>
                <w:szCs w:val="20"/>
              </w:rPr>
            </w:pPr>
            <w:r w:rsidRPr="00F85073">
              <w:rPr>
                <w:b/>
                <w:bCs/>
                <w:i/>
                <w:iCs/>
                <w:sz w:val="20"/>
                <w:szCs w:val="20"/>
              </w:rPr>
              <w:t>&lt;0.001</w:t>
            </w:r>
          </w:p>
        </w:tc>
      </w:tr>
      <w:tr w:rsidR="00F85073" w:rsidRPr="00F85073" w14:paraId="73136973" w14:textId="77777777" w:rsidTr="00F85073">
        <w:tc>
          <w:tcPr>
            <w:tcW w:w="420" w:type="dxa"/>
            <w:vMerge/>
            <w:vAlign w:val="center"/>
          </w:tcPr>
          <w:p w14:paraId="33F5D5A5" w14:textId="77777777" w:rsidR="00F85073" w:rsidRPr="00F85073" w:rsidRDefault="00F85073" w:rsidP="00F85073">
            <w:pPr>
              <w:jc w:val="center"/>
              <w:rPr>
                <w:sz w:val="20"/>
                <w:szCs w:val="20"/>
              </w:rPr>
            </w:pPr>
          </w:p>
        </w:tc>
        <w:tc>
          <w:tcPr>
            <w:tcW w:w="2269" w:type="dxa"/>
            <w:vMerge/>
            <w:vAlign w:val="center"/>
          </w:tcPr>
          <w:p w14:paraId="7911DE7C" w14:textId="77777777" w:rsidR="00F85073" w:rsidRPr="00F85073" w:rsidRDefault="00F85073" w:rsidP="00F85073">
            <w:pPr>
              <w:jc w:val="center"/>
              <w:rPr>
                <w:sz w:val="20"/>
                <w:szCs w:val="20"/>
              </w:rPr>
            </w:pPr>
          </w:p>
        </w:tc>
        <w:tc>
          <w:tcPr>
            <w:tcW w:w="609" w:type="dxa"/>
            <w:vMerge/>
            <w:vAlign w:val="center"/>
          </w:tcPr>
          <w:p w14:paraId="3D9144CE" w14:textId="77777777" w:rsidR="00F85073" w:rsidRPr="00F85073" w:rsidRDefault="00F85073" w:rsidP="00F85073">
            <w:pPr>
              <w:jc w:val="center"/>
              <w:rPr>
                <w:sz w:val="20"/>
                <w:szCs w:val="20"/>
              </w:rPr>
            </w:pPr>
          </w:p>
        </w:tc>
        <w:tc>
          <w:tcPr>
            <w:tcW w:w="667" w:type="dxa"/>
            <w:vAlign w:val="center"/>
          </w:tcPr>
          <w:p w14:paraId="0909578D"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46705EFD" w14:textId="77777777" w:rsidR="00F85073" w:rsidRPr="00F85073" w:rsidRDefault="00F85073" w:rsidP="00F85073">
            <w:pPr>
              <w:jc w:val="center"/>
              <w:rPr>
                <w:sz w:val="20"/>
                <w:szCs w:val="20"/>
              </w:rPr>
            </w:pPr>
            <w:r w:rsidRPr="00F85073">
              <w:rPr>
                <w:sz w:val="20"/>
                <w:szCs w:val="20"/>
              </w:rPr>
              <w:t>150 (60)</w:t>
            </w:r>
          </w:p>
        </w:tc>
        <w:tc>
          <w:tcPr>
            <w:tcW w:w="1210" w:type="dxa"/>
            <w:vAlign w:val="center"/>
          </w:tcPr>
          <w:p w14:paraId="5FF8F48A" w14:textId="77777777" w:rsidR="00F85073" w:rsidRPr="00F85073" w:rsidRDefault="00F85073" w:rsidP="00F85073">
            <w:pPr>
              <w:jc w:val="center"/>
              <w:rPr>
                <w:sz w:val="20"/>
                <w:szCs w:val="20"/>
              </w:rPr>
            </w:pPr>
            <w:r w:rsidRPr="00F85073">
              <w:rPr>
                <w:sz w:val="20"/>
                <w:szCs w:val="20"/>
              </w:rPr>
              <w:t>34 (13.6)</w:t>
            </w:r>
          </w:p>
        </w:tc>
        <w:tc>
          <w:tcPr>
            <w:tcW w:w="1072" w:type="dxa"/>
            <w:vAlign w:val="center"/>
          </w:tcPr>
          <w:p w14:paraId="6CCA29CC" w14:textId="77777777" w:rsidR="00F85073" w:rsidRPr="00F85073" w:rsidRDefault="00F85073" w:rsidP="00F85073">
            <w:pPr>
              <w:jc w:val="center"/>
              <w:rPr>
                <w:sz w:val="20"/>
                <w:szCs w:val="20"/>
              </w:rPr>
            </w:pPr>
            <w:r w:rsidRPr="00F85073">
              <w:rPr>
                <w:sz w:val="20"/>
                <w:szCs w:val="20"/>
              </w:rPr>
              <w:t>54 (21.6)</w:t>
            </w:r>
          </w:p>
        </w:tc>
        <w:tc>
          <w:tcPr>
            <w:tcW w:w="1038" w:type="dxa"/>
            <w:vAlign w:val="center"/>
          </w:tcPr>
          <w:p w14:paraId="22B264E2" w14:textId="77777777" w:rsidR="00F85073" w:rsidRPr="00F85073" w:rsidRDefault="00F85073" w:rsidP="00F85073">
            <w:pPr>
              <w:jc w:val="center"/>
              <w:rPr>
                <w:sz w:val="20"/>
                <w:szCs w:val="20"/>
              </w:rPr>
            </w:pPr>
            <w:r w:rsidRPr="00F85073">
              <w:rPr>
                <w:sz w:val="20"/>
                <w:szCs w:val="20"/>
              </w:rPr>
              <w:t>12 (4.8)</w:t>
            </w:r>
          </w:p>
        </w:tc>
        <w:tc>
          <w:tcPr>
            <w:tcW w:w="855" w:type="dxa"/>
            <w:vMerge/>
            <w:vAlign w:val="center"/>
          </w:tcPr>
          <w:p w14:paraId="30D4E9A0" w14:textId="77777777" w:rsidR="00F85073" w:rsidRPr="00F85073" w:rsidRDefault="00F85073" w:rsidP="00F85073">
            <w:pPr>
              <w:jc w:val="center"/>
              <w:rPr>
                <w:i/>
                <w:iCs/>
              </w:rPr>
            </w:pPr>
          </w:p>
        </w:tc>
      </w:tr>
      <w:tr w:rsidR="00F85073" w:rsidRPr="00F85073" w14:paraId="4B1EAADA" w14:textId="77777777" w:rsidTr="00F85073">
        <w:tc>
          <w:tcPr>
            <w:tcW w:w="420" w:type="dxa"/>
            <w:vMerge/>
            <w:vAlign w:val="center"/>
          </w:tcPr>
          <w:p w14:paraId="4AC1682C" w14:textId="77777777" w:rsidR="00F85073" w:rsidRPr="00F85073" w:rsidRDefault="00F85073" w:rsidP="00F85073">
            <w:pPr>
              <w:jc w:val="center"/>
              <w:rPr>
                <w:sz w:val="20"/>
                <w:szCs w:val="20"/>
              </w:rPr>
            </w:pPr>
          </w:p>
        </w:tc>
        <w:tc>
          <w:tcPr>
            <w:tcW w:w="2269" w:type="dxa"/>
            <w:vMerge/>
            <w:vAlign w:val="center"/>
          </w:tcPr>
          <w:p w14:paraId="78C64283" w14:textId="77777777" w:rsidR="00F85073" w:rsidRPr="00F85073" w:rsidRDefault="00F85073" w:rsidP="00F85073">
            <w:pPr>
              <w:jc w:val="center"/>
              <w:rPr>
                <w:sz w:val="20"/>
                <w:szCs w:val="20"/>
              </w:rPr>
            </w:pPr>
          </w:p>
        </w:tc>
        <w:tc>
          <w:tcPr>
            <w:tcW w:w="609" w:type="dxa"/>
            <w:vMerge w:val="restart"/>
            <w:vAlign w:val="center"/>
          </w:tcPr>
          <w:p w14:paraId="68F29652" w14:textId="77777777" w:rsidR="00F85073" w:rsidRPr="00F85073" w:rsidRDefault="00F85073" w:rsidP="00F85073">
            <w:pPr>
              <w:jc w:val="center"/>
              <w:rPr>
                <w:sz w:val="20"/>
                <w:szCs w:val="20"/>
              </w:rPr>
            </w:pPr>
            <w:r w:rsidRPr="00F85073">
              <w:rPr>
                <w:sz w:val="20"/>
                <w:szCs w:val="20"/>
              </w:rPr>
              <w:t>OH3</w:t>
            </w:r>
          </w:p>
        </w:tc>
        <w:tc>
          <w:tcPr>
            <w:tcW w:w="667" w:type="dxa"/>
            <w:vAlign w:val="center"/>
          </w:tcPr>
          <w:p w14:paraId="3D7DB602"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1ABC4BFC" w14:textId="77777777" w:rsidR="00F85073" w:rsidRPr="00F85073" w:rsidRDefault="00F85073" w:rsidP="00F85073">
            <w:pPr>
              <w:jc w:val="center"/>
              <w:rPr>
                <w:sz w:val="20"/>
                <w:szCs w:val="20"/>
              </w:rPr>
            </w:pPr>
            <w:r w:rsidRPr="00F85073">
              <w:rPr>
                <w:sz w:val="20"/>
                <w:szCs w:val="20"/>
              </w:rPr>
              <w:t>17 (25.8)</w:t>
            </w:r>
          </w:p>
        </w:tc>
        <w:tc>
          <w:tcPr>
            <w:tcW w:w="1210" w:type="dxa"/>
            <w:vAlign w:val="center"/>
          </w:tcPr>
          <w:p w14:paraId="44BBD38B" w14:textId="77777777" w:rsidR="00F85073" w:rsidRPr="00F85073" w:rsidRDefault="00F85073" w:rsidP="00F85073">
            <w:pPr>
              <w:jc w:val="center"/>
              <w:rPr>
                <w:sz w:val="20"/>
                <w:szCs w:val="20"/>
              </w:rPr>
            </w:pPr>
            <w:r w:rsidRPr="00F85073">
              <w:rPr>
                <w:sz w:val="20"/>
                <w:szCs w:val="20"/>
              </w:rPr>
              <w:t>16 (24.2)</w:t>
            </w:r>
          </w:p>
        </w:tc>
        <w:tc>
          <w:tcPr>
            <w:tcW w:w="1072" w:type="dxa"/>
            <w:vAlign w:val="center"/>
          </w:tcPr>
          <w:p w14:paraId="74AF62E5" w14:textId="77777777" w:rsidR="00F85073" w:rsidRPr="00F85073" w:rsidRDefault="00F85073" w:rsidP="00F85073">
            <w:pPr>
              <w:jc w:val="center"/>
              <w:rPr>
                <w:sz w:val="20"/>
                <w:szCs w:val="20"/>
              </w:rPr>
            </w:pPr>
            <w:r w:rsidRPr="00F85073">
              <w:rPr>
                <w:sz w:val="20"/>
                <w:szCs w:val="20"/>
              </w:rPr>
              <w:t>25 (37.9)</w:t>
            </w:r>
          </w:p>
        </w:tc>
        <w:tc>
          <w:tcPr>
            <w:tcW w:w="1038" w:type="dxa"/>
            <w:vAlign w:val="center"/>
          </w:tcPr>
          <w:p w14:paraId="0771DE83" w14:textId="77777777" w:rsidR="00F85073" w:rsidRPr="00F85073" w:rsidRDefault="00F85073" w:rsidP="00F85073">
            <w:pPr>
              <w:jc w:val="center"/>
              <w:rPr>
                <w:sz w:val="20"/>
                <w:szCs w:val="20"/>
              </w:rPr>
            </w:pPr>
            <w:r w:rsidRPr="00F85073">
              <w:rPr>
                <w:sz w:val="20"/>
                <w:szCs w:val="20"/>
              </w:rPr>
              <w:t>8 (12.1)</w:t>
            </w:r>
          </w:p>
        </w:tc>
        <w:tc>
          <w:tcPr>
            <w:tcW w:w="855" w:type="dxa"/>
            <w:vMerge w:val="restart"/>
            <w:vAlign w:val="center"/>
          </w:tcPr>
          <w:p w14:paraId="3671E9AF" w14:textId="77777777" w:rsidR="00F85073" w:rsidRPr="00F85073" w:rsidRDefault="00F85073" w:rsidP="00F85073">
            <w:pPr>
              <w:jc w:val="center"/>
              <w:rPr>
                <w:b/>
                <w:bCs/>
                <w:i/>
                <w:iCs/>
                <w:sz w:val="20"/>
                <w:szCs w:val="20"/>
              </w:rPr>
            </w:pPr>
            <w:r w:rsidRPr="00F85073">
              <w:rPr>
                <w:b/>
                <w:bCs/>
                <w:i/>
                <w:iCs/>
                <w:sz w:val="20"/>
                <w:szCs w:val="20"/>
              </w:rPr>
              <w:t>&lt;0.001</w:t>
            </w:r>
          </w:p>
        </w:tc>
      </w:tr>
      <w:tr w:rsidR="00F85073" w:rsidRPr="00F85073" w14:paraId="73B82403" w14:textId="77777777" w:rsidTr="00F85073">
        <w:tc>
          <w:tcPr>
            <w:tcW w:w="420" w:type="dxa"/>
            <w:vMerge/>
            <w:vAlign w:val="center"/>
          </w:tcPr>
          <w:p w14:paraId="728D4396" w14:textId="77777777" w:rsidR="00F85073" w:rsidRPr="00F85073" w:rsidRDefault="00F85073" w:rsidP="00F85073">
            <w:pPr>
              <w:jc w:val="center"/>
              <w:rPr>
                <w:sz w:val="20"/>
                <w:szCs w:val="20"/>
              </w:rPr>
            </w:pPr>
          </w:p>
        </w:tc>
        <w:tc>
          <w:tcPr>
            <w:tcW w:w="2269" w:type="dxa"/>
            <w:vMerge/>
            <w:vAlign w:val="center"/>
          </w:tcPr>
          <w:p w14:paraId="3066BBE4" w14:textId="77777777" w:rsidR="00F85073" w:rsidRPr="00F85073" w:rsidRDefault="00F85073" w:rsidP="00F85073">
            <w:pPr>
              <w:jc w:val="center"/>
              <w:rPr>
                <w:sz w:val="20"/>
                <w:szCs w:val="20"/>
              </w:rPr>
            </w:pPr>
          </w:p>
        </w:tc>
        <w:tc>
          <w:tcPr>
            <w:tcW w:w="609" w:type="dxa"/>
            <w:vMerge/>
            <w:vAlign w:val="center"/>
          </w:tcPr>
          <w:p w14:paraId="7042F0F8" w14:textId="77777777" w:rsidR="00F85073" w:rsidRPr="00F85073" w:rsidRDefault="00F85073" w:rsidP="00F85073">
            <w:pPr>
              <w:jc w:val="center"/>
              <w:rPr>
                <w:sz w:val="20"/>
                <w:szCs w:val="20"/>
              </w:rPr>
            </w:pPr>
          </w:p>
        </w:tc>
        <w:tc>
          <w:tcPr>
            <w:tcW w:w="667" w:type="dxa"/>
            <w:vAlign w:val="center"/>
          </w:tcPr>
          <w:p w14:paraId="53233D73"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09F9393A" w14:textId="77777777" w:rsidR="00F85073" w:rsidRPr="00F85073" w:rsidRDefault="00F85073" w:rsidP="00F85073">
            <w:pPr>
              <w:jc w:val="center"/>
              <w:rPr>
                <w:sz w:val="20"/>
                <w:szCs w:val="20"/>
              </w:rPr>
            </w:pPr>
            <w:r w:rsidRPr="00F85073">
              <w:rPr>
                <w:sz w:val="20"/>
                <w:szCs w:val="20"/>
              </w:rPr>
              <w:t>149 (60.1)</w:t>
            </w:r>
          </w:p>
        </w:tc>
        <w:tc>
          <w:tcPr>
            <w:tcW w:w="1210" w:type="dxa"/>
            <w:vAlign w:val="center"/>
          </w:tcPr>
          <w:p w14:paraId="39150E62" w14:textId="77777777" w:rsidR="00F85073" w:rsidRPr="00F85073" w:rsidRDefault="00F85073" w:rsidP="00F85073">
            <w:pPr>
              <w:jc w:val="center"/>
              <w:rPr>
                <w:sz w:val="20"/>
                <w:szCs w:val="20"/>
              </w:rPr>
            </w:pPr>
            <w:r w:rsidRPr="00F85073">
              <w:rPr>
                <w:sz w:val="20"/>
                <w:szCs w:val="20"/>
              </w:rPr>
              <w:t>37 (14.9)</w:t>
            </w:r>
          </w:p>
        </w:tc>
        <w:tc>
          <w:tcPr>
            <w:tcW w:w="1072" w:type="dxa"/>
            <w:vAlign w:val="center"/>
          </w:tcPr>
          <w:p w14:paraId="77D594CC" w14:textId="77777777" w:rsidR="00F85073" w:rsidRPr="00F85073" w:rsidRDefault="00F85073" w:rsidP="00F85073">
            <w:pPr>
              <w:jc w:val="center"/>
              <w:rPr>
                <w:sz w:val="20"/>
                <w:szCs w:val="20"/>
              </w:rPr>
            </w:pPr>
            <w:r w:rsidRPr="00F85073">
              <w:rPr>
                <w:sz w:val="20"/>
                <w:szCs w:val="20"/>
              </w:rPr>
              <w:t>54 (21.8)</w:t>
            </w:r>
          </w:p>
        </w:tc>
        <w:tc>
          <w:tcPr>
            <w:tcW w:w="1038" w:type="dxa"/>
            <w:vAlign w:val="center"/>
          </w:tcPr>
          <w:p w14:paraId="57BA5616" w14:textId="77777777" w:rsidR="00F85073" w:rsidRPr="00F85073" w:rsidRDefault="00F85073" w:rsidP="00F85073">
            <w:pPr>
              <w:jc w:val="center"/>
              <w:rPr>
                <w:sz w:val="20"/>
                <w:szCs w:val="20"/>
              </w:rPr>
            </w:pPr>
            <w:r w:rsidRPr="00F85073">
              <w:rPr>
                <w:sz w:val="20"/>
                <w:szCs w:val="20"/>
              </w:rPr>
              <w:t>8 (3.2)</w:t>
            </w:r>
          </w:p>
        </w:tc>
        <w:tc>
          <w:tcPr>
            <w:tcW w:w="855" w:type="dxa"/>
            <w:vMerge/>
            <w:vAlign w:val="center"/>
          </w:tcPr>
          <w:p w14:paraId="22856D20" w14:textId="77777777" w:rsidR="00F85073" w:rsidRPr="00F85073" w:rsidRDefault="00F85073" w:rsidP="00F85073">
            <w:pPr>
              <w:jc w:val="center"/>
              <w:rPr>
                <w:i/>
                <w:iCs/>
              </w:rPr>
            </w:pPr>
          </w:p>
        </w:tc>
      </w:tr>
      <w:tr w:rsidR="00F85073" w:rsidRPr="00F85073" w14:paraId="33C6B646" w14:textId="77777777" w:rsidTr="00F85073">
        <w:tc>
          <w:tcPr>
            <w:tcW w:w="420" w:type="dxa"/>
            <w:vMerge w:val="restart"/>
            <w:vAlign w:val="center"/>
          </w:tcPr>
          <w:p w14:paraId="7A4A7A8D" w14:textId="77777777" w:rsidR="00F85073" w:rsidRPr="00F85073" w:rsidRDefault="00F85073" w:rsidP="00F85073">
            <w:pPr>
              <w:pStyle w:val="NormalWeb"/>
              <w:jc w:val="center"/>
              <w:rPr>
                <w:rFonts w:eastAsia="TimesNewRomanPSMT"/>
                <w:sz w:val="20"/>
                <w:szCs w:val="20"/>
              </w:rPr>
            </w:pPr>
            <w:r w:rsidRPr="00F85073">
              <w:rPr>
                <w:rFonts w:eastAsia="TimesNewRomanPSMT"/>
                <w:sz w:val="20"/>
                <w:szCs w:val="20"/>
              </w:rPr>
              <w:t>15</w:t>
            </w:r>
          </w:p>
        </w:tc>
        <w:tc>
          <w:tcPr>
            <w:tcW w:w="2269" w:type="dxa"/>
            <w:vMerge w:val="restart"/>
            <w:vAlign w:val="center"/>
          </w:tcPr>
          <w:p w14:paraId="164C6FFB" w14:textId="77777777" w:rsidR="00F85073" w:rsidRPr="00F85073" w:rsidRDefault="00F85073" w:rsidP="00F85073">
            <w:pPr>
              <w:pStyle w:val="NormalWeb"/>
              <w:jc w:val="center"/>
              <w:rPr>
                <w:sz w:val="20"/>
                <w:szCs w:val="20"/>
              </w:rPr>
            </w:pPr>
            <w:r w:rsidRPr="00F85073">
              <w:rPr>
                <w:rFonts w:eastAsia="TimesNewRomanPSMT"/>
                <w:sz w:val="20"/>
                <w:szCs w:val="20"/>
              </w:rPr>
              <w:t>Walking up or down a slope</w:t>
            </w:r>
          </w:p>
        </w:tc>
        <w:tc>
          <w:tcPr>
            <w:tcW w:w="609" w:type="dxa"/>
            <w:vMerge w:val="restart"/>
            <w:vAlign w:val="center"/>
          </w:tcPr>
          <w:p w14:paraId="0D70B44C" w14:textId="77777777" w:rsidR="00F85073" w:rsidRPr="00F85073" w:rsidRDefault="00F85073" w:rsidP="00F85073">
            <w:pPr>
              <w:jc w:val="center"/>
              <w:rPr>
                <w:sz w:val="20"/>
                <w:szCs w:val="20"/>
              </w:rPr>
            </w:pPr>
            <w:r w:rsidRPr="00F85073">
              <w:rPr>
                <w:sz w:val="20"/>
                <w:szCs w:val="20"/>
              </w:rPr>
              <w:t>OH1</w:t>
            </w:r>
          </w:p>
        </w:tc>
        <w:tc>
          <w:tcPr>
            <w:tcW w:w="667" w:type="dxa"/>
            <w:vAlign w:val="center"/>
          </w:tcPr>
          <w:p w14:paraId="37C17F5B"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153FA54C" w14:textId="77777777" w:rsidR="00F85073" w:rsidRPr="00F85073" w:rsidRDefault="00F85073" w:rsidP="00F85073">
            <w:pPr>
              <w:jc w:val="center"/>
              <w:rPr>
                <w:sz w:val="20"/>
                <w:szCs w:val="20"/>
              </w:rPr>
            </w:pPr>
            <w:r w:rsidRPr="00F85073">
              <w:rPr>
                <w:sz w:val="20"/>
                <w:szCs w:val="20"/>
              </w:rPr>
              <w:t>12 (18.8)</w:t>
            </w:r>
          </w:p>
        </w:tc>
        <w:tc>
          <w:tcPr>
            <w:tcW w:w="1210" w:type="dxa"/>
            <w:vAlign w:val="center"/>
          </w:tcPr>
          <w:p w14:paraId="45B502EA" w14:textId="77777777" w:rsidR="00F85073" w:rsidRPr="00F85073" w:rsidRDefault="00F85073" w:rsidP="00F85073">
            <w:pPr>
              <w:jc w:val="center"/>
              <w:rPr>
                <w:sz w:val="20"/>
                <w:szCs w:val="20"/>
              </w:rPr>
            </w:pPr>
            <w:r w:rsidRPr="00F85073">
              <w:rPr>
                <w:sz w:val="20"/>
                <w:szCs w:val="20"/>
              </w:rPr>
              <w:t>28 (43.8)</w:t>
            </w:r>
          </w:p>
        </w:tc>
        <w:tc>
          <w:tcPr>
            <w:tcW w:w="1072" w:type="dxa"/>
            <w:vAlign w:val="center"/>
          </w:tcPr>
          <w:p w14:paraId="4C3DAE96" w14:textId="77777777" w:rsidR="00F85073" w:rsidRPr="00F85073" w:rsidRDefault="00F85073" w:rsidP="00F85073">
            <w:pPr>
              <w:jc w:val="center"/>
              <w:rPr>
                <w:sz w:val="20"/>
                <w:szCs w:val="20"/>
              </w:rPr>
            </w:pPr>
            <w:r w:rsidRPr="00F85073">
              <w:rPr>
                <w:sz w:val="20"/>
                <w:szCs w:val="20"/>
              </w:rPr>
              <w:t>20 (31.3)</w:t>
            </w:r>
          </w:p>
        </w:tc>
        <w:tc>
          <w:tcPr>
            <w:tcW w:w="1038" w:type="dxa"/>
            <w:vAlign w:val="center"/>
          </w:tcPr>
          <w:p w14:paraId="755F99B0" w14:textId="77777777" w:rsidR="00F85073" w:rsidRPr="00F85073" w:rsidRDefault="00F85073" w:rsidP="00F85073">
            <w:pPr>
              <w:jc w:val="center"/>
              <w:rPr>
                <w:sz w:val="20"/>
                <w:szCs w:val="20"/>
              </w:rPr>
            </w:pPr>
            <w:r w:rsidRPr="00F85073">
              <w:rPr>
                <w:sz w:val="20"/>
                <w:szCs w:val="20"/>
              </w:rPr>
              <w:t>4 (6.3)</w:t>
            </w:r>
          </w:p>
        </w:tc>
        <w:tc>
          <w:tcPr>
            <w:tcW w:w="855" w:type="dxa"/>
            <w:vMerge w:val="restart"/>
            <w:vAlign w:val="center"/>
          </w:tcPr>
          <w:p w14:paraId="6F97F609" w14:textId="77777777" w:rsidR="00F85073" w:rsidRPr="00F85073" w:rsidRDefault="00F85073" w:rsidP="00F85073">
            <w:pPr>
              <w:jc w:val="center"/>
              <w:rPr>
                <w:i/>
                <w:iCs/>
                <w:sz w:val="20"/>
                <w:szCs w:val="20"/>
              </w:rPr>
            </w:pPr>
            <w:r w:rsidRPr="00F85073">
              <w:rPr>
                <w:i/>
                <w:iCs/>
                <w:sz w:val="20"/>
                <w:szCs w:val="20"/>
              </w:rPr>
              <w:t>0.376</w:t>
            </w:r>
          </w:p>
        </w:tc>
      </w:tr>
      <w:tr w:rsidR="00F85073" w:rsidRPr="00F85073" w14:paraId="5F6B7A36" w14:textId="77777777" w:rsidTr="00F85073">
        <w:tc>
          <w:tcPr>
            <w:tcW w:w="420" w:type="dxa"/>
            <w:vMerge/>
            <w:vAlign w:val="center"/>
          </w:tcPr>
          <w:p w14:paraId="694B70C5" w14:textId="77777777" w:rsidR="00F85073" w:rsidRPr="00F85073" w:rsidRDefault="00F85073" w:rsidP="00F85073">
            <w:pPr>
              <w:jc w:val="center"/>
              <w:rPr>
                <w:sz w:val="20"/>
                <w:szCs w:val="20"/>
              </w:rPr>
            </w:pPr>
          </w:p>
        </w:tc>
        <w:tc>
          <w:tcPr>
            <w:tcW w:w="2269" w:type="dxa"/>
            <w:vMerge/>
            <w:vAlign w:val="center"/>
          </w:tcPr>
          <w:p w14:paraId="0E323180" w14:textId="77777777" w:rsidR="00F85073" w:rsidRPr="00F85073" w:rsidRDefault="00F85073" w:rsidP="00F85073">
            <w:pPr>
              <w:jc w:val="center"/>
              <w:rPr>
                <w:sz w:val="20"/>
                <w:szCs w:val="20"/>
              </w:rPr>
            </w:pPr>
          </w:p>
        </w:tc>
        <w:tc>
          <w:tcPr>
            <w:tcW w:w="609" w:type="dxa"/>
            <w:vMerge/>
            <w:vAlign w:val="center"/>
          </w:tcPr>
          <w:p w14:paraId="36A1BF9C" w14:textId="77777777" w:rsidR="00F85073" w:rsidRPr="00F85073" w:rsidRDefault="00F85073" w:rsidP="00F85073">
            <w:pPr>
              <w:jc w:val="center"/>
              <w:rPr>
                <w:sz w:val="20"/>
                <w:szCs w:val="20"/>
              </w:rPr>
            </w:pPr>
          </w:p>
        </w:tc>
        <w:tc>
          <w:tcPr>
            <w:tcW w:w="667" w:type="dxa"/>
            <w:vAlign w:val="center"/>
          </w:tcPr>
          <w:p w14:paraId="7640A1C7"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288B54E4" w14:textId="77777777" w:rsidR="00F85073" w:rsidRPr="00F85073" w:rsidRDefault="00F85073" w:rsidP="00F85073">
            <w:pPr>
              <w:jc w:val="center"/>
              <w:rPr>
                <w:sz w:val="20"/>
                <w:szCs w:val="20"/>
              </w:rPr>
            </w:pPr>
            <w:r w:rsidRPr="00F85073">
              <w:rPr>
                <w:sz w:val="20"/>
                <w:szCs w:val="20"/>
              </w:rPr>
              <w:t>63 (25.3)</w:t>
            </w:r>
          </w:p>
        </w:tc>
        <w:tc>
          <w:tcPr>
            <w:tcW w:w="1210" w:type="dxa"/>
            <w:vAlign w:val="center"/>
          </w:tcPr>
          <w:p w14:paraId="04448393" w14:textId="77777777" w:rsidR="00F85073" w:rsidRPr="00F85073" w:rsidRDefault="00F85073" w:rsidP="00F85073">
            <w:pPr>
              <w:jc w:val="center"/>
              <w:rPr>
                <w:sz w:val="20"/>
                <w:szCs w:val="20"/>
              </w:rPr>
            </w:pPr>
            <w:r w:rsidRPr="00F85073">
              <w:rPr>
                <w:sz w:val="20"/>
                <w:szCs w:val="20"/>
              </w:rPr>
              <w:t>119 (47.8)</w:t>
            </w:r>
          </w:p>
        </w:tc>
        <w:tc>
          <w:tcPr>
            <w:tcW w:w="1072" w:type="dxa"/>
            <w:vAlign w:val="center"/>
          </w:tcPr>
          <w:p w14:paraId="53786296" w14:textId="77777777" w:rsidR="00F85073" w:rsidRPr="00F85073" w:rsidRDefault="00F85073" w:rsidP="00F85073">
            <w:pPr>
              <w:jc w:val="center"/>
              <w:rPr>
                <w:sz w:val="20"/>
                <w:szCs w:val="20"/>
              </w:rPr>
            </w:pPr>
            <w:r w:rsidRPr="00F85073">
              <w:rPr>
                <w:sz w:val="20"/>
                <w:szCs w:val="20"/>
              </w:rPr>
              <w:t>57 (22.9)</w:t>
            </w:r>
          </w:p>
        </w:tc>
        <w:tc>
          <w:tcPr>
            <w:tcW w:w="1038" w:type="dxa"/>
            <w:vAlign w:val="center"/>
          </w:tcPr>
          <w:p w14:paraId="4C6AF992" w14:textId="77777777" w:rsidR="00F85073" w:rsidRPr="00F85073" w:rsidRDefault="00F85073" w:rsidP="00F85073">
            <w:pPr>
              <w:jc w:val="center"/>
              <w:rPr>
                <w:sz w:val="20"/>
                <w:szCs w:val="20"/>
              </w:rPr>
            </w:pPr>
            <w:r w:rsidRPr="00F85073">
              <w:rPr>
                <w:sz w:val="20"/>
                <w:szCs w:val="20"/>
              </w:rPr>
              <w:t>10 (4)</w:t>
            </w:r>
          </w:p>
        </w:tc>
        <w:tc>
          <w:tcPr>
            <w:tcW w:w="855" w:type="dxa"/>
            <w:vMerge/>
            <w:vAlign w:val="center"/>
          </w:tcPr>
          <w:p w14:paraId="3EF53127" w14:textId="77777777" w:rsidR="00F85073" w:rsidRPr="00F85073" w:rsidRDefault="00F85073" w:rsidP="00F85073">
            <w:pPr>
              <w:jc w:val="center"/>
              <w:rPr>
                <w:i/>
                <w:iCs/>
              </w:rPr>
            </w:pPr>
          </w:p>
        </w:tc>
      </w:tr>
      <w:tr w:rsidR="00F85073" w:rsidRPr="00F85073" w14:paraId="13A3086B" w14:textId="77777777" w:rsidTr="00F85073">
        <w:tc>
          <w:tcPr>
            <w:tcW w:w="420" w:type="dxa"/>
            <w:vMerge/>
            <w:vAlign w:val="center"/>
          </w:tcPr>
          <w:p w14:paraId="393C49AD" w14:textId="77777777" w:rsidR="00F85073" w:rsidRPr="00F85073" w:rsidRDefault="00F85073" w:rsidP="00F85073">
            <w:pPr>
              <w:jc w:val="center"/>
              <w:rPr>
                <w:sz w:val="20"/>
                <w:szCs w:val="20"/>
              </w:rPr>
            </w:pPr>
          </w:p>
        </w:tc>
        <w:tc>
          <w:tcPr>
            <w:tcW w:w="2269" w:type="dxa"/>
            <w:vMerge/>
            <w:vAlign w:val="center"/>
          </w:tcPr>
          <w:p w14:paraId="58E34671" w14:textId="77777777" w:rsidR="00F85073" w:rsidRPr="00F85073" w:rsidRDefault="00F85073" w:rsidP="00F85073">
            <w:pPr>
              <w:jc w:val="center"/>
              <w:rPr>
                <w:sz w:val="20"/>
                <w:szCs w:val="20"/>
              </w:rPr>
            </w:pPr>
          </w:p>
        </w:tc>
        <w:tc>
          <w:tcPr>
            <w:tcW w:w="609" w:type="dxa"/>
            <w:vMerge w:val="restart"/>
            <w:vAlign w:val="center"/>
          </w:tcPr>
          <w:p w14:paraId="221239AA" w14:textId="77777777" w:rsidR="00F85073" w:rsidRPr="00F85073" w:rsidRDefault="00F85073" w:rsidP="00F85073">
            <w:pPr>
              <w:jc w:val="center"/>
              <w:rPr>
                <w:sz w:val="20"/>
                <w:szCs w:val="20"/>
              </w:rPr>
            </w:pPr>
            <w:r w:rsidRPr="00F85073">
              <w:rPr>
                <w:sz w:val="20"/>
                <w:szCs w:val="20"/>
              </w:rPr>
              <w:t>OH3</w:t>
            </w:r>
          </w:p>
        </w:tc>
        <w:tc>
          <w:tcPr>
            <w:tcW w:w="667" w:type="dxa"/>
            <w:vAlign w:val="center"/>
          </w:tcPr>
          <w:p w14:paraId="303AF5B7"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60F147D8" w14:textId="77777777" w:rsidR="00F85073" w:rsidRPr="00F85073" w:rsidRDefault="00F85073" w:rsidP="00F85073">
            <w:pPr>
              <w:jc w:val="center"/>
              <w:rPr>
                <w:sz w:val="20"/>
                <w:szCs w:val="20"/>
              </w:rPr>
            </w:pPr>
            <w:r w:rsidRPr="00F85073">
              <w:rPr>
                <w:sz w:val="20"/>
                <w:szCs w:val="20"/>
              </w:rPr>
              <w:t>10 (15.2)</w:t>
            </w:r>
          </w:p>
        </w:tc>
        <w:tc>
          <w:tcPr>
            <w:tcW w:w="1210" w:type="dxa"/>
            <w:vAlign w:val="center"/>
          </w:tcPr>
          <w:p w14:paraId="235E058F" w14:textId="77777777" w:rsidR="00F85073" w:rsidRPr="00F85073" w:rsidRDefault="00F85073" w:rsidP="00F85073">
            <w:pPr>
              <w:jc w:val="center"/>
              <w:rPr>
                <w:sz w:val="20"/>
                <w:szCs w:val="20"/>
              </w:rPr>
            </w:pPr>
            <w:r w:rsidRPr="00F85073">
              <w:rPr>
                <w:sz w:val="20"/>
                <w:szCs w:val="20"/>
              </w:rPr>
              <w:t>27 (40.9)</w:t>
            </w:r>
          </w:p>
        </w:tc>
        <w:tc>
          <w:tcPr>
            <w:tcW w:w="1072" w:type="dxa"/>
            <w:vAlign w:val="center"/>
          </w:tcPr>
          <w:p w14:paraId="6907FB7D" w14:textId="77777777" w:rsidR="00F85073" w:rsidRPr="00F85073" w:rsidRDefault="00F85073" w:rsidP="00F85073">
            <w:pPr>
              <w:jc w:val="center"/>
              <w:rPr>
                <w:sz w:val="20"/>
                <w:szCs w:val="20"/>
              </w:rPr>
            </w:pPr>
            <w:r w:rsidRPr="00F85073">
              <w:rPr>
                <w:sz w:val="20"/>
                <w:szCs w:val="20"/>
              </w:rPr>
              <w:t>23 (34.8)</w:t>
            </w:r>
          </w:p>
        </w:tc>
        <w:tc>
          <w:tcPr>
            <w:tcW w:w="1038" w:type="dxa"/>
            <w:vAlign w:val="center"/>
          </w:tcPr>
          <w:p w14:paraId="7247E19E" w14:textId="77777777" w:rsidR="00F85073" w:rsidRPr="00F85073" w:rsidRDefault="00F85073" w:rsidP="00F85073">
            <w:pPr>
              <w:jc w:val="center"/>
              <w:rPr>
                <w:sz w:val="20"/>
                <w:szCs w:val="20"/>
              </w:rPr>
            </w:pPr>
            <w:r w:rsidRPr="00F85073">
              <w:rPr>
                <w:sz w:val="20"/>
                <w:szCs w:val="20"/>
              </w:rPr>
              <w:t>6 (9.1)</w:t>
            </w:r>
          </w:p>
        </w:tc>
        <w:tc>
          <w:tcPr>
            <w:tcW w:w="855" w:type="dxa"/>
            <w:vMerge w:val="restart"/>
            <w:vAlign w:val="center"/>
          </w:tcPr>
          <w:p w14:paraId="4AA76A3A" w14:textId="77777777" w:rsidR="00F85073" w:rsidRPr="00F85073" w:rsidRDefault="00F85073" w:rsidP="00F85073">
            <w:pPr>
              <w:jc w:val="center"/>
              <w:rPr>
                <w:b/>
                <w:bCs/>
                <w:i/>
                <w:iCs/>
                <w:sz w:val="20"/>
                <w:szCs w:val="20"/>
              </w:rPr>
            </w:pPr>
            <w:r w:rsidRPr="00F85073">
              <w:rPr>
                <w:b/>
                <w:bCs/>
                <w:i/>
                <w:iCs/>
                <w:sz w:val="20"/>
                <w:szCs w:val="20"/>
              </w:rPr>
              <w:t>0.012</w:t>
            </w:r>
          </w:p>
        </w:tc>
      </w:tr>
      <w:tr w:rsidR="00F85073" w:rsidRPr="00F85073" w14:paraId="7F3B31FB" w14:textId="77777777" w:rsidTr="00F85073">
        <w:tc>
          <w:tcPr>
            <w:tcW w:w="420" w:type="dxa"/>
            <w:vMerge/>
            <w:vAlign w:val="center"/>
          </w:tcPr>
          <w:p w14:paraId="7086A013" w14:textId="77777777" w:rsidR="00F85073" w:rsidRPr="00F85073" w:rsidRDefault="00F85073" w:rsidP="00F85073">
            <w:pPr>
              <w:jc w:val="center"/>
              <w:rPr>
                <w:sz w:val="20"/>
                <w:szCs w:val="20"/>
              </w:rPr>
            </w:pPr>
          </w:p>
        </w:tc>
        <w:tc>
          <w:tcPr>
            <w:tcW w:w="2269" w:type="dxa"/>
            <w:vMerge/>
            <w:vAlign w:val="center"/>
          </w:tcPr>
          <w:p w14:paraId="77B7E35F" w14:textId="77777777" w:rsidR="00F85073" w:rsidRPr="00F85073" w:rsidRDefault="00F85073" w:rsidP="00F85073">
            <w:pPr>
              <w:jc w:val="center"/>
              <w:rPr>
                <w:sz w:val="20"/>
                <w:szCs w:val="20"/>
              </w:rPr>
            </w:pPr>
          </w:p>
        </w:tc>
        <w:tc>
          <w:tcPr>
            <w:tcW w:w="609" w:type="dxa"/>
            <w:vMerge/>
            <w:vAlign w:val="center"/>
          </w:tcPr>
          <w:p w14:paraId="649AB80F" w14:textId="77777777" w:rsidR="00F85073" w:rsidRPr="00F85073" w:rsidRDefault="00F85073" w:rsidP="00F85073">
            <w:pPr>
              <w:jc w:val="center"/>
              <w:rPr>
                <w:sz w:val="20"/>
                <w:szCs w:val="20"/>
              </w:rPr>
            </w:pPr>
          </w:p>
        </w:tc>
        <w:tc>
          <w:tcPr>
            <w:tcW w:w="667" w:type="dxa"/>
            <w:vAlign w:val="center"/>
          </w:tcPr>
          <w:p w14:paraId="1E93FDBB"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2E79A017" w14:textId="77777777" w:rsidR="00F85073" w:rsidRPr="00F85073" w:rsidRDefault="00F85073" w:rsidP="00F85073">
            <w:pPr>
              <w:jc w:val="center"/>
              <w:rPr>
                <w:sz w:val="20"/>
                <w:szCs w:val="20"/>
              </w:rPr>
            </w:pPr>
            <w:r w:rsidRPr="00F85073">
              <w:rPr>
                <w:sz w:val="20"/>
                <w:szCs w:val="20"/>
              </w:rPr>
              <w:t>65 (26.3)</w:t>
            </w:r>
          </w:p>
        </w:tc>
        <w:tc>
          <w:tcPr>
            <w:tcW w:w="1210" w:type="dxa"/>
            <w:vAlign w:val="center"/>
          </w:tcPr>
          <w:p w14:paraId="0AFF4BD4" w14:textId="77777777" w:rsidR="00F85073" w:rsidRPr="00F85073" w:rsidRDefault="00F85073" w:rsidP="00F85073">
            <w:pPr>
              <w:jc w:val="center"/>
              <w:rPr>
                <w:sz w:val="20"/>
                <w:szCs w:val="20"/>
              </w:rPr>
            </w:pPr>
            <w:r w:rsidRPr="00F85073">
              <w:rPr>
                <w:sz w:val="20"/>
                <w:szCs w:val="20"/>
              </w:rPr>
              <w:t>120 (48.6)</w:t>
            </w:r>
          </w:p>
        </w:tc>
        <w:tc>
          <w:tcPr>
            <w:tcW w:w="1072" w:type="dxa"/>
            <w:vAlign w:val="center"/>
          </w:tcPr>
          <w:p w14:paraId="7F0CC3B3" w14:textId="77777777" w:rsidR="00F85073" w:rsidRPr="00F85073" w:rsidRDefault="00F85073" w:rsidP="00F85073">
            <w:pPr>
              <w:jc w:val="center"/>
              <w:rPr>
                <w:sz w:val="20"/>
                <w:szCs w:val="20"/>
              </w:rPr>
            </w:pPr>
            <w:r w:rsidRPr="00F85073">
              <w:rPr>
                <w:sz w:val="20"/>
                <w:szCs w:val="20"/>
              </w:rPr>
              <w:t>54 (21.9)</w:t>
            </w:r>
          </w:p>
        </w:tc>
        <w:tc>
          <w:tcPr>
            <w:tcW w:w="1038" w:type="dxa"/>
            <w:vAlign w:val="center"/>
          </w:tcPr>
          <w:p w14:paraId="27BCB95E" w14:textId="77777777" w:rsidR="00F85073" w:rsidRPr="00F85073" w:rsidRDefault="00F85073" w:rsidP="00F85073">
            <w:pPr>
              <w:jc w:val="center"/>
              <w:rPr>
                <w:sz w:val="20"/>
                <w:szCs w:val="20"/>
              </w:rPr>
            </w:pPr>
            <w:r w:rsidRPr="00F85073">
              <w:rPr>
                <w:sz w:val="20"/>
                <w:szCs w:val="20"/>
              </w:rPr>
              <w:t>8 (3.2)</w:t>
            </w:r>
          </w:p>
        </w:tc>
        <w:tc>
          <w:tcPr>
            <w:tcW w:w="855" w:type="dxa"/>
            <w:vMerge/>
            <w:vAlign w:val="center"/>
          </w:tcPr>
          <w:p w14:paraId="0E20110F" w14:textId="77777777" w:rsidR="00F85073" w:rsidRPr="00F85073" w:rsidRDefault="00F85073" w:rsidP="00F85073">
            <w:pPr>
              <w:jc w:val="center"/>
              <w:rPr>
                <w:i/>
                <w:iCs/>
              </w:rPr>
            </w:pPr>
          </w:p>
        </w:tc>
      </w:tr>
      <w:tr w:rsidR="00F85073" w:rsidRPr="00F85073" w14:paraId="6729DE1A" w14:textId="77777777" w:rsidTr="00F85073">
        <w:tc>
          <w:tcPr>
            <w:tcW w:w="420" w:type="dxa"/>
            <w:vMerge w:val="restart"/>
            <w:vAlign w:val="center"/>
          </w:tcPr>
          <w:p w14:paraId="1CF9599B" w14:textId="77777777" w:rsidR="00F85073" w:rsidRPr="00F85073" w:rsidRDefault="00F85073" w:rsidP="00F85073">
            <w:pPr>
              <w:pStyle w:val="NormalWeb"/>
              <w:jc w:val="center"/>
              <w:rPr>
                <w:rFonts w:eastAsia="TimesNewRomanPSMT"/>
                <w:sz w:val="20"/>
                <w:szCs w:val="20"/>
              </w:rPr>
            </w:pPr>
            <w:r w:rsidRPr="00F85073">
              <w:rPr>
                <w:rFonts w:eastAsia="TimesNewRomanPSMT"/>
                <w:sz w:val="20"/>
                <w:szCs w:val="20"/>
              </w:rPr>
              <w:t>16</w:t>
            </w:r>
          </w:p>
        </w:tc>
        <w:tc>
          <w:tcPr>
            <w:tcW w:w="2269" w:type="dxa"/>
            <w:vMerge w:val="restart"/>
            <w:vAlign w:val="center"/>
          </w:tcPr>
          <w:p w14:paraId="24EF46AF" w14:textId="77777777" w:rsidR="00F85073" w:rsidRPr="00F85073" w:rsidRDefault="00F85073" w:rsidP="00F85073">
            <w:pPr>
              <w:pStyle w:val="NormalWeb"/>
              <w:jc w:val="center"/>
              <w:rPr>
                <w:sz w:val="20"/>
                <w:szCs w:val="20"/>
              </w:rPr>
            </w:pPr>
            <w:r w:rsidRPr="00F85073">
              <w:rPr>
                <w:rFonts w:eastAsia="TimesNewRomanPSMT"/>
                <w:sz w:val="20"/>
                <w:szCs w:val="20"/>
              </w:rPr>
              <w:t>Going out to a social event (e.g. religious service. family gathering or club meeting)</w:t>
            </w:r>
          </w:p>
        </w:tc>
        <w:tc>
          <w:tcPr>
            <w:tcW w:w="609" w:type="dxa"/>
            <w:vMerge w:val="restart"/>
            <w:vAlign w:val="center"/>
          </w:tcPr>
          <w:p w14:paraId="0A7763F8" w14:textId="77777777" w:rsidR="00F85073" w:rsidRPr="00F85073" w:rsidRDefault="00F85073" w:rsidP="00F85073">
            <w:pPr>
              <w:jc w:val="center"/>
              <w:rPr>
                <w:sz w:val="20"/>
                <w:szCs w:val="20"/>
              </w:rPr>
            </w:pPr>
            <w:r w:rsidRPr="00F85073">
              <w:rPr>
                <w:sz w:val="20"/>
                <w:szCs w:val="20"/>
              </w:rPr>
              <w:t>OH1</w:t>
            </w:r>
          </w:p>
        </w:tc>
        <w:tc>
          <w:tcPr>
            <w:tcW w:w="667" w:type="dxa"/>
            <w:vAlign w:val="center"/>
          </w:tcPr>
          <w:p w14:paraId="2142E402"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1E31DC12" w14:textId="77777777" w:rsidR="00F85073" w:rsidRPr="00F85073" w:rsidRDefault="00F85073" w:rsidP="00F85073">
            <w:pPr>
              <w:jc w:val="center"/>
              <w:rPr>
                <w:sz w:val="20"/>
                <w:szCs w:val="20"/>
              </w:rPr>
            </w:pPr>
            <w:r w:rsidRPr="00F85073">
              <w:rPr>
                <w:sz w:val="20"/>
                <w:szCs w:val="20"/>
              </w:rPr>
              <w:t>24 (37.5)</w:t>
            </w:r>
          </w:p>
        </w:tc>
        <w:tc>
          <w:tcPr>
            <w:tcW w:w="1210" w:type="dxa"/>
            <w:vAlign w:val="center"/>
          </w:tcPr>
          <w:p w14:paraId="79D472FB" w14:textId="77777777" w:rsidR="00F85073" w:rsidRPr="00F85073" w:rsidRDefault="00F85073" w:rsidP="00F85073">
            <w:pPr>
              <w:jc w:val="center"/>
              <w:rPr>
                <w:sz w:val="20"/>
                <w:szCs w:val="20"/>
              </w:rPr>
            </w:pPr>
            <w:r w:rsidRPr="00F85073">
              <w:rPr>
                <w:sz w:val="20"/>
                <w:szCs w:val="20"/>
              </w:rPr>
              <w:t>23 (35.9)</w:t>
            </w:r>
          </w:p>
        </w:tc>
        <w:tc>
          <w:tcPr>
            <w:tcW w:w="1072" w:type="dxa"/>
            <w:vAlign w:val="center"/>
          </w:tcPr>
          <w:p w14:paraId="664BFC38" w14:textId="77777777" w:rsidR="00F85073" w:rsidRPr="00F85073" w:rsidRDefault="00F85073" w:rsidP="00F85073">
            <w:pPr>
              <w:jc w:val="center"/>
              <w:rPr>
                <w:sz w:val="20"/>
                <w:szCs w:val="20"/>
              </w:rPr>
            </w:pPr>
            <w:r w:rsidRPr="00F85073">
              <w:rPr>
                <w:sz w:val="20"/>
                <w:szCs w:val="20"/>
              </w:rPr>
              <w:t>16 (25)</w:t>
            </w:r>
          </w:p>
        </w:tc>
        <w:tc>
          <w:tcPr>
            <w:tcW w:w="1038" w:type="dxa"/>
            <w:vAlign w:val="center"/>
          </w:tcPr>
          <w:p w14:paraId="0C17E60F" w14:textId="77777777" w:rsidR="00F85073" w:rsidRPr="00F85073" w:rsidRDefault="00F85073" w:rsidP="00F85073">
            <w:pPr>
              <w:jc w:val="center"/>
              <w:rPr>
                <w:sz w:val="20"/>
                <w:szCs w:val="20"/>
              </w:rPr>
            </w:pPr>
            <w:r w:rsidRPr="00F85073">
              <w:rPr>
                <w:sz w:val="20"/>
                <w:szCs w:val="20"/>
              </w:rPr>
              <w:t>1 (1.6)</w:t>
            </w:r>
          </w:p>
        </w:tc>
        <w:tc>
          <w:tcPr>
            <w:tcW w:w="855" w:type="dxa"/>
            <w:vMerge w:val="restart"/>
            <w:vAlign w:val="center"/>
          </w:tcPr>
          <w:p w14:paraId="0BE18EA4" w14:textId="77777777" w:rsidR="00F85073" w:rsidRPr="00F85073" w:rsidRDefault="00F85073" w:rsidP="00F85073">
            <w:pPr>
              <w:jc w:val="center"/>
              <w:rPr>
                <w:b/>
                <w:bCs/>
                <w:i/>
                <w:iCs/>
                <w:sz w:val="20"/>
                <w:szCs w:val="20"/>
              </w:rPr>
            </w:pPr>
            <w:r w:rsidRPr="00F85073">
              <w:rPr>
                <w:b/>
                <w:bCs/>
                <w:i/>
                <w:iCs/>
                <w:sz w:val="20"/>
                <w:szCs w:val="20"/>
              </w:rPr>
              <w:t>0.001</w:t>
            </w:r>
          </w:p>
        </w:tc>
      </w:tr>
      <w:tr w:rsidR="00F85073" w:rsidRPr="00F85073" w14:paraId="46EB9DF9" w14:textId="77777777" w:rsidTr="00F85073">
        <w:tc>
          <w:tcPr>
            <w:tcW w:w="420" w:type="dxa"/>
            <w:vMerge/>
          </w:tcPr>
          <w:p w14:paraId="4C3A71F2" w14:textId="77777777" w:rsidR="00F85073" w:rsidRPr="00F85073" w:rsidRDefault="00F85073" w:rsidP="00F85073">
            <w:pPr>
              <w:jc w:val="center"/>
            </w:pPr>
          </w:p>
        </w:tc>
        <w:tc>
          <w:tcPr>
            <w:tcW w:w="2269" w:type="dxa"/>
            <w:vMerge/>
            <w:vAlign w:val="center"/>
          </w:tcPr>
          <w:p w14:paraId="79323D55" w14:textId="77777777" w:rsidR="00F85073" w:rsidRPr="00F85073" w:rsidRDefault="00F85073" w:rsidP="00F85073">
            <w:pPr>
              <w:jc w:val="center"/>
            </w:pPr>
          </w:p>
        </w:tc>
        <w:tc>
          <w:tcPr>
            <w:tcW w:w="609" w:type="dxa"/>
            <w:vMerge/>
            <w:vAlign w:val="center"/>
          </w:tcPr>
          <w:p w14:paraId="1767DFB7" w14:textId="77777777" w:rsidR="00F85073" w:rsidRPr="00F85073" w:rsidRDefault="00F85073" w:rsidP="00F85073">
            <w:pPr>
              <w:jc w:val="center"/>
              <w:rPr>
                <w:sz w:val="20"/>
                <w:szCs w:val="20"/>
              </w:rPr>
            </w:pPr>
          </w:p>
        </w:tc>
        <w:tc>
          <w:tcPr>
            <w:tcW w:w="667" w:type="dxa"/>
            <w:vAlign w:val="center"/>
          </w:tcPr>
          <w:p w14:paraId="06FE3072"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60954B65" w14:textId="77777777" w:rsidR="00F85073" w:rsidRPr="00F85073" w:rsidRDefault="00F85073" w:rsidP="00F85073">
            <w:pPr>
              <w:jc w:val="center"/>
              <w:rPr>
                <w:sz w:val="20"/>
                <w:szCs w:val="20"/>
              </w:rPr>
            </w:pPr>
            <w:r w:rsidRPr="00F85073">
              <w:rPr>
                <w:sz w:val="20"/>
                <w:szCs w:val="20"/>
              </w:rPr>
              <w:t>158 (63.2)</w:t>
            </w:r>
          </w:p>
        </w:tc>
        <w:tc>
          <w:tcPr>
            <w:tcW w:w="1210" w:type="dxa"/>
            <w:vAlign w:val="center"/>
          </w:tcPr>
          <w:p w14:paraId="5A7A548E" w14:textId="77777777" w:rsidR="00F85073" w:rsidRPr="00F85073" w:rsidRDefault="00F85073" w:rsidP="00F85073">
            <w:pPr>
              <w:jc w:val="center"/>
              <w:rPr>
                <w:sz w:val="20"/>
                <w:szCs w:val="20"/>
              </w:rPr>
            </w:pPr>
            <w:r w:rsidRPr="00F85073">
              <w:rPr>
                <w:sz w:val="20"/>
                <w:szCs w:val="20"/>
              </w:rPr>
              <w:t>48 (19.2)</w:t>
            </w:r>
          </w:p>
        </w:tc>
        <w:tc>
          <w:tcPr>
            <w:tcW w:w="1072" w:type="dxa"/>
            <w:vAlign w:val="center"/>
          </w:tcPr>
          <w:p w14:paraId="220AB6E3" w14:textId="77777777" w:rsidR="00F85073" w:rsidRPr="00F85073" w:rsidRDefault="00F85073" w:rsidP="00F85073">
            <w:pPr>
              <w:jc w:val="center"/>
              <w:rPr>
                <w:sz w:val="20"/>
                <w:szCs w:val="20"/>
              </w:rPr>
            </w:pPr>
            <w:r w:rsidRPr="00F85073">
              <w:rPr>
                <w:sz w:val="20"/>
                <w:szCs w:val="20"/>
              </w:rPr>
              <w:t>37 (14.8)</w:t>
            </w:r>
          </w:p>
        </w:tc>
        <w:tc>
          <w:tcPr>
            <w:tcW w:w="1038" w:type="dxa"/>
            <w:vAlign w:val="center"/>
          </w:tcPr>
          <w:p w14:paraId="1016DA24" w14:textId="77777777" w:rsidR="00F85073" w:rsidRPr="00F85073" w:rsidRDefault="00F85073" w:rsidP="00F85073">
            <w:pPr>
              <w:jc w:val="center"/>
              <w:rPr>
                <w:sz w:val="20"/>
                <w:szCs w:val="20"/>
              </w:rPr>
            </w:pPr>
            <w:r w:rsidRPr="00F85073">
              <w:rPr>
                <w:sz w:val="20"/>
                <w:szCs w:val="20"/>
              </w:rPr>
              <w:t>7 (2.8)</w:t>
            </w:r>
          </w:p>
        </w:tc>
        <w:tc>
          <w:tcPr>
            <w:tcW w:w="855" w:type="dxa"/>
            <w:vMerge/>
            <w:vAlign w:val="center"/>
          </w:tcPr>
          <w:p w14:paraId="57BB48FB" w14:textId="77777777" w:rsidR="00F85073" w:rsidRPr="00F85073" w:rsidRDefault="00F85073" w:rsidP="00F85073">
            <w:pPr>
              <w:jc w:val="center"/>
              <w:rPr>
                <w:i/>
                <w:iCs/>
              </w:rPr>
            </w:pPr>
          </w:p>
        </w:tc>
      </w:tr>
      <w:tr w:rsidR="00F85073" w:rsidRPr="00F85073" w14:paraId="74619B1D" w14:textId="77777777" w:rsidTr="00F85073">
        <w:tc>
          <w:tcPr>
            <w:tcW w:w="420" w:type="dxa"/>
            <w:vMerge/>
          </w:tcPr>
          <w:p w14:paraId="58183CA9" w14:textId="77777777" w:rsidR="00F85073" w:rsidRPr="00F85073" w:rsidRDefault="00F85073" w:rsidP="00F85073">
            <w:pPr>
              <w:jc w:val="center"/>
            </w:pPr>
          </w:p>
        </w:tc>
        <w:tc>
          <w:tcPr>
            <w:tcW w:w="2269" w:type="dxa"/>
            <w:vMerge/>
            <w:vAlign w:val="center"/>
          </w:tcPr>
          <w:p w14:paraId="34DC0C1E" w14:textId="77777777" w:rsidR="00F85073" w:rsidRPr="00F85073" w:rsidRDefault="00F85073" w:rsidP="00F85073">
            <w:pPr>
              <w:jc w:val="center"/>
            </w:pPr>
          </w:p>
        </w:tc>
        <w:tc>
          <w:tcPr>
            <w:tcW w:w="609" w:type="dxa"/>
            <w:vMerge w:val="restart"/>
            <w:vAlign w:val="center"/>
          </w:tcPr>
          <w:p w14:paraId="78C9A3E0" w14:textId="77777777" w:rsidR="00F85073" w:rsidRPr="00F85073" w:rsidRDefault="00F85073" w:rsidP="00F85073">
            <w:pPr>
              <w:jc w:val="center"/>
              <w:rPr>
                <w:sz w:val="20"/>
                <w:szCs w:val="20"/>
              </w:rPr>
            </w:pPr>
            <w:r w:rsidRPr="00F85073">
              <w:rPr>
                <w:sz w:val="20"/>
                <w:szCs w:val="20"/>
              </w:rPr>
              <w:t>OH3</w:t>
            </w:r>
          </w:p>
        </w:tc>
        <w:tc>
          <w:tcPr>
            <w:tcW w:w="667" w:type="dxa"/>
            <w:vAlign w:val="center"/>
          </w:tcPr>
          <w:p w14:paraId="6AA0C56E" w14:textId="77777777" w:rsidR="00F85073" w:rsidRPr="00F85073" w:rsidRDefault="00F85073" w:rsidP="00F85073">
            <w:pPr>
              <w:jc w:val="center"/>
              <w:rPr>
                <w:sz w:val="20"/>
                <w:szCs w:val="20"/>
              </w:rPr>
            </w:pPr>
            <w:r w:rsidRPr="00F85073">
              <w:rPr>
                <w:sz w:val="20"/>
                <w:szCs w:val="20"/>
              </w:rPr>
              <w:t>Yes</w:t>
            </w:r>
          </w:p>
        </w:tc>
        <w:tc>
          <w:tcPr>
            <w:tcW w:w="1058" w:type="dxa"/>
            <w:vAlign w:val="center"/>
          </w:tcPr>
          <w:p w14:paraId="34C2ECF2" w14:textId="77777777" w:rsidR="00F85073" w:rsidRPr="00F85073" w:rsidRDefault="00F85073" w:rsidP="00F85073">
            <w:pPr>
              <w:jc w:val="center"/>
              <w:rPr>
                <w:sz w:val="20"/>
                <w:szCs w:val="20"/>
              </w:rPr>
            </w:pPr>
            <w:r w:rsidRPr="00F85073">
              <w:rPr>
                <w:sz w:val="20"/>
                <w:szCs w:val="20"/>
              </w:rPr>
              <w:t>25 (37.9)</w:t>
            </w:r>
          </w:p>
        </w:tc>
        <w:tc>
          <w:tcPr>
            <w:tcW w:w="1210" w:type="dxa"/>
            <w:vAlign w:val="center"/>
          </w:tcPr>
          <w:p w14:paraId="3508CD8A" w14:textId="77777777" w:rsidR="00F85073" w:rsidRPr="00F85073" w:rsidRDefault="00F85073" w:rsidP="00F85073">
            <w:pPr>
              <w:jc w:val="center"/>
              <w:rPr>
                <w:sz w:val="20"/>
                <w:szCs w:val="20"/>
              </w:rPr>
            </w:pPr>
            <w:r w:rsidRPr="00F85073">
              <w:rPr>
                <w:sz w:val="20"/>
                <w:szCs w:val="20"/>
              </w:rPr>
              <w:t>20 (30.3)</w:t>
            </w:r>
          </w:p>
        </w:tc>
        <w:tc>
          <w:tcPr>
            <w:tcW w:w="1072" w:type="dxa"/>
            <w:vAlign w:val="center"/>
          </w:tcPr>
          <w:p w14:paraId="2DC207DE" w14:textId="77777777" w:rsidR="00F85073" w:rsidRPr="00F85073" w:rsidRDefault="00F85073" w:rsidP="00F85073">
            <w:pPr>
              <w:jc w:val="center"/>
              <w:rPr>
                <w:sz w:val="20"/>
                <w:szCs w:val="20"/>
              </w:rPr>
            </w:pPr>
            <w:r w:rsidRPr="00F85073">
              <w:rPr>
                <w:sz w:val="20"/>
                <w:szCs w:val="20"/>
              </w:rPr>
              <w:t>17 (25.8)</w:t>
            </w:r>
          </w:p>
        </w:tc>
        <w:tc>
          <w:tcPr>
            <w:tcW w:w="1038" w:type="dxa"/>
            <w:vAlign w:val="center"/>
          </w:tcPr>
          <w:p w14:paraId="07B4963C" w14:textId="77777777" w:rsidR="00F85073" w:rsidRPr="00F85073" w:rsidRDefault="00F85073" w:rsidP="00F85073">
            <w:pPr>
              <w:jc w:val="center"/>
              <w:rPr>
                <w:sz w:val="20"/>
                <w:szCs w:val="20"/>
              </w:rPr>
            </w:pPr>
            <w:r w:rsidRPr="00F85073">
              <w:rPr>
                <w:sz w:val="20"/>
                <w:szCs w:val="20"/>
              </w:rPr>
              <w:t>4 (6.1)</w:t>
            </w:r>
          </w:p>
        </w:tc>
        <w:tc>
          <w:tcPr>
            <w:tcW w:w="855" w:type="dxa"/>
            <w:vMerge w:val="restart"/>
            <w:vAlign w:val="center"/>
          </w:tcPr>
          <w:p w14:paraId="35F43352" w14:textId="77777777" w:rsidR="00F85073" w:rsidRPr="00F85073" w:rsidRDefault="00F85073" w:rsidP="00F85073">
            <w:pPr>
              <w:jc w:val="center"/>
              <w:rPr>
                <w:b/>
                <w:bCs/>
                <w:i/>
                <w:iCs/>
                <w:sz w:val="20"/>
                <w:szCs w:val="20"/>
              </w:rPr>
            </w:pPr>
            <w:r w:rsidRPr="00F85073">
              <w:rPr>
                <w:b/>
                <w:bCs/>
                <w:i/>
                <w:iCs/>
                <w:sz w:val="20"/>
                <w:szCs w:val="20"/>
              </w:rPr>
              <w:t>0.001</w:t>
            </w:r>
          </w:p>
        </w:tc>
      </w:tr>
      <w:tr w:rsidR="00F85073" w:rsidRPr="00F85073" w14:paraId="627F4A4E" w14:textId="77777777" w:rsidTr="00F85073">
        <w:tc>
          <w:tcPr>
            <w:tcW w:w="420" w:type="dxa"/>
            <w:vMerge/>
          </w:tcPr>
          <w:p w14:paraId="5F88AEEE" w14:textId="77777777" w:rsidR="00F85073" w:rsidRPr="00F85073" w:rsidRDefault="00F85073" w:rsidP="00F85073">
            <w:pPr>
              <w:jc w:val="center"/>
            </w:pPr>
          </w:p>
        </w:tc>
        <w:tc>
          <w:tcPr>
            <w:tcW w:w="2269" w:type="dxa"/>
            <w:vMerge/>
            <w:vAlign w:val="center"/>
          </w:tcPr>
          <w:p w14:paraId="19ABC2FF" w14:textId="77777777" w:rsidR="00F85073" w:rsidRPr="00F85073" w:rsidRDefault="00F85073" w:rsidP="00F85073">
            <w:pPr>
              <w:jc w:val="center"/>
            </w:pPr>
          </w:p>
        </w:tc>
        <w:tc>
          <w:tcPr>
            <w:tcW w:w="609" w:type="dxa"/>
            <w:vMerge/>
            <w:vAlign w:val="center"/>
          </w:tcPr>
          <w:p w14:paraId="6D645EA4" w14:textId="77777777" w:rsidR="00F85073" w:rsidRPr="00F85073" w:rsidRDefault="00F85073" w:rsidP="00F85073">
            <w:pPr>
              <w:jc w:val="center"/>
              <w:rPr>
                <w:sz w:val="20"/>
                <w:szCs w:val="20"/>
              </w:rPr>
            </w:pPr>
          </w:p>
        </w:tc>
        <w:tc>
          <w:tcPr>
            <w:tcW w:w="667" w:type="dxa"/>
            <w:vAlign w:val="center"/>
          </w:tcPr>
          <w:p w14:paraId="3E8FA7A6" w14:textId="77777777" w:rsidR="00F85073" w:rsidRPr="00F85073" w:rsidRDefault="00F85073" w:rsidP="00F85073">
            <w:pPr>
              <w:jc w:val="center"/>
              <w:rPr>
                <w:sz w:val="20"/>
                <w:szCs w:val="20"/>
              </w:rPr>
            </w:pPr>
            <w:r w:rsidRPr="00F85073">
              <w:rPr>
                <w:sz w:val="20"/>
                <w:szCs w:val="20"/>
              </w:rPr>
              <w:t>No</w:t>
            </w:r>
          </w:p>
        </w:tc>
        <w:tc>
          <w:tcPr>
            <w:tcW w:w="1058" w:type="dxa"/>
            <w:vAlign w:val="center"/>
          </w:tcPr>
          <w:p w14:paraId="281F5EB4" w14:textId="77777777" w:rsidR="00F85073" w:rsidRPr="00F85073" w:rsidRDefault="00F85073" w:rsidP="00F85073">
            <w:pPr>
              <w:jc w:val="center"/>
              <w:rPr>
                <w:sz w:val="20"/>
                <w:szCs w:val="20"/>
              </w:rPr>
            </w:pPr>
            <w:r w:rsidRPr="00F85073">
              <w:rPr>
                <w:sz w:val="20"/>
                <w:szCs w:val="20"/>
              </w:rPr>
              <w:t>157 (63.3)</w:t>
            </w:r>
          </w:p>
        </w:tc>
        <w:tc>
          <w:tcPr>
            <w:tcW w:w="1210" w:type="dxa"/>
            <w:vAlign w:val="center"/>
          </w:tcPr>
          <w:p w14:paraId="5680D93C" w14:textId="77777777" w:rsidR="00F85073" w:rsidRPr="00F85073" w:rsidRDefault="00F85073" w:rsidP="00F85073">
            <w:pPr>
              <w:jc w:val="center"/>
              <w:rPr>
                <w:sz w:val="20"/>
                <w:szCs w:val="20"/>
              </w:rPr>
            </w:pPr>
            <w:r w:rsidRPr="00F85073">
              <w:rPr>
                <w:sz w:val="20"/>
                <w:szCs w:val="20"/>
              </w:rPr>
              <w:t>51 (20.6)</w:t>
            </w:r>
          </w:p>
        </w:tc>
        <w:tc>
          <w:tcPr>
            <w:tcW w:w="1072" w:type="dxa"/>
            <w:vAlign w:val="center"/>
          </w:tcPr>
          <w:p w14:paraId="281AB554" w14:textId="77777777" w:rsidR="00F85073" w:rsidRPr="00F85073" w:rsidRDefault="00F85073" w:rsidP="00F85073">
            <w:pPr>
              <w:jc w:val="center"/>
              <w:rPr>
                <w:sz w:val="20"/>
                <w:szCs w:val="20"/>
              </w:rPr>
            </w:pPr>
            <w:r w:rsidRPr="00F85073">
              <w:rPr>
                <w:sz w:val="20"/>
                <w:szCs w:val="20"/>
              </w:rPr>
              <w:t>36 (14.5)</w:t>
            </w:r>
          </w:p>
        </w:tc>
        <w:tc>
          <w:tcPr>
            <w:tcW w:w="1038" w:type="dxa"/>
            <w:vAlign w:val="center"/>
          </w:tcPr>
          <w:p w14:paraId="23AB2BE3" w14:textId="77777777" w:rsidR="00F85073" w:rsidRPr="00F85073" w:rsidRDefault="00F85073" w:rsidP="00F85073">
            <w:pPr>
              <w:jc w:val="center"/>
              <w:rPr>
                <w:sz w:val="20"/>
                <w:szCs w:val="20"/>
              </w:rPr>
            </w:pPr>
            <w:r w:rsidRPr="00F85073">
              <w:rPr>
                <w:sz w:val="20"/>
                <w:szCs w:val="20"/>
              </w:rPr>
              <w:t>4 (1.6)</w:t>
            </w:r>
          </w:p>
        </w:tc>
        <w:tc>
          <w:tcPr>
            <w:tcW w:w="855" w:type="dxa"/>
            <w:vMerge/>
            <w:vAlign w:val="center"/>
          </w:tcPr>
          <w:p w14:paraId="78BF6B2B" w14:textId="77777777" w:rsidR="00F85073" w:rsidRPr="00F85073" w:rsidRDefault="00F85073" w:rsidP="00F85073">
            <w:pPr>
              <w:jc w:val="center"/>
            </w:pPr>
          </w:p>
        </w:tc>
      </w:tr>
    </w:tbl>
    <w:p w14:paraId="48526B93" w14:textId="77777777" w:rsidR="00F85073" w:rsidRPr="00120138" w:rsidRDefault="00F85073" w:rsidP="00F85073">
      <w:pPr>
        <w:pStyle w:val="BodyText"/>
        <w:kinsoku w:val="0"/>
        <w:overflowPunct w:val="0"/>
        <w:ind w:left="0"/>
        <w:jc w:val="both"/>
        <w:rPr>
          <w:color w:val="000000" w:themeColor="text1"/>
          <w:sz w:val="20"/>
        </w:rPr>
      </w:pPr>
      <w:r w:rsidRPr="00F85073">
        <w:rPr>
          <w:color w:val="000000" w:themeColor="text1"/>
          <w:sz w:val="20"/>
        </w:rPr>
        <w:t>OH1: orthostatic hypotension, first minute measurement, OH3: orthostatic hypotension, third minute measurement. The data is expressed using n (%).</w:t>
      </w:r>
    </w:p>
    <w:p w14:paraId="1CF5CD0E" w14:textId="77777777" w:rsidR="00F85073" w:rsidRDefault="00F85073" w:rsidP="00F85073"/>
    <w:p w14:paraId="30BEA417" w14:textId="77777777" w:rsidR="00F85073" w:rsidRPr="007726D9" w:rsidRDefault="00F85073" w:rsidP="00F43EDA">
      <w:pPr>
        <w:spacing w:line="360" w:lineRule="auto"/>
        <w:rPr>
          <w:sz w:val="22"/>
          <w:szCs w:val="22"/>
        </w:rPr>
      </w:pPr>
    </w:p>
    <w:sectPr w:rsidR="00F85073" w:rsidRPr="007726D9">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Italic">
    <w:altName w:val="Times New Roman"/>
    <w:panose1 w:val="00000000000000000000"/>
    <w:charset w:val="00"/>
    <w:family w:val="roman"/>
    <w:notTrueType/>
    <w:pitch w:val="default"/>
  </w:font>
  <w:font w:name="TimesNewRomanPSMT">
    <w:altName w:val="Yu Gothic"/>
    <w:panose1 w:val="00000000000000000000"/>
    <w:charset w:val="80"/>
    <w:family w:val="auto"/>
    <w:notTrueType/>
    <w:pitch w:val="default"/>
    <w:sig w:usb0="00002A87" w:usb1="08070000" w:usb2="00000010" w:usb3="00000000" w:csb0="0002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9B769B"/>
    <w:multiLevelType w:val="multilevel"/>
    <w:tmpl w:val="A63A91D0"/>
    <w:lvl w:ilvl="0">
      <w:start w:val="1"/>
      <w:numFmt w:val="decimal"/>
      <w:pStyle w:val="Heading1"/>
      <w:lvlText w:val="%1."/>
      <w:lvlJc w:val="left"/>
      <w:pPr>
        <w:ind w:left="720" w:hanging="360"/>
      </w:pPr>
      <w:rPr>
        <w:rFonts w:hint="default"/>
      </w:rPr>
    </w:lvl>
    <w:lvl w:ilvl="1">
      <w:start w:val="1"/>
      <w:numFmt w:val="decimal"/>
      <w:pStyle w:val="Heading2"/>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8C87D7C"/>
    <w:multiLevelType w:val="hybridMultilevel"/>
    <w:tmpl w:val="99B409E6"/>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YwsTAzNzY0MTM0tzRQ0lEKTi0uzszPAykwMq4FANQ3BGwtAAAA"/>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9A7036"/>
    <w:rsid w:val="00002CB2"/>
    <w:rsid w:val="0001202A"/>
    <w:rsid w:val="00017440"/>
    <w:rsid w:val="00017A1A"/>
    <w:rsid w:val="00026C90"/>
    <w:rsid w:val="00031368"/>
    <w:rsid w:val="000331E6"/>
    <w:rsid w:val="000335CE"/>
    <w:rsid w:val="000407E2"/>
    <w:rsid w:val="000418FE"/>
    <w:rsid w:val="0005335A"/>
    <w:rsid w:val="000660DC"/>
    <w:rsid w:val="00077BCB"/>
    <w:rsid w:val="00084975"/>
    <w:rsid w:val="000878D5"/>
    <w:rsid w:val="0009113C"/>
    <w:rsid w:val="00096E2E"/>
    <w:rsid w:val="000A4482"/>
    <w:rsid w:val="000A7AE5"/>
    <w:rsid w:val="000B3254"/>
    <w:rsid w:val="000B54FD"/>
    <w:rsid w:val="000B6B37"/>
    <w:rsid w:val="000B7998"/>
    <w:rsid w:val="000C0653"/>
    <w:rsid w:val="000C2E4F"/>
    <w:rsid w:val="000C77A5"/>
    <w:rsid w:val="000E4302"/>
    <w:rsid w:val="000F40E2"/>
    <w:rsid w:val="00102AD9"/>
    <w:rsid w:val="001037DA"/>
    <w:rsid w:val="00110487"/>
    <w:rsid w:val="0011080A"/>
    <w:rsid w:val="00112C0C"/>
    <w:rsid w:val="001326A3"/>
    <w:rsid w:val="00133103"/>
    <w:rsid w:val="00137E09"/>
    <w:rsid w:val="00161ED4"/>
    <w:rsid w:val="001624D4"/>
    <w:rsid w:val="00167BB6"/>
    <w:rsid w:val="00170999"/>
    <w:rsid w:val="00183A3F"/>
    <w:rsid w:val="00194F93"/>
    <w:rsid w:val="001A4EE2"/>
    <w:rsid w:val="001B3064"/>
    <w:rsid w:val="001B59B7"/>
    <w:rsid w:val="001B6366"/>
    <w:rsid w:val="001C5E1D"/>
    <w:rsid w:val="001D74BE"/>
    <w:rsid w:val="001E012B"/>
    <w:rsid w:val="001E4C7F"/>
    <w:rsid w:val="001E6790"/>
    <w:rsid w:val="001F1350"/>
    <w:rsid w:val="001F58CB"/>
    <w:rsid w:val="001F780C"/>
    <w:rsid w:val="00204B83"/>
    <w:rsid w:val="00216191"/>
    <w:rsid w:val="002208AB"/>
    <w:rsid w:val="00221256"/>
    <w:rsid w:val="00227661"/>
    <w:rsid w:val="00231F33"/>
    <w:rsid w:val="00233179"/>
    <w:rsid w:val="00242C1E"/>
    <w:rsid w:val="002454BE"/>
    <w:rsid w:val="0026423C"/>
    <w:rsid w:val="002667DD"/>
    <w:rsid w:val="002779C3"/>
    <w:rsid w:val="002829E7"/>
    <w:rsid w:val="0029228D"/>
    <w:rsid w:val="002952CF"/>
    <w:rsid w:val="002969C8"/>
    <w:rsid w:val="002A14F4"/>
    <w:rsid w:val="002A3D40"/>
    <w:rsid w:val="002A5C25"/>
    <w:rsid w:val="002B3801"/>
    <w:rsid w:val="002C1C61"/>
    <w:rsid w:val="002C1D4B"/>
    <w:rsid w:val="002C2B05"/>
    <w:rsid w:val="002D1748"/>
    <w:rsid w:val="002D3815"/>
    <w:rsid w:val="002D4C76"/>
    <w:rsid w:val="002E2CE0"/>
    <w:rsid w:val="002E2DC2"/>
    <w:rsid w:val="002E6DF0"/>
    <w:rsid w:val="002F1977"/>
    <w:rsid w:val="002F35D6"/>
    <w:rsid w:val="002F4323"/>
    <w:rsid w:val="002F4466"/>
    <w:rsid w:val="00305427"/>
    <w:rsid w:val="003120D7"/>
    <w:rsid w:val="00317929"/>
    <w:rsid w:val="0032174C"/>
    <w:rsid w:val="003219AF"/>
    <w:rsid w:val="00333D33"/>
    <w:rsid w:val="00335F91"/>
    <w:rsid w:val="003416BC"/>
    <w:rsid w:val="00342009"/>
    <w:rsid w:val="003438C5"/>
    <w:rsid w:val="00344168"/>
    <w:rsid w:val="0035531C"/>
    <w:rsid w:val="00357985"/>
    <w:rsid w:val="00362AC1"/>
    <w:rsid w:val="00366765"/>
    <w:rsid w:val="00380150"/>
    <w:rsid w:val="00384490"/>
    <w:rsid w:val="0039149C"/>
    <w:rsid w:val="00394171"/>
    <w:rsid w:val="003A0036"/>
    <w:rsid w:val="003B515B"/>
    <w:rsid w:val="003C2AB5"/>
    <w:rsid w:val="003C2B2B"/>
    <w:rsid w:val="003C4391"/>
    <w:rsid w:val="003C6EAD"/>
    <w:rsid w:val="003D097E"/>
    <w:rsid w:val="003D6C3C"/>
    <w:rsid w:val="003D7EE9"/>
    <w:rsid w:val="003E16D7"/>
    <w:rsid w:val="003E7DA6"/>
    <w:rsid w:val="003F5776"/>
    <w:rsid w:val="004017CD"/>
    <w:rsid w:val="0040406E"/>
    <w:rsid w:val="0041028E"/>
    <w:rsid w:val="00421473"/>
    <w:rsid w:val="00426D73"/>
    <w:rsid w:val="004324F5"/>
    <w:rsid w:val="00435260"/>
    <w:rsid w:val="004456AE"/>
    <w:rsid w:val="00453C7E"/>
    <w:rsid w:val="00463875"/>
    <w:rsid w:val="00466E52"/>
    <w:rsid w:val="00470C1B"/>
    <w:rsid w:val="0047201B"/>
    <w:rsid w:val="00473B52"/>
    <w:rsid w:val="00481DB9"/>
    <w:rsid w:val="00486254"/>
    <w:rsid w:val="00487155"/>
    <w:rsid w:val="004A1793"/>
    <w:rsid w:val="004A584A"/>
    <w:rsid w:val="004B1F9F"/>
    <w:rsid w:val="004B5812"/>
    <w:rsid w:val="004B7155"/>
    <w:rsid w:val="004B76F4"/>
    <w:rsid w:val="004C43F3"/>
    <w:rsid w:val="004D32F5"/>
    <w:rsid w:val="004D7DB4"/>
    <w:rsid w:val="004E05A5"/>
    <w:rsid w:val="004E16C8"/>
    <w:rsid w:val="004E3595"/>
    <w:rsid w:val="004E35BC"/>
    <w:rsid w:val="004F1528"/>
    <w:rsid w:val="004F3AB2"/>
    <w:rsid w:val="004F4A55"/>
    <w:rsid w:val="005014EE"/>
    <w:rsid w:val="00507EE0"/>
    <w:rsid w:val="00520A83"/>
    <w:rsid w:val="00523293"/>
    <w:rsid w:val="005266CB"/>
    <w:rsid w:val="00531356"/>
    <w:rsid w:val="00532AE5"/>
    <w:rsid w:val="005421C8"/>
    <w:rsid w:val="00544B43"/>
    <w:rsid w:val="005455E8"/>
    <w:rsid w:val="00552679"/>
    <w:rsid w:val="00572BD9"/>
    <w:rsid w:val="005750EC"/>
    <w:rsid w:val="005C6882"/>
    <w:rsid w:val="005D5181"/>
    <w:rsid w:val="005D5B44"/>
    <w:rsid w:val="005F242A"/>
    <w:rsid w:val="005F4714"/>
    <w:rsid w:val="006015FF"/>
    <w:rsid w:val="006126A8"/>
    <w:rsid w:val="00617439"/>
    <w:rsid w:val="006179F1"/>
    <w:rsid w:val="006224E9"/>
    <w:rsid w:val="0063537C"/>
    <w:rsid w:val="00644B23"/>
    <w:rsid w:val="00660C22"/>
    <w:rsid w:val="00664442"/>
    <w:rsid w:val="00665E31"/>
    <w:rsid w:val="00666612"/>
    <w:rsid w:val="006752BB"/>
    <w:rsid w:val="00681EDD"/>
    <w:rsid w:val="00683BF3"/>
    <w:rsid w:val="00686824"/>
    <w:rsid w:val="00692A7E"/>
    <w:rsid w:val="00696A75"/>
    <w:rsid w:val="0069743D"/>
    <w:rsid w:val="00697CDB"/>
    <w:rsid w:val="006A230F"/>
    <w:rsid w:val="006A4AD7"/>
    <w:rsid w:val="006D1B99"/>
    <w:rsid w:val="006E1024"/>
    <w:rsid w:val="00700BFF"/>
    <w:rsid w:val="00705D82"/>
    <w:rsid w:val="00707563"/>
    <w:rsid w:val="00710EF2"/>
    <w:rsid w:val="0072096F"/>
    <w:rsid w:val="007364A2"/>
    <w:rsid w:val="00741F53"/>
    <w:rsid w:val="007529ED"/>
    <w:rsid w:val="00753D31"/>
    <w:rsid w:val="007544D4"/>
    <w:rsid w:val="00756FC4"/>
    <w:rsid w:val="00760F4D"/>
    <w:rsid w:val="0076497B"/>
    <w:rsid w:val="007705E4"/>
    <w:rsid w:val="007726D9"/>
    <w:rsid w:val="007773D7"/>
    <w:rsid w:val="00786324"/>
    <w:rsid w:val="00797417"/>
    <w:rsid w:val="007A4D8D"/>
    <w:rsid w:val="007B2654"/>
    <w:rsid w:val="007B4192"/>
    <w:rsid w:val="007B674B"/>
    <w:rsid w:val="007C3821"/>
    <w:rsid w:val="007D615A"/>
    <w:rsid w:val="007D70BB"/>
    <w:rsid w:val="0080052B"/>
    <w:rsid w:val="008071EC"/>
    <w:rsid w:val="008308BE"/>
    <w:rsid w:val="0083091F"/>
    <w:rsid w:val="00833204"/>
    <w:rsid w:val="00842B33"/>
    <w:rsid w:val="0084524C"/>
    <w:rsid w:val="00850A60"/>
    <w:rsid w:val="00852979"/>
    <w:rsid w:val="00854FE7"/>
    <w:rsid w:val="00864224"/>
    <w:rsid w:val="008710BF"/>
    <w:rsid w:val="0087599D"/>
    <w:rsid w:val="00875B89"/>
    <w:rsid w:val="00876A0A"/>
    <w:rsid w:val="00876D4B"/>
    <w:rsid w:val="00877221"/>
    <w:rsid w:val="00877B75"/>
    <w:rsid w:val="0088158A"/>
    <w:rsid w:val="008A4972"/>
    <w:rsid w:val="008B047F"/>
    <w:rsid w:val="008B2B09"/>
    <w:rsid w:val="008C0FFA"/>
    <w:rsid w:val="008C2879"/>
    <w:rsid w:val="008D3F81"/>
    <w:rsid w:val="008D7721"/>
    <w:rsid w:val="008D79B9"/>
    <w:rsid w:val="008F31C0"/>
    <w:rsid w:val="0090722F"/>
    <w:rsid w:val="009073E9"/>
    <w:rsid w:val="00926725"/>
    <w:rsid w:val="00941FE6"/>
    <w:rsid w:val="009426A8"/>
    <w:rsid w:val="00951D39"/>
    <w:rsid w:val="0095588F"/>
    <w:rsid w:val="00973AFB"/>
    <w:rsid w:val="009813E7"/>
    <w:rsid w:val="009966B8"/>
    <w:rsid w:val="00997F27"/>
    <w:rsid w:val="009A2B36"/>
    <w:rsid w:val="009A6CF3"/>
    <w:rsid w:val="009A7036"/>
    <w:rsid w:val="009B7E3F"/>
    <w:rsid w:val="009D2E9B"/>
    <w:rsid w:val="009D3B24"/>
    <w:rsid w:val="009D3CCF"/>
    <w:rsid w:val="009E45D1"/>
    <w:rsid w:val="009F081F"/>
    <w:rsid w:val="009F6579"/>
    <w:rsid w:val="00A06D3E"/>
    <w:rsid w:val="00A12B26"/>
    <w:rsid w:val="00A144C7"/>
    <w:rsid w:val="00A2208F"/>
    <w:rsid w:val="00A30163"/>
    <w:rsid w:val="00A31567"/>
    <w:rsid w:val="00A63164"/>
    <w:rsid w:val="00A7029D"/>
    <w:rsid w:val="00A818CC"/>
    <w:rsid w:val="00A93A87"/>
    <w:rsid w:val="00AA6170"/>
    <w:rsid w:val="00AD231D"/>
    <w:rsid w:val="00AF254C"/>
    <w:rsid w:val="00AF4E40"/>
    <w:rsid w:val="00AF65EA"/>
    <w:rsid w:val="00B07D89"/>
    <w:rsid w:val="00B2368F"/>
    <w:rsid w:val="00B2518A"/>
    <w:rsid w:val="00B5319B"/>
    <w:rsid w:val="00B57883"/>
    <w:rsid w:val="00B578DB"/>
    <w:rsid w:val="00B62458"/>
    <w:rsid w:val="00B6656F"/>
    <w:rsid w:val="00B734C4"/>
    <w:rsid w:val="00B83908"/>
    <w:rsid w:val="00BA2904"/>
    <w:rsid w:val="00BA4356"/>
    <w:rsid w:val="00BA73EE"/>
    <w:rsid w:val="00BA7CFC"/>
    <w:rsid w:val="00BB2178"/>
    <w:rsid w:val="00BB4FF6"/>
    <w:rsid w:val="00BC42B6"/>
    <w:rsid w:val="00BD4450"/>
    <w:rsid w:val="00BD6A22"/>
    <w:rsid w:val="00BE6A8F"/>
    <w:rsid w:val="00BE74E7"/>
    <w:rsid w:val="00BF2367"/>
    <w:rsid w:val="00C0179B"/>
    <w:rsid w:val="00C359C5"/>
    <w:rsid w:val="00C44BDC"/>
    <w:rsid w:val="00C45E75"/>
    <w:rsid w:val="00C4765F"/>
    <w:rsid w:val="00C51572"/>
    <w:rsid w:val="00C57872"/>
    <w:rsid w:val="00C6207D"/>
    <w:rsid w:val="00C66D3F"/>
    <w:rsid w:val="00C85976"/>
    <w:rsid w:val="00C87806"/>
    <w:rsid w:val="00C92928"/>
    <w:rsid w:val="00C96543"/>
    <w:rsid w:val="00C97A03"/>
    <w:rsid w:val="00CA7CE7"/>
    <w:rsid w:val="00CC4FDF"/>
    <w:rsid w:val="00CC5887"/>
    <w:rsid w:val="00CE76D6"/>
    <w:rsid w:val="00D0021D"/>
    <w:rsid w:val="00D029C6"/>
    <w:rsid w:val="00D05FB0"/>
    <w:rsid w:val="00D06634"/>
    <w:rsid w:val="00D21036"/>
    <w:rsid w:val="00D34157"/>
    <w:rsid w:val="00D34530"/>
    <w:rsid w:val="00D3551E"/>
    <w:rsid w:val="00D6697D"/>
    <w:rsid w:val="00D767DA"/>
    <w:rsid w:val="00D972F6"/>
    <w:rsid w:val="00DB4A84"/>
    <w:rsid w:val="00DB55C3"/>
    <w:rsid w:val="00DD4515"/>
    <w:rsid w:val="00DF34DB"/>
    <w:rsid w:val="00E07ADE"/>
    <w:rsid w:val="00E17AF8"/>
    <w:rsid w:val="00E23327"/>
    <w:rsid w:val="00E335F4"/>
    <w:rsid w:val="00E35583"/>
    <w:rsid w:val="00E36EE7"/>
    <w:rsid w:val="00E646D9"/>
    <w:rsid w:val="00E67A6D"/>
    <w:rsid w:val="00E703D1"/>
    <w:rsid w:val="00E73F5B"/>
    <w:rsid w:val="00E94798"/>
    <w:rsid w:val="00EA07EF"/>
    <w:rsid w:val="00EA0E9C"/>
    <w:rsid w:val="00EA18FB"/>
    <w:rsid w:val="00EB2DA4"/>
    <w:rsid w:val="00EC04AB"/>
    <w:rsid w:val="00EC4217"/>
    <w:rsid w:val="00EC660C"/>
    <w:rsid w:val="00ED283A"/>
    <w:rsid w:val="00EE31A4"/>
    <w:rsid w:val="00EE598A"/>
    <w:rsid w:val="00EE71D2"/>
    <w:rsid w:val="00EF177A"/>
    <w:rsid w:val="00F01A8E"/>
    <w:rsid w:val="00F02950"/>
    <w:rsid w:val="00F073CF"/>
    <w:rsid w:val="00F102D1"/>
    <w:rsid w:val="00F123E4"/>
    <w:rsid w:val="00F14FAC"/>
    <w:rsid w:val="00F15EF2"/>
    <w:rsid w:val="00F31316"/>
    <w:rsid w:val="00F3149D"/>
    <w:rsid w:val="00F37D87"/>
    <w:rsid w:val="00F43EDA"/>
    <w:rsid w:val="00F46E4A"/>
    <w:rsid w:val="00F47169"/>
    <w:rsid w:val="00F65045"/>
    <w:rsid w:val="00F67935"/>
    <w:rsid w:val="00F714B9"/>
    <w:rsid w:val="00F72913"/>
    <w:rsid w:val="00F80265"/>
    <w:rsid w:val="00F85073"/>
    <w:rsid w:val="00F91B01"/>
    <w:rsid w:val="00F95ACB"/>
    <w:rsid w:val="00FA16BD"/>
    <w:rsid w:val="00FA21AE"/>
    <w:rsid w:val="00FA39FF"/>
    <w:rsid w:val="00FC0DDC"/>
    <w:rsid w:val="00FC4B59"/>
    <w:rsid w:val="00FC7E67"/>
    <w:rsid w:val="00FE55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4B102"/>
  <w15:docId w15:val="{94A2392D-E12A-4F20-ADC1-36EE44531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B01"/>
    <w:pPr>
      <w:spacing w:after="0" w:line="240" w:lineRule="auto"/>
    </w:pPr>
    <w:rPr>
      <w:rFonts w:ascii="Times New Roman" w:eastAsia="Times New Roman" w:hAnsi="Times New Roman" w:cs="Times New Roman"/>
      <w:sz w:val="24"/>
      <w:szCs w:val="24"/>
      <w:lang w:val="tr-TR" w:eastAsia="tr-TR"/>
    </w:rPr>
  </w:style>
  <w:style w:type="paragraph" w:styleId="Heading1">
    <w:name w:val="heading 1"/>
    <w:basedOn w:val="ListParagraph"/>
    <w:next w:val="Normal"/>
    <w:link w:val="Heading1Char"/>
    <w:uiPriority w:val="9"/>
    <w:qFormat/>
    <w:rsid w:val="00C66D3F"/>
    <w:pPr>
      <w:numPr>
        <w:numId w:val="2"/>
      </w:numPr>
      <w:spacing w:line="360" w:lineRule="auto"/>
      <w:jc w:val="both"/>
      <w:outlineLvl w:val="0"/>
    </w:pPr>
    <w:rPr>
      <w:b/>
      <w:bCs/>
      <w:sz w:val="22"/>
      <w:szCs w:val="22"/>
    </w:rPr>
  </w:style>
  <w:style w:type="paragraph" w:styleId="Heading2">
    <w:name w:val="heading 2"/>
    <w:basedOn w:val="ListParagraph"/>
    <w:next w:val="Normal"/>
    <w:link w:val="Heading2Char"/>
    <w:uiPriority w:val="9"/>
    <w:unhideWhenUsed/>
    <w:qFormat/>
    <w:rsid w:val="00C66D3F"/>
    <w:pPr>
      <w:numPr>
        <w:ilvl w:val="1"/>
        <w:numId w:val="2"/>
      </w:numPr>
      <w:spacing w:line="360" w:lineRule="auto"/>
      <w:jc w:val="both"/>
      <w:outlineLvl w:val="1"/>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ighlight">
    <w:name w:val="highlight"/>
    <w:basedOn w:val="DefaultParagraphFont"/>
    <w:rsid w:val="00F91B01"/>
  </w:style>
  <w:style w:type="paragraph" w:styleId="ListParagraph">
    <w:name w:val="List Paragraph"/>
    <w:basedOn w:val="Normal"/>
    <w:uiPriority w:val="34"/>
    <w:qFormat/>
    <w:rsid w:val="00F91B01"/>
    <w:pPr>
      <w:ind w:left="720"/>
      <w:contextualSpacing/>
    </w:pPr>
  </w:style>
  <w:style w:type="character" w:styleId="Strong">
    <w:name w:val="Strong"/>
    <w:basedOn w:val="DefaultParagraphFont"/>
    <w:uiPriority w:val="22"/>
    <w:qFormat/>
    <w:rsid w:val="00F91B01"/>
    <w:rPr>
      <w:b/>
      <w:bCs/>
    </w:rPr>
  </w:style>
  <w:style w:type="character" w:styleId="Hyperlink">
    <w:name w:val="Hyperlink"/>
    <w:basedOn w:val="DefaultParagraphFont"/>
    <w:uiPriority w:val="99"/>
    <w:unhideWhenUsed/>
    <w:rsid w:val="00B578DB"/>
    <w:rPr>
      <w:color w:val="0563C1" w:themeColor="hyperlink"/>
      <w:u w:val="single"/>
    </w:rPr>
  </w:style>
  <w:style w:type="paragraph" w:customStyle="1" w:styleId="EndNoteBibliographyTitle">
    <w:name w:val="EndNote Bibliography Title"/>
    <w:basedOn w:val="Normal"/>
    <w:link w:val="EndNoteBibliographyTitleChar"/>
    <w:rsid w:val="0040406E"/>
    <w:pPr>
      <w:jc w:val="center"/>
    </w:pPr>
  </w:style>
  <w:style w:type="character" w:customStyle="1" w:styleId="EndNoteBibliographyTitleChar">
    <w:name w:val="EndNote Bibliography Title Char"/>
    <w:basedOn w:val="DefaultParagraphFont"/>
    <w:link w:val="EndNoteBibliographyTitle"/>
    <w:rsid w:val="0040406E"/>
    <w:rPr>
      <w:rFonts w:ascii="Times New Roman" w:eastAsia="Times New Roman" w:hAnsi="Times New Roman" w:cs="Times New Roman"/>
      <w:sz w:val="24"/>
      <w:szCs w:val="24"/>
      <w:lang w:val="tr-TR" w:eastAsia="tr-TR"/>
    </w:rPr>
  </w:style>
  <w:style w:type="paragraph" w:customStyle="1" w:styleId="EndNoteBibliography">
    <w:name w:val="EndNote Bibliography"/>
    <w:basedOn w:val="Normal"/>
    <w:link w:val="EndNoteBibliographyChar"/>
    <w:rsid w:val="0040406E"/>
    <w:pPr>
      <w:jc w:val="both"/>
    </w:pPr>
  </w:style>
  <w:style w:type="character" w:customStyle="1" w:styleId="EndNoteBibliographyChar">
    <w:name w:val="EndNote Bibliography Char"/>
    <w:basedOn w:val="DefaultParagraphFont"/>
    <w:link w:val="EndNoteBibliography"/>
    <w:rsid w:val="0040406E"/>
    <w:rPr>
      <w:rFonts w:ascii="Times New Roman" w:eastAsia="Times New Roman" w:hAnsi="Times New Roman" w:cs="Times New Roman"/>
      <w:sz w:val="24"/>
      <w:szCs w:val="24"/>
      <w:lang w:val="tr-TR" w:eastAsia="tr-TR"/>
    </w:rPr>
  </w:style>
  <w:style w:type="character" w:styleId="FollowedHyperlink">
    <w:name w:val="FollowedHyperlink"/>
    <w:basedOn w:val="DefaultParagraphFont"/>
    <w:uiPriority w:val="99"/>
    <w:semiHidden/>
    <w:unhideWhenUsed/>
    <w:rsid w:val="004F3AB2"/>
    <w:rPr>
      <w:color w:val="954F72" w:themeColor="followedHyperlink"/>
      <w:u w:val="single"/>
    </w:rPr>
  </w:style>
  <w:style w:type="character" w:styleId="CommentReference">
    <w:name w:val="annotation reference"/>
    <w:basedOn w:val="DefaultParagraphFont"/>
    <w:uiPriority w:val="99"/>
    <w:semiHidden/>
    <w:unhideWhenUsed/>
    <w:rsid w:val="00333D33"/>
    <w:rPr>
      <w:sz w:val="16"/>
      <w:szCs w:val="16"/>
    </w:rPr>
  </w:style>
  <w:style w:type="paragraph" w:styleId="CommentText">
    <w:name w:val="annotation text"/>
    <w:basedOn w:val="Normal"/>
    <w:link w:val="CommentTextChar"/>
    <w:uiPriority w:val="99"/>
    <w:semiHidden/>
    <w:unhideWhenUsed/>
    <w:rsid w:val="00333D33"/>
    <w:rPr>
      <w:sz w:val="20"/>
      <w:szCs w:val="20"/>
    </w:rPr>
  </w:style>
  <w:style w:type="character" w:customStyle="1" w:styleId="CommentTextChar">
    <w:name w:val="Comment Text Char"/>
    <w:basedOn w:val="DefaultParagraphFont"/>
    <w:link w:val="CommentText"/>
    <w:uiPriority w:val="99"/>
    <w:semiHidden/>
    <w:rsid w:val="00333D33"/>
    <w:rPr>
      <w:rFonts w:ascii="Times New Roman" w:eastAsia="Times New Roman" w:hAnsi="Times New Roman" w:cs="Times New Roman"/>
      <w:sz w:val="20"/>
      <w:szCs w:val="20"/>
      <w:lang w:val="tr-TR" w:eastAsia="tr-TR"/>
    </w:rPr>
  </w:style>
  <w:style w:type="paragraph" w:styleId="CommentSubject">
    <w:name w:val="annotation subject"/>
    <w:basedOn w:val="CommentText"/>
    <w:next w:val="CommentText"/>
    <w:link w:val="CommentSubjectChar"/>
    <w:uiPriority w:val="99"/>
    <w:semiHidden/>
    <w:unhideWhenUsed/>
    <w:rsid w:val="00333D33"/>
    <w:rPr>
      <w:b/>
      <w:bCs/>
    </w:rPr>
  </w:style>
  <w:style w:type="character" w:customStyle="1" w:styleId="CommentSubjectChar">
    <w:name w:val="Comment Subject Char"/>
    <w:basedOn w:val="CommentTextChar"/>
    <w:link w:val="CommentSubject"/>
    <w:uiPriority w:val="99"/>
    <w:semiHidden/>
    <w:rsid w:val="00333D33"/>
    <w:rPr>
      <w:rFonts w:ascii="Times New Roman" w:eastAsia="Times New Roman" w:hAnsi="Times New Roman" w:cs="Times New Roman"/>
      <w:b/>
      <w:bCs/>
      <w:sz w:val="20"/>
      <w:szCs w:val="20"/>
      <w:lang w:val="tr-TR" w:eastAsia="tr-TR"/>
    </w:rPr>
  </w:style>
  <w:style w:type="paragraph" w:styleId="BalloonText">
    <w:name w:val="Balloon Text"/>
    <w:basedOn w:val="Normal"/>
    <w:link w:val="BalloonTextChar"/>
    <w:uiPriority w:val="99"/>
    <w:semiHidden/>
    <w:unhideWhenUsed/>
    <w:rsid w:val="00333D3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3D33"/>
    <w:rPr>
      <w:rFonts w:ascii="Segoe UI" w:eastAsia="Times New Roman" w:hAnsi="Segoe UI" w:cs="Segoe UI"/>
      <w:sz w:val="18"/>
      <w:szCs w:val="18"/>
      <w:lang w:val="tr-TR" w:eastAsia="tr-TR"/>
    </w:rPr>
  </w:style>
  <w:style w:type="table" w:customStyle="1" w:styleId="DzTablo21">
    <w:name w:val="Düz Tablo 21"/>
    <w:basedOn w:val="TableNormal"/>
    <w:uiPriority w:val="42"/>
    <w:rsid w:val="00507EE0"/>
    <w:pPr>
      <w:spacing w:after="0" w:line="240" w:lineRule="auto"/>
    </w:pPr>
    <w:rPr>
      <w:sz w:val="24"/>
      <w:szCs w:val="24"/>
      <w:lang w:val="tr-T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HTMLPreformatted">
    <w:name w:val="HTML Preformatted"/>
    <w:basedOn w:val="Normal"/>
    <w:link w:val="HTMLPreformattedChar"/>
    <w:uiPriority w:val="99"/>
    <w:unhideWhenUsed/>
    <w:rsid w:val="00507E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507EE0"/>
    <w:rPr>
      <w:rFonts w:ascii="Courier New" w:eastAsia="Times New Roman" w:hAnsi="Courier New" w:cs="Courier New"/>
      <w:sz w:val="20"/>
      <w:szCs w:val="20"/>
      <w:lang w:val="tr-TR" w:eastAsia="tr-TR"/>
    </w:rPr>
  </w:style>
  <w:style w:type="table" w:styleId="TableGrid">
    <w:name w:val="Table Grid"/>
    <w:basedOn w:val="TableNormal"/>
    <w:uiPriority w:val="39"/>
    <w:rsid w:val="00BB4FF6"/>
    <w:pPr>
      <w:spacing w:after="0" w:line="240" w:lineRule="auto"/>
    </w:pPr>
    <w:rPr>
      <w:sz w:val="24"/>
      <w:szCs w:val="24"/>
      <w:lang w:val="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BB4FF6"/>
    <w:pPr>
      <w:spacing w:before="100" w:beforeAutospacing="1" w:after="100" w:afterAutospacing="1"/>
    </w:pPr>
  </w:style>
  <w:style w:type="paragraph" w:styleId="BodyText">
    <w:name w:val="Body Text"/>
    <w:basedOn w:val="Normal"/>
    <w:link w:val="BodyTextChar"/>
    <w:uiPriority w:val="1"/>
    <w:qFormat/>
    <w:rsid w:val="00F85073"/>
    <w:pPr>
      <w:widowControl w:val="0"/>
      <w:autoSpaceDE w:val="0"/>
      <w:autoSpaceDN w:val="0"/>
      <w:adjustRightInd w:val="0"/>
      <w:ind w:left="39"/>
    </w:pPr>
    <w:rPr>
      <w:rFonts w:eastAsiaTheme="minorEastAsia"/>
      <w:lang w:val="en-US" w:eastAsia="en-US"/>
    </w:rPr>
  </w:style>
  <w:style w:type="character" w:customStyle="1" w:styleId="BodyTextChar">
    <w:name w:val="Body Text Char"/>
    <w:basedOn w:val="DefaultParagraphFont"/>
    <w:link w:val="BodyText"/>
    <w:uiPriority w:val="1"/>
    <w:rsid w:val="00F85073"/>
    <w:rPr>
      <w:rFonts w:ascii="Times New Roman" w:eastAsiaTheme="minorEastAsia" w:hAnsi="Times New Roman" w:cs="Times New Roman"/>
      <w:sz w:val="24"/>
      <w:szCs w:val="24"/>
    </w:rPr>
  </w:style>
  <w:style w:type="paragraph" w:styleId="Header">
    <w:name w:val="header"/>
    <w:basedOn w:val="Normal"/>
    <w:link w:val="HeaderChar"/>
    <w:uiPriority w:val="99"/>
    <w:unhideWhenUsed/>
    <w:rsid w:val="00F85073"/>
    <w:pPr>
      <w:tabs>
        <w:tab w:val="center" w:pos="4703"/>
        <w:tab w:val="right" w:pos="9406"/>
      </w:tabs>
    </w:pPr>
    <w:rPr>
      <w:rFonts w:asciiTheme="minorHAnsi" w:eastAsiaTheme="minorHAnsi" w:hAnsiTheme="minorHAnsi" w:cstheme="minorBidi"/>
      <w:lang w:eastAsia="en-US"/>
    </w:rPr>
  </w:style>
  <w:style w:type="character" w:customStyle="1" w:styleId="HeaderChar">
    <w:name w:val="Header Char"/>
    <w:basedOn w:val="DefaultParagraphFont"/>
    <w:link w:val="Header"/>
    <w:uiPriority w:val="99"/>
    <w:rsid w:val="00F85073"/>
    <w:rPr>
      <w:sz w:val="24"/>
      <w:szCs w:val="24"/>
      <w:lang w:val="tr-TR"/>
    </w:rPr>
  </w:style>
  <w:style w:type="paragraph" w:styleId="Footer">
    <w:name w:val="footer"/>
    <w:basedOn w:val="Normal"/>
    <w:link w:val="FooterChar"/>
    <w:uiPriority w:val="99"/>
    <w:unhideWhenUsed/>
    <w:rsid w:val="00F85073"/>
    <w:pPr>
      <w:tabs>
        <w:tab w:val="center" w:pos="4703"/>
        <w:tab w:val="right" w:pos="9406"/>
      </w:tabs>
    </w:pPr>
    <w:rPr>
      <w:rFonts w:asciiTheme="minorHAnsi" w:eastAsiaTheme="minorHAnsi" w:hAnsiTheme="minorHAnsi" w:cstheme="minorBidi"/>
      <w:lang w:eastAsia="en-US"/>
    </w:rPr>
  </w:style>
  <w:style w:type="character" w:customStyle="1" w:styleId="FooterChar">
    <w:name w:val="Footer Char"/>
    <w:basedOn w:val="DefaultParagraphFont"/>
    <w:link w:val="Footer"/>
    <w:uiPriority w:val="99"/>
    <w:rsid w:val="00F85073"/>
    <w:rPr>
      <w:sz w:val="24"/>
      <w:szCs w:val="24"/>
      <w:lang w:val="tr-TR"/>
    </w:rPr>
  </w:style>
  <w:style w:type="paragraph" w:styleId="Title">
    <w:name w:val="Title"/>
    <w:basedOn w:val="Normal"/>
    <w:next w:val="Normal"/>
    <w:link w:val="TitleChar"/>
    <w:uiPriority w:val="10"/>
    <w:qFormat/>
    <w:rsid w:val="00C66D3F"/>
    <w:pPr>
      <w:spacing w:line="360" w:lineRule="auto"/>
      <w:jc w:val="center"/>
    </w:pPr>
    <w:rPr>
      <w:b/>
      <w:sz w:val="22"/>
      <w:szCs w:val="22"/>
    </w:rPr>
  </w:style>
  <w:style w:type="character" w:customStyle="1" w:styleId="TitleChar">
    <w:name w:val="Title Char"/>
    <w:basedOn w:val="DefaultParagraphFont"/>
    <w:link w:val="Title"/>
    <w:uiPriority w:val="10"/>
    <w:rsid w:val="00C66D3F"/>
    <w:rPr>
      <w:rFonts w:ascii="Times New Roman" w:eastAsia="Times New Roman" w:hAnsi="Times New Roman" w:cs="Times New Roman"/>
      <w:b/>
      <w:lang w:val="tr-TR" w:eastAsia="tr-TR"/>
    </w:rPr>
  </w:style>
  <w:style w:type="character" w:customStyle="1" w:styleId="Heading1Char">
    <w:name w:val="Heading 1 Char"/>
    <w:basedOn w:val="DefaultParagraphFont"/>
    <w:link w:val="Heading1"/>
    <w:uiPriority w:val="9"/>
    <w:rsid w:val="00C66D3F"/>
    <w:rPr>
      <w:rFonts w:ascii="Times New Roman" w:eastAsia="Times New Roman" w:hAnsi="Times New Roman" w:cs="Times New Roman"/>
      <w:b/>
      <w:bCs/>
      <w:lang w:val="tr-TR" w:eastAsia="tr-TR"/>
    </w:rPr>
  </w:style>
  <w:style w:type="character" w:customStyle="1" w:styleId="Heading2Char">
    <w:name w:val="Heading 2 Char"/>
    <w:basedOn w:val="DefaultParagraphFont"/>
    <w:link w:val="Heading2"/>
    <w:uiPriority w:val="9"/>
    <w:rsid w:val="00C66D3F"/>
    <w:rPr>
      <w:rFonts w:ascii="Times New Roman" w:eastAsia="Times New Roman" w:hAnsi="Times New Roman" w:cs="Times New Roman"/>
      <w:b/>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667603">
      <w:bodyDiv w:val="1"/>
      <w:marLeft w:val="0"/>
      <w:marRight w:val="0"/>
      <w:marTop w:val="0"/>
      <w:marBottom w:val="0"/>
      <w:divBdr>
        <w:top w:val="none" w:sz="0" w:space="0" w:color="auto"/>
        <w:left w:val="none" w:sz="0" w:space="0" w:color="auto"/>
        <w:bottom w:val="none" w:sz="0" w:space="0" w:color="auto"/>
        <w:right w:val="none" w:sz="0" w:space="0" w:color="auto"/>
      </w:divBdr>
    </w:div>
    <w:div w:id="902065821">
      <w:bodyDiv w:val="1"/>
      <w:marLeft w:val="0"/>
      <w:marRight w:val="0"/>
      <w:marTop w:val="0"/>
      <w:marBottom w:val="0"/>
      <w:divBdr>
        <w:top w:val="none" w:sz="0" w:space="0" w:color="auto"/>
        <w:left w:val="none" w:sz="0" w:space="0" w:color="auto"/>
        <w:bottom w:val="none" w:sz="0" w:space="0" w:color="auto"/>
        <w:right w:val="none" w:sz="0" w:space="0" w:color="auto"/>
      </w:divBdr>
    </w:div>
    <w:div w:id="1055817388">
      <w:bodyDiv w:val="1"/>
      <w:marLeft w:val="0"/>
      <w:marRight w:val="0"/>
      <w:marTop w:val="0"/>
      <w:marBottom w:val="0"/>
      <w:divBdr>
        <w:top w:val="none" w:sz="0" w:space="0" w:color="auto"/>
        <w:left w:val="none" w:sz="0" w:space="0" w:color="auto"/>
        <w:bottom w:val="none" w:sz="0" w:space="0" w:color="auto"/>
        <w:right w:val="none" w:sz="0" w:space="0" w:color="auto"/>
      </w:divBdr>
    </w:div>
    <w:div w:id="1365247283">
      <w:bodyDiv w:val="1"/>
      <w:marLeft w:val="0"/>
      <w:marRight w:val="0"/>
      <w:marTop w:val="0"/>
      <w:marBottom w:val="0"/>
      <w:divBdr>
        <w:top w:val="none" w:sz="0" w:space="0" w:color="auto"/>
        <w:left w:val="none" w:sz="0" w:space="0" w:color="auto"/>
        <w:bottom w:val="none" w:sz="0" w:space="0" w:color="auto"/>
        <w:right w:val="none" w:sz="0" w:space="0" w:color="auto"/>
      </w:divBdr>
    </w:div>
    <w:div w:id="1638994476">
      <w:bodyDiv w:val="1"/>
      <w:marLeft w:val="0"/>
      <w:marRight w:val="0"/>
      <w:marTop w:val="0"/>
      <w:marBottom w:val="0"/>
      <w:divBdr>
        <w:top w:val="none" w:sz="0" w:space="0" w:color="auto"/>
        <w:left w:val="none" w:sz="0" w:space="0" w:color="auto"/>
        <w:bottom w:val="none" w:sz="0" w:space="0" w:color="auto"/>
        <w:right w:val="none" w:sz="0" w:space="0" w:color="auto"/>
      </w:divBdr>
    </w:div>
    <w:div w:id="1649553162">
      <w:bodyDiv w:val="1"/>
      <w:marLeft w:val="0"/>
      <w:marRight w:val="0"/>
      <w:marTop w:val="0"/>
      <w:marBottom w:val="0"/>
      <w:divBdr>
        <w:top w:val="none" w:sz="0" w:space="0" w:color="auto"/>
        <w:left w:val="none" w:sz="0" w:space="0" w:color="auto"/>
        <w:bottom w:val="none" w:sz="0" w:space="0" w:color="auto"/>
        <w:right w:val="none" w:sz="0" w:space="0" w:color="auto"/>
      </w:divBdr>
    </w:div>
    <w:div w:id="1888493968">
      <w:bodyDiv w:val="1"/>
      <w:marLeft w:val="0"/>
      <w:marRight w:val="0"/>
      <w:marTop w:val="0"/>
      <w:marBottom w:val="0"/>
      <w:divBdr>
        <w:top w:val="none" w:sz="0" w:space="0" w:color="auto"/>
        <w:left w:val="none" w:sz="0" w:space="0" w:color="auto"/>
        <w:bottom w:val="none" w:sz="0" w:space="0" w:color="auto"/>
        <w:right w:val="none" w:sz="0" w:space="0" w:color="auto"/>
      </w:divBdr>
    </w:div>
    <w:div w:id="1992174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A4D971A4-1949-48D5-965D-6FB5B56E1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15002</Words>
  <Characters>85518</Characters>
  <Application>Microsoft Office Word</Application>
  <DocSecurity>0</DocSecurity>
  <Lines>712</Lines>
  <Paragraphs>200</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100320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Pinar Soysal</dc:creator>
  <cp:keywords/>
  <dc:description/>
  <cp:lastModifiedBy>Blanshard, Lisa</cp:lastModifiedBy>
  <cp:revision>3</cp:revision>
  <dcterms:created xsi:type="dcterms:W3CDTF">2020-04-26T13:42:00Z</dcterms:created>
  <dcterms:modified xsi:type="dcterms:W3CDTF">2022-01-24T12:59:00Z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http://www.zotero.org/styles/international-journal-of-geriatric-psychiatry</vt:lpwstr>
  </property>
  <property fmtid="{D5CDD505-2E9C-101B-9397-08002B2CF9AE}" pid="13" name="Mendeley Recent Style Name 5_1">
    <vt:lpwstr>International Journal of Geriatric Psychiatry</vt:lpwstr>
  </property>
  <property fmtid="{D5CDD505-2E9C-101B-9397-08002B2CF9AE}" pid="14" name="Mendeley Recent Style Id 6_1">
    <vt:lpwstr>http://www.zotero.org/styles/jama</vt:lpwstr>
  </property>
  <property fmtid="{D5CDD505-2E9C-101B-9397-08002B2CF9AE}" pid="15" name="Mendeley Recent Style Name 6_1">
    <vt:lpwstr>JAMA (The Journal of the American Medical Association)</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http://www.zotero.org/styles/national-library-of-medicine</vt:lpwstr>
  </property>
  <property fmtid="{D5CDD505-2E9C-101B-9397-08002B2CF9AE}" pid="19" name="Mendeley Recent Style Name 8_1">
    <vt:lpwstr>National Library of Medicine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30470550-0e5e-384b-a60f-4db0c487c229</vt:lpwstr>
  </property>
  <property fmtid="{D5CDD505-2E9C-101B-9397-08002B2CF9AE}" pid="24" name="Mendeley Citation Style_1">
    <vt:lpwstr>http://www.zotero.org/styles/vancouver</vt:lpwstr>
  </property>
</Properties>
</file>